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C8" w:rsidRPr="00856FFA" w:rsidRDefault="003E3AC8" w:rsidP="003E3AC8">
      <w:pPr>
        <w:jc w:val="center"/>
        <w:rPr>
          <w:rFonts w:cs="Calibri"/>
          <w:b/>
          <w:caps/>
          <w:sz w:val="20"/>
          <w:szCs w:val="20"/>
        </w:rPr>
      </w:pPr>
      <w:bookmarkStart w:id="0" w:name="_GoBack"/>
      <w:bookmarkEnd w:id="0"/>
      <w:r w:rsidRPr="00856FFA">
        <w:rPr>
          <w:rFonts w:cs="Calibri"/>
          <w:b/>
          <w:caps/>
          <w:sz w:val="20"/>
          <w:szCs w:val="20"/>
        </w:rPr>
        <w:t>Vyhodnotenie medzirezortného pripomienkového konania</w:t>
      </w:r>
    </w:p>
    <w:p w:rsidR="003E3AC8" w:rsidRPr="00A871D9" w:rsidRDefault="003E3AC8" w:rsidP="003E3AC8">
      <w:pPr>
        <w:jc w:val="center"/>
        <w:rPr>
          <w:rFonts w:cs="Calibri"/>
          <w:iCs/>
          <w:sz w:val="16"/>
          <w:szCs w:val="16"/>
        </w:rPr>
      </w:pPr>
    </w:p>
    <w:p w:rsidR="003E3AC8" w:rsidRPr="00B01650" w:rsidRDefault="003E3AC8" w:rsidP="003E3AC8">
      <w:pPr>
        <w:jc w:val="center"/>
        <w:rPr>
          <w:rFonts w:cs="Calibri"/>
          <w:iCs/>
          <w:sz w:val="20"/>
          <w:szCs w:val="20"/>
        </w:rPr>
      </w:pPr>
      <w:r w:rsidRPr="00B01650">
        <w:rPr>
          <w:rFonts w:cs="Calibri"/>
          <w:iCs/>
          <w:sz w:val="20"/>
          <w:szCs w:val="20"/>
        </w:rPr>
        <w:t xml:space="preserve">k Návrhu Rokovacieho poriadku výboru Bezpečnostnej rady Slovenskej republiky </w:t>
      </w:r>
    </w:p>
    <w:p w:rsidR="003E3AC8" w:rsidRPr="00856FFA" w:rsidRDefault="003E3AC8" w:rsidP="003E3AC8">
      <w:pPr>
        <w:jc w:val="center"/>
        <w:rPr>
          <w:rFonts w:cs="Calibri"/>
          <w:sz w:val="20"/>
          <w:szCs w:val="20"/>
        </w:rPr>
      </w:pPr>
      <w:r w:rsidRPr="00B01650">
        <w:rPr>
          <w:rFonts w:cs="Calibri"/>
          <w:iCs/>
          <w:sz w:val="20"/>
          <w:szCs w:val="20"/>
        </w:rPr>
        <w:t>pre obranné plánovanie</w:t>
      </w:r>
    </w:p>
    <w:p w:rsidR="003E3AC8" w:rsidRDefault="003E3AC8" w:rsidP="003E3AC8">
      <w:pPr>
        <w:rPr>
          <w:rFonts w:cs="Calibri"/>
          <w:sz w:val="20"/>
          <w:szCs w:val="20"/>
        </w:rPr>
      </w:pPr>
    </w:p>
    <w:p w:rsidR="003E3AC8" w:rsidRPr="00A871D9" w:rsidRDefault="003E3AC8" w:rsidP="003E3AC8">
      <w:pPr>
        <w:rPr>
          <w:rFonts w:cs="Calibri"/>
          <w:sz w:val="16"/>
          <w:szCs w:val="16"/>
        </w:rPr>
      </w:pPr>
    </w:p>
    <w:tbl>
      <w:tblPr>
        <w:tblW w:w="14322" w:type="dxa"/>
        <w:tblCellMar>
          <w:left w:w="0" w:type="dxa"/>
          <w:right w:w="0" w:type="dxa"/>
        </w:tblCellMar>
        <w:tblLook w:val="0000" w:firstRow="0" w:lastRow="0" w:firstColumn="0" w:lastColumn="0" w:noHBand="0" w:noVBand="0"/>
      </w:tblPr>
      <w:tblGrid>
        <w:gridCol w:w="6379"/>
        <w:gridCol w:w="7943"/>
      </w:tblGrid>
      <w:tr w:rsidR="003E3AC8" w:rsidRPr="00DD3F66"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sz w:val="20"/>
                <w:szCs w:val="20"/>
              </w:rPr>
              <w:t>Spôsob pripomienkového konania</w:t>
            </w:r>
          </w:p>
        </w:tc>
        <w:tc>
          <w:tcPr>
            <w:tcW w:w="7943" w:type="dxa"/>
            <w:tcBorders>
              <w:top w:val="nil"/>
              <w:left w:val="nil"/>
              <w:bottom w:val="nil"/>
              <w:right w:val="nil"/>
            </w:tcBorders>
          </w:tcPr>
          <w:p w:rsidR="003E3AC8" w:rsidRPr="00DD3F66" w:rsidRDefault="003E3AC8" w:rsidP="005D6A7F">
            <w:pPr>
              <w:rPr>
                <w:rFonts w:cs="Calibri"/>
                <w:sz w:val="20"/>
                <w:szCs w:val="20"/>
              </w:rPr>
            </w:pP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sz w:val="20"/>
                <w:szCs w:val="20"/>
              </w:rPr>
              <w:t>Počet vznesených pripomienok, z toho zásadných</w:t>
            </w:r>
          </w:p>
        </w:tc>
        <w:tc>
          <w:tcPr>
            <w:tcW w:w="7943" w:type="dxa"/>
            <w:tcBorders>
              <w:top w:val="nil"/>
              <w:left w:val="nil"/>
              <w:bottom w:val="nil"/>
              <w:right w:val="nil"/>
            </w:tcBorders>
          </w:tcPr>
          <w:p w:rsidR="003E3AC8" w:rsidRPr="00856FFA" w:rsidRDefault="003E3AC8" w:rsidP="005D6A7F">
            <w:pPr>
              <w:rPr>
                <w:rFonts w:cs="Calibri"/>
                <w:sz w:val="20"/>
                <w:szCs w:val="20"/>
              </w:rPr>
            </w:pPr>
            <w:r>
              <w:rPr>
                <w:rFonts w:cs="Calibri"/>
                <w:sz w:val="20"/>
                <w:szCs w:val="20"/>
              </w:rPr>
              <w:t>29/0</w:t>
            </w:r>
          </w:p>
        </w:tc>
      </w:tr>
      <w:tr w:rsidR="003E3AC8" w:rsidRPr="00542B6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E92A3F">
              <w:rPr>
                <w:rFonts w:cs="Calibri"/>
                <w:sz w:val="20"/>
                <w:szCs w:val="20"/>
              </w:rPr>
              <w:t>Počet vyhodnotených pripomienok</w:t>
            </w:r>
          </w:p>
        </w:tc>
        <w:tc>
          <w:tcPr>
            <w:tcW w:w="7943" w:type="dxa"/>
            <w:tcBorders>
              <w:top w:val="nil"/>
              <w:left w:val="nil"/>
              <w:bottom w:val="nil"/>
              <w:right w:val="nil"/>
            </w:tcBorders>
          </w:tcPr>
          <w:p w:rsidR="003E3AC8" w:rsidRPr="00542B6A" w:rsidRDefault="003E3AC8" w:rsidP="005D6A7F">
            <w:pPr>
              <w:rPr>
                <w:rFonts w:cs="Calibri"/>
                <w:sz w:val="20"/>
                <w:szCs w:val="20"/>
              </w:rPr>
            </w:pPr>
            <w:r>
              <w:rPr>
                <w:rFonts w:cs="Calibri"/>
                <w:sz w:val="20"/>
                <w:szCs w:val="20"/>
              </w:rPr>
              <w:t>29/0</w:t>
            </w:r>
          </w:p>
        </w:tc>
      </w:tr>
      <w:tr w:rsidR="003E3AC8" w:rsidTr="005D6A7F">
        <w:tc>
          <w:tcPr>
            <w:tcW w:w="6379" w:type="dxa"/>
            <w:tcBorders>
              <w:top w:val="nil"/>
              <w:left w:val="nil"/>
              <w:bottom w:val="nil"/>
              <w:right w:val="nil"/>
            </w:tcBorders>
          </w:tcPr>
          <w:p w:rsidR="003E3AC8" w:rsidRPr="00A871D9" w:rsidRDefault="003E3AC8" w:rsidP="005D6A7F">
            <w:pPr>
              <w:rPr>
                <w:rFonts w:cs="Calibri"/>
                <w:sz w:val="16"/>
                <w:szCs w:val="16"/>
              </w:rPr>
            </w:pPr>
          </w:p>
        </w:tc>
        <w:tc>
          <w:tcPr>
            <w:tcW w:w="7943" w:type="dxa"/>
            <w:tcBorders>
              <w:top w:val="nil"/>
              <w:left w:val="nil"/>
              <w:bottom w:val="nil"/>
              <w:right w:val="nil"/>
            </w:tcBorders>
          </w:tcPr>
          <w:p w:rsidR="003E3AC8" w:rsidRDefault="003E3AC8" w:rsidP="005D6A7F">
            <w:pPr>
              <w:rPr>
                <w:rFonts w:cs="Calibri"/>
                <w:sz w:val="20"/>
                <w:szCs w:val="20"/>
              </w:rPr>
            </w:pP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sz w:val="20"/>
                <w:szCs w:val="20"/>
              </w:rPr>
              <w:t>Počet akceptovaných pripomienok, z toho zásadných</w:t>
            </w:r>
          </w:p>
        </w:tc>
        <w:tc>
          <w:tcPr>
            <w:tcW w:w="7943" w:type="dxa"/>
            <w:tcBorders>
              <w:top w:val="nil"/>
              <w:left w:val="nil"/>
              <w:bottom w:val="nil"/>
              <w:right w:val="nil"/>
            </w:tcBorders>
          </w:tcPr>
          <w:p w:rsidR="003E3AC8" w:rsidRPr="00856FFA" w:rsidRDefault="003E3AC8" w:rsidP="005D6A7F">
            <w:pPr>
              <w:rPr>
                <w:rFonts w:cs="Calibri"/>
                <w:sz w:val="20"/>
                <w:szCs w:val="20"/>
              </w:rPr>
            </w:pPr>
            <w:r>
              <w:rPr>
                <w:rFonts w:cs="Calibri"/>
                <w:sz w:val="20"/>
                <w:szCs w:val="20"/>
              </w:rPr>
              <w:t>17/0</w:t>
            </w: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sz w:val="20"/>
                <w:szCs w:val="20"/>
              </w:rPr>
              <w:t>Počet</w:t>
            </w:r>
            <w:r>
              <w:rPr>
                <w:rFonts w:cs="Calibri"/>
                <w:sz w:val="20"/>
                <w:szCs w:val="20"/>
              </w:rPr>
              <w:t xml:space="preserve"> </w:t>
            </w:r>
            <w:r w:rsidRPr="00856FFA">
              <w:rPr>
                <w:rFonts w:cs="Calibri"/>
                <w:sz w:val="20"/>
                <w:szCs w:val="20"/>
              </w:rPr>
              <w:t>čiastočne akceptovaných pripomienok, z toho zásadných</w:t>
            </w:r>
          </w:p>
        </w:tc>
        <w:tc>
          <w:tcPr>
            <w:tcW w:w="7943" w:type="dxa"/>
            <w:tcBorders>
              <w:top w:val="nil"/>
              <w:left w:val="nil"/>
              <w:bottom w:val="nil"/>
              <w:right w:val="nil"/>
            </w:tcBorders>
          </w:tcPr>
          <w:p w:rsidR="003E3AC8" w:rsidRPr="00856FFA" w:rsidRDefault="003E3AC8" w:rsidP="005D6A7F">
            <w:pPr>
              <w:rPr>
                <w:rFonts w:cs="Calibri"/>
                <w:sz w:val="20"/>
                <w:szCs w:val="20"/>
              </w:rPr>
            </w:pPr>
            <w:r>
              <w:rPr>
                <w:rFonts w:cs="Calibri"/>
                <w:sz w:val="20"/>
                <w:szCs w:val="20"/>
              </w:rPr>
              <w:t>4/0</w:t>
            </w: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sz w:val="20"/>
                <w:szCs w:val="20"/>
              </w:rPr>
              <w:t>Počet neakceptovaných pripomienok, z toho zásadných</w:t>
            </w:r>
          </w:p>
        </w:tc>
        <w:tc>
          <w:tcPr>
            <w:tcW w:w="7943" w:type="dxa"/>
            <w:tcBorders>
              <w:top w:val="nil"/>
              <w:left w:val="nil"/>
              <w:bottom w:val="nil"/>
              <w:right w:val="nil"/>
            </w:tcBorders>
          </w:tcPr>
          <w:p w:rsidR="003E3AC8" w:rsidRPr="00856FFA" w:rsidRDefault="003E3AC8" w:rsidP="005D6A7F">
            <w:pPr>
              <w:rPr>
                <w:rFonts w:cs="Calibri"/>
                <w:sz w:val="20"/>
                <w:szCs w:val="20"/>
              </w:rPr>
            </w:pPr>
            <w:r>
              <w:rPr>
                <w:rFonts w:cs="Calibri"/>
                <w:sz w:val="20"/>
                <w:szCs w:val="20"/>
              </w:rPr>
              <w:t>8/0</w:t>
            </w:r>
          </w:p>
        </w:tc>
      </w:tr>
      <w:tr w:rsidR="003E3AC8" w:rsidRPr="00856FFA" w:rsidTr="005D6A7F">
        <w:tc>
          <w:tcPr>
            <w:tcW w:w="6379" w:type="dxa"/>
            <w:tcBorders>
              <w:top w:val="nil"/>
              <w:left w:val="nil"/>
              <w:bottom w:val="nil"/>
              <w:right w:val="nil"/>
            </w:tcBorders>
          </w:tcPr>
          <w:p w:rsidR="003E3AC8" w:rsidRPr="00A871D9" w:rsidRDefault="003E3AC8" w:rsidP="005D6A7F">
            <w:pPr>
              <w:rPr>
                <w:rFonts w:cs="Calibri"/>
                <w:bCs/>
                <w:sz w:val="16"/>
                <w:szCs w:val="16"/>
              </w:rPr>
            </w:pPr>
          </w:p>
        </w:tc>
        <w:tc>
          <w:tcPr>
            <w:tcW w:w="7943" w:type="dxa"/>
            <w:tcBorders>
              <w:top w:val="nil"/>
              <w:left w:val="nil"/>
              <w:bottom w:val="nil"/>
              <w:right w:val="nil"/>
            </w:tcBorders>
          </w:tcPr>
          <w:p w:rsidR="003E3AC8" w:rsidRPr="00856FFA" w:rsidRDefault="003E3AC8" w:rsidP="005D6A7F">
            <w:pPr>
              <w:rPr>
                <w:rFonts w:cs="Calibri"/>
                <w:sz w:val="20"/>
                <w:szCs w:val="20"/>
              </w:rPr>
            </w:pP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sz w:val="20"/>
                <w:szCs w:val="20"/>
              </w:rPr>
            </w:pPr>
            <w:r w:rsidRPr="00856FFA">
              <w:rPr>
                <w:rFonts w:cs="Calibri"/>
                <w:bCs/>
                <w:sz w:val="20"/>
                <w:szCs w:val="20"/>
              </w:rPr>
              <w:t>Rozporové konanie (s kým, kedy, s akým výsledkom)</w:t>
            </w:r>
          </w:p>
        </w:tc>
        <w:tc>
          <w:tcPr>
            <w:tcW w:w="7943" w:type="dxa"/>
            <w:tcBorders>
              <w:top w:val="nil"/>
              <w:left w:val="nil"/>
              <w:bottom w:val="nil"/>
              <w:right w:val="nil"/>
            </w:tcBorders>
          </w:tcPr>
          <w:p w:rsidR="003E3AC8" w:rsidRPr="00856FFA" w:rsidRDefault="003E3AC8" w:rsidP="005D6A7F">
            <w:pPr>
              <w:rPr>
                <w:rFonts w:cs="Calibri"/>
                <w:sz w:val="20"/>
                <w:szCs w:val="20"/>
              </w:rPr>
            </w:pP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bCs/>
                <w:sz w:val="20"/>
                <w:szCs w:val="20"/>
              </w:rPr>
            </w:pPr>
            <w:r w:rsidRPr="00856FFA">
              <w:rPr>
                <w:rFonts w:cs="Calibri"/>
                <w:bCs/>
                <w:sz w:val="20"/>
                <w:szCs w:val="20"/>
              </w:rPr>
              <w:t>Počet odstránených pripomienok</w:t>
            </w:r>
          </w:p>
        </w:tc>
        <w:tc>
          <w:tcPr>
            <w:tcW w:w="7943" w:type="dxa"/>
            <w:tcBorders>
              <w:top w:val="nil"/>
              <w:left w:val="nil"/>
              <w:bottom w:val="nil"/>
              <w:right w:val="nil"/>
            </w:tcBorders>
          </w:tcPr>
          <w:p w:rsidR="003E3AC8" w:rsidRPr="00856FFA" w:rsidRDefault="003E3AC8" w:rsidP="005D6A7F">
            <w:pPr>
              <w:rPr>
                <w:rFonts w:cs="Calibri"/>
                <w:sz w:val="20"/>
                <w:szCs w:val="20"/>
              </w:rPr>
            </w:pPr>
          </w:p>
        </w:tc>
      </w:tr>
      <w:tr w:rsidR="003E3AC8" w:rsidRPr="00856FFA" w:rsidTr="005D6A7F">
        <w:tc>
          <w:tcPr>
            <w:tcW w:w="6379" w:type="dxa"/>
            <w:tcBorders>
              <w:top w:val="nil"/>
              <w:left w:val="nil"/>
              <w:bottom w:val="nil"/>
              <w:right w:val="nil"/>
            </w:tcBorders>
          </w:tcPr>
          <w:p w:rsidR="003E3AC8" w:rsidRPr="00856FFA" w:rsidRDefault="003E3AC8" w:rsidP="005D6A7F">
            <w:pPr>
              <w:rPr>
                <w:rFonts w:cs="Calibri"/>
                <w:bCs/>
                <w:sz w:val="20"/>
                <w:szCs w:val="20"/>
              </w:rPr>
            </w:pPr>
            <w:r w:rsidRPr="00856FFA">
              <w:rPr>
                <w:rFonts w:cs="Calibri"/>
                <w:bCs/>
                <w:sz w:val="20"/>
                <w:szCs w:val="20"/>
              </w:rPr>
              <w:t>Počet neodstránených pripomienok</w:t>
            </w:r>
          </w:p>
        </w:tc>
        <w:tc>
          <w:tcPr>
            <w:tcW w:w="7943" w:type="dxa"/>
            <w:tcBorders>
              <w:top w:val="nil"/>
              <w:left w:val="nil"/>
              <w:bottom w:val="nil"/>
              <w:right w:val="nil"/>
            </w:tcBorders>
          </w:tcPr>
          <w:p w:rsidR="003E3AC8" w:rsidRPr="00856FFA" w:rsidRDefault="003E3AC8" w:rsidP="005D6A7F">
            <w:pPr>
              <w:rPr>
                <w:rFonts w:cs="Calibri"/>
                <w:sz w:val="20"/>
                <w:szCs w:val="20"/>
              </w:rPr>
            </w:pPr>
          </w:p>
        </w:tc>
      </w:tr>
    </w:tbl>
    <w:p w:rsidR="003E3AC8" w:rsidRPr="00A871D9" w:rsidRDefault="003E3AC8" w:rsidP="003E3AC8">
      <w:pPr>
        <w:rPr>
          <w:rFonts w:cs="Calibri"/>
          <w:b/>
          <w:sz w:val="16"/>
          <w:szCs w:val="16"/>
        </w:rPr>
      </w:pPr>
    </w:p>
    <w:p w:rsidR="003E3AC8" w:rsidRPr="00856FFA" w:rsidRDefault="003E3AC8" w:rsidP="003E3AC8">
      <w:pPr>
        <w:rPr>
          <w:rFonts w:cs="Calibri"/>
          <w:sz w:val="20"/>
          <w:szCs w:val="20"/>
        </w:rPr>
      </w:pPr>
      <w:r w:rsidRPr="00856FFA">
        <w:rPr>
          <w:rFonts w:cs="Calibri"/>
          <w:sz w:val="20"/>
          <w:szCs w:val="20"/>
        </w:rPr>
        <w:t>Sumarizácia vznesených pripomienok</w:t>
      </w:r>
      <w:r>
        <w:rPr>
          <w:rFonts w:cs="Calibri"/>
          <w:sz w:val="20"/>
          <w:szCs w:val="20"/>
        </w:rPr>
        <w:t xml:space="preserve"> podľa subjektov</w:t>
      </w: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4"/>
        <w:gridCol w:w="8052"/>
        <w:gridCol w:w="1401"/>
        <w:gridCol w:w="1542"/>
        <w:gridCol w:w="1317"/>
        <w:gridCol w:w="1361"/>
      </w:tblGrid>
      <w:tr w:rsidR="003E3AC8" w:rsidRPr="00856FFA" w:rsidTr="005D6A7F">
        <w:tc>
          <w:tcPr>
            <w:tcW w:w="168" w:type="pct"/>
            <w:vAlign w:val="center"/>
          </w:tcPr>
          <w:p w:rsidR="003E3AC8" w:rsidRPr="00856FFA" w:rsidRDefault="003E3AC8" w:rsidP="005D6A7F">
            <w:pPr>
              <w:jc w:val="center"/>
              <w:rPr>
                <w:rFonts w:cs="Calibri"/>
                <w:b/>
                <w:sz w:val="20"/>
                <w:szCs w:val="20"/>
              </w:rPr>
            </w:pPr>
            <w:r w:rsidRPr="00856FFA">
              <w:rPr>
                <w:rFonts w:cs="Calibri"/>
                <w:b/>
                <w:sz w:val="20"/>
                <w:szCs w:val="20"/>
              </w:rPr>
              <w:t>Č.</w:t>
            </w:r>
          </w:p>
        </w:tc>
        <w:tc>
          <w:tcPr>
            <w:tcW w:w="2846" w:type="pct"/>
            <w:vAlign w:val="center"/>
          </w:tcPr>
          <w:p w:rsidR="003E3AC8" w:rsidRPr="00856FFA" w:rsidRDefault="003E3AC8" w:rsidP="005D6A7F">
            <w:pPr>
              <w:jc w:val="center"/>
              <w:rPr>
                <w:rFonts w:cs="Calibri"/>
                <w:b/>
                <w:sz w:val="20"/>
                <w:szCs w:val="20"/>
              </w:rPr>
            </w:pPr>
            <w:r>
              <w:rPr>
                <w:rFonts w:cs="Calibri"/>
                <w:b/>
                <w:sz w:val="20"/>
                <w:szCs w:val="20"/>
              </w:rPr>
              <w:t>S</w:t>
            </w:r>
            <w:r w:rsidRPr="00856FFA">
              <w:rPr>
                <w:rFonts w:cs="Calibri"/>
                <w:b/>
                <w:sz w:val="20"/>
                <w:szCs w:val="20"/>
              </w:rPr>
              <w:t>ubjekt</w:t>
            </w:r>
          </w:p>
        </w:tc>
        <w:tc>
          <w:tcPr>
            <w:tcW w:w="495" w:type="pct"/>
            <w:vAlign w:val="center"/>
          </w:tcPr>
          <w:p w:rsidR="003E3AC8" w:rsidRPr="00856FFA" w:rsidRDefault="003E3AC8" w:rsidP="005D6A7F">
            <w:pPr>
              <w:jc w:val="center"/>
              <w:rPr>
                <w:rFonts w:cs="Calibri"/>
                <w:b/>
                <w:sz w:val="20"/>
                <w:szCs w:val="20"/>
              </w:rPr>
            </w:pPr>
            <w:r w:rsidRPr="00856FFA">
              <w:rPr>
                <w:rFonts w:cs="Calibri"/>
                <w:b/>
                <w:sz w:val="20"/>
                <w:szCs w:val="20"/>
              </w:rPr>
              <w:t>Pripomienky do termínu</w:t>
            </w:r>
          </w:p>
        </w:tc>
        <w:tc>
          <w:tcPr>
            <w:tcW w:w="545" w:type="pct"/>
            <w:vAlign w:val="center"/>
          </w:tcPr>
          <w:p w:rsidR="003E3AC8" w:rsidRPr="00856FFA" w:rsidRDefault="003E3AC8" w:rsidP="005D6A7F">
            <w:pPr>
              <w:jc w:val="center"/>
              <w:rPr>
                <w:rFonts w:cs="Calibri"/>
                <w:b/>
                <w:sz w:val="20"/>
                <w:szCs w:val="20"/>
              </w:rPr>
            </w:pPr>
            <w:r w:rsidRPr="00856FFA">
              <w:rPr>
                <w:rFonts w:cs="Calibri"/>
                <w:b/>
                <w:sz w:val="20"/>
                <w:szCs w:val="20"/>
              </w:rPr>
              <w:t>Pripomienky po termíne</w:t>
            </w:r>
          </w:p>
        </w:tc>
        <w:tc>
          <w:tcPr>
            <w:tcW w:w="465" w:type="pct"/>
            <w:vAlign w:val="center"/>
          </w:tcPr>
          <w:p w:rsidR="003E3AC8" w:rsidRPr="00856FFA" w:rsidRDefault="003E3AC8" w:rsidP="005D6A7F">
            <w:pPr>
              <w:jc w:val="center"/>
              <w:rPr>
                <w:rFonts w:cs="Calibri"/>
                <w:b/>
                <w:sz w:val="20"/>
                <w:szCs w:val="20"/>
              </w:rPr>
            </w:pPr>
            <w:r w:rsidRPr="00856FFA">
              <w:rPr>
                <w:rFonts w:cs="Calibri"/>
                <w:b/>
                <w:sz w:val="20"/>
                <w:szCs w:val="20"/>
              </w:rPr>
              <w:t>Nemali pripomienky</w:t>
            </w:r>
          </w:p>
        </w:tc>
        <w:tc>
          <w:tcPr>
            <w:tcW w:w="481" w:type="pct"/>
            <w:vAlign w:val="center"/>
          </w:tcPr>
          <w:p w:rsidR="003E3AC8" w:rsidRPr="00856FFA" w:rsidRDefault="003E3AC8" w:rsidP="005D6A7F">
            <w:pPr>
              <w:jc w:val="center"/>
              <w:rPr>
                <w:rFonts w:cs="Calibri"/>
                <w:b/>
                <w:sz w:val="20"/>
                <w:szCs w:val="20"/>
              </w:rPr>
            </w:pPr>
            <w:r w:rsidRPr="00856FFA">
              <w:rPr>
                <w:rFonts w:cs="Calibri"/>
                <w:b/>
                <w:sz w:val="20"/>
                <w:szCs w:val="20"/>
              </w:rPr>
              <w:t>Vôbec nezaslali</w:t>
            </w: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w:t>
            </w:r>
          </w:p>
        </w:tc>
        <w:tc>
          <w:tcPr>
            <w:tcW w:w="2846" w:type="pct"/>
            <w:vAlign w:val="center"/>
          </w:tcPr>
          <w:p w:rsidR="003E3AC8" w:rsidRPr="00862531" w:rsidRDefault="003E3AC8" w:rsidP="005D6A7F">
            <w:pPr>
              <w:rPr>
                <w:rFonts w:cs="Calibri"/>
                <w:sz w:val="20"/>
                <w:szCs w:val="20"/>
              </w:rPr>
            </w:pPr>
            <w:r w:rsidRPr="00862531">
              <w:rPr>
                <w:rFonts w:cs="Calibri"/>
                <w:sz w:val="20"/>
                <w:szCs w:val="20"/>
              </w:rPr>
              <w:t>Úrad pre verejné obstarávanie</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2</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školstva, vedy, výskumu a športu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3</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životného prostredia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4</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pôdohospodárstva a rozvoja vidieka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5</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zdravotníctva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6</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financií Slovenskej republiky</w:t>
            </w:r>
          </w:p>
        </w:tc>
        <w:tc>
          <w:tcPr>
            <w:tcW w:w="495" w:type="pct"/>
            <w:vAlign w:val="center"/>
          </w:tcPr>
          <w:p w:rsidR="003E3AC8" w:rsidRPr="00685203" w:rsidRDefault="003E3AC8" w:rsidP="005D6A7F">
            <w:pPr>
              <w:jc w:val="center"/>
              <w:rPr>
                <w:rFonts w:cs="Calibri"/>
                <w:sz w:val="20"/>
                <w:szCs w:val="20"/>
              </w:rPr>
            </w:pPr>
            <w:r>
              <w:rPr>
                <w:rFonts w:cs="Calibri"/>
                <w:sz w:val="20"/>
                <w:szCs w:val="20"/>
              </w:rPr>
              <w:t>1(1o)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7</w:t>
            </w:r>
          </w:p>
        </w:tc>
        <w:tc>
          <w:tcPr>
            <w:tcW w:w="2846" w:type="pct"/>
            <w:vAlign w:val="center"/>
          </w:tcPr>
          <w:p w:rsidR="003E3AC8" w:rsidRPr="00862531" w:rsidRDefault="003E3AC8" w:rsidP="005D6A7F">
            <w:pPr>
              <w:rPr>
                <w:rFonts w:cs="Calibri"/>
                <w:sz w:val="20"/>
                <w:szCs w:val="20"/>
              </w:rPr>
            </w:pPr>
            <w:r w:rsidRPr="00862531">
              <w:rPr>
                <w:rFonts w:cs="Calibri"/>
                <w:sz w:val="20"/>
                <w:szCs w:val="20"/>
              </w:rPr>
              <w:t>Úrad pre normalizáciu, metrológiu a skúšobníctvo Slovenskej republiky</w:t>
            </w:r>
          </w:p>
        </w:tc>
        <w:tc>
          <w:tcPr>
            <w:tcW w:w="495" w:type="pct"/>
            <w:vAlign w:val="center"/>
          </w:tcPr>
          <w:p w:rsidR="003E3AC8" w:rsidRPr="00685203" w:rsidRDefault="003E3AC8" w:rsidP="005D6A7F">
            <w:pPr>
              <w:jc w:val="center"/>
              <w:rPr>
                <w:rFonts w:cs="Calibri"/>
                <w:sz w:val="20"/>
                <w:szCs w:val="20"/>
              </w:rPr>
            </w:pPr>
            <w:r>
              <w:rPr>
                <w:rFonts w:cs="Calibri"/>
                <w:sz w:val="20"/>
                <w:szCs w:val="20"/>
              </w:rPr>
              <w:t>2(2o)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8</w:t>
            </w:r>
          </w:p>
        </w:tc>
        <w:tc>
          <w:tcPr>
            <w:tcW w:w="2846" w:type="pct"/>
            <w:vAlign w:val="center"/>
          </w:tcPr>
          <w:p w:rsidR="003E3AC8" w:rsidRPr="00862531" w:rsidRDefault="003E3AC8" w:rsidP="005D6A7F">
            <w:pPr>
              <w:rPr>
                <w:rFonts w:cs="Calibri"/>
                <w:sz w:val="20"/>
                <w:szCs w:val="20"/>
              </w:rPr>
            </w:pPr>
            <w:r w:rsidRPr="00862531">
              <w:rPr>
                <w:rFonts w:cs="Calibri"/>
                <w:sz w:val="20"/>
                <w:szCs w:val="20"/>
              </w:rPr>
              <w:t>Úrad vlády Slovenskej republiky</w:t>
            </w:r>
          </w:p>
        </w:tc>
        <w:tc>
          <w:tcPr>
            <w:tcW w:w="495" w:type="pct"/>
            <w:vAlign w:val="center"/>
          </w:tcPr>
          <w:p w:rsidR="003E3AC8" w:rsidRPr="00685203" w:rsidRDefault="003E3AC8" w:rsidP="005D6A7F">
            <w:pPr>
              <w:jc w:val="center"/>
              <w:rPr>
                <w:rFonts w:cs="Calibri"/>
                <w:sz w:val="20"/>
                <w:szCs w:val="20"/>
              </w:rPr>
            </w:pPr>
            <w:r>
              <w:rPr>
                <w:rFonts w:cs="Calibri"/>
                <w:sz w:val="20"/>
                <w:szCs w:val="20"/>
              </w:rPr>
              <w:t>9(9o)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9</w:t>
            </w:r>
          </w:p>
        </w:tc>
        <w:tc>
          <w:tcPr>
            <w:tcW w:w="2846" w:type="pct"/>
            <w:vAlign w:val="center"/>
          </w:tcPr>
          <w:p w:rsidR="003E3AC8" w:rsidRPr="00862531" w:rsidRDefault="003E3AC8" w:rsidP="005D6A7F">
            <w:pPr>
              <w:rPr>
                <w:rFonts w:cs="Calibri"/>
                <w:sz w:val="20"/>
                <w:szCs w:val="20"/>
              </w:rPr>
            </w:pPr>
            <w:r w:rsidRPr="00862531">
              <w:rPr>
                <w:rFonts w:cs="Calibri"/>
                <w:sz w:val="20"/>
                <w:szCs w:val="20"/>
              </w:rPr>
              <w:t>Úrad priemyselného vlastníctva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10</w:t>
            </w:r>
          </w:p>
        </w:tc>
        <w:tc>
          <w:tcPr>
            <w:tcW w:w="2846" w:type="pct"/>
            <w:vAlign w:val="center"/>
          </w:tcPr>
          <w:p w:rsidR="003E3AC8" w:rsidRPr="00862531" w:rsidRDefault="003E3AC8" w:rsidP="005D6A7F">
            <w:pPr>
              <w:rPr>
                <w:rFonts w:cs="Calibri"/>
                <w:sz w:val="20"/>
                <w:szCs w:val="20"/>
              </w:rPr>
            </w:pPr>
            <w:r w:rsidRPr="00862531">
              <w:rPr>
                <w:rFonts w:cs="Calibri"/>
                <w:sz w:val="20"/>
                <w:szCs w:val="20"/>
              </w:rPr>
              <w:t>Správa štátnych hmotných rezerv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11</w:t>
            </w:r>
          </w:p>
        </w:tc>
        <w:tc>
          <w:tcPr>
            <w:tcW w:w="2846" w:type="pct"/>
            <w:vAlign w:val="center"/>
          </w:tcPr>
          <w:p w:rsidR="003E3AC8" w:rsidRPr="00862531" w:rsidRDefault="003E3AC8" w:rsidP="005D6A7F">
            <w:pPr>
              <w:rPr>
                <w:rFonts w:cs="Calibri"/>
                <w:sz w:val="20"/>
                <w:szCs w:val="20"/>
              </w:rPr>
            </w:pPr>
            <w:r w:rsidRPr="00862531">
              <w:rPr>
                <w:rFonts w:cs="Calibri"/>
                <w:sz w:val="20"/>
                <w:szCs w:val="20"/>
              </w:rPr>
              <w:t>Národná banka Slovenska</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12</w:t>
            </w:r>
          </w:p>
        </w:tc>
        <w:tc>
          <w:tcPr>
            <w:tcW w:w="2846" w:type="pct"/>
            <w:vAlign w:val="center"/>
          </w:tcPr>
          <w:p w:rsidR="003E3AC8" w:rsidRPr="00862531" w:rsidRDefault="003E3AC8" w:rsidP="005D6A7F">
            <w:pPr>
              <w:rPr>
                <w:rFonts w:cs="Calibri"/>
                <w:sz w:val="20"/>
                <w:szCs w:val="20"/>
              </w:rPr>
            </w:pPr>
            <w:r w:rsidRPr="00862531">
              <w:rPr>
                <w:rFonts w:cs="Calibri"/>
                <w:sz w:val="20"/>
                <w:szCs w:val="20"/>
              </w:rPr>
              <w:t>Úrad jadrového dozoru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13</w:t>
            </w:r>
          </w:p>
        </w:tc>
        <w:tc>
          <w:tcPr>
            <w:tcW w:w="2846" w:type="pct"/>
            <w:vAlign w:val="center"/>
          </w:tcPr>
          <w:p w:rsidR="003E3AC8" w:rsidRPr="00862531" w:rsidRDefault="003E3AC8" w:rsidP="005D6A7F">
            <w:pPr>
              <w:rPr>
                <w:rFonts w:cs="Calibri"/>
                <w:sz w:val="20"/>
                <w:szCs w:val="20"/>
              </w:rPr>
            </w:pPr>
            <w:r w:rsidRPr="00862531">
              <w:rPr>
                <w:rFonts w:cs="Calibri"/>
                <w:sz w:val="20"/>
                <w:szCs w:val="20"/>
              </w:rPr>
              <w:t>Generálna prokuratúra Slovenskej republiky</w:t>
            </w:r>
          </w:p>
        </w:tc>
        <w:tc>
          <w:tcPr>
            <w:tcW w:w="495" w:type="pct"/>
            <w:vAlign w:val="center"/>
          </w:tcPr>
          <w:p w:rsidR="003E3AC8" w:rsidRPr="00685203" w:rsidRDefault="003E3AC8" w:rsidP="005D6A7F">
            <w:pPr>
              <w:jc w:val="center"/>
              <w:rPr>
                <w:rFonts w:cs="Calibri"/>
                <w:sz w:val="20"/>
                <w:szCs w:val="20"/>
              </w:rPr>
            </w:pPr>
            <w:r>
              <w:rPr>
                <w:rFonts w:cs="Calibri"/>
                <w:sz w:val="20"/>
                <w:szCs w:val="20"/>
              </w:rPr>
              <w:t>2 (2o)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14</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kultúry Slovenskej republiky</w:t>
            </w:r>
          </w:p>
        </w:tc>
        <w:tc>
          <w:tcPr>
            <w:tcW w:w="495" w:type="pct"/>
            <w:vAlign w:val="center"/>
          </w:tcPr>
          <w:p w:rsidR="003E3AC8" w:rsidRPr="00685203" w:rsidRDefault="003E3AC8" w:rsidP="005D6A7F">
            <w:pPr>
              <w:jc w:val="center"/>
              <w:rPr>
                <w:rFonts w:cs="Calibri"/>
                <w:sz w:val="20"/>
                <w:szCs w:val="20"/>
              </w:rPr>
            </w:pPr>
            <w:r>
              <w:rPr>
                <w:rFonts w:cs="Calibri"/>
                <w:sz w:val="20"/>
                <w:szCs w:val="20"/>
              </w:rPr>
              <w:t>2 (2o)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15</w:t>
            </w:r>
          </w:p>
        </w:tc>
        <w:tc>
          <w:tcPr>
            <w:tcW w:w="2846" w:type="pct"/>
            <w:vAlign w:val="center"/>
          </w:tcPr>
          <w:p w:rsidR="003E3AC8" w:rsidRPr="00862531" w:rsidRDefault="003E3AC8" w:rsidP="005D6A7F">
            <w:pPr>
              <w:rPr>
                <w:rFonts w:cs="Calibri"/>
                <w:sz w:val="20"/>
                <w:szCs w:val="20"/>
              </w:rPr>
            </w:pPr>
            <w:r w:rsidRPr="00862531">
              <w:rPr>
                <w:rFonts w:cs="Calibri"/>
                <w:sz w:val="20"/>
                <w:szCs w:val="20"/>
              </w:rPr>
              <w:t>Národný bezpečnostný úrad</w:t>
            </w:r>
          </w:p>
        </w:tc>
        <w:tc>
          <w:tcPr>
            <w:tcW w:w="495" w:type="pct"/>
            <w:vAlign w:val="center"/>
          </w:tcPr>
          <w:p w:rsidR="003E3AC8" w:rsidRPr="00685203" w:rsidRDefault="003E3AC8" w:rsidP="005D6A7F">
            <w:pPr>
              <w:jc w:val="center"/>
              <w:rPr>
                <w:rFonts w:cs="Calibri"/>
                <w:sz w:val="20"/>
                <w:szCs w:val="20"/>
              </w:rPr>
            </w:pPr>
            <w:r>
              <w:rPr>
                <w:rFonts w:cs="Calibri"/>
                <w:sz w:val="20"/>
                <w:szCs w:val="20"/>
              </w:rPr>
              <w:t>13(13o)</w:t>
            </w: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16</w:t>
            </w:r>
          </w:p>
        </w:tc>
        <w:tc>
          <w:tcPr>
            <w:tcW w:w="2846" w:type="pct"/>
            <w:vAlign w:val="center"/>
          </w:tcPr>
          <w:p w:rsidR="003E3AC8" w:rsidRPr="00862531" w:rsidRDefault="003E3AC8" w:rsidP="005D6A7F">
            <w:pPr>
              <w:rPr>
                <w:rFonts w:cs="Calibri"/>
                <w:sz w:val="20"/>
                <w:szCs w:val="20"/>
              </w:rPr>
            </w:pPr>
            <w:r w:rsidRPr="00862531">
              <w:rPr>
                <w:rFonts w:cs="Calibri"/>
                <w:sz w:val="20"/>
                <w:szCs w:val="20"/>
              </w:rPr>
              <w:t>Protimonopolný úrad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856FFA" w:rsidTr="005D6A7F">
        <w:tc>
          <w:tcPr>
            <w:tcW w:w="168" w:type="pct"/>
            <w:vAlign w:val="center"/>
          </w:tcPr>
          <w:p w:rsidR="003E3AC8" w:rsidRPr="00685203" w:rsidRDefault="003E3AC8" w:rsidP="005D6A7F">
            <w:pPr>
              <w:jc w:val="center"/>
              <w:rPr>
                <w:rFonts w:cs="Calibri"/>
                <w:sz w:val="20"/>
                <w:szCs w:val="20"/>
              </w:rPr>
            </w:pPr>
            <w:r>
              <w:rPr>
                <w:rFonts w:cs="Calibri"/>
                <w:sz w:val="20"/>
                <w:szCs w:val="20"/>
              </w:rPr>
              <w:t>17</w:t>
            </w:r>
          </w:p>
        </w:tc>
        <w:tc>
          <w:tcPr>
            <w:tcW w:w="2846" w:type="pct"/>
            <w:vAlign w:val="center"/>
          </w:tcPr>
          <w:p w:rsidR="003E3AC8" w:rsidRPr="00862531" w:rsidRDefault="003E3AC8" w:rsidP="005D6A7F">
            <w:pPr>
              <w:rPr>
                <w:rFonts w:cs="Calibri"/>
                <w:sz w:val="20"/>
                <w:szCs w:val="20"/>
              </w:rPr>
            </w:pPr>
            <w:r w:rsidRPr="00862531">
              <w:rPr>
                <w:rFonts w:cs="Calibri"/>
                <w:sz w:val="20"/>
                <w:szCs w:val="20"/>
              </w:rPr>
              <w:t>Ministerstvo hospodárstva Slovenskej republiky</w:t>
            </w:r>
          </w:p>
        </w:tc>
        <w:tc>
          <w:tcPr>
            <w:tcW w:w="495" w:type="pct"/>
            <w:vAlign w:val="center"/>
          </w:tcPr>
          <w:p w:rsidR="003E3AC8" w:rsidRPr="00685203" w:rsidRDefault="003E3AC8" w:rsidP="005D6A7F">
            <w:pPr>
              <w:jc w:val="center"/>
              <w:rPr>
                <w:rFonts w:cs="Calibri"/>
                <w:sz w:val="20"/>
                <w:szCs w:val="20"/>
              </w:rPr>
            </w:pPr>
          </w:p>
        </w:tc>
        <w:tc>
          <w:tcPr>
            <w:tcW w:w="545" w:type="pct"/>
            <w:vAlign w:val="center"/>
          </w:tcPr>
          <w:p w:rsidR="003E3AC8" w:rsidRPr="00856FFA" w:rsidRDefault="003E3AC8" w:rsidP="005D6A7F">
            <w:pPr>
              <w:jc w:val="center"/>
              <w:rPr>
                <w:rFonts w:cs="Calibri"/>
                <w:sz w:val="20"/>
                <w:szCs w:val="20"/>
              </w:rPr>
            </w:pPr>
          </w:p>
        </w:tc>
        <w:tc>
          <w:tcPr>
            <w:tcW w:w="465" w:type="pct"/>
            <w:vAlign w:val="center"/>
          </w:tcPr>
          <w:p w:rsidR="003E3AC8" w:rsidRPr="00856FFA" w:rsidRDefault="003E3AC8" w:rsidP="005D6A7F">
            <w:pPr>
              <w:jc w:val="center"/>
              <w:rPr>
                <w:rFonts w:cs="Calibri"/>
                <w:sz w:val="20"/>
                <w:szCs w:val="20"/>
              </w:rPr>
            </w:pPr>
            <w:r>
              <w:rPr>
                <w:rFonts w:cs="Calibri"/>
                <w:sz w:val="20"/>
                <w:szCs w:val="20"/>
              </w:rPr>
              <w:t>x</w:t>
            </w:r>
          </w:p>
        </w:tc>
        <w:tc>
          <w:tcPr>
            <w:tcW w:w="481" w:type="pct"/>
            <w:vAlign w:val="center"/>
          </w:tcPr>
          <w:p w:rsidR="003E3AC8" w:rsidRPr="00856FFA" w:rsidRDefault="003E3AC8" w:rsidP="005D6A7F">
            <w:pPr>
              <w:jc w:val="center"/>
              <w:rPr>
                <w:rFonts w:cs="Calibri"/>
                <w:sz w:val="20"/>
                <w:szCs w:val="20"/>
              </w:rPr>
            </w:pPr>
          </w:p>
        </w:tc>
      </w:tr>
      <w:tr w:rsidR="003E3AC8" w:rsidRPr="00074151" w:rsidTr="005D6A7F">
        <w:tc>
          <w:tcPr>
            <w:tcW w:w="168" w:type="pct"/>
            <w:vAlign w:val="center"/>
          </w:tcPr>
          <w:p w:rsidR="003E3AC8" w:rsidRPr="00856FFA" w:rsidRDefault="003E3AC8" w:rsidP="005D6A7F">
            <w:pPr>
              <w:jc w:val="center"/>
              <w:rPr>
                <w:rFonts w:cs="Calibri"/>
                <w:b/>
                <w:sz w:val="20"/>
                <w:szCs w:val="20"/>
              </w:rPr>
            </w:pPr>
          </w:p>
        </w:tc>
        <w:tc>
          <w:tcPr>
            <w:tcW w:w="2846" w:type="pct"/>
            <w:vAlign w:val="center"/>
          </w:tcPr>
          <w:p w:rsidR="003E3AC8" w:rsidRPr="00856FFA" w:rsidRDefault="003E3AC8" w:rsidP="005D6A7F">
            <w:pPr>
              <w:rPr>
                <w:rFonts w:cs="Calibri"/>
                <w:b/>
                <w:bCs/>
                <w:sz w:val="20"/>
                <w:szCs w:val="20"/>
              </w:rPr>
            </w:pPr>
            <w:r w:rsidRPr="00856FFA">
              <w:rPr>
                <w:rFonts w:cs="Calibri"/>
                <w:b/>
                <w:bCs/>
                <w:sz w:val="20"/>
                <w:szCs w:val="20"/>
              </w:rPr>
              <w:t>SPOLU</w:t>
            </w:r>
          </w:p>
        </w:tc>
        <w:tc>
          <w:tcPr>
            <w:tcW w:w="495" w:type="pct"/>
            <w:vAlign w:val="center"/>
          </w:tcPr>
          <w:p w:rsidR="003E3AC8" w:rsidRPr="00074151" w:rsidRDefault="003E3AC8" w:rsidP="005D6A7F">
            <w:pPr>
              <w:jc w:val="center"/>
              <w:rPr>
                <w:rFonts w:cs="Calibri"/>
                <w:b/>
                <w:sz w:val="20"/>
                <w:szCs w:val="20"/>
              </w:rPr>
            </w:pPr>
            <w:r>
              <w:rPr>
                <w:rFonts w:cs="Calibri"/>
                <w:b/>
                <w:sz w:val="20"/>
                <w:szCs w:val="20"/>
              </w:rPr>
              <w:t>6</w:t>
            </w:r>
          </w:p>
        </w:tc>
        <w:tc>
          <w:tcPr>
            <w:tcW w:w="545" w:type="pct"/>
            <w:vAlign w:val="center"/>
          </w:tcPr>
          <w:p w:rsidR="003E3AC8" w:rsidRPr="00074151" w:rsidRDefault="003E3AC8" w:rsidP="005D6A7F">
            <w:pPr>
              <w:jc w:val="center"/>
              <w:rPr>
                <w:rFonts w:cs="Calibri"/>
                <w:b/>
                <w:sz w:val="20"/>
                <w:szCs w:val="20"/>
              </w:rPr>
            </w:pPr>
          </w:p>
        </w:tc>
        <w:tc>
          <w:tcPr>
            <w:tcW w:w="465" w:type="pct"/>
            <w:vAlign w:val="center"/>
          </w:tcPr>
          <w:p w:rsidR="003E3AC8" w:rsidRPr="00074151" w:rsidRDefault="003E3AC8" w:rsidP="005D6A7F">
            <w:pPr>
              <w:jc w:val="center"/>
              <w:rPr>
                <w:rFonts w:cs="Calibri"/>
                <w:b/>
                <w:sz w:val="20"/>
                <w:szCs w:val="20"/>
              </w:rPr>
            </w:pPr>
            <w:r>
              <w:rPr>
                <w:rFonts w:cs="Calibri"/>
                <w:b/>
                <w:sz w:val="20"/>
                <w:szCs w:val="20"/>
              </w:rPr>
              <w:t>11</w:t>
            </w:r>
          </w:p>
        </w:tc>
        <w:tc>
          <w:tcPr>
            <w:tcW w:w="481" w:type="pct"/>
            <w:vAlign w:val="center"/>
          </w:tcPr>
          <w:p w:rsidR="003E3AC8" w:rsidRPr="00074151" w:rsidRDefault="003E3AC8" w:rsidP="005D6A7F">
            <w:pPr>
              <w:jc w:val="center"/>
              <w:rPr>
                <w:rFonts w:cs="Calibri"/>
                <w:b/>
                <w:sz w:val="20"/>
                <w:szCs w:val="20"/>
              </w:rPr>
            </w:pPr>
          </w:p>
        </w:tc>
      </w:tr>
    </w:tbl>
    <w:p w:rsidR="003E3AC8" w:rsidRPr="00532344" w:rsidRDefault="003E3AC8" w:rsidP="003E3AC8">
      <w:pPr>
        <w:pStyle w:val="Zkladntext"/>
        <w:jc w:val="both"/>
        <w:rPr>
          <w:rFonts w:ascii="Times New Roman" w:hAnsi="Times New Roman" w:cs="Times New Roman"/>
          <w:bCs/>
          <w:color w:val="000000"/>
          <w:sz w:val="20"/>
          <w:szCs w:val="20"/>
        </w:rPr>
      </w:pPr>
      <w:r w:rsidRPr="00532344">
        <w:rPr>
          <w:rFonts w:ascii="Times New Roman" w:hAnsi="Times New Roman" w:cs="Times New Roman"/>
          <w:bCs/>
          <w:color w:val="000000"/>
          <w:sz w:val="20"/>
          <w:szCs w:val="20"/>
        </w:rPr>
        <w:lastRenderedPageBreak/>
        <w:t>Vyhodnotenie vecných pripomienok je uvedené v tabuľkovej časti.</w:t>
      </w:r>
    </w:p>
    <w:p w:rsidR="003E3AC8" w:rsidRPr="00532344" w:rsidRDefault="003E3AC8" w:rsidP="003E3AC8">
      <w:pPr>
        <w:pStyle w:val="Zkladntext"/>
        <w:jc w:val="both"/>
        <w:rPr>
          <w:rFonts w:ascii="Times New Roman" w:hAnsi="Times New Roman" w:cs="Times New Roman"/>
          <w:bCs/>
          <w:color w:val="000000"/>
          <w:sz w:val="20"/>
          <w:szCs w:val="20"/>
        </w:rPr>
      </w:pPr>
    </w:p>
    <w:tbl>
      <w:tblPr>
        <w:tblW w:w="0" w:type="auto"/>
        <w:tblLook w:val="0000" w:firstRow="0" w:lastRow="0" w:firstColumn="0" w:lastColumn="0" w:noHBand="0" w:noVBand="0"/>
      </w:tblPr>
      <w:tblGrid>
        <w:gridCol w:w="1809"/>
        <w:gridCol w:w="3119"/>
      </w:tblGrid>
      <w:tr w:rsidR="003E3AC8" w:rsidRPr="00532344" w:rsidTr="005D6A7F">
        <w:tc>
          <w:tcPr>
            <w:tcW w:w="4928" w:type="dxa"/>
            <w:gridSpan w:val="2"/>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Vysvetlivky  k použitým skratkám v tabuľke:</w:t>
            </w:r>
          </w:p>
        </w:tc>
      </w:tr>
      <w:tr w:rsidR="003E3AC8" w:rsidRPr="00532344" w:rsidTr="005D6A7F">
        <w:tc>
          <w:tcPr>
            <w:tcW w:w="180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O – obyčajná</w:t>
            </w:r>
          </w:p>
        </w:tc>
        <w:tc>
          <w:tcPr>
            <w:tcW w:w="311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A – akceptovaná</w:t>
            </w:r>
          </w:p>
        </w:tc>
      </w:tr>
      <w:tr w:rsidR="003E3AC8" w:rsidRPr="00532344" w:rsidTr="005D6A7F">
        <w:tc>
          <w:tcPr>
            <w:tcW w:w="180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Z – zásadná</w:t>
            </w:r>
          </w:p>
        </w:tc>
        <w:tc>
          <w:tcPr>
            <w:tcW w:w="311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N – neakceptovaná</w:t>
            </w:r>
          </w:p>
        </w:tc>
      </w:tr>
      <w:tr w:rsidR="003E3AC8" w:rsidRPr="00532344" w:rsidTr="005D6A7F">
        <w:tc>
          <w:tcPr>
            <w:tcW w:w="180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p>
        </w:tc>
        <w:tc>
          <w:tcPr>
            <w:tcW w:w="3119" w:type="dxa"/>
            <w:tcBorders>
              <w:top w:val="nil"/>
              <w:left w:val="nil"/>
              <w:bottom w:val="nil"/>
              <w:right w:val="nil"/>
            </w:tcBorders>
          </w:tcPr>
          <w:p w:rsidR="003E3AC8" w:rsidRPr="00532344" w:rsidRDefault="003E3AC8" w:rsidP="005D6A7F">
            <w:pPr>
              <w:pStyle w:val="Zkladntext"/>
              <w:jc w:val="both"/>
              <w:rPr>
                <w:rFonts w:ascii="Times New Roman" w:hAnsi="Times New Roman" w:cs="Times New Roman"/>
                <w:color w:val="000000"/>
                <w:sz w:val="20"/>
                <w:szCs w:val="20"/>
              </w:rPr>
            </w:pPr>
            <w:r w:rsidRPr="00532344">
              <w:rPr>
                <w:rFonts w:ascii="Times New Roman" w:hAnsi="Times New Roman" w:cs="Times New Roman"/>
                <w:color w:val="000000"/>
                <w:sz w:val="20"/>
                <w:szCs w:val="20"/>
              </w:rPr>
              <w:t>ČA – čiastočne akceptovaná</w:t>
            </w:r>
          </w:p>
        </w:tc>
      </w:tr>
    </w:tbl>
    <w:p w:rsidR="003E3AC8" w:rsidRDefault="003E3AC8" w:rsidP="003E3AC8">
      <w:pPr>
        <w:rPr>
          <w:rFonts w:cs="Calibri"/>
          <w:sz w:val="20"/>
          <w:szCs w:val="20"/>
        </w:rPr>
      </w:pP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4"/>
        <w:gridCol w:w="6457"/>
        <w:gridCol w:w="702"/>
        <w:gridCol w:w="702"/>
        <w:gridCol w:w="4912"/>
      </w:tblGrid>
      <w:tr w:rsidR="009F2430" w:rsidRPr="00856FFA" w:rsidTr="00C8480C">
        <w:tc>
          <w:tcPr>
            <w:tcW w:w="486" w:type="pct"/>
            <w:vAlign w:val="center"/>
          </w:tcPr>
          <w:p w:rsidR="009F2430" w:rsidRPr="00856FFA" w:rsidRDefault="009F2430" w:rsidP="00C8480C">
            <w:pPr>
              <w:jc w:val="center"/>
              <w:rPr>
                <w:rFonts w:cs="Calibri"/>
                <w:b/>
                <w:sz w:val="20"/>
                <w:szCs w:val="20"/>
              </w:rPr>
            </w:pPr>
            <w:r w:rsidRPr="00856FFA">
              <w:rPr>
                <w:rFonts w:cs="Calibri"/>
                <w:b/>
                <w:sz w:val="20"/>
                <w:szCs w:val="20"/>
              </w:rPr>
              <w:t>Subjekt</w:t>
            </w:r>
          </w:p>
        </w:tc>
        <w:tc>
          <w:tcPr>
            <w:tcW w:w="2282" w:type="pct"/>
            <w:vAlign w:val="center"/>
          </w:tcPr>
          <w:p w:rsidR="009F2430" w:rsidRPr="00856FFA" w:rsidRDefault="009F2430" w:rsidP="00C8480C">
            <w:pPr>
              <w:jc w:val="center"/>
              <w:rPr>
                <w:rFonts w:cs="Calibri"/>
                <w:b/>
                <w:sz w:val="20"/>
                <w:szCs w:val="20"/>
              </w:rPr>
            </w:pPr>
            <w:r w:rsidRPr="00856FFA">
              <w:rPr>
                <w:rFonts w:cs="Calibri"/>
                <w:b/>
                <w:sz w:val="20"/>
                <w:szCs w:val="20"/>
              </w:rPr>
              <w:t>Pripomienka</w:t>
            </w:r>
          </w:p>
        </w:tc>
        <w:tc>
          <w:tcPr>
            <w:tcW w:w="248" w:type="pct"/>
            <w:vAlign w:val="center"/>
          </w:tcPr>
          <w:p w:rsidR="009F2430" w:rsidRPr="00856FFA" w:rsidRDefault="009F2430" w:rsidP="00C8480C">
            <w:pPr>
              <w:jc w:val="center"/>
              <w:rPr>
                <w:rFonts w:cs="Calibri"/>
                <w:b/>
                <w:sz w:val="20"/>
                <w:szCs w:val="20"/>
              </w:rPr>
            </w:pPr>
            <w:r w:rsidRPr="00856FFA">
              <w:rPr>
                <w:rFonts w:cs="Calibri"/>
                <w:b/>
                <w:sz w:val="20"/>
                <w:szCs w:val="20"/>
              </w:rPr>
              <w:t>Typ</w:t>
            </w:r>
          </w:p>
        </w:tc>
        <w:tc>
          <w:tcPr>
            <w:tcW w:w="248" w:type="pct"/>
            <w:vAlign w:val="center"/>
          </w:tcPr>
          <w:p w:rsidR="009F2430" w:rsidRPr="00856FFA" w:rsidRDefault="009F2430" w:rsidP="00C8480C">
            <w:pPr>
              <w:jc w:val="center"/>
              <w:rPr>
                <w:rFonts w:cs="Calibri"/>
                <w:b/>
                <w:sz w:val="20"/>
                <w:szCs w:val="20"/>
              </w:rPr>
            </w:pPr>
            <w:r w:rsidRPr="00856FFA">
              <w:rPr>
                <w:rFonts w:cs="Calibri"/>
                <w:b/>
                <w:sz w:val="20"/>
                <w:szCs w:val="20"/>
              </w:rPr>
              <w:t>Vyh.</w:t>
            </w:r>
          </w:p>
        </w:tc>
        <w:tc>
          <w:tcPr>
            <w:tcW w:w="1736" w:type="pct"/>
            <w:vAlign w:val="center"/>
          </w:tcPr>
          <w:p w:rsidR="009F2430" w:rsidRPr="00856FFA" w:rsidRDefault="009F2430" w:rsidP="00C8480C">
            <w:pPr>
              <w:jc w:val="center"/>
              <w:rPr>
                <w:rFonts w:cs="Calibri"/>
                <w:b/>
                <w:sz w:val="20"/>
                <w:szCs w:val="20"/>
              </w:rPr>
            </w:pPr>
            <w:r w:rsidRPr="00856FFA">
              <w:rPr>
                <w:rFonts w:cs="Calibri"/>
                <w:b/>
                <w:sz w:val="20"/>
                <w:szCs w:val="20"/>
              </w:rPr>
              <w:t>Spôsob vyhodnotenia</w:t>
            </w:r>
          </w:p>
        </w:tc>
      </w:tr>
      <w:tr w:rsidR="009F2430" w:rsidRPr="00856FFA" w:rsidTr="00C8480C">
        <w:tc>
          <w:tcPr>
            <w:tcW w:w="486" w:type="pct"/>
          </w:tcPr>
          <w:p w:rsidR="009F2430" w:rsidRPr="00EA38E6" w:rsidRDefault="009F2430" w:rsidP="00C8480C">
            <w:pPr>
              <w:rPr>
                <w:rFonts w:cs="Calibri"/>
                <w:sz w:val="20"/>
                <w:szCs w:val="20"/>
              </w:rPr>
            </w:pPr>
            <w:r w:rsidRPr="00EA38E6">
              <w:rPr>
                <w:rFonts w:cs="Calibri"/>
                <w:sz w:val="20"/>
                <w:szCs w:val="20"/>
              </w:rPr>
              <w:t>Ministerstvo financií Slovenskej republiky</w:t>
            </w:r>
          </w:p>
        </w:tc>
        <w:tc>
          <w:tcPr>
            <w:tcW w:w="2282" w:type="pct"/>
          </w:tcPr>
          <w:p w:rsidR="009F2430" w:rsidRPr="00EA38E6" w:rsidRDefault="009F2430" w:rsidP="00C8480C">
            <w:pPr>
              <w:rPr>
                <w:rFonts w:cs="Calibri"/>
                <w:sz w:val="20"/>
                <w:szCs w:val="20"/>
              </w:rPr>
            </w:pPr>
            <w:r w:rsidRPr="00EA38E6">
              <w:rPr>
                <w:rFonts w:cs="Calibri"/>
                <w:sz w:val="20"/>
                <w:szCs w:val="20"/>
              </w:rPr>
              <w:t>Beriem na vedomie konštatovanie v doložke vybraných vplyvov, že materiál nemá vplyv na rozpočet verejnej správy.</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materiálu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pre normalizáciu, metrológiu a skúšobníctvo Slovenskej republiky</w:t>
            </w:r>
          </w:p>
        </w:tc>
        <w:tc>
          <w:tcPr>
            <w:tcW w:w="2282" w:type="pct"/>
          </w:tcPr>
          <w:p w:rsidR="009F2430" w:rsidRPr="00856FFA" w:rsidRDefault="009F2430" w:rsidP="00C8480C">
            <w:pPr>
              <w:rPr>
                <w:rFonts w:cs="Calibri"/>
                <w:sz w:val="20"/>
                <w:szCs w:val="20"/>
              </w:rPr>
            </w:pPr>
            <w:r w:rsidRPr="00D17065">
              <w:rPr>
                <w:rFonts w:cs="Calibri"/>
                <w:sz w:val="20"/>
                <w:szCs w:val="20"/>
              </w:rPr>
              <w:t>Odporúčame zosúladenie označovania článkov, buď slovom "článok" alebo skratkou "čl".</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materiálu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pre normalizáciu, metrológiu a skúšobníctvo Slovenskej republiky</w:t>
            </w:r>
          </w:p>
        </w:tc>
        <w:tc>
          <w:tcPr>
            <w:tcW w:w="2282" w:type="pct"/>
          </w:tcPr>
          <w:p w:rsidR="009F2430" w:rsidRPr="00856FFA" w:rsidRDefault="009F2430" w:rsidP="00C8480C">
            <w:pPr>
              <w:rPr>
                <w:rFonts w:cs="Calibri"/>
                <w:sz w:val="20"/>
                <w:szCs w:val="20"/>
              </w:rPr>
            </w:pPr>
            <w:r w:rsidRPr="00D17065">
              <w:rPr>
                <w:rFonts w:cs="Calibri"/>
                <w:sz w:val="20"/>
                <w:szCs w:val="20"/>
              </w:rPr>
              <w:t>Odporúčame z názvu v obale materiálu vypustiť slovo "Návrh" ako nadbytočné.</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Materiál je v legislatívnom procese. Z tohto dôvodu ide iba o návrh materiálu.</w:t>
            </w:r>
          </w:p>
          <w:p w:rsidR="009F2430" w:rsidRPr="000A7050" w:rsidRDefault="009F2430" w:rsidP="00C8480C">
            <w:pPr>
              <w:rPr>
                <w:rFonts w:cs="Calibri"/>
                <w:b/>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D17065">
              <w:rPr>
                <w:rFonts w:cs="Calibri"/>
                <w:sz w:val="20"/>
                <w:szCs w:val="20"/>
              </w:rPr>
              <w:t>K Čl. 1 odseku 1: Upozorňujeme na formuláciu predmetného odseku, z ktorého vyplýva, že výbor Bezpečnostnej rady Slovenskej republiky pre obranné plánovanie pripravuje odporúčania len na základe podnetu BR SR a tým si vylučuje podávanie iniciatívnych materiálov alebo podávanie stanovísk k materiálom na základe podnetu napríklad Ministerstva obrany SR alebo iného orgánu verejnej moci. Z uvedeného navrhujeme vypustiť slová „na základe podnetu Bezpečnostnej rady“.</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rPr>
                <w:rFonts w:cs="Calibri"/>
                <w:sz w:val="20"/>
                <w:szCs w:val="20"/>
              </w:rPr>
            </w:pPr>
            <w:r w:rsidRPr="00160EDA">
              <w:rPr>
                <w:rFonts w:cs="Calibri"/>
                <w:sz w:val="20"/>
                <w:szCs w:val="20"/>
              </w:rPr>
              <w:t>K Čl. 1 odseku 2: Navrhujeme novú formuláciu odseku 2 nasledovne: „(2) Výbor pôsobí a plní úlohy podľa osobitného predpisu1).“. Odôvodnenie: Súčasné znenie pôsobí zmätočne.</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 xml:space="preserve">K Čl. 1 odsekom 4 a 5: Súčasné znenie odsekov 4 a 5 navrhujeme zlúčiť do jedného odseku 4, ktorý znie: „(4) Výbor pri plnení svojich úloh podľa odseku 2 spolupracuje s ostatnými výbormi Bezpečnostnej rady, orgánmi verejnej moci, vedecko-výskumnými pracoviskami, vysokými školami a ďalšími inštitúciami.“. Odôvodnenie: Navrhuje sa lepšia formulácia a súčasne </w:t>
            </w:r>
            <w:r w:rsidRPr="00160EDA">
              <w:rPr>
                <w:rFonts w:cs="Calibri"/>
                <w:sz w:val="20"/>
                <w:szCs w:val="20"/>
              </w:rPr>
              <w:lastRenderedPageBreak/>
              <w:t>sa navrhuje zaviesť širší okruh spolupracujúcich subjektov o všetky orgány verejnej moci a nielen vybrané orgány, čo môže viesť k efektívnejšej spolupráci.</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lastRenderedPageBreak/>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K Čl. 2 odsekom 1 a 2: Upozorňujeme na skutočnosť, že v odseku 1 sa zavádza skratka pre predsedu výboru „predseda“ a pre členov výboru „člen“. V odseku 2 sa zavádza skratka pre podpredsedu výbor „podpredseda“. Uvedené skratky nie sú však jednotne používané v celom rokovacom poriadku a z uvedeného navrhujeme buď zrušiť predmetné skratky alebo opraviť celý text rokovacieho poriadku v súlade so zvolenými skratkami.</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materiálu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K Čl. 2 odseku 3: V uvedenom odseku sa uvádza, že členmi výboru sú zástupcovia ministerstiev a ostatných ústredných orgánov štátnej správy. Je potrebné upozorniť na skutočnosť, že zástupcu vo výbore má aj Národná banka Slovenska, ktorá nie je podľa zákona č. 575/2001 Z. z. ostatným ústredným orgánom štátnej správy. Navrhujeme slová „ministerstiev a ostatných ústredných orgánov štátnej správy“ nahradiť slovami „orgánov“.</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K Čl. 3 odseku 5: V odseku 5 sa z možnosti hlasovania „per rollam“ vylučuje prerokovanie „závažnej alebo zložitej veci“. Uvedená formulácia je na jednej strane nejednoznačná a súčasne môže vylúčiť z hlasovania závažné veci, ku ktorým je potrebné urgentne zaujať stanovisko. Z uvedeného dôvodu nechávame na predkladateľovi vypustenie slov „závažnú alebo“. Súčasne sa uvádza, že navrhnúť hlasovanie „per rollam“ môže „predsedajúci“. Je potrebné upozorniť na skutočnosť, že rokovací poriadok nepozná označenie „predsedajúci“, ale len „predseda“. Na základe vyššie uvedeného navrhujeme slovo „predsedajúci“ nahradiť slovom „predseda“.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ČA</w:t>
            </w:r>
          </w:p>
        </w:tc>
        <w:tc>
          <w:tcPr>
            <w:tcW w:w="1736" w:type="pct"/>
          </w:tcPr>
          <w:p w:rsidR="009F2430" w:rsidRDefault="009F2430" w:rsidP="00C8480C">
            <w:pPr>
              <w:rPr>
                <w:rFonts w:cs="Calibri"/>
                <w:sz w:val="20"/>
                <w:szCs w:val="20"/>
              </w:rPr>
            </w:pPr>
            <w:r>
              <w:rPr>
                <w:rFonts w:cs="Calibri"/>
                <w:sz w:val="20"/>
                <w:szCs w:val="20"/>
              </w:rPr>
              <w:t xml:space="preserve">Primárnym spôsobom hlasovania je hlasovanie v zbore na zasadnutiach výboru. Hlasovanie mimo schôdze formou per rollam bude využívané len v situáciách, kedy nebude potrebná osobná prítomnosť členov výboru na rokovaní. </w:t>
            </w:r>
          </w:p>
          <w:p w:rsidR="009F2430" w:rsidRDefault="009F2430" w:rsidP="00C8480C">
            <w:pPr>
              <w:rPr>
                <w:rFonts w:cs="Calibri"/>
                <w:b/>
                <w:sz w:val="20"/>
                <w:szCs w:val="20"/>
              </w:rPr>
            </w:pPr>
            <w:r w:rsidRPr="000A7050">
              <w:rPr>
                <w:rFonts w:cs="Calibri"/>
                <w:b/>
                <w:sz w:val="20"/>
                <w:szCs w:val="20"/>
              </w:rPr>
              <w:t>Nea</w:t>
            </w:r>
            <w:r>
              <w:rPr>
                <w:rFonts w:cs="Calibri"/>
                <w:b/>
                <w:sz w:val="20"/>
                <w:szCs w:val="20"/>
              </w:rPr>
              <w:t>kc</w:t>
            </w:r>
            <w:r w:rsidRPr="000A7050">
              <w:rPr>
                <w:rFonts w:cs="Calibri"/>
                <w:b/>
                <w:sz w:val="20"/>
                <w:szCs w:val="20"/>
              </w:rPr>
              <w:t>eptované</w:t>
            </w:r>
          </w:p>
          <w:p w:rsidR="009F2430" w:rsidRDefault="009F2430" w:rsidP="00C8480C">
            <w:pPr>
              <w:rPr>
                <w:rFonts w:cs="Calibri"/>
                <w:b/>
                <w:sz w:val="20"/>
                <w:szCs w:val="20"/>
              </w:rPr>
            </w:pPr>
          </w:p>
          <w:p w:rsidR="009F2430" w:rsidRDefault="009F2430" w:rsidP="00C8480C">
            <w:pPr>
              <w:rPr>
                <w:rFonts w:cs="Calibri"/>
                <w:b/>
                <w:sz w:val="20"/>
                <w:szCs w:val="20"/>
              </w:rPr>
            </w:pPr>
          </w:p>
          <w:p w:rsidR="009F2430" w:rsidRPr="00A14703" w:rsidRDefault="009F2430" w:rsidP="00C8480C">
            <w:pPr>
              <w:rPr>
                <w:rFonts w:cs="Calibri"/>
                <w:sz w:val="20"/>
                <w:szCs w:val="20"/>
              </w:rPr>
            </w:pPr>
            <w:r w:rsidRPr="00A14703">
              <w:rPr>
                <w:rFonts w:cs="Calibri"/>
                <w:sz w:val="20"/>
                <w:szCs w:val="20"/>
              </w:rPr>
              <w:t>O</w:t>
            </w:r>
            <w:r>
              <w:rPr>
                <w:rFonts w:cs="Calibri"/>
                <w:sz w:val="20"/>
                <w:szCs w:val="20"/>
              </w:rPr>
              <w:t>značenie „</w:t>
            </w:r>
            <w:r w:rsidRPr="00160EDA">
              <w:rPr>
                <w:rFonts w:cs="Calibri"/>
                <w:sz w:val="20"/>
                <w:szCs w:val="20"/>
              </w:rPr>
              <w:t>predsedajúci“ nahrad</w:t>
            </w:r>
            <w:r>
              <w:rPr>
                <w:rFonts w:cs="Calibri"/>
                <w:sz w:val="20"/>
                <w:szCs w:val="20"/>
              </w:rPr>
              <w:t>ené</w:t>
            </w:r>
            <w:r w:rsidRPr="00160EDA">
              <w:rPr>
                <w:rFonts w:cs="Calibri"/>
                <w:sz w:val="20"/>
                <w:szCs w:val="20"/>
              </w:rPr>
              <w:t xml:space="preserve"> slovom „predseda“</w:t>
            </w:r>
            <w:r w:rsidRPr="009C3D9D">
              <w:rPr>
                <w:rFonts w:cs="Calibri"/>
                <w:b/>
                <w:sz w:val="20"/>
                <w:szCs w:val="20"/>
              </w:rPr>
              <w:t xml:space="preserve"> Akceptované</w:t>
            </w:r>
            <w:r>
              <w:rPr>
                <w:rFonts w:cs="Calibri"/>
                <w:b/>
                <w:sz w:val="20"/>
                <w:szCs w:val="20"/>
              </w:rPr>
              <w:t>.</w:t>
            </w: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tabs>
                <w:tab w:val="left" w:pos="4335"/>
              </w:tabs>
              <w:jc w:val="both"/>
              <w:rPr>
                <w:rFonts w:cs="Calibri"/>
                <w:sz w:val="20"/>
                <w:szCs w:val="20"/>
              </w:rPr>
            </w:pPr>
            <w:r w:rsidRPr="00160EDA">
              <w:rPr>
                <w:rFonts w:cs="Calibri"/>
                <w:sz w:val="20"/>
                <w:szCs w:val="20"/>
              </w:rPr>
              <w:t>K Čl. 4 odseku 1: Navrhujeme slová „plánu rokovaní výboru“ nahradiť slovami „plánu práce výboru“. Odôvodnenie: V zmysle čl. 3 ods. 1 sa výbor riadi plánom práce a nie plánom rokovaní. Uvedenou zmenou dôjde k zjednoteniu názvoslovia.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K Čl. 4 odseku 4: Navrhujeme slová „sprievodným listom“ nahradiť slovami „spolu so sprievodným listom“. Odôvodnenie: Legislatívno-technická úprava.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Úrad vlády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 xml:space="preserve">K Čl. 9: Odporúčame hneď v úvode určiť minimálny rozsah bezpečnostnej previerky pre členov výboru, keďže zo súčasného znenia nie je zrejmé, o ktorý stupeň ide a aby mali všetci členovia uvedené previerky už pri vymenovaní za členov výboru alebo by mali povinnosť si o dané previerky požiadať. Pokiaľ by nebol vopred uvedený rozsah previerky a tá by sa preukazovala až pred rokovaním výboru tajomníkovi výboru v zmysle čl. 9, mohla by v praxi nastať kolízia s čl. 8 ods. 2, kde sa uvádza, že sa utajovaný materiál členom výboru zasiela spravidla 10 pracovných dní pred rokovaním </w:t>
            </w:r>
            <w:r w:rsidRPr="00160EDA">
              <w:rPr>
                <w:rFonts w:cs="Calibri"/>
                <w:sz w:val="20"/>
                <w:szCs w:val="20"/>
              </w:rPr>
              <w:lastRenderedPageBreak/>
              <w:t>výboru, kde však už nie je zavedený systém preukazovania bezpečnostných previerok.</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lastRenderedPageBreak/>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Dopredu nie je možné určiť minimálny rozsah previerky nakoľko v praxi výbor nemá vplyv na túto skutočnosť. Stupeň utajenia prerokúvaného materiálu podľa § 3 zákona č. 215/2004 Z.z. určuje predkladateľ materiálu. Nutnosť vlastniť konkrétny stupeň previerky pri rokovaní výboru je spresnený v čl.8 rokovacieho poriadku. Za manipuláciu s utajovanými skutočnosťami mimo rokovania výboru samotný výbor nezodpovedá.</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lastRenderedPageBreak/>
              <w:t>Generálna prokuratúra Slovenskej republiky</w:t>
            </w:r>
          </w:p>
        </w:tc>
        <w:tc>
          <w:tcPr>
            <w:tcW w:w="2282" w:type="pct"/>
          </w:tcPr>
          <w:p w:rsidR="009F2430" w:rsidRPr="00856FFA" w:rsidRDefault="009F2430" w:rsidP="00C8480C">
            <w:pPr>
              <w:jc w:val="both"/>
              <w:rPr>
                <w:rFonts w:cs="Calibri"/>
                <w:sz w:val="20"/>
                <w:szCs w:val="20"/>
              </w:rPr>
            </w:pPr>
            <w:r w:rsidRPr="00160EDA">
              <w:rPr>
                <w:rFonts w:cs="Calibri"/>
                <w:sz w:val="20"/>
                <w:szCs w:val="20"/>
              </w:rPr>
              <w:t>Odporúčame uviesť úvodný text pod názvom materiálu do článku 1 s označením „Predmet úpravy“ a nasledujúce články prečíslovať.</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Zmienená časť rokovacieho poriadku obsahuje rozsah, účel a zdroje na vypracovanie samotného materiálu a je použitá ako úvodná veta v zmysle č.6, ods.1 legislatívnych pravidiel tvorby zákonov NR SR.</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Generálna prokuratúra Slovenskej republiky</w:t>
            </w:r>
          </w:p>
        </w:tc>
        <w:tc>
          <w:tcPr>
            <w:tcW w:w="2282" w:type="pct"/>
          </w:tcPr>
          <w:p w:rsidR="009F2430" w:rsidRPr="00856FFA" w:rsidRDefault="009F2430" w:rsidP="00C8480C">
            <w:pPr>
              <w:jc w:val="both"/>
              <w:rPr>
                <w:rFonts w:cs="Calibri"/>
                <w:sz w:val="20"/>
                <w:szCs w:val="20"/>
              </w:rPr>
            </w:pPr>
            <w:r w:rsidRPr="006F61D1">
              <w:rPr>
                <w:rFonts w:cs="Calibri"/>
                <w:sz w:val="20"/>
                <w:szCs w:val="20"/>
              </w:rPr>
              <w:t>Odporúčame v čl. 3 uviesť možnosť prizvať na zasadanie výboru aj inú osobu, než je uvedené v čl. 3 ods. 3. Táto možnosť vyplýva z čl. 4 ods. 4 a čl. 9 návrhu, ale v prípade ponechania iba dikcie čl. 3 ods. 3 by bola ich účasť vylúčená.</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prepracovaný v zmysle navrhovanej pripomienky.</w:t>
            </w:r>
          </w:p>
          <w:p w:rsidR="009F2430" w:rsidRPr="00856FFA" w:rsidRDefault="009F2430" w:rsidP="00C8480C">
            <w:pPr>
              <w:rPr>
                <w:rFonts w:cs="Calibri"/>
                <w:sz w:val="20"/>
                <w:szCs w:val="20"/>
              </w:rPr>
            </w:pPr>
          </w:p>
        </w:tc>
      </w:tr>
      <w:tr w:rsidR="009F2430" w:rsidRPr="00856FFA" w:rsidTr="00C8480C">
        <w:tc>
          <w:tcPr>
            <w:tcW w:w="486" w:type="pct"/>
          </w:tcPr>
          <w:p w:rsidR="009F2430" w:rsidRPr="006F61D1" w:rsidRDefault="009F2430" w:rsidP="00C8480C">
            <w:pPr>
              <w:rPr>
                <w:rFonts w:cs="Calibri"/>
                <w:sz w:val="20"/>
                <w:szCs w:val="20"/>
              </w:rPr>
            </w:pPr>
            <w:r w:rsidRPr="006F61D1">
              <w:rPr>
                <w:rFonts w:cs="Calibri"/>
                <w:sz w:val="20"/>
                <w:szCs w:val="20"/>
              </w:rPr>
              <w:t>Ministerstvo kultúry Slovenskej republiky</w:t>
            </w:r>
          </w:p>
        </w:tc>
        <w:tc>
          <w:tcPr>
            <w:tcW w:w="2282" w:type="pct"/>
          </w:tcPr>
          <w:p w:rsidR="009F2430" w:rsidRPr="00856FFA" w:rsidRDefault="009F2430" w:rsidP="00C8480C">
            <w:pPr>
              <w:jc w:val="both"/>
              <w:rPr>
                <w:rFonts w:cs="Calibri"/>
                <w:sz w:val="20"/>
                <w:szCs w:val="20"/>
              </w:rPr>
            </w:pPr>
            <w:r w:rsidRPr="006F61D1">
              <w:rPr>
                <w:rFonts w:cs="Calibri"/>
                <w:sz w:val="20"/>
                <w:szCs w:val="20"/>
              </w:rPr>
              <w:t>V článku 1 odseku 1 odporúčame slovo "a" nahradiť slovom "ktorý Bezpečnostnej rade ". Odôvodnenie: Legislatívno-technická pripomienka.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prepracovaný v zmysle navrhovanej pripomienky.</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6F61D1">
              <w:rPr>
                <w:rFonts w:cs="Calibri"/>
                <w:sz w:val="20"/>
                <w:szCs w:val="20"/>
              </w:rPr>
              <w:t>Ministerstvo kultúry Slovenskej republiky</w:t>
            </w:r>
          </w:p>
        </w:tc>
        <w:tc>
          <w:tcPr>
            <w:tcW w:w="2282" w:type="pct"/>
          </w:tcPr>
          <w:p w:rsidR="009F2430" w:rsidRPr="00856FFA" w:rsidRDefault="009F2430" w:rsidP="00C8480C">
            <w:pPr>
              <w:jc w:val="both"/>
              <w:rPr>
                <w:rFonts w:cs="Calibri"/>
                <w:sz w:val="20"/>
                <w:szCs w:val="20"/>
              </w:rPr>
            </w:pPr>
            <w:r w:rsidRPr="006F61D1">
              <w:rPr>
                <w:rFonts w:cs="Calibri"/>
                <w:sz w:val="20"/>
                <w:szCs w:val="20"/>
              </w:rPr>
              <w:t>K článku 3 ods.5 Slovo "predsedajúci" odporúčame nahradiť slovom "predseda". Zároveň odporúčame precizovať ustanovenie, koľko hlasov hlasujúcich formou "per-rollam" je potrebných na to, aby bolo takéto hlasovanie rovnocenné s hlasovaním podľa odseku 4. Odôvodnenie: Legislatívno-technická úprava.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ČA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F015EC" w:rsidRDefault="009F2430" w:rsidP="00C8480C">
            <w:pPr>
              <w:rPr>
                <w:rFonts w:cs="Calibri"/>
                <w:sz w:val="20"/>
                <w:szCs w:val="20"/>
              </w:rPr>
            </w:pPr>
            <w:r w:rsidRPr="009C3D9D">
              <w:rPr>
                <w:rFonts w:cs="Calibri"/>
                <w:b/>
                <w:sz w:val="20"/>
                <w:szCs w:val="20"/>
              </w:rPr>
              <w:t>Akceptované</w:t>
            </w:r>
          </w:p>
          <w:p w:rsidR="009F2430" w:rsidRDefault="009F2430" w:rsidP="00C8480C">
            <w:pPr>
              <w:rPr>
                <w:rFonts w:cs="Calibri"/>
                <w:sz w:val="20"/>
                <w:szCs w:val="20"/>
              </w:rPr>
            </w:pPr>
          </w:p>
          <w:p w:rsidR="009F2430" w:rsidRDefault="009F2430" w:rsidP="00C8480C">
            <w:pPr>
              <w:rPr>
                <w:rFonts w:cs="Calibri"/>
                <w:sz w:val="20"/>
                <w:szCs w:val="20"/>
              </w:rPr>
            </w:pPr>
            <w:r>
              <w:rPr>
                <w:rFonts w:cs="Calibri"/>
                <w:sz w:val="20"/>
                <w:szCs w:val="20"/>
              </w:rPr>
              <w:t>Uvedená pripomienka je zapracovaná v texte odseku.</w:t>
            </w:r>
          </w:p>
          <w:p w:rsidR="009F2430" w:rsidRPr="008F7E7D" w:rsidRDefault="009F2430" w:rsidP="00C8480C">
            <w:pPr>
              <w:rPr>
                <w:rFonts w:cs="Calibri"/>
                <w:b/>
                <w:sz w:val="20"/>
                <w:szCs w:val="20"/>
              </w:rPr>
            </w:pPr>
            <w:r w:rsidRPr="008F7E7D">
              <w:rPr>
                <w:rFonts w:cs="Calibri"/>
                <w:b/>
                <w:sz w:val="20"/>
                <w:szCs w:val="20"/>
              </w:rPr>
              <w:t>Neakceptované</w:t>
            </w: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Uvádzaciu vetu rokovacieho poriadku odporúčame označiť ako článok 1 s nadpisom napr. „Predmet úpravy“ a ostatné články primerane prečíslovať, pričom text čl. 1 by znel: „Tento Rokovací poriadok upravuje spôsob rokovania výboru Bezpečnostnej rady Slovenskej republiky pre obranné plánovanie (ďalej len „výbor“) a spôsob predkladania materiálov na rokovanie výboru.“. Odôvodnenie: Ide o legislatívno-technickú úpravu a zároveň sa z dôvodu nadbytočnosti resp. duplicity vypúšťajú tie časti textu, ktorých úprava je priamo v zákone č. 110/2004 Z. z. o fungovaní Bezpečnostnej rady Slovenskej republiky v čase mieru v znení neskorších predpisov.</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Zmienená časť rokovacieho poriadku obsahuje rozsah, účel a zdroje na vypracovanie samotného materiálu a je použitá ako úvodná veta v zmysle č.6, ods.1 legislatívnych pravidiel tvorby zákonov NR SR.</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Pr>
                <w:rFonts w:cs="Calibri"/>
                <w:sz w:val="20"/>
                <w:szCs w:val="20"/>
              </w:rPr>
              <w:t xml:space="preserve">K článku </w:t>
            </w:r>
            <w:r w:rsidRPr="004D70F0">
              <w:rPr>
                <w:rFonts w:cs="Calibri"/>
                <w:sz w:val="20"/>
                <w:szCs w:val="20"/>
              </w:rPr>
              <w:t xml:space="preserve">1, 2, 5 a 6 </w:t>
            </w:r>
            <w:r w:rsidRPr="006F61D1">
              <w:rPr>
                <w:rFonts w:cs="Calibri"/>
                <w:sz w:val="20"/>
                <w:szCs w:val="20"/>
              </w:rPr>
              <w:t>Odporúčame vypustiť články 1, 2, 5 a 6. Odôvodnenie: Z dôvodu nadbytočnosti resp. duplicity sa navrhuje vypustiť tie časti textu, ktorých úprava je priamo v zákone č. 110/2004 Z. z.</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Rokovací poriadok by mal byť komplexný materiál, použiteľný pre činnosť výboru</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V pôvodnom čl. 3 odporúčame vypustiť odseky 1, 2, 4 a 6. Odôvodnenie: Z dôvodu nadbytočnosti (ods. 6) a duplicity (ods. 1, 2 a 4) sa vypúšťajú tie časti textu, ktorých úprava je priamo v zákone č. 110/2004 Z. z.</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Rokovací poriadok by mal byť komplexný materiál, použiteľný pre činnosť výboru</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V pôvodnom čl. 3 ods. 4 odporúčame doplniť „zástupcov predkladateľa“. Odôvodnenie: Máme za to, že na rokovaniach výboru je účasť zástupcov predkladateľa žiaduca.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doplnený v zmysle navrhovanej pripomienky.</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lastRenderedPageBreak/>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Odporúčame, aby pôvodný čl. 3 ods. 5 znel: „(5) Ak nejde o osobitne závažnú alebo zložitú vec, môže predsedajúci požiadať členov, aby o návrhu na rozhodnutie výboru rozhodli aj mimo jej schôdze, a to formou per rollam. Hlasovanie sa uskutočňuje elektronickou formou zaslaním písomného stanoviska člena výboru. Ak niektorý z členov výboru uplatní k návrhom zásadné pripomienky alebo s nimi nesúhlasí, o návrhoch sa musí rozhodnúť na riadnom rokovaní výboru.“. Odôvodnenie: Legislatívno-technická úprava.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odseku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Odporúčame, aby pôvodný čl. 3 ods. 7 znel: „(7) Zo zasadnutia výboru alebo o hlasovaní „per rollam“ sa vypracuje záznam, ktorý schvaľuje predseda. Záznam sa doručuje spravidla elektronickou poštou všetkým členom výboru.“. Odôvodnenie: Legislatívno-technická úprava nadväzujúca na úpravu čl. 3 ods. 5.</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Z hlasovania formou per rollam sa nevyhotovuje záznam, nakoľko nejde o rokovanie výboru, ale iba o formu hlasovania, z ktorého výsledku sa vyhotovuje stanovisko</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V pôvodnom čl. 4 ods. 3 odporúčame z dôvodu nadbytočnosti vypustiť druhú vetu. Odôvodnenie: Navrhujeme zmenu textu z dôvodu rozvoja informatizácie a elektronických služieb verejnej správy a zrýchlenia komunikácie predkladateľov s výborom a tajomníka výboru s členmi výboru. Preto máme za to, že postačuje jeden výtlačok vo fyzickej podobe s podpisom predkladateľa.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ČA</w:t>
            </w:r>
          </w:p>
        </w:tc>
        <w:tc>
          <w:tcPr>
            <w:tcW w:w="1736" w:type="pct"/>
          </w:tcPr>
          <w:p w:rsidR="009F2430" w:rsidRDefault="009F2430" w:rsidP="00C8480C">
            <w:pPr>
              <w:rPr>
                <w:rFonts w:cs="Calibri"/>
                <w:sz w:val="20"/>
                <w:szCs w:val="20"/>
              </w:rPr>
            </w:pPr>
            <w:r>
              <w:rPr>
                <w:rFonts w:cs="Calibri"/>
                <w:sz w:val="20"/>
                <w:szCs w:val="20"/>
              </w:rPr>
              <w:t>Uvedená veta odseku pojednáva o participácii viacerých predkladateľov na jednom záverečnom materiáli a nevylučuje ich vzájomnú komunikáciu elektronickým spôsobom.</w:t>
            </w:r>
          </w:p>
          <w:p w:rsidR="009F2430" w:rsidRDefault="009F2430" w:rsidP="00C8480C">
            <w:pPr>
              <w:rPr>
                <w:rFonts w:cs="Calibri"/>
                <w:b/>
                <w:sz w:val="20"/>
                <w:szCs w:val="20"/>
              </w:rPr>
            </w:pPr>
            <w:r w:rsidRPr="0078207D">
              <w:rPr>
                <w:rFonts w:cs="Calibri"/>
                <w:b/>
                <w:sz w:val="20"/>
                <w:szCs w:val="20"/>
              </w:rPr>
              <w:t>Neakceptované</w:t>
            </w:r>
          </w:p>
          <w:p w:rsidR="009F2430" w:rsidRPr="0078207D" w:rsidRDefault="009F2430" w:rsidP="00C8480C">
            <w:pPr>
              <w:rPr>
                <w:rFonts w:cs="Calibri"/>
                <w:b/>
                <w:sz w:val="20"/>
                <w:szCs w:val="20"/>
              </w:rPr>
            </w:pPr>
          </w:p>
          <w:p w:rsidR="009F2430" w:rsidRDefault="009F2430" w:rsidP="00C8480C">
            <w:pPr>
              <w:rPr>
                <w:rFonts w:cs="Calibri"/>
                <w:sz w:val="20"/>
                <w:szCs w:val="20"/>
              </w:rPr>
            </w:pPr>
            <w:r>
              <w:rPr>
                <w:rFonts w:cs="Calibri"/>
                <w:sz w:val="20"/>
                <w:szCs w:val="20"/>
              </w:rPr>
              <w:t>Implementovanie myšlienky o zaslaní iba jedného výtlačku vo fyzickej podobe bolo realizované v ods. 4 predmetného článku</w:t>
            </w:r>
          </w:p>
          <w:p w:rsidR="009F2430" w:rsidRPr="00856FFA" w:rsidRDefault="009F2430" w:rsidP="00C8480C">
            <w:pPr>
              <w:rPr>
                <w:rFonts w:cs="Calibri"/>
                <w:sz w:val="20"/>
                <w:szCs w:val="20"/>
              </w:rPr>
            </w:pPr>
            <w:r w:rsidRPr="009C3D9D">
              <w:rPr>
                <w:rFonts w:cs="Calibri"/>
                <w:b/>
                <w:sz w:val="20"/>
                <w:szCs w:val="20"/>
              </w:rPr>
              <w:t>Akceptované</w:t>
            </w: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 xml:space="preserve">V pôvodnom čl. 4 ods. 4 znie: „(4) Materiál na rokovanie výboru zasiela predkladateľ sprievodným listom adresovaným predsedovi výboru spravidla 10 pracovných dní pred zasadaním výboru. </w:t>
            </w:r>
            <w:r w:rsidRPr="0078207D">
              <w:rPr>
                <w:rFonts w:cs="Calibri"/>
                <w:sz w:val="20"/>
                <w:szCs w:val="20"/>
              </w:rPr>
              <w:t>Elektronická verzia materiálu, ak ju nie je možné zaslať prostredníctvom portálu Slov-Lex, sa zasiela na adresu xxxxxx@xxxx.sk. Ak ide o iniciatívny materiál, predkladateľ</w:t>
            </w:r>
            <w:r w:rsidRPr="006F61D1">
              <w:rPr>
                <w:rFonts w:cs="Calibri"/>
                <w:sz w:val="20"/>
                <w:szCs w:val="20"/>
              </w:rPr>
              <w:t xml:space="preserve"> požiada predsedu o jeho zaradenie na rokovanie výboru s prípadným návrhom na prizvanie ďalších odborníkov na jeho prerokovanie.“. Odôvodnenie: Navrhujeme zmenu textu z dôvodu rozvoja informatizácie a elektronických služieb verejnej správy a zrýchlenia komunikácie predkladateľov s výborom a tajomníka výboru s členmi výboru. Preto máme za to, že postačuje jeden výtlačok vo fyzickej podobe s podpisom predkladateľa.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Uvedený odsek bol upravený v zmysle pripomienky</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V pôvodnom čl. 4 ods. 5 sa za slovo „spravidla“ vkladajú slová „elektronickou poštou“. Odôvodnenie: Navrhujeme zmenu textu z dôvodu rozvoja informatizácie a elektronických služieb verejnej správy a zrýchlenia komunikácie predkladateľov s výborom a tajomníka výboru s členmi výboru. Preto máme za to, že postačuje jeden výtlačok vo fyzickej podobe s podpisom predkladateľa.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Uvedený odsek bol upravený v zmysle pripomienky</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lastRenderedPageBreak/>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V pôvodnom čl. 4 ods. 6 odporúčame zvážiť, či nie je vhodné presnejšie špecifikovať, ktoré ustanovenia „metodického pokynu“ sa majú aplikovať. Máme za to, že má ísť najmä o ustanovenia upravujúce jednotlivé časti predkladaného materiálu, ich obsah a „vizuál“. Odôvodnenie: Legislatívno-technická pripomienka.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N</w:t>
            </w:r>
          </w:p>
        </w:tc>
        <w:tc>
          <w:tcPr>
            <w:tcW w:w="1736" w:type="pct"/>
          </w:tcPr>
          <w:p w:rsidR="009F2430" w:rsidRDefault="009F2430" w:rsidP="00C8480C">
            <w:pPr>
              <w:rPr>
                <w:rFonts w:cs="Calibri"/>
                <w:sz w:val="20"/>
                <w:szCs w:val="20"/>
              </w:rPr>
            </w:pPr>
            <w:r>
              <w:rPr>
                <w:rFonts w:cs="Calibri"/>
                <w:sz w:val="20"/>
                <w:szCs w:val="20"/>
              </w:rPr>
              <w:t xml:space="preserve">Viazanie sa ku konkrétnym ustanoveniam metodického pokynu môže viesť k situácii, kedy každá zmena v jeho ustanoveniach môže vyvolať nutnosť vykonania zmien v pripomienkovanom dokumente. Nakoľko ide o materiál ktorý je v zmysle čl.8 ods.8 </w:t>
            </w:r>
            <w:r w:rsidRPr="00EB4F18">
              <w:rPr>
                <w:rFonts w:cs="Calibri"/>
                <w:sz w:val="20"/>
                <w:szCs w:val="20"/>
              </w:rPr>
              <w:t>ústavného zákona č. 227/2002 Z. z. o bezpečnosti štátu v čase vojny, vojnového stavu, výnimočného stavu a núdzového stavu v znení neskorších predpisov</w:t>
            </w:r>
            <w:r>
              <w:rPr>
                <w:rFonts w:cs="Calibri"/>
                <w:sz w:val="20"/>
                <w:szCs w:val="20"/>
              </w:rPr>
              <w:t xml:space="preserve"> schvaľovaný vládou SR ide o materiál, ktorý by musel pri každej takejto zmene prejsť celým legislatívnym procesom.</w:t>
            </w:r>
          </w:p>
          <w:p w:rsidR="009F2430" w:rsidRPr="00814160" w:rsidRDefault="009F2430" w:rsidP="00C8480C">
            <w:pPr>
              <w:rPr>
                <w:rFonts w:cs="Calibri"/>
                <w:b/>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Pôvodný článok 7 „Sekretariát výboru“ odporúčame zaradiť za článok x „Zasadanie výboru“. Odôvodnenie: Legislatívno-technická pripomienka.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ČA</w:t>
            </w:r>
          </w:p>
        </w:tc>
        <w:tc>
          <w:tcPr>
            <w:tcW w:w="1736" w:type="pct"/>
          </w:tcPr>
          <w:p w:rsidR="009F2430" w:rsidRPr="00EA1C2B" w:rsidRDefault="009F2430" w:rsidP="00C8480C">
            <w:pPr>
              <w:rPr>
                <w:rFonts w:cs="Calibri"/>
                <w:sz w:val="20"/>
                <w:szCs w:val="20"/>
              </w:rPr>
            </w:pPr>
            <w:r>
              <w:rPr>
                <w:rFonts w:cs="Calibri"/>
                <w:sz w:val="20"/>
                <w:szCs w:val="20"/>
              </w:rPr>
              <w:t>Článok 7 bol zaradený za článok 5, kde svojim poradím lepšie vyjadruje dôležitosť svojho postavenia pri zabezpečení činností výboru</w:t>
            </w: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tabs>
                <w:tab w:val="left" w:pos="4365"/>
              </w:tabs>
              <w:jc w:val="both"/>
              <w:rPr>
                <w:rFonts w:cs="Calibri"/>
                <w:sz w:val="20"/>
                <w:szCs w:val="20"/>
              </w:rPr>
            </w:pPr>
            <w:r w:rsidRPr="006F61D1">
              <w:rPr>
                <w:rFonts w:cs="Calibri"/>
                <w:sz w:val="20"/>
                <w:szCs w:val="20"/>
              </w:rPr>
              <w:t>Pôvodný čl. 8 znie: „Článok 8 Predkladanie utajovaných materiálov a ich prerokovanie (1) Pri príprave a predkladaní materiálov, ktoré obsahujú utajované skutočnosti (ďalej len „utajovaný materiál“), sa postupuje podľa osobitných predpisov3) a tohto rokovacieho poriadku. (2) Predkladateľ zasiela utajovaný materiál výboru spravidla 10 pracovných dní pred zasadaním výboru v X výtlačkoch. (3) V prípade mimoriadnej závažnosti prerokúvaného utajovaného materiálu môže predkladateľ so súhlasom predsedu výboru utajovaný materiál rozdať priamo na rokovaní. (4) Ak je predmetom rokovania výboru utajovaný materiál, zasadnutia sa môžu zúčastniť iba tie osoby, ktoré sú držiteľmi osvedčenia na oboznamovanie sa s utajovanými skutočnosťami príslušného stupňa utajenia. Kópiu osvedčenia na oboznamovanie sa s utajovanými skutočnosťami predložia pred rokovaním tajomníkovi výboru.“. Poznámka pod čiarou k odkazu 3) znie: „3) Zákon č. 215/2004 Z. z. o ochrane utajovaných skutočností a o zmene a doplnení niektorých zákonov v znení neskorších predpisov, vyhláška Národného bezpečnostného úradu č. 453/2007 Z. z. o administratívnej bezpečnosti v znení neskorších predpisov.“. Odôvodnenie: Z dôvodu vyššej efektívnosti je žiaduce, aby predkladateľ požadovaný počet výtlačkov materiálu predložil tajomníkovi výboru, ktorý následne zabezpečí ich distribúciu členom výboru rovnako ako je to pri neutajovaných materiáloch. Zároveň sa zlúčili doterajšie čl. 8 a 9.</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Text materiálu bol v navrhovanom znení upravený.</w:t>
            </w:r>
          </w:p>
          <w:p w:rsidR="009F2430" w:rsidRPr="00856FFA" w:rsidRDefault="009F2430" w:rsidP="00C8480C">
            <w:pPr>
              <w:rPr>
                <w:rFonts w:cs="Calibri"/>
                <w:sz w:val="20"/>
                <w:szCs w:val="20"/>
              </w:rPr>
            </w:pPr>
          </w:p>
        </w:tc>
      </w:tr>
      <w:tr w:rsidR="009F2430" w:rsidRPr="00856FFA" w:rsidTr="00C8480C">
        <w:tc>
          <w:tcPr>
            <w:tcW w:w="486" w:type="pct"/>
          </w:tcPr>
          <w:p w:rsidR="009F2430" w:rsidRPr="00701DA6" w:rsidRDefault="009F2430" w:rsidP="00C8480C">
            <w:pPr>
              <w:rPr>
                <w:rFonts w:cs="Calibri"/>
                <w:b/>
                <w:sz w:val="20"/>
                <w:szCs w:val="20"/>
              </w:rPr>
            </w:pPr>
            <w:r w:rsidRPr="005760FE">
              <w:rPr>
                <w:rFonts w:cs="Calibri"/>
                <w:sz w:val="20"/>
                <w:szCs w:val="20"/>
              </w:rPr>
              <w:t>Národný bezpečnostný úrad</w:t>
            </w:r>
          </w:p>
        </w:tc>
        <w:tc>
          <w:tcPr>
            <w:tcW w:w="2282" w:type="pct"/>
          </w:tcPr>
          <w:p w:rsidR="009F2430" w:rsidRPr="00856FFA" w:rsidRDefault="009F2430" w:rsidP="00C8480C">
            <w:pPr>
              <w:jc w:val="both"/>
              <w:rPr>
                <w:rFonts w:cs="Calibri"/>
                <w:sz w:val="20"/>
                <w:szCs w:val="20"/>
              </w:rPr>
            </w:pPr>
            <w:r w:rsidRPr="006F61D1">
              <w:rPr>
                <w:rFonts w:cs="Calibri"/>
                <w:sz w:val="20"/>
                <w:szCs w:val="20"/>
              </w:rPr>
              <w:t>Čl. 9 sa vypúšťa. Doterajšie články sa primerane prečíslujú. Odôvodnenie: Nadväzná legislatívno-technická pripomienka.</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O</w:t>
            </w:r>
          </w:p>
        </w:tc>
        <w:tc>
          <w:tcPr>
            <w:tcW w:w="248" w:type="pct"/>
            <w:vAlign w:val="center"/>
          </w:tcPr>
          <w:p w:rsidR="009F2430" w:rsidRPr="00856FFA" w:rsidRDefault="009F2430" w:rsidP="00C8480C">
            <w:pPr>
              <w:jc w:val="center"/>
              <w:rPr>
                <w:rFonts w:cs="Calibri"/>
                <w:b/>
                <w:sz w:val="20"/>
                <w:szCs w:val="20"/>
              </w:rPr>
            </w:pPr>
            <w:r>
              <w:rPr>
                <w:rFonts w:cs="Calibri"/>
                <w:b/>
                <w:sz w:val="20"/>
                <w:szCs w:val="20"/>
              </w:rPr>
              <w:t>A</w:t>
            </w:r>
          </w:p>
        </w:tc>
        <w:tc>
          <w:tcPr>
            <w:tcW w:w="1736" w:type="pct"/>
          </w:tcPr>
          <w:p w:rsidR="009F2430" w:rsidRDefault="009F2430" w:rsidP="00C8480C">
            <w:pPr>
              <w:rPr>
                <w:rFonts w:cs="Calibri"/>
                <w:sz w:val="20"/>
                <w:szCs w:val="20"/>
              </w:rPr>
            </w:pPr>
            <w:r>
              <w:rPr>
                <w:rFonts w:cs="Calibri"/>
                <w:sz w:val="20"/>
                <w:szCs w:val="20"/>
              </w:rPr>
              <w:t>Čl. 9 bol v zmysle návrhu vypustený</w:t>
            </w:r>
          </w:p>
          <w:p w:rsidR="009F2430" w:rsidRPr="00856FFA" w:rsidRDefault="009F2430" w:rsidP="00C8480C">
            <w:pPr>
              <w:rPr>
                <w:rFonts w:cs="Calibri"/>
                <w:sz w:val="20"/>
                <w:szCs w:val="20"/>
              </w:rPr>
            </w:pPr>
          </w:p>
        </w:tc>
      </w:tr>
    </w:tbl>
    <w:p w:rsidR="009F68CB" w:rsidRPr="00856FFA" w:rsidRDefault="009F68CB" w:rsidP="009F68CB">
      <w:pPr>
        <w:rPr>
          <w:rFonts w:cs="Calibri"/>
          <w:sz w:val="20"/>
          <w:szCs w:val="20"/>
        </w:rPr>
      </w:pPr>
    </w:p>
    <w:sectPr w:rsidR="009F68CB" w:rsidRPr="00856FFA" w:rsidSect="00553945">
      <w:pgSz w:w="16838" w:h="11906" w:orient="landscape"/>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D25" w:rsidRDefault="00337D25">
      <w:r>
        <w:separator/>
      </w:r>
    </w:p>
  </w:endnote>
  <w:endnote w:type="continuationSeparator" w:id="0">
    <w:p w:rsidR="00337D25" w:rsidRDefault="0033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D25" w:rsidRDefault="00337D25">
      <w:r>
        <w:separator/>
      </w:r>
    </w:p>
  </w:footnote>
  <w:footnote w:type="continuationSeparator" w:id="0">
    <w:p w:rsidR="00337D25" w:rsidRDefault="00337D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6C76"/>
    <w:multiLevelType w:val="singleLevel"/>
    <w:tmpl w:val="DC9CEB84"/>
    <w:lvl w:ilvl="0">
      <w:start w:val="1"/>
      <w:numFmt w:val="decimal"/>
      <w:lvlText w:val="(%1) "/>
      <w:lvlJc w:val="left"/>
      <w:pPr>
        <w:ind w:left="720" w:hanging="360"/>
      </w:pPr>
      <w:rPr>
        <w:rFonts w:ascii="Times New Roman" w:hAnsi="Times New Roman" w:cs="Times New Roman" w:hint="default"/>
        <w:b w:val="0"/>
        <w:bCs w:val="0"/>
        <w:i w:val="0"/>
        <w:iCs w:val="0"/>
        <w:sz w:val="24"/>
        <w:szCs w:val="24"/>
      </w:rPr>
    </w:lvl>
  </w:abstractNum>
  <w:abstractNum w:abstractNumId="1" w15:restartNumberingAfterBreak="0">
    <w:nsid w:val="0DCE4103"/>
    <w:multiLevelType w:val="hybridMultilevel"/>
    <w:tmpl w:val="C6AAFE90"/>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 w15:restartNumberingAfterBreak="0">
    <w:nsid w:val="0F9920F8"/>
    <w:multiLevelType w:val="hybridMultilevel"/>
    <w:tmpl w:val="13503F22"/>
    <w:lvl w:ilvl="0" w:tplc="7576CCFE">
      <w:start w:val="4"/>
      <w:numFmt w:val="decimal"/>
      <w:lvlText w:val="(%1) "/>
      <w:lvlJc w:val="left"/>
      <w:pPr>
        <w:tabs>
          <w:tab w:val="num" w:pos="1440"/>
        </w:tabs>
        <w:ind w:left="1363" w:hanging="283"/>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 w15:restartNumberingAfterBreak="0">
    <w:nsid w:val="19842184"/>
    <w:multiLevelType w:val="hybridMultilevel"/>
    <w:tmpl w:val="18863062"/>
    <w:lvl w:ilvl="0" w:tplc="16E249F8">
      <w:start w:val="6"/>
      <w:numFmt w:val="decimal"/>
      <w:lvlText w:val="(%1) "/>
      <w:lvlJc w:val="left"/>
      <w:pPr>
        <w:tabs>
          <w:tab w:val="num" w:pos="1440"/>
        </w:tabs>
        <w:ind w:left="1363" w:hanging="283"/>
      </w:pPr>
      <w:rPr>
        <w:rFonts w:ascii="Arial" w:hAnsi="Arial" w:cs="Arial"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15:restartNumberingAfterBreak="0">
    <w:nsid w:val="1D3A7FD1"/>
    <w:multiLevelType w:val="hybridMultilevel"/>
    <w:tmpl w:val="79C02E84"/>
    <w:lvl w:ilvl="0" w:tplc="DC9CEB84">
      <w:start w:val="1"/>
      <w:numFmt w:val="decimal"/>
      <w:lvlText w:val="(%1) "/>
      <w:lvlJc w:val="left"/>
      <w:pPr>
        <w:ind w:left="720" w:hanging="360"/>
      </w:pPr>
      <w:rPr>
        <w:rFonts w:ascii="Times New Roman" w:hAnsi="Times New Roman" w:cs="Times New Roman" w:hint="default"/>
        <w:b w:val="0"/>
        <w:bCs w:val="0"/>
        <w:i w:val="0"/>
        <w:iCs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14D3689"/>
    <w:multiLevelType w:val="hybridMultilevel"/>
    <w:tmpl w:val="DF14A66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15:restartNumberingAfterBreak="0">
    <w:nsid w:val="2633320F"/>
    <w:multiLevelType w:val="hybridMultilevel"/>
    <w:tmpl w:val="424A7400"/>
    <w:lvl w:ilvl="0" w:tplc="ACC4766E">
      <w:start w:val="1"/>
      <w:numFmt w:val="decimal"/>
      <w:lvlText w:val="(%1)"/>
      <w:lvlJc w:val="left"/>
      <w:pPr>
        <w:tabs>
          <w:tab w:val="num" w:pos="1125"/>
        </w:tabs>
        <w:ind w:left="1125" w:hanging="420"/>
      </w:pPr>
      <w:rPr>
        <w:rFonts w:ascii="Times New Roman" w:hAnsi="Times New Roman" w:cs="Times New Roman" w:hint="default"/>
      </w:rPr>
    </w:lvl>
    <w:lvl w:ilvl="1" w:tplc="04050019">
      <w:start w:val="1"/>
      <w:numFmt w:val="lowerLetter"/>
      <w:lvlText w:val="%2."/>
      <w:lvlJc w:val="left"/>
      <w:pPr>
        <w:tabs>
          <w:tab w:val="num" w:pos="1785"/>
        </w:tabs>
        <w:ind w:left="1785" w:hanging="360"/>
      </w:pPr>
      <w:rPr>
        <w:rFonts w:cs="Times New Roman"/>
      </w:rPr>
    </w:lvl>
    <w:lvl w:ilvl="2" w:tplc="0405001B">
      <w:start w:val="1"/>
      <w:numFmt w:val="lowerRoman"/>
      <w:lvlText w:val="%3."/>
      <w:lvlJc w:val="right"/>
      <w:pPr>
        <w:tabs>
          <w:tab w:val="num" w:pos="2505"/>
        </w:tabs>
        <w:ind w:left="2505" w:hanging="180"/>
      </w:pPr>
      <w:rPr>
        <w:rFonts w:cs="Times New Roman"/>
      </w:rPr>
    </w:lvl>
    <w:lvl w:ilvl="3" w:tplc="0405000F">
      <w:start w:val="1"/>
      <w:numFmt w:val="decimal"/>
      <w:lvlText w:val="%4."/>
      <w:lvlJc w:val="left"/>
      <w:pPr>
        <w:tabs>
          <w:tab w:val="num" w:pos="3225"/>
        </w:tabs>
        <w:ind w:left="3225" w:hanging="360"/>
      </w:pPr>
      <w:rPr>
        <w:rFonts w:cs="Times New Roman"/>
      </w:rPr>
    </w:lvl>
    <w:lvl w:ilvl="4" w:tplc="04050019">
      <w:start w:val="1"/>
      <w:numFmt w:val="lowerLetter"/>
      <w:lvlText w:val="%5."/>
      <w:lvlJc w:val="left"/>
      <w:pPr>
        <w:tabs>
          <w:tab w:val="num" w:pos="3945"/>
        </w:tabs>
        <w:ind w:left="3945" w:hanging="360"/>
      </w:pPr>
      <w:rPr>
        <w:rFonts w:cs="Times New Roman"/>
      </w:rPr>
    </w:lvl>
    <w:lvl w:ilvl="5" w:tplc="0405001B">
      <w:start w:val="1"/>
      <w:numFmt w:val="lowerRoman"/>
      <w:lvlText w:val="%6."/>
      <w:lvlJc w:val="right"/>
      <w:pPr>
        <w:tabs>
          <w:tab w:val="num" w:pos="4665"/>
        </w:tabs>
        <w:ind w:left="4665" w:hanging="180"/>
      </w:pPr>
      <w:rPr>
        <w:rFonts w:cs="Times New Roman"/>
      </w:rPr>
    </w:lvl>
    <w:lvl w:ilvl="6" w:tplc="0405000F">
      <w:start w:val="1"/>
      <w:numFmt w:val="decimal"/>
      <w:lvlText w:val="%7."/>
      <w:lvlJc w:val="left"/>
      <w:pPr>
        <w:tabs>
          <w:tab w:val="num" w:pos="5385"/>
        </w:tabs>
        <w:ind w:left="5385" w:hanging="360"/>
      </w:pPr>
      <w:rPr>
        <w:rFonts w:cs="Times New Roman"/>
      </w:rPr>
    </w:lvl>
    <w:lvl w:ilvl="7" w:tplc="04050019">
      <w:start w:val="1"/>
      <w:numFmt w:val="lowerLetter"/>
      <w:lvlText w:val="%8."/>
      <w:lvlJc w:val="left"/>
      <w:pPr>
        <w:tabs>
          <w:tab w:val="num" w:pos="6105"/>
        </w:tabs>
        <w:ind w:left="6105" w:hanging="360"/>
      </w:pPr>
      <w:rPr>
        <w:rFonts w:cs="Times New Roman"/>
      </w:rPr>
    </w:lvl>
    <w:lvl w:ilvl="8" w:tplc="0405001B">
      <w:start w:val="1"/>
      <w:numFmt w:val="lowerRoman"/>
      <w:lvlText w:val="%9."/>
      <w:lvlJc w:val="right"/>
      <w:pPr>
        <w:tabs>
          <w:tab w:val="num" w:pos="6825"/>
        </w:tabs>
        <w:ind w:left="6825" w:hanging="180"/>
      </w:pPr>
      <w:rPr>
        <w:rFonts w:cs="Times New Roman"/>
      </w:rPr>
    </w:lvl>
  </w:abstractNum>
  <w:abstractNum w:abstractNumId="7" w15:restartNumberingAfterBreak="0">
    <w:nsid w:val="2C335F91"/>
    <w:multiLevelType w:val="singleLevel"/>
    <w:tmpl w:val="242E4FFE"/>
    <w:lvl w:ilvl="0">
      <w:start w:val="1"/>
      <w:numFmt w:val="decimal"/>
      <w:lvlText w:val="(%1) "/>
      <w:lvlJc w:val="left"/>
      <w:pPr>
        <w:tabs>
          <w:tab w:val="num" w:pos="1070"/>
        </w:tabs>
        <w:ind w:left="993" w:hanging="283"/>
      </w:pPr>
      <w:rPr>
        <w:rFonts w:ascii="Times New Roman" w:hAnsi="Times New Roman" w:cs="Times New Roman" w:hint="default"/>
        <w:b w:val="0"/>
        <w:bCs w:val="0"/>
        <w:i w:val="0"/>
        <w:iCs w:val="0"/>
        <w:sz w:val="24"/>
        <w:szCs w:val="24"/>
      </w:rPr>
    </w:lvl>
  </w:abstractNum>
  <w:abstractNum w:abstractNumId="8" w15:restartNumberingAfterBreak="0">
    <w:nsid w:val="2C933BA6"/>
    <w:multiLevelType w:val="hybridMultilevel"/>
    <w:tmpl w:val="22A68EC0"/>
    <w:lvl w:ilvl="0" w:tplc="EF0C5D78">
      <w:start w:val="4"/>
      <w:numFmt w:val="decimal"/>
      <w:lvlText w:val="(%1) "/>
      <w:lvlJc w:val="left"/>
      <w:pPr>
        <w:tabs>
          <w:tab w:val="num" w:pos="1070"/>
        </w:tabs>
        <w:ind w:left="993" w:hanging="283"/>
      </w:pPr>
      <w:rPr>
        <w:rFonts w:ascii="Arial" w:hAnsi="Arial" w:cs="Arial"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2DD33166"/>
    <w:multiLevelType w:val="hybridMultilevel"/>
    <w:tmpl w:val="9EA6CAB2"/>
    <w:lvl w:ilvl="0" w:tplc="BF768E7C">
      <w:start w:val="1"/>
      <w:numFmt w:val="upperRoman"/>
      <w:lvlText w:val="%1."/>
      <w:lvlJc w:val="left"/>
      <w:pPr>
        <w:tabs>
          <w:tab w:val="num" w:pos="1080"/>
        </w:tabs>
        <w:ind w:left="1080" w:hanging="72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0" w15:restartNumberingAfterBreak="0">
    <w:nsid w:val="37C410DB"/>
    <w:multiLevelType w:val="hybridMultilevel"/>
    <w:tmpl w:val="BB16ED9C"/>
    <w:lvl w:ilvl="0" w:tplc="1D802ADA">
      <w:start w:val="1"/>
      <w:numFmt w:val="decimal"/>
      <w:lvlText w:val="(%1) "/>
      <w:lvlJc w:val="left"/>
      <w:pPr>
        <w:tabs>
          <w:tab w:val="num" w:pos="1500"/>
        </w:tabs>
        <w:ind w:left="1423" w:hanging="283"/>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1" w15:restartNumberingAfterBreak="0">
    <w:nsid w:val="38525836"/>
    <w:multiLevelType w:val="hybridMultilevel"/>
    <w:tmpl w:val="9D42753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15:restartNumberingAfterBreak="0">
    <w:nsid w:val="3B045891"/>
    <w:multiLevelType w:val="singleLevel"/>
    <w:tmpl w:val="ACA6E882"/>
    <w:lvl w:ilvl="0">
      <w:start w:val="1"/>
      <w:numFmt w:val="decimal"/>
      <w:lvlText w:val="(%1) "/>
      <w:lvlJc w:val="left"/>
      <w:pPr>
        <w:tabs>
          <w:tab w:val="num" w:pos="1070"/>
        </w:tabs>
        <w:ind w:left="993" w:hanging="283"/>
      </w:pPr>
      <w:rPr>
        <w:rFonts w:ascii="Times New Roman" w:hAnsi="Times New Roman" w:cs="Times New Roman" w:hint="default"/>
        <w:b w:val="0"/>
        <w:bCs w:val="0"/>
        <w:i w:val="0"/>
        <w:iCs w:val="0"/>
        <w:sz w:val="24"/>
        <w:szCs w:val="24"/>
      </w:rPr>
    </w:lvl>
  </w:abstractNum>
  <w:abstractNum w:abstractNumId="13" w15:restartNumberingAfterBreak="0">
    <w:nsid w:val="3E285610"/>
    <w:multiLevelType w:val="hybridMultilevel"/>
    <w:tmpl w:val="C7C67902"/>
    <w:lvl w:ilvl="0" w:tplc="EF9015E0">
      <w:start w:val="1"/>
      <w:numFmt w:val="lowerLetter"/>
      <w:lvlText w:val="%1)"/>
      <w:lvlJc w:val="left"/>
      <w:pPr>
        <w:tabs>
          <w:tab w:val="num" w:pos="1440"/>
        </w:tabs>
        <w:ind w:left="144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F28295E"/>
    <w:multiLevelType w:val="hybridMultilevel"/>
    <w:tmpl w:val="4E58D412"/>
    <w:lvl w:ilvl="0" w:tplc="C7A47582">
      <w:start w:val="2"/>
      <w:numFmt w:val="decimal"/>
      <w:lvlText w:val="(%1) "/>
      <w:lvlJc w:val="left"/>
      <w:pPr>
        <w:tabs>
          <w:tab w:val="num" w:pos="1440"/>
        </w:tabs>
        <w:ind w:left="1363" w:hanging="283"/>
      </w:pPr>
      <w:rPr>
        <w:rFonts w:ascii="Arial" w:hAnsi="Arial" w:cs="Arial"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5" w15:restartNumberingAfterBreak="0">
    <w:nsid w:val="408B491E"/>
    <w:multiLevelType w:val="hybridMultilevel"/>
    <w:tmpl w:val="AE7C54C0"/>
    <w:lvl w:ilvl="0" w:tplc="8BAE2ACE">
      <w:start w:val="3"/>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6" w15:restartNumberingAfterBreak="0">
    <w:nsid w:val="418708FB"/>
    <w:multiLevelType w:val="hybridMultilevel"/>
    <w:tmpl w:val="639CE0DE"/>
    <w:lvl w:ilvl="0" w:tplc="FF3C37E2">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37237FE"/>
    <w:multiLevelType w:val="hybridMultilevel"/>
    <w:tmpl w:val="B6A68F94"/>
    <w:lvl w:ilvl="0" w:tplc="2AB0EFF0">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8" w15:restartNumberingAfterBreak="0">
    <w:nsid w:val="45D24429"/>
    <w:multiLevelType w:val="hybridMultilevel"/>
    <w:tmpl w:val="E3DADB24"/>
    <w:lvl w:ilvl="0" w:tplc="3724D5C4">
      <w:start w:val="1"/>
      <w:numFmt w:val="decimal"/>
      <w:lvlText w:val="(%1) "/>
      <w:lvlJc w:val="left"/>
      <w:pPr>
        <w:tabs>
          <w:tab w:val="num" w:pos="1440"/>
        </w:tabs>
        <w:ind w:left="1363" w:hanging="283"/>
      </w:pPr>
      <w:rPr>
        <w:rFonts w:ascii="Arial" w:hAnsi="Arial" w:cs="Arial" w:hint="default"/>
        <w:b w:val="0"/>
        <w:bCs w:val="0"/>
        <w:i w:val="0"/>
        <w:iCs w:val="0"/>
        <w:sz w:val="24"/>
        <w:szCs w:val="24"/>
      </w:rPr>
    </w:lvl>
    <w:lvl w:ilvl="1" w:tplc="EF9015E0">
      <w:start w:val="1"/>
      <w:numFmt w:val="lowerLetter"/>
      <w:lvlText w:val="%2)"/>
      <w:lvlJc w:val="left"/>
      <w:pPr>
        <w:tabs>
          <w:tab w:val="num" w:pos="1440"/>
        </w:tabs>
        <w:ind w:left="1440" w:hanging="360"/>
      </w:pPr>
      <w:rPr>
        <w:rFonts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9" w15:restartNumberingAfterBreak="0">
    <w:nsid w:val="46B1457A"/>
    <w:multiLevelType w:val="hybridMultilevel"/>
    <w:tmpl w:val="28188A56"/>
    <w:lvl w:ilvl="0" w:tplc="3724D5C4">
      <w:start w:val="1"/>
      <w:numFmt w:val="decimal"/>
      <w:lvlText w:val="(%1) "/>
      <w:lvlJc w:val="left"/>
      <w:pPr>
        <w:tabs>
          <w:tab w:val="num" w:pos="1440"/>
        </w:tabs>
        <w:ind w:left="1363" w:hanging="283"/>
      </w:pPr>
      <w:rPr>
        <w:rFonts w:ascii="Arial" w:hAnsi="Arial" w:cs="Arial"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4DA875F0"/>
    <w:multiLevelType w:val="hybridMultilevel"/>
    <w:tmpl w:val="402062B8"/>
    <w:lvl w:ilvl="0" w:tplc="8D36CC6E">
      <w:start w:val="2"/>
      <w:numFmt w:val="decimal"/>
      <w:lvlText w:val="(%1) "/>
      <w:lvlJc w:val="left"/>
      <w:pPr>
        <w:tabs>
          <w:tab w:val="num" w:pos="1440"/>
        </w:tabs>
        <w:ind w:left="1363" w:hanging="283"/>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1" w15:restartNumberingAfterBreak="0">
    <w:nsid w:val="551F545C"/>
    <w:multiLevelType w:val="hybridMultilevel"/>
    <w:tmpl w:val="0706DE16"/>
    <w:lvl w:ilvl="0" w:tplc="DC9CEB84">
      <w:start w:val="1"/>
      <w:numFmt w:val="decimal"/>
      <w:lvlText w:val="(%1) "/>
      <w:lvlJc w:val="left"/>
      <w:pPr>
        <w:ind w:left="1440" w:hanging="360"/>
      </w:pPr>
      <w:rPr>
        <w:rFonts w:ascii="Times New Roman" w:hAnsi="Times New Roman" w:cs="Times New Roman" w:hint="default"/>
        <w:b w:val="0"/>
        <w:bCs w:val="0"/>
        <w:i w:val="0"/>
        <w:iCs w:val="0"/>
        <w:sz w:val="24"/>
        <w:szCs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58E76366"/>
    <w:multiLevelType w:val="hybridMultilevel"/>
    <w:tmpl w:val="194E4792"/>
    <w:lvl w:ilvl="0" w:tplc="EF589FFC">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3" w15:restartNumberingAfterBreak="0">
    <w:nsid w:val="5AC176A8"/>
    <w:multiLevelType w:val="hybridMultilevel"/>
    <w:tmpl w:val="AF7007E4"/>
    <w:lvl w:ilvl="0" w:tplc="3586A590">
      <w:start w:val="1"/>
      <w:numFmt w:val="decimal"/>
      <w:lvlText w:val="(%1) "/>
      <w:lvlJc w:val="left"/>
      <w:pPr>
        <w:tabs>
          <w:tab w:val="num" w:pos="1500"/>
        </w:tabs>
        <w:ind w:left="1423" w:hanging="283"/>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4" w15:restartNumberingAfterBreak="0">
    <w:nsid w:val="65B34E48"/>
    <w:multiLevelType w:val="hybridMultilevel"/>
    <w:tmpl w:val="C91249C6"/>
    <w:lvl w:ilvl="0" w:tplc="3C7A698E">
      <w:start w:val="4"/>
      <w:numFmt w:val="decimal"/>
      <w:lvlText w:val="(%1) "/>
      <w:lvlJc w:val="left"/>
      <w:pPr>
        <w:tabs>
          <w:tab w:val="num" w:pos="1440"/>
        </w:tabs>
        <w:ind w:left="1363" w:hanging="283"/>
      </w:pPr>
      <w:rPr>
        <w:rFonts w:ascii="Arial" w:hAnsi="Arial" w:cs="Arial" w:hint="default"/>
        <w:b w:val="0"/>
        <w:bCs w:val="0"/>
        <w:i w:val="0"/>
        <w:iCs w:val="0"/>
        <w:sz w:val="24"/>
        <w:szCs w:val="24"/>
      </w:rPr>
    </w:lvl>
    <w:lvl w:ilvl="1" w:tplc="7776800C">
      <w:start w:val="1"/>
      <w:numFmt w:val="lowerLetter"/>
      <w:lvlText w:val="%2)"/>
      <w:lvlJc w:val="left"/>
      <w:pPr>
        <w:tabs>
          <w:tab w:val="num" w:pos="1440"/>
        </w:tabs>
        <w:ind w:left="1440" w:hanging="360"/>
      </w:pPr>
      <w:rPr>
        <w:rFonts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5" w15:restartNumberingAfterBreak="0">
    <w:nsid w:val="68AD74A4"/>
    <w:multiLevelType w:val="hybridMultilevel"/>
    <w:tmpl w:val="BB16ED9C"/>
    <w:lvl w:ilvl="0" w:tplc="1D802ADA">
      <w:start w:val="1"/>
      <w:numFmt w:val="decimal"/>
      <w:lvlText w:val="(%1) "/>
      <w:lvlJc w:val="left"/>
      <w:pPr>
        <w:tabs>
          <w:tab w:val="num" w:pos="1500"/>
        </w:tabs>
        <w:ind w:left="1423" w:hanging="283"/>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6" w15:restartNumberingAfterBreak="0">
    <w:nsid w:val="6FCE1054"/>
    <w:multiLevelType w:val="hybridMultilevel"/>
    <w:tmpl w:val="295290A2"/>
    <w:lvl w:ilvl="0" w:tplc="A3846952">
      <w:start w:val="5"/>
      <w:numFmt w:val="decimal"/>
      <w:lvlText w:val="(%1) "/>
      <w:lvlJc w:val="left"/>
      <w:pPr>
        <w:tabs>
          <w:tab w:val="num" w:pos="1440"/>
        </w:tabs>
        <w:ind w:left="1363" w:hanging="283"/>
      </w:pPr>
      <w:rPr>
        <w:rFonts w:ascii="Arial" w:hAnsi="Arial" w:cs="Arial" w:hint="default"/>
        <w:b w:val="0"/>
        <w:bCs w:val="0"/>
        <w:i w:val="0"/>
        <w:iCs w:val="0"/>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7" w15:restartNumberingAfterBreak="0">
    <w:nsid w:val="71267BFE"/>
    <w:multiLevelType w:val="singleLevel"/>
    <w:tmpl w:val="55782DE4"/>
    <w:lvl w:ilvl="0">
      <w:start w:val="2"/>
      <w:numFmt w:val="decimal"/>
      <w:lvlText w:val="%1)"/>
      <w:lvlJc w:val="left"/>
      <w:pPr>
        <w:tabs>
          <w:tab w:val="num" w:pos="360"/>
        </w:tabs>
        <w:ind w:left="360" w:hanging="360"/>
      </w:pPr>
      <w:rPr>
        <w:rFonts w:cs="Times New Roman"/>
      </w:rPr>
    </w:lvl>
  </w:abstractNum>
  <w:abstractNum w:abstractNumId="28" w15:restartNumberingAfterBreak="0">
    <w:nsid w:val="736426C8"/>
    <w:multiLevelType w:val="singleLevel"/>
    <w:tmpl w:val="DC9CEB84"/>
    <w:lvl w:ilvl="0">
      <w:start w:val="1"/>
      <w:numFmt w:val="decimal"/>
      <w:lvlText w:val="(%1) "/>
      <w:lvlJc w:val="left"/>
      <w:pPr>
        <w:ind w:left="720" w:hanging="360"/>
      </w:pPr>
      <w:rPr>
        <w:rFonts w:ascii="Times New Roman" w:hAnsi="Times New Roman" w:cs="Times New Roman" w:hint="default"/>
        <w:b w:val="0"/>
        <w:bCs w:val="0"/>
        <w:i w:val="0"/>
        <w:iCs w:val="0"/>
        <w:sz w:val="24"/>
        <w:szCs w:val="24"/>
      </w:rPr>
    </w:lvl>
  </w:abstractNum>
  <w:abstractNum w:abstractNumId="29" w15:restartNumberingAfterBreak="0">
    <w:nsid w:val="74552F48"/>
    <w:multiLevelType w:val="singleLevel"/>
    <w:tmpl w:val="0ADCEBD4"/>
    <w:lvl w:ilvl="0">
      <w:start w:val="2"/>
      <w:numFmt w:val="decimal"/>
      <w:lvlText w:val="(%1) "/>
      <w:lvlJc w:val="left"/>
      <w:pPr>
        <w:tabs>
          <w:tab w:val="num" w:pos="1070"/>
        </w:tabs>
        <w:ind w:left="993" w:hanging="283"/>
      </w:pPr>
      <w:rPr>
        <w:rFonts w:ascii="Arial" w:hAnsi="Arial" w:cs="Arial" w:hint="default"/>
        <w:b w:val="0"/>
        <w:bCs w:val="0"/>
        <w:i w:val="0"/>
        <w:iCs w:val="0"/>
        <w:sz w:val="24"/>
        <w:szCs w:val="24"/>
      </w:rPr>
    </w:lvl>
  </w:abstractNum>
  <w:abstractNum w:abstractNumId="30" w15:restartNumberingAfterBreak="0">
    <w:nsid w:val="754D6E62"/>
    <w:multiLevelType w:val="hybridMultilevel"/>
    <w:tmpl w:val="CA6E9AC8"/>
    <w:lvl w:ilvl="0" w:tplc="7776800C">
      <w:start w:val="1"/>
      <w:numFmt w:val="lowerLetter"/>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1" w15:restartNumberingAfterBreak="0">
    <w:nsid w:val="76FA2414"/>
    <w:multiLevelType w:val="singleLevel"/>
    <w:tmpl w:val="54383E3E"/>
    <w:lvl w:ilvl="0">
      <w:start w:val="1"/>
      <w:numFmt w:val="decimal"/>
      <w:lvlText w:val="(%1) "/>
      <w:lvlJc w:val="left"/>
      <w:pPr>
        <w:tabs>
          <w:tab w:val="num" w:pos="1070"/>
        </w:tabs>
        <w:ind w:left="993" w:hanging="283"/>
      </w:pPr>
      <w:rPr>
        <w:rFonts w:ascii="Times New Roman" w:hAnsi="Times New Roman" w:cs="Times New Roman" w:hint="default"/>
        <w:b w:val="0"/>
        <w:bCs w:val="0"/>
        <w:i w:val="0"/>
        <w:iCs w:val="0"/>
        <w:sz w:val="24"/>
        <w:szCs w:val="24"/>
      </w:rPr>
    </w:lvl>
  </w:abstractNum>
  <w:abstractNum w:abstractNumId="32" w15:restartNumberingAfterBreak="0">
    <w:nsid w:val="7BDE54EF"/>
    <w:multiLevelType w:val="hybridMultilevel"/>
    <w:tmpl w:val="419C7968"/>
    <w:lvl w:ilvl="0" w:tplc="041B000F">
      <w:start w:val="1"/>
      <w:numFmt w:val="decimal"/>
      <w:lvlText w:val="%1."/>
      <w:lvlJc w:val="left"/>
      <w:pPr>
        <w:ind w:left="862" w:hanging="360"/>
      </w:pPr>
      <w:rPr>
        <w:rFonts w:cs="Times New Roman"/>
      </w:rPr>
    </w:lvl>
    <w:lvl w:ilvl="1" w:tplc="041B0019" w:tentative="1">
      <w:start w:val="1"/>
      <w:numFmt w:val="lowerLetter"/>
      <w:lvlText w:val="%2."/>
      <w:lvlJc w:val="left"/>
      <w:pPr>
        <w:ind w:left="1582" w:hanging="360"/>
      </w:pPr>
      <w:rPr>
        <w:rFonts w:cs="Times New Roman"/>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abstractNum w:abstractNumId="33" w15:restartNumberingAfterBreak="0">
    <w:nsid w:val="7FAA6F31"/>
    <w:multiLevelType w:val="hybridMultilevel"/>
    <w:tmpl w:val="1018D4F2"/>
    <w:lvl w:ilvl="0" w:tplc="4860E816">
      <w:start w:val="1"/>
      <w:numFmt w:val="upperLetter"/>
      <w:lvlText w:val="%1."/>
      <w:lvlJc w:val="left"/>
      <w:pPr>
        <w:tabs>
          <w:tab w:val="num" w:pos="1065"/>
        </w:tabs>
        <w:ind w:left="1065" w:hanging="705"/>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num w:numId="1">
    <w:abstractNumId w:val="31"/>
  </w:num>
  <w:num w:numId="2">
    <w:abstractNumId w:val="29"/>
  </w:num>
  <w:num w:numId="3">
    <w:abstractNumId w:val="7"/>
  </w:num>
  <w:num w:numId="4">
    <w:abstractNumId w:val="27"/>
  </w:num>
  <w:num w:numId="5">
    <w:abstractNumId w:val="12"/>
  </w:num>
  <w:num w:numId="6">
    <w:abstractNumId w:val="0"/>
  </w:num>
  <w:num w:numId="7">
    <w:abstractNumId w:val="24"/>
  </w:num>
  <w:num w:numId="8">
    <w:abstractNumId w:val="30"/>
  </w:num>
  <w:num w:numId="9">
    <w:abstractNumId w:val="18"/>
  </w:num>
  <w:num w:numId="10">
    <w:abstractNumId w:val="19"/>
  </w:num>
  <w:num w:numId="11">
    <w:abstractNumId w:val="26"/>
  </w:num>
  <w:num w:numId="12">
    <w:abstractNumId w:val="3"/>
  </w:num>
  <w:num w:numId="13">
    <w:abstractNumId w:val="9"/>
  </w:num>
  <w:num w:numId="14">
    <w:abstractNumId w:val="20"/>
  </w:num>
  <w:num w:numId="15">
    <w:abstractNumId w:val="14"/>
  </w:num>
  <w:num w:numId="16">
    <w:abstractNumId w:val="6"/>
  </w:num>
  <w:num w:numId="17">
    <w:abstractNumId w:val="2"/>
  </w:num>
  <w:num w:numId="18">
    <w:abstractNumId w:val="11"/>
  </w:num>
  <w:num w:numId="19">
    <w:abstractNumId w:val="22"/>
  </w:num>
  <w:num w:numId="20">
    <w:abstractNumId w:val="5"/>
  </w:num>
  <w:num w:numId="21">
    <w:abstractNumId w:val="15"/>
  </w:num>
  <w:num w:numId="22">
    <w:abstractNumId w:val="1"/>
  </w:num>
  <w:num w:numId="23">
    <w:abstractNumId w:val="23"/>
  </w:num>
  <w:num w:numId="24">
    <w:abstractNumId w:val="8"/>
  </w:num>
  <w:num w:numId="25">
    <w:abstractNumId w:val="21"/>
  </w:num>
  <w:num w:numId="26">
    <w:abstractNumId w:val="28"/>
  </w:num>
  <w:num w:numId="27">
    <w:abstractNumId w:val="4"/>
  </w:num>
  <w:num w:numId="28">
    <w:abstractNumId w:val="16"/>
  </w:num>
  <w:num w:numId="29">
    <w:abstractNumId w:val="10"/>
  </w:num>
  <w:num w:numId="30">
    <w:abstractNumId w:val="25"/>
  </w:num>
  <w:num w:numId="31">
    <w:abstractNumId w:val="17"/>
  </w:num>
  <w:num w:numId="32">
    <w:abstractNumId w:val="33"/>
  </w:num>
  <w:num w:numId="33">
    <w:abstractNumId w:val="3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08"/>
  <w:hyphenationZone w:val="425"/>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48A"/>
    <w:rsid w:val="00064894"/>
    <w:rsid w:val="0008000D"/>
    <w:rsid w:val="00087B4D"/>
    <w:rsid w:val="000B5145"/>
    <w:rsid w:val="000C25DC"/>
    <w:rsid w:val="000D2430"/>
    <w:rsid w:val="0011435F"/>
    <w:rsid w:val="00150DBC"/>
    <w:rsid w:val="00164350"/>
    <w:rsid w:val="0019732B"/>
    <w:rsid w:val="001D74D3"/>
    <w:rsid w:val="002014FA"/>
    <w:rsid w:val="00271031"/>
    <w:rsid w:val="00272B2A"/>
    <w:rsid w:val="00336B02"/>
    <w:rsid w:val="00337D25"/>
    <w:rsid w:val="00346ACA"/>
    <w:rsid w:val="00346C9F"/>
    <w:rsid w:val="003526C3"/>
    <w:rsid w:val="0037331E"/>
    <w:rsid w:val="003758A1"/>
    <w:rsid w:val="00392CB6"/>
    <w:rsid w:val="003A306F"/>
    <w:rsid w:val="003E3AC8"/>
    <w:rsid w:val="003E6322"/>
    <w:rsid w:val="00431AD7"/>
    <w:rsid w:val="0044444A"/>
    <w:rsid w:val="0045450F"/>
    <w:rsid w:val="00460617"/>
    <w:rsid w:val="004823DB"/>
    <w:rsid w:val="00486BD0"/>
    <w:rsid w:val="004B6B28"/>
    <w:rsid w:val="004C0149"/>
    <w:rsid w:val="004E4F0E"/>
    <w:rsid w:val="004F269F"/>
    <w:rsid w:val="004F5690"/>
    <w:rsid w:val="005002D9"/>
    <w:rsid w:val="00532344"/>
    <w:rsid w:val="00553945"/>
    <w:rsid w:val="005635A1"/>
    <w:rsid w:val="00565FEF"/>
    <w:rsid w:val="0057422A"/>
    <w:rsid w:val="005A2A24"/>
    <w:rsid w:val="005C1252"/>
    <w:rsid w:val="005E014A"/>
    <w:rsid w:val="006406C5"/>
    <w:rsid w:val="006430AC"/>
    <w:rsid w:val="00677FA1"/>
    <w:rsid w:val="006A10D9"/>
    <w:rsid w:val="006C0DB5"/>
    <w:rsid w:val="006C1388"/>
    <w:rsid w:val="0074428E"/>
    <w:rsid w:val="00765825"/>
    <w:rsid w:val="00781C2A"/>
    <w:rsid w:val="00784C63"/>
    <w:rsid w:val="007A77A1"/>
    <w:rsid w:val="007D7BDB"/>
    <w:rsid w:val="008001DC"/>
    <w:rsid w:val="00800990"/>
    <w:rsid w:val="0083313F"/>
    <w:rsid w:val="0083660C"/>
    <w:rsid w:val="0089572D"/>
    <w:rsid w:val="008B5F53"/>
    <w:rsid w:val="008C0A40"/>
    <w:rsid w:val="00944897"/>
    <w:rsid w:val="009627DA"/>
    <w:rsid w:val="009C0072"/>
    <w:rsid w:val="009E77CF"/>
    <w:rsid w:val="009F2430"/>
    <w:rsid w:val="009F68CB"/>
    <w:rsid w:val="00A123BE"/>
    <w:rsid w:val="00A871D9"/>
    <w:rsid w:val="00AB7686"/>
    <w:rsid w:val="00AC4AC1"/>
    <w:rsid w:val="00AE10FB"/>
    <w:rsid w:val="00B00303"/>
    <w:rsid w:val="00B63945"/>
    <w:rsid w:val="00BC2003"/>
    <w:rsid w:val="00C04E45"/>
    <w:rsid w:val="00C87F82"/>
    <w:rsid w:val="00C92D96"/>
    <w:rsid w:val="00CD24E2"/>
    <w:rsid w:val="00CF7DC7"/>
    <w:rsid w:val="00D749AD"/>
    <w:rsid w:val="00D77CFE"/>
    <w:rsid w:val="00D8564A"/>
    <w:rsid w:val="00DA60CC"/>
    <w:rsid w:val="00DE0AFE"/>
    <w:rsid w:val="00DE4D81"/>
    <w:rsid w:val="00E20D1D"/>
    <w:rsid w:val="00E53C1E"/>
    <w:rsid w:val="00E578AB"/>
    <w:rsid w:val="00E640AC"/>
    <w:rsid w:val="00E64A3A"/>
    <w:rsid w:val="00E85FDA"/>
    <w:rsid w:val="00EA1C2B"/>
    <w:rsid w:val="00EB10E2"/>
    <w:rsid w:val="00EE09FA"/>
    <w:rsid w:val="00EE448A"/>
    <w:rsid w:val="00EF0EAB"/>
    <w:rsid w:val="00F10A5D"/>
    <w:rsid w:val="00F43768"/>
    <w:rsid w:val="00F6082E"/>
    <w:rsid w:val="00FD5AF5"/>
    <w:rsid w:val="00FF73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6C9A3D0-3A2B-411E-9DC1-B963D216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0" w:line="240" w:lineRule="auto"/>
    </w:pPr>
    <w:rPr>
      <w:sz w:val="24"/>
      <w:szCs w:val="24"/>
      <w:lang w:eastAsia="cs-CZ"/>
    </w:rPr>
  </w:style>
  <w:style w:type="paragraph" w:styleId="Nadpis1">
    <w:name w:val="heading 1"/>
    <w:basedOn w:val="Normlny"/>
    <w:next w:val="Normlny"/>
    <w:link w:val="Nadpis1Char"/>
    <w:uiPriority w:val="99"/>
    <w:qFormat/>
    <w:pPr>
      <w:keepNext/>
      <w:shd w:val="pct12" w:color="auto" w:fill="auto"/>
      <w:jc w:val="center"/>
      <w:outlineLvl w:val="0"/>
    </w:pPr>
    <w:rPr>
      <w:rFonts w:ascii="Arial" w:hAnsi="Arial" w:cs="Arial"/>
      <w:b/>
      <w:bCs/>
      <w:kern w:val="24"/>
      <w:lang w:eastAsia="sk-SK"/>
    </w:rPr>
  </w:style>
  <w:style w:type="paragraph" w:styleId="Nadpis2">
    <w:name w:val="heading 2"/>
    <w:basedOn w:val="Normlny"/>
    <w:next w:val="Normlny"/>
    <w:link w:val="Nadpis2Char"/>
    <w:uiPriority w:val="99"/>
    <w:qFormat/>
    <w:pPr>
      <w:keepNext/>
      <w:jc w:val="center"/>
      <w:outlineLvl w:val="1"/>
    </w:pPr>
    <w:rPr>
      <w:b/>
      <w:bCs/>
    </w:rPr>
  </w:style>
  <w:style w:type="paragraph" w:styleId="Nadpis3">
    <w:name w:val="heading 3"/>
    <w:basedOn w:val="Normlny"/>
    <w:next w:val="Normlny"/>
    <w:link w:val="Nadpis3Char"/>
    <w:uiPriority w:val="99"/>
    <w:qFormat/>
    <w:pPr>
      <w:keepNext/>
      <w:jc w:val="center"/>
      <w:outlineLvl w:val="2"/>
    </w:pPr>
    <w:rPr>
      <w:sz w:val="28"/>
      <w:szCs w:val="28"/>
    </w:rPr>
  </w:style>
  <w:style w:type="paragraph" w:styleId="Nadpis4">
    <w:name w:val="heading 4"/>
    <w:basedOn w:val="Normlny"/>
    <w:next w:val="Normlny"/>
    <w:link w:val="Nadpis4Char"/>
    <w:uiPriority w:val="99"/>
    <w:qFormat/>
    <w:pPr>
      <w:keepNext/>
      <w:widowControl w:val="0"/>
      <w:jc w:val="both"/>
      <w:outlineLvl w:val="3"/>
    </w:pPr>
    <w:rPr>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lang w:val="x-none" w:eastAsia="cs-CZ"/>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lang w:val="x-none" w:eastAsia="cs-CZ"/>
    </w:rPr>
  </w:style>
  <w:style w:type="character" w:customStyle="1" w:styleId="Nadpis3Char">
    <w:name w:val="Nadpis 3 Char"/>
    <w:basedOn w:val="Predvolenpsmoodseku"/>
    <w:link w:val="Nadpis3"/>
    <w:uiPriority w:val="9"/>
    <w:semiHidden/>
    <w:locked/>
    <w:rPr>
      <w:rFonts w:asciiTheme="majorHAnsi" w:eastAsiaTheme="majorEastAsia" w:hAnsiTheme="majorHAnsi" w:cs="Times New Roman"/>
      <w:b/>
      <w:bCs/>
      <w:sz w:val="26"/>
      <w:szCs w:val="26"/>
      <w:lang w:val="x-none" w:eastAsia="cs-CZ"/>
    </w:rPr>
  </w:style>
  <w:style w:type="character" w:customStyle="1" w:styleId="Nadpis4Char">
    <w:name w:val="Nadpis 4 Char"/>
    <w:basedOn w:val="Predvolenpsmoodseku"/>
    <w:link w:val="Nadpis4"/>
    <w:uiPriority w:val="9"/>
    <w:semiHidden/>
    <w:locked/>
    <w:rPr>
      <w:rFonts w:asciiTheme="minorHAnsi" w:eastAsiaTheme="minorEastAsia" w:hAnsiTheme="minorHAnsi" w:cs="Times New Roman"/>
      <w:b/>
      <w:bCs/>
      <w:sz w:val="28"/>
      <w:szCs w:val="28"/>
      <w:lang w:val="x-none" w:eastAsia="cs-CZ"/>
    </w:rPr>
  </w:style>
  <w:style w:type="paragraph" w:styleId="Zkladntext">
    <w:name w:val="Body Text"/>
    <w:basedOn w:val="Normlny"/>
    <w:link w:val="ZkladntextChar"/>
    <w:uiPriority w:val="99"/>
    <w:rPr>
      <w:rFonts w:ascii="Arial" w:hAnsi="Arial" w:cs="Arial"/>
      <w:kern w:val="24"/>
      <w:lang w:eastAsia="sk-SK"/>
    </w:rPr>
  </w:style>
  <w:style w:type="character" w:customStyle="1" w:styleId="ZkladntextChar">
    <w:name w:val="Základný text Char"/>
    <w:basedOn w:val="Predvolenpsmoodseku"/>
    <w:link w:val="Zkladntext"/>
    <w:uiPriority w:val="99"/>
    <w:semiHidden/>
    <w:locked/>
    <w:rPr>
      <w:rFonts w:cs="Times New Roman"/>
      <w:sz w:val="24"/>
      <w:szCs w:val="24"/>
      <w:lang w:val="x-none" w:eastAsia="cs-CZ"/>
    </w:rPr>
  </w:style>
  <w:style w:type="paragraph" w:styleId="Nzov">
    <w:name w:val="Title"/>
    <w:basedOn w:val="Normlny"/>
    <w:link w:val="NzovChar"/>
    <w:qFormat/>
    <w:pPr>
      <w:jc w:val="center"/>
    </w:pPr>
    <w:rPr>
      <w:rFonts w:ascii="Arial" w:hAnsi="Arial" w:cs="Arial"/>
      <w:b/>
      <w:bCs/>
      <w:kern w:val="24"/>
      <w:lang w:eastAsia="sk-SK"/>
    </w:rPr>
  </w:style>
  <w:style w:type="character" w:customStyle="1" w:styleId="NzovChar">
    <w:name w:val="Názov Char"/>
    <w:basedOn w:val="Predvolenpsmoodseku"/>
    <w:link w:val="Nzov"/>
    <w:uiPriority w:val="10"/>
    <w:locked/>
    <w:rPr>
      <w:rFonts w:asciiTheme="majorHAnsi" w:eastAsiaTheme="majorEastAsia" w:hAnsiTheme="majorHAnsi" w:cs="Times New Roman"/>
      <w:b/>
      <w:bCs/>
      <w:kern w:val="28"/>
      <w:sz w:val="32"/>
      <w:szCs w:val="32"/>
      <w:lang w:val="x-none" w:eastAsia="cs-CZ"/>
    </w:rPr>
  </w:style>
  <w:style w:type="paragraph" w:styleId="Zkladntext2">
    <w:name w:val="Body Text 2"/>
    <w:basedOn w:val="Normlny"/>
    <w:link w:val="Zkladntext2Char"/>
    <w:uiPriority w:val="99"/>
    <w:pPr>
      <w:jc w:val="both"/>
    </w:pPr>
    <w:rPr>
      <w:color w:val="000000"/>
      <w:kern w:val="24"/>
    </w:rPr>
  </w:style>
  <w:style w:type="character" w:customStyle="1" w:styleId="Zkladntext2Char">
    <w:name w:val="Základný text 2 Char"/>
    <w:basedOn w:val="Predvolenpsmoodseku"/>
    <w:link w:val="Zkladntext2"/>
    <w:uiPriority w:val="99"/>
    <w:semiHidden/>
    <w:locked/>
    <w:rPr>
      <w:rFonts w:cs="Times New Roman"/>
      <w:sz w:val="24"/>
      <w:szCs w:val="24"/>
      <w:lang w:val="x-none" w:eastAsia="cs-CZ"/>
    </w:rPr>
  </w:style>
  <w:style w:type="paragraph" w:styleId="Zkladntext3">
    <w:name w:val="Body Text 3"/>
    <w:basedOn w:val="Normlny"/>
    <w:link w:val="Zkladntext3Char"/>
    <w:uiPriority w:val="99"/>
    <w:pPr>
      <w:autoSpaceDE w:val="0"/>
      <w:autoSpaceDN w:val="0"/>
      <w:adjustRightInd w:val="0"/>
      <w:jc w:val="both"/>
    </w:pPr>
    <w:rPr>
      <w:lang w:val="cs-CZ"/>
    </w:rPr>
  </w:style>
  <w:style w:type="character" w:customStyle="1" w:styleId="Zkladntext3Char">
    <w:name w:val="Základný text 3 Char"/>
    <w:basedOn w:val="Predvolenpsmoodseku"/>
    <w:link w:val="Zkladntext3"/>
    <w:uiPriority w:val="99"/>
    <w:semiHidden/>
    <w:locked/>
    <w:rPr>
      <w:rFonts w:cs="Times New Roman"/>
      <w:sz w:val="16"/>
      <w:szCs w:val="16"/>
      <w:lang w:val="x-none" w:eastAsia="cs-CZ"/>
    </w:rPr>
  </w:style>
  <w:style w:type="paragraph" w:styleId="Zarkazkladnhotextu">
    <w:name w:val="Body Text Indent"/>
    <w:basedOn w:val="Normlny"/>
    <w:link w:val="ZarkazkladnhotextuChar"/>
    <w:uiPriority w:val="99"/>
    <w:pPr>
      <w:autoSpaceDE w:val="0"/>
      <w:autoSpaceDN w:val="0"/>
      <w:adjustRightInd w:val="0"/>
      <w:ind w:firstLine="720"/>
    </w:pPr>
    <w:rPr>
      <w:lang w:val="cs-CZ"/>
    </w:rPr>
  </w:style>
  <w:style w:type="character" w:customStyle="1" w:styleId="ZarkazkladnhotextuChar">
    <w:name w:val="Zarážka základného textu Char"/>
    <w:basedOn w:val="Predvolenpsmoodseku"/>
    <w:link w:val="Zarkazkladnhotextu"/>
    <w:uiPriority w:val="99"/>
    <w:semiHidden/>
    <w:locked/>
    <w:rPr>
      <w:rFonts w:cs="Times New Roman"/>
      <w:sz w:val="24"/>
      <w:szCs w:val="24"/>
      <w:lang w:val="x-none" w:eastAsia="cs-CZ"/>
    </w:rPr>
  </w:style>
  <w:style w:type="paragraph" w:styleId="Zarkazkladnhotextu2">
    <w:name w:val="Body Text Indent 2"/>
    <w:basedOn w:val="Normlny"/>
    <w:link w:val="Zarkazkladnhotextu2Char"/>
    <w:uiPriority w:val="99"/>
    <w:pPr>
      <w:tabs>
        <w:tab w:val="left" w:pos="709"/>
      </w:tabs>
      <w:ind w:firstLine="709"/>
      <w:jc w:val="both"/>
    </w:pPr>
  </w:style>
  <w:style w:type="character" w:customStyle="1" w:styleId="Zarkazkladnhotextu2Char">
    <w:name w:val="Zarážka základného textu 2 Char"/>
    <w:basedOn w:val="Predvolenpsmoodseku"/>
    <w:link w:val="Zarkazkladnhotextu2"/>
    <w:uiPriority w:val="99"/>
    <w:semiHidden/>
    <w:locked/>
    <w:rPr>
      <w:rFonts w:cs="Times New Roman"/>
      <w:sz w:val="24"/>
      <w:szCs w:val="24"/>
      <w:lang w:val="x-none" w:eastAsia="cs-CZ"/>
    </w:rPr>
  </w:style>
  <w:style w:type="paragraph" w:styleId="Pta">
    <w:name w:val="footer"/>
    <w:basedOn w:val="Normlny"/>
    <w:link w:val="PtaChar"/>
    <w:pPr>
      <w:tabs>
        <w:tab w:val="center" w:pos="4536"/>
        <w:tab w:val="right" w:pos="9072"/>
      </w:tabs>
    </w:pPr>
    <w:rPr>
      <w:lang w:eastAsia="sk-SK"/>
    </w:rPr>
  </w:style>
  <w:style w:type="character" w:customStyle="1" w:styleId="PtaChar">
    <w:name w:val="Päta Char"/>
    <w:basedOn w:val="Predvolenpsmoodseku"/>
    <w:link w:val="Pta"/>
    <w:semiHidden/>
    <w:locked/>
    <w:rPr>
      <w:rFonts w:cs="Times New Roman"/>
      <w:sz w:val="24"/>
      <w:szCs w:val="24"/>
      <w:lang w:val="x-none" w:eastAsia="cs-CZ"/>
    </w:rPr>
  </w:style>
  <w:style w:type="paragraph" w:styleId="Zarkazkladnhotextu3">
    <w:name w:val="Body Text Indent 3"/>
    <w:basedOn w:val="Normlny"/>
    <w:link w:val="Zarkazkladnhotextu3Char"/>
    <w:uiPriority w:val="99"/>
    <w:pPr>
      <w:ind w:hanging="240"/>
      <w:jc w:val="both"/>
    </w:pPr>
    <w:rPr>
      <w:lang w:eastAsia="en-US"/>
    </w:rPr>
  </w:style>
  <w:style w:type="character" w:customStyle="1" w:styleId="Zarkazkladnhotextu3Char">
    <w:name w:val="Zarážka základného textu 3 Char"/>
    <w:basedOn w:val="Predvolenpsmoodseku"/>
    <w:link w:val="Zarkazkladnhotextu3"/>
    <w:uiPriority w:val="99"/>
    <w:semiHidden/>
    <w:locked/>
    <w:rPr>
      <w:rFonts w:cs="Times New Roman"/>
      <w:sz w:val="16"/>
      <w:szCs w:val="16"/>
      <w:lang w:val="x-none" w:eastAsia="cs-CZ"/>
    </w:rPr>
  </w:style>
  <w:style w:type="character" w:styleId="Odkaznapoznmkupodiarou">
    <w:name w:val="footnote reference"/>
    <w:basedOn w:val="Predvolenpsmoodseku"/>
    <w:uiPriority w:val="99"/>
    <w:semiHidden/>
    <w:rPr>
      <w:rFonts w:cs="Times New Roman"/>
      <w:vertAlign w:val="superscript"/>
    </w:rPr>
  </w:style>
  <w:style w:type="paragraph" w:styleId="Textpoznmkypodiarou">
    <w:name w:val="footnote text"/>
    <w:basedOn w:val="Normlny"/>
    <w:link w:val="TextpoznmkypodiarouChar"/>
    <w:uiPriority w:val="99"/>
    <w:semiHidden/>
    <w:rPr>
      <w:sz w:val="20"/>
      <w:szCs w:val="20"/>
    </w:rPr>
  </w:style>
  <w:style w:type="character" w:customStyle="1" w:styleId="TextpoznmkypodiarouChar">
    <w:name w:val="Text poznámky pod čiarou Char"/>
    <w:basedOn w:val="Predvolenpsmoodseku"/>
    <w:link w:val="Textpoznmkypodiarou"/>
    <w:uiPriority w:val="99"/>
    <w:semiHidden/>
    <w:locked/>
    <w:rPr>
      <w:rFonts w:cs="Times New Roman"/>
      <w:sz w:val="20"/>
      <w:szCs w:val="20"/>
      <w:lang w:val="x-none" w:eastAsia="cs-CZ"/>
    </w:rPr>
  </w:style>
  <w:style w:type="paragraph" w:styleId="Podtitul">
    <w:name w:val="Subtitle"/>
    <w:basedOn w:val="Normlny"/>
    <w:link w:val="PodtitulChar"/>
    <w:uiPriority w:val="99"/>
    <w:qFormat/>
    <w:pPr>
      <w:jc w:val="center"/>
    </w:pPr>
    <w:rPr>
      <w:b/>
      <w:bCs/>
      <w:sz w:val="28"/>
      <w:szCs w:val="28"/>
    </w:rPr>
  </w:style>
  <w:style w:type="character" w:customStyle="1" w:styleId="PodtitulChar">
    <w:name w:val="Podtitul Char"/>
    <w:basedOn w:val="Predvolenpsmoodseku"/>
    <w:link w:val="Podtitul"/>
    <w:uiPriority w:val="11"/>
    <w:locked/>
    <w:rPr>
      <w:rFonts w:asciiTheme="majorHAnsi" w:eastAsiaTheme="majorEastAsia" w:hAnsiTheme="majorHAnsi" w:cs="Times New Roman"/>
      <w:sz w:val="24"/>
      <w:szCs w:val="24"/>
      <w:lang w:val="x-none" w:eastAsia="cs-CZ"/>
    </w:rPr>
  </w:style>
  <w:style w:type="paragraph" w:styleId="Hlavika">
    <w:name w:val="header"/>
    <w:basedOn w:val="Normlny"/>
    <w:link w:val="HlavikaChar"/>
    <w:uiPriority w:val="99"/>
    <w:pPr>
      <w:tabs>
        <w:tab w:val="center" w:pos="4536"/>
        <w:tab w:val="right" w:pos="9072"/>
      </w:tabs>
    </w:pPr>
  </w:style>
  <w:style w:type="character" w:customStyle="1" w:styleId="HlavikaChar">
    <w:name w:val="Hlavička Char"/>
    <w:basedOn w:val="Predvolenpsmoodseku"/>
    <w:link w:val="Hlavika"/>
    <w:uiPriority w:val="99"/>
    <w:semiHidden/>
    <w:locked/>
    <w:rPr>
      <w:rFonts w:cs="Times New Roman"/>
      <w:sz w:val="24"/>
      <w:szCs w:val="24"/>
      <w:lang w:val="x-none" w:eastAsia="cs-CZ"/>
    </w:rPr>
  </w:style>
  <w:style w:type="paragraph" w:styleId="truktradokumentu">
    <w:name w:val="Document Map"/>
    <w:basedOn w:val="Normlny"/>
    <w:link w:val="truktradokumentuChar"/>
    <w:uiPriority w:val="99"/>
    <w:semiHidden/>
    <w:pPr>
      <w:shd w:val="clear" w:color="auto" w:fill="000080"/>
    </w:pPr>
    <w:rPr>
      <w:rFonts w:ascii="Tahoma" w:hAnsi="Tahoma" w:cs="Tahoma"/>
    </w:rPr>
  </w:style>
  <w:style w:type="character" w:customStyle="1" w:styleId="truktradokumentuChar">
    <w:name w:val="Štruktúra dokumentu Char"/>
    <w:basedOn w:val="Predvolenpsmoodseku"/>
    <w:link w:val="truktradokumentu"/>
    <w:uiPriority w:val="99"/>
    <w:semiHidden/>
    <w:locked/>
    <w:rPr>
      <w:rFonts w:ascii="Tahoma" w:hAnsi="Tahoma" w:cs="Tahoma"/>
      <w:sz w:val="16"/>
      <w:szCs w:val="16"/>
      <w:lang w:val="x-none" w:eastAsia="cs-CZ"/>
    </w:rPr>
  </w:style>
  <w:style w:type="character" w:styleId="slostrany">
    <w:name w:val="page number"/>
    <w:basedOn w:val="Predvolenpsmoodseku"/>
    <w:uiPriority w:val="99"/>
    <w:rPr>
      <w:rFonts w:cs="Times New Roman"/>
    </w:rPr>
  </w:style>
  <w:style w:type="paragraph" w:styleId="Textbubliny">
    <w:name w:val="Balloon Text"/>
    <w:basedOn w:val="Normlny"/>
    <w:link w:val="TextbublinyChar"/>
    <w:uiPriority w:val="99"/>
    <w:semiHidden/>
    <w:unhideWhenUsed/>
    <w:rsid w:val="00C04E45"/>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C04E45"/>
    <w:rPr>
      <w:rFonts w:ascii="Tahoma" w:hAnsi="Tahoma" w:cs="Tahoma"/>
      <w:sz w:val="16"/>
      <w:szCs w:val="16"/>
      <w:lang w:val="x-none" w:eastAsia="cs-CZ"/>
    </w:rPr>
  </w:style>
  <w:style w:type="paragraph" w:styleId="Odsekzoznamu">
    <w:name w:val="List Paragraph"/>
    <w:basedOn w:val="Normlny"/>
    <w:uiPriority w:val="34"/>
    <w:qFormat/>
    <w:rsid w:val="00FF73AD"/>
    <w:pPr>
      <w:ind w:left="720"/>
      <w:contextualSpacing/>
    </w:pPr>
  </w:style>
  <w:style w:type="paragraph" w:customStyle="1" w:styleId="Zarkazkladnhotextu1">
    <w:name w:val="Zarážka základného textu1"/>
    <w:basedOn w:val="Normlny"/>
    <w:rsid w:val="00AE10FB"/>
    <w:pPr>
      <w:ind w:firstLine="708"/>
      <w:jc w:val="both"/>
    </w:pPr>
    <w:rPr>
      <w:lang w:eastAsia="sk-SK"/>
    </w:rPr>
  </w:style>
  <w:style w:type="paragraph" w:customStyle="1" w:styleId="Zakladnystyl">
    <w:name w:val="Zakladny styl"/>
    <w:rsid w:val="00AE10FB"/>
    <w:pPr>
      <w:spacing w:after="0" w:line="240" w:lineRule="auto"/>
    </w:pPr>
    <w:rPr>
      <w:sz w:val="24"/>
      <w:szCs w:val="24"/>
    </w:rPr>
  </w:style>
  <w:style w:type="paragraph" w:customStyle="1" w:styleId="Vlada">
    <w:name w:val="Vlada"/>
    <w:basedOn w:val="Normlny"/>
    <w:uiPriority w:val="99"/>
    <w:rsid w:val="00AE10FB"/>
    <w:pPr>
      <w:autoSpaceDE w:val="0"/>
      <w:autoSpaceDN w:val="0"/>
      <w:spacing w:before="480" w:after="120"/>
    </w:pPr>
    <w:rPr>
      <w:b/>
      <w:bCs/>
      <w:sz w:val="32"/>
      <w:szCs w:val="32"/>
      <w:lang w:eastAsia="sk-SK"/>
    </w:rPr>
  </w:style>
  <w:style w:type="paragraph" w:styleId="Normlnywebov">
    <w:name w:val="Normal (Web)"/>
    <w:aliases w:val="webb"/>
    <w:basedOn w:val="Normlny"/>
    <w:uiPriority w:val="99"/>
    <w:unhideWhenUsed/>
    <w:rsid w:val="009F68CB"/>
    <w:pPr>
      <w:tabs>
        <w:tab w:val="center" w:pos="4536"/>
        <w:tab w:val="right" w:pos="9072"/>
      </w:tabs>
    </w:pPr>
    <w:rPr>
      <w:lang w:eastAsia="sk-SK"/>
    </w:rPr>
  </w:style>
  <w:style w:type="character" w:customStyle="1" w:styleId="apple-converted-space">
    <w:name w:val="apple-converted-space"/>
    <w:basedOn w:val="Predvolenpsmoodseku"/>
    <w:rsid w:val="00565FEF"/>
  </w:style>
  <w:style w:type="paragraph" w:customStyle="1" w:styleId="Odsekzoznamu1">
    <w:name w:val="Odsek zoznamu1"/>
    <w:basedOn w:val="Normlny"/>
    <w:rsid w:val="0037331E"/>
    <w:pPr>
      <w:spacing w:after="200" w:line="276" w:lineRule="auto"/>
      <w:ind w:left="720"/>
      <w:contextualSpacing/>
    </w:pPr>
    <w:rPr>
      <w:rFonts w:ascii="Calibri" w:hAnsi="Calibri"/>
      <w:sz w:val="22"/>
      <w:szCs w:val="22"/>
      <w:lang w:eastAsia="en-US"/>
    </w:rPr>
  </w:style>
  <w:style w:type="character" w:styleId="Zstupntext">
    <w:name w:val="Placeholder Text"/>
    <w:semiHidden/>
    <w:rsid w:val="0037331E"/>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WKX3UHSAJ2R6-2-720851</_dlc_DocId>
    <_dlc_DocIdUrl xmlns="e60a29af-d413-48d4-bd90-fe9d2a897e4b">
      <Url>https://ovdmasv601/sites/DMS/_layouts/15/DocIdRedir.aspx?ID=WKX3UHSAJ2R6-2-720851</Url>
      <Description>WKX3UHSAJ2R6-2-720851</Description>
    </_dlc_DocIdUrl>
  </documentManagement>
</p:properties>
</file>

<file path=customXml/itemProps1.xml><?xml version="1.0" encoding="utf-8"?>
<ds:datastoreItem xmlns:ds="http://schemas.openxmlformats.org/officeDocument/2006/customXml" ds:itemID="{C362B013-49EF-44DB-8116-D57F75097A5B}"/>
</file>

<file path=customXml/itemProps2.xml><?xml version="1.0" encoding="utf-8"?>
<ds:datastoreItem xmlns:ds="http://schemas.openxmlformats.org/officeDocument/2006/customXml" ds:itemID="{96755966-F45D-4A66-B2D4-6D4C24CD181C}"/>
</file>

<file path=customXml/itemProps3.xml><?xml version="1.0" encoding="utf-8"?>
<ds:datastoreItem xmlns:ds="http://schemas.openxmlformats.org/officeDocument/2006/customXml" ds:itemID="{FC3EFFC2-402C-4C97-83E2-BCD07BFC7DE4}"/>
</file>

<file path=customXml/itemProps4.xml><?xml version="1.0" encoding="utf-8"?>
<ds:datastoreItem xmlns:ds="http://schemas.openxmlformats.org/officeDocument/2006/customXml" ds:itemID="{48468AEF-2919-4ABF-830D-56969BE7FB64}"/>
</file>

<file path=docProps/app.xml><?xml version="1.0" encoding="utf-8"?>
<Properties xmlns="http://schemas.openxmlformats.org/officeDocument/2006/extended-properties" xmlns:vt="http://schemas.openxmlformats.org/officeDocument/2006/docPropsVTypes">
  <Template>Normal</Template>
  <TotalTime>0</TotalTime>
  <Pages>6</Pages>
  <Words>2506</Words>
  <Characters>14290</Characters>
  <Application>Microsoft Office Word</Application>
  <DocSecurity>0</DocSecurity>
  <Lines>119</Lines>
  <Paragraphs>33</Paragraphs>
  <ScaleCrop>false</ScaleCrop>
  <HeadingPairs>
    <vt:vector size="2" baseType="variant">
      <vt:variant>
        <vt:lpstr>Názov</vt:lpstr>
      </vt:variant>
      <vt:variant>
        <vt:i4>1</vt:i4>
      </vt:variant>
    </vt:vector>
  </HeadingPairs>
  <TitlesOfParts>
    <vt:vector size="1" baseType="lpstr">
      <vt:lpstr>Výbor pre obranné plánovanie Bezpečnostnej rady Slovenskej republiky</vt:lpstr>
    </vt:vector>
  </TitlesOfParts>
  <Company>MOSR</Company>
  <LinksUpToDate>false</LinksUpToDate>
  <CharactersWithSpaces>16763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Výbor pre obranné plánovanie Bezpečnostnej rady Slovenskej republiky</dc:title>
  <dc:subject/>
  <dc:creator>K.Matousek</dc:creator>
  <cp:keywords/>
  <dc:description/>
  <cp:lastModifiedBy>SEVCOVICOVA Viola</cp:lastModifiedBy>
  <cp:revision>2</cp:revision>
  <cp:lastPrinted>2005-02-07T10:43:00Z</cp:lastPrinted>
  <dcterms:created xsi:type="dcterms:W3CDTF">2016-06-24T11:02:00Z</dcterms:created>
  <dcterms:modified xsi:type="dcterms:W3CDTF">2016-06-24T11:02:00Z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788d8405-b575-427f-bb65-28a72127c868</vt:lpwstr>
  </property>
</Properties>
</file>