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theme/themeOverride3.xml" ContentType="application/vnd.openxmlformats-officedocument.themeOverride+xml"/>
  <Override PartName="/word/theme/theme1.xml" ContentType="application/vnd.openxmlformats-officedocument.theme+xml"/>
  <Override PartName="/word/theme/themeOverride4.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olors2.xml" ContentType="application/vnd.ms-office.chartcolorstyle+xml"/>
  <Override PartName="/word/charts/style2.xml" ContentType="application/vnd.ms-office.chartstyl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21F" w:rsidRPr="001C2270" w:rsidRDefault="0099221F" w:rsidP="0099221F">
      <w:pPr>
        <w:spacing w:after="120" w:line="264" w:lineRule="auto"/>
        <w:jc w:val="center"/>
        <w:rPr>
          <w:b/>
          <w:sz w:val="28"/>
          <w:szCs w:val="28"/>
        </w:rPr>
      </w:pPr>
      <w:bookmarkStart w:id="0" w:name="_GoBack"/>
      <w:bookmarkEnd w:id="0"/>
      <w:r w:rsidRPr="001C2270">
        <w:rPr>
          <w:b/>
          <w:sz w:val="32"/>
          <w:szCs w:val="32"/>
        </w:rPr>
        <w:t>I N F O R M Á C I A</w:t>
      </w:r>
      <w:r w:rsidRPr="001C2270">
        <w:rPr>
          <w:b/>
          <w:sz w:val="32"/>
          <w:szCs w:val="32"/>
        </w:rPr>
        <w:br/>
      </w:r>
      <w:r w:rsidRPr="001C2270">
        <w:rPr>
          <w:b/>
          <w:sz w:val="28"/>
          <w:szCs w:val="28"/>
        </w:rPr>
        <w:t xml:space="preserve">o aktuálnom vývoji v oblasti doplňovania (regrutácie) </w:t>
      </w:r>
      <w:r>
        <w:rPr>
          <w:b/>
          <w:sz w:val="28"/>
          <w:szCs w:val="28"/>
        </w:rPr>
        <w:br/>
      </w:r>
      <w:r w:rsidRPr="00B65104">
        <w:rPr>
          <w:b/>
          <w:sz w:val="28"/>
          <w:szCs w:val="28"/>
        </w:rPr>
        <w:t>vojenského</w:t>
      </w:r>
      <w:r w:rsidRPr="001C2270">
        <w:rPr>
          <w:b/>
          <w:sz w:val="28"/>
          <w:szCs w:val="28"/>
        </w:rPr>
        <w:t xml:space="preserve"> personálu Ozbrojených síl Slovenskej republiky</w:t>
      </w:r>
    </w:p>
    <w:p w:rsidR="0099221F" w:rsidRDefault="0099221F" w:rsidP="0099221F">
      <w:pPr>
        <w:spacing w:after="120" w:line="264" w:lineRule="auto"/>
        <w:jc w:val="both"/>
      </w:pPr>
    </w:p>
    <w:p w:rsidR="0099221F" w:rsidRPr="00AB3C4C" w:rsidRDefault="0099221F" w:rsidP="0099221F">
      <w:pPr>
        <w:spacing w:line="264" w:lineRule="auto"/>
        <w:ind w:firstLine="708"/>
        <w:jc w:val="both"/>
      </w:pPr>
      <w:r w:rsidRPr="00AB3C4C">
        <w:t>Ministerstvo obrany Slovenskej republiky (ďalej len „ministerstvo obrany“) je v nadväznosti na stabilný hospodársky rast a zlepšujúcu sa ekonomickú situáciu</w:t>
      </w:r>
      <w:r>
        <w:t xml:space="preserve"> </w:t>
      </w:r>
      <w:r w:rsidRPr="004A1947">
        <w:t xml:space="preserve">v Slovenskej republike </w:t>
      </w:r>
      <w:r w:rsidRPr="00AB3C4C">
        <w:t>vystavené v posledných rokoch čoraz vyššiemu tlaku na získavanie (regrutáciu) kvalitných a</w:t>
      </w:r>
      <w:r>
        <w:t> </w:t>
      </w:r>
      <w:r w:rsidRPr="00AB3C4C">
        <w:t xml:space="preserve">kvalifikovaných mladých ľudí na pozície </w:t>
      </w:r>
      <w:r w:rsidR="00532491">
        <w:t>profesionálnych vojakov v o</w:t>
      </w:r>
      <w:r w:rsidRPr="000822DD">
        <w:t>zbrojených silách Slovenskej republiky (ďalej len „OS SR“) a na udržanie si skúseného</w:t>
      </w:r>
      <w:r>
        <w:t>, vzdelaného</w:t>
      </w:r>
      <w:r w:rsidRPr="000822DD">
        <w:t xml:space="preserve"> a vycvičeného vojenského personálu. Na základe aktuálneho demografického a</w:t>
      </w:r>
      <w:r>
        <w:t> </w:t>
      </w:r>
      <w:r w:rsidRPr="000822DD">
        <w:t>sociálno-ekonomického vývoja spoločnosti</w:t>
      </w:r>
      <w:r>
        <w:t xml:space="preserve"> </w:t>
      </w:r>
      <w:r w:rsidRPr="000822DD">
        <w:t>a prognóz vypracovaných v rámci ministerstva obrany existuje reálny predpoklad, že v nasledujúcich rokoch sa bude tento tlak na rezort obrany zvyšovať. Vývoj modernej vojenskej vedy a operačného umenia, používanie stále sofistikovanejších zbraní, zbraňových systémov a bojovej techniky</w:t>
      </w:r>
      <w:r w:rsidRPr="00AB3C4C">
        <w:t xml:space="preserve">, kontinuálne zhoršovanie globálneho, kontinentálneho i regionálneho bezpečnostného prostredia, rast vojenských i nevojenských bezpečnostných hrozieb, ako aj stále väčšia participácia OS SR na plnení </w:t>
      </w:r>
      <w:r w:rsidRPr="00B65104">
        <w:t>úloh pri mimoriadnych udalostiach a</w:t>
      </w:r>
      <w:r>
        <w:t xml:space="preserve"> </w:t>
      </w:r>
      <w:r w:rsidRPr="00B65104">
        <w:t>nevojenských krízových situáciách a zapájanie sa do vojenských cvičení a</w:t>
      </w:r>
      <w:r>
        <w:t xml:space="preserve"> </w:t>
      </w:r>
      <w:r w:rsidRPr="00B65104">
        <w:t>do plnenia úloh mimo územia Slovenskej republiky</w:t>
      </w:r>
      <w:r>
        <w:t>,</w:t>
      </w:r>
      <w:r w:rsidRPr="00B65104">
        <w:t xml:space="preserve"> predovšetkým v rámci NATO, EÚ a OSN, si vyžadujú stále lepšie odborne</w:t>
      </w:r>
      <w:r w:rsidRPr="00AB3C4C">
        <w:t xml:space="preserve">, </w:t>
      </w:r>
      <w:r>
        <w:t xml:space="preserve">zdravotne, </w:t>
      </w:r>
      <w:r w:rsidRPr="00AB3C4C">
        <w:t>psychicky, fyzicky a jazykovo pripravený vojenský personál.</w:t>
      </w:r>
    </w:p>
    <w:p w:rsidR="0099221F" w:rsidRDefault="0099221F" w:rsidP="0099221F">
      <w:pPr>
        <w:spacing w:line="264" w:lineRule="auto"/>
        <w:jc w:val="both"/>
        <w:rPr>
          <w:b/>
          <w:color w:val="FF0000"/>
        </w:rPr>
      </w:pPr>
    </w:p>
    <w:p w:rsidR="0099221F" w:rsidRPr="00AB3C4C" w:rsidRDefault="0099221F" w:rsidP="0099221F">
      <w:pPr>
        <w:spacing w:line="264" w:lineRule="auto"/>
        <w:ind w:firstLine="708"/>
        <w:jc w:val="both"/>
      </w:pPr>
      <w:r w:rsidRPr="00AB3C4C">
        <w:t xml:space="preserve">Prvá polovica roku 2017 potvrdzuje pokračovanie negatívnych tendencií v oblasti vývoja doplňovania (regrutácie) </w:t>
      </w:r>
      <w:r w:rsidRPr="000822DD">
        <w:t xml:space="preserve">a udržiavania </w:t>
      </w:r>
      <w:r w:rsidRPr="00AB3C4C">
        <w:t xml:space="preserve">vojenského personálu OS SR z posledných rokov, ktoré sa prejavujú predovšetkým v: </w:t>
      </w:r>
    </w:p>
    <w:p w:rsidR="0099221F" w:rsidRPr="00AB3C4C" w:rsidRDefault="0099221F" w:rsidP="0099221F">
      <w:pPr>
        <w:pStyle w:val="Odsekzoznamu"/>
        <w:numPr>
          <w:ilvl w:val="0"/>
          <w:numId w:val="1"/>
        </w:numPr>
        <w:spacing w:after="0" w:line="264" w:lineRule="auto"/>
        <w:ind w:hanging="436"/>
        <w:jc w:val="both"/>
        <w:rPr>
          <w:rFonts w:ascii="Times New Roman" w:hAnsi="Times New Roman"/>
          <w:sz w:val="24"/>
          <w:szCs w:val="24"/>
        </w:rPr>
      </w:pPr>
      <w:r w:rsidRPr="00AB3C4C">
        <w:rPr>
          <w:rFonts w:ascii="Times New Roman" w:hAnsi="Times New Roman"/>
          <w:sz w:val="24"/>
          <w:szCs w:val="24"/>
        </w:rPr>
        <w:t>prehlbujúcom sa poklese záujmu mladých ľudí o vstup do OS SR (tabuľka 1),</w:t>
      </w:r>
    </w:p>
    <w:p w:rsidR="0099221F" w:rsidRPr="00AB3C4C" w:rsidRDefault="0099221F" w:rsidP="0099221F">
      <w:pPr>
        <w:pStyle w:val="Odsekzoznamu"/>
        <w:numPr>
          <w:ilvl w:val="0"/>
          <w:numId w:val="1"/>
        </w:numPr>
        <w:spacing w:after="0" w:line="264" w:lineRule="auto"/>
        <w:ind w:hanging="436"/>
        <w:jc w:val="both"/>
        <w:rPr>
          <w:rFonts w:ascii="Times New Roman" w:hAnsi="Times New Roman"/>
          <w:sz w:val="24"/>
          <w:szCs w:val="24"/>
        </w:rPr>
      </w:pPr>
      <w:r w:rsidRPr="00AB3C4C">
        <w:rPr>
          <w:rFonts w:ascii="Times New Roman" w:hAnsi="Times New Roman"/>
          <w:sz w:val="24"/>
          <w:szCs w:val="24"/>
        </w:rPr>
        <w:t>klesajúcej kvalite záujemcov o štátnu službu profesionálneho vojaka (tabuľka 1),</w:t>
      </w:r>
    </w:p>
    <w:p w:rsidR="0099221F" w:rsidRDefault="0099221F" w:rsidP="0099221F">
      <w:pPr>
        <w:pStyle w:val="Odsekzoznamu"/>
        <w:numPr>
          <w:ilvl w:val="0"/>
          <w:numId w:val="1"/>
        </w:numPr>
        <w:spacing w:after="0" w:line="264" w:lineRule="auto"/>
        <w:ind w:hanging="436"/>
        <w:jc w:val="both"/>
        <w:rPr>
          <w:rFonts w:ascii="Times New Roman" w:hAnsi="Times New Roman"/>
          <w:sz w:val="24"/>
          <w:szCs w:val="24"/>
        </w:rPr>
      </w:pPr>
      <w:r w:rsidRPr="00AB3C4C">
        <w:rPr>
          <w:rFonts w:ascii="Times New Roman" w:hAnsi="Times New Roman"/>
          <w:sz w:val="24"/>
          <w:szCs w:val="24"/>
        </w:rPr>
        <w:t>klesajúcej miere naplnenosti funkcií profesionálnych vojakov OS SR, ktorá k 6.7.2017 dosiahla historicky najnižšiu úroveň – 75,8 % (graf 1).</w:t>
      </w:r>
      <w:r>
        <w:rPr>
          <w:rFonts w:ascii="Times New Roman" w:hAnsi="Times New Roman"/>
          <w:sz w:val="24"/>
          <w:szCs w:val="24"/>
        </w:rPr>
        <w:t xml:space="preserve"> </w:t>
      </w:r>
    </w:p>
    <w:p w:rsidR="0099221F" w:rsidRPr="00AB3C4C" w:rsidRDefault="0099221F" w:rsidP="0099221F">
      <w:pPr>
        <w:pStyle w:val="Odsekzoznamu"/>
        <w:spacing w:after="0" w:line="264" w:lineRule="auto"/>
        <w:jc w:val="both"/>
        <w:rPr>
          <w:rFonts w:ascii="Times New Roman" w:hAnsi="Times New Roman"/>
          <w:sz w:val="24"/>
          <w:szCs w:val="24"/>
        </w:rPr>
      </w:pPr>
    </w:p>
    <w:p w:rsidR="0099221F" w:rsidRPr="00AB3C4C" w:rsidRDefault="0099221F" w:rsidP="0099221F">
      <w:pPr>
        <w:spacing w:after="120" w:line="276" w:lineRule="auto"/>
        <w:jc w:val="center"/>
      </w:pPr>
      <w:r w:rsidRPr="00AB3C4C">
        <w:t>Tabuľka 1</w:t>
      </w:r>
      <w:r w:rsidRPr="00AB3C4C">
        <w:br/>
        <w:t xml:space="preserve">Porovnanie počtov prihlásených záujemcov o službu v OS SR na funkciu </w:t>
      </w:r>
      <w:r w:rsidRPr="00AB3C4C">
        <w:br/>
        <w:t xml:space="preserve">vojak 2. stupňa a záujemcov, ktorí splnili kritériá na vstup do štátnej </w:t>
      </w:r>
      <w:r w:rsidRPr="00AB3C4C">
        <w:br/>
        <w:t>služby za posledných päť rokov</w:t>
      </w:r>
    </w:p>
    <w:p w:rsidR="0099221F" w:rsidRPr="00C773EB" w:rsidRDefault="0099221F" w:rsidP="0099221F">
      <w:pPr>
        <w:spacing w:after="120" w:line="276" w:lineRule="auto"/>
        <w:jc w:val="both"/>
        <w:rPr>
          <w:sz w:val="6"/>
          <w:szCs w:val="6"/>
        </w:rPr>
      </w:pPr>
      <w:r w:rsidRPr="00C773EB">
        <w:rPr>
          <w:sz w:val="6"/>
          <w:szCs w:val="6"/>
        </w:rPr>
        <w:t xml:space="preserve"> </w:t>
      </w:r>
    </w:p>
    <w:tbl>
      <w:tblPr>
        <w:tblW w:w="793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
        <w:gridCol w:w="2439"/>
        <w:gridCol w:w="2263"/>
        <w:gridCol w:w="2268"/>
      </w:tblGrid>
      <w:tr w:rsidR="0099221F" w:rsidRPr="000664D0" w:rsidTr="00E909B4">
        <w:trPr>
          <w:trHeight w:val="1304"/>
        </w:trPr>
        <w:tc>
          <w:tcPr>
            <w:tcW w:w="963" w:type="dxa"/>
            <w:vAlign w:val="center"/>
          </w:tcPr>
          <w:p w:rsidR="0099221F" w:rsidRPr="000664D0" w:rsidRDefault="0099221F" w:rsidP="00E909B4">
            <w:pPr>
              <w:spacing w:line="276" w:lineRule="auto"/>
              <w:jc w:val="center"/>
            </w:pPr>
            <w:r w:rsidRPr="000664D0">
              <w:t>Rok</w:t>
            </w:r>
          </w:p>
        </w:tc>
        <w:tc>
          <w:tcPr>
            <w:tcW w:w="2439" w:type="dxa"/>
            <w:vAlign w:val="center"/>
          </w:tcPr>
          <w:p w:rsidR="0099221F" w:rsidRPr="000664D0" w:rsidRDefault="0099221F" w:rsidP="00E909B4">
            <w:pPr>
              <w:spacing w:line="276" w:lineRule="auto"/>
              <w:jc w:val="center"/>
            </w:pPr>
            <w:r w:rsidRPr="000664D0">
              <w:t>Počet prihlásených občanov – záujemcov o vstup do štátnej služby v OS SR</w:t>
            </w:r>
          </w:p>
        </w:tc>
        <w:tc>
          <w:tcPr>
            <w:tcW w:w="2263" w:type="dxa"/>
            <w:vAlign w:val="center"/>
          </w:tcPr>
          <w:p w:rsidR="0099221F" w:rsidRPr="000664D0" w:rsidRDefault="0099221F" w:rsidP="00E909B4">
            <w:pPr>
              <w:spacing w:line="276" w:lineRule="auto"/>
              <w:jc w:val="center"/>
            </w:pPr>
            <w:r w:rsidRPr="000664D0">
              <w:t xml:space="preserve">Počet záujemcov, ktorí splnili kritériá </w:t>
            </w:r>
            <w:r w:rsidRPr="000664D0">
              <w:br/>
              <w:t>na vstup do štátnej služby v OS SR</w:t>
            </w:r>
          </w:p>
        </w:tc>
        <w:tc>
          <w:tcPr>
            <w:tcW w:w="2268" w:type="dxa"/>
            <w:vAlign w:val="center"/>
          </w:tcPr>
          <w:p w:rsidR="0099221F" w:rsidRPr="000664D0" w:rsidRDefault="0099221F" w:rsidP="00E909B4">
            <w:pPr>
              <w:spacing w:line="276" w:lineRule="auto"/>
              <w:jc w:val="center"/>
            </w:pPr>
            <w:r w:rsidRPr="000664D0">
              <w:t>Percentuálne vyjadrenie počtu záujemcov, ktorí splnili kritériá</w:t>
            </w:r>
          </w:p>
        </w:tc>
      </w:tr>
      <w:tr w:rsidR="0099221F" w:rsidRPr="000664D0" w:rsidTr="00E909B4">
        <w:trPr>
          <w:trHeight w:val="454"/>
        </w:trPr>
        <w:tc>
          <w:tcPr>
            <w:tcW w:w="963" w:type="dxa"/>
            <w:vAlign w:val="center"/>
          </w:tcPr>
          <w:p w:rsidR="0099221F" w:rsidRPr="000664D0" w:rsidRDefault="0099221F" w:rsidP="00E909B4">
            <w:pPr>
              <w:spacing w:line="276" w:lineRule="auto"/>
              <w:jc w:val="center"/>
            </w:pPr>
            <w:r w:rsidRPr="000664D0">
              <w:t>2012</w:t>
            </w:r>
          </w:p>
        </w:tc>
        <w:tc>
          <w:tcPr>
            <w:tcW w:w="2439" w:type="dxa"/>
            <w:vAlign w:val="center"/>
          </w:tcPr>
          <w:p w:rsidR="0099221F" w:rsidRPr="000664D0" w:rsidRDefault="0099221F" w:rsidP="00E909B4">
            <w:pPr>
              <w:spacing w:line="276" w:lineRule="auto"/>
              <w:jc w:val="center"/>
            </w:pPr>
            <w:r w:rsidRPr="000664D0">
              <w:t>2 417</w:t>
            </w:r>
          </w:p>
        </w:tc>
        <w:tc>
          <w:tcPr>
            <w:tcW w:w="2263" w:type="dxa"/>
            <w:vAlign w:val="center"/>
          </w:tcPr>
          <w:p w:rsidR="0099221F" w:rsidRPr="000664D0" w:rsidRDefault="0099221F" w:rsidP="00E909B4">
            <w:pPr>
              <w:spacing w:line="276" w:lineRule="auto"/>
              <w:jc w:val="center"/>
            </w:pPr>
            <w:r w:rsidRPr="000664D0">
              <w:t>1 190</w:t>
            </w:r>
          </w:p>
        </w:tc>
        <w:tc>
          <w:tcPr>
            <w:tcW w:w="2268" w:type="dxa"/>
            <w:vAlign w:val="center"/>
          </w:tcPr>
          <w:p w:rsidR="0099221F" w:rsidRPr="000664D0" w:rsidRDefault="0099221F" w:rsidP="00E909B4">
            <w:pPr>
              <w:spacing w:line="276" w:lineRule="auto"/>
              <w:jc w:val="center"/>
            </w:pPr>
            <w:r w:rsidRPr="000664D0">
              <w:t>49 %</w:t>
            </w:r>
          </w:p>
        </w:tc>
      </w:tr>
      <w:tr w:rsidR="0099221F" w:rsidRPr="000664D0" w:rsidTr="00E909B4">
        <w:trPr>
          <w:trHeight w:val="454"/>
        </w:trPr>
        <w:tc>
          <w:tcPr>
            <w:tcW w:w="963" w:type="dxa"/>
            <w:vAlign w:val="center"/>
          </w:tcPr>
          <w:p w:rsidR="0099221F" w:rsidRPr="000664D0" w:rsidRDefault="0099221F" w:rsidP="00E909B4">
            <w:pPr>
              <w:spacing w:line="276" w:lineRule="auto"/>
              <w:jc w:val="center"/>
            </w:pPr>
            <w:r w:rsidRPr="000664D0">
              <w:t>2013</w:t>
            </w:r>
          </w:p>
        </w:tc>
        <w:tc>
          <w:tcPr>
            <w:tcW w:w="2439" w:type="dxa"/>
            <w:vAlign w:val="center"/>
          </w:tcPr>
          <w:p w:rsidR="0099221F" w:rsidRPr="000664D0" w:rsidRDefault="0099221F" w:rsidP="00E909B4">
            <w:pPr>
              <w:spacing w:line="276" w:lineRule="auto"/>
              <w:jc w:val="center"/>
            </w:pPr>
            <w:r w:rsidRPr="000664D0">
              <w:t>2 659</w:t>
            </w:r>
          </w:p>
        </w:tc>
        <w:tc>
          <w:tcPr>
            <w:tcW w:w="2263" w:type="dxa"/>
            <w:vAlign w:val="center"/>
          </w:tcPr>
          <w:p w:rsidR="0099221F" w:rsidRPr="000664D0" w:rsidRDefault="0099221F" w:rsidP="00E909B4">
            <w:pPr>
              <w:spacing w:line="276" w:lineRule="auto"/>
              <w:jc w:val="center"/>
            </w:pPr>
            <w:r w:rsidRPr="000664D0">
              <w:t>1 260</w:t>
            </w:r>
          </w:p>
        </w:tc>
        <w:tc>
          <w:tcPr>
            <w:tcW w:w="2268" w:type="dxa"/>
            <w:vAlign w:val="center"/>
          </w:tcPr>
          <w:p w:rsidR="0099221F" w:rsidRPr="000664D0" w:rsidRDefault="0099221F" w:rsidP="00E909B4">
            <w:pPr>
              <w:spacing w:line="276" w:lineRule="auto"/>
              <w:jc w:val="center"/>
            </w:pPr>
            <w:r w:rsidRPr="000664D0">
              <w:t>47%</w:t>
            </w:r>
          </w:p>
        </w:tc>
      </w:tr>
      <w:tr w:rsidR="0099221F" w:rsidRPr="000664D0" w:rsidTr="00E909B4">
        <w:trPr>
          <w:trHeight w:val="454"/>
        </w:trPr>
        <w:tc>
          <w:tcPr>
            <w:tcW w:w="963" w:type="dxa"/>
            <w:vAlign w:val="center"/>
          </w:tcPr>
          <w:p w:rsidR="0099221F" w:rsidRPr="000664D0" w:rsidRDefault="0099221F" w:rsidP="00E909B4">
            <w:pPr>
              <w:spacing w:line="276" w:lineRule="auto"/>
              <w:jc w:val="center"/>
            </w:pPr>
            <w:r w:rsidRPr="000664D0">
              <w:t>2014</w:t>
            </w:r>
          </w:p>
        </w:tc>
        <w:tc>
          <w:tcPr>
            <w:tcW w:w="2439" w:type="dxa"/>
            <w:vAlign w:val="center"/>
          </w:tcPr>
          <w:p w:rsidR="0099221F" w:rsidRPr="000664D0" w:rsidRDefault="0099221F" w:rsidP="00E909B4">
            <w:pPr>
              <w:spacing w:line="276" w:lineRule="auto"/>
              <w:jc w:val="center"/>
            </w:pPr>
            <w:r w:rsidRPr="000664D0">
              <w:t>1 950</w:t>
            </w:r>
          </w:p>
        </w:tc>
        <w:tc>
          <w:tcPr>
            <w:tcW w:w="2263" w:type="dxa"/>
            <w:vAlign w:val="center"/>
          </w:tcPr>
          <w:p w:rsidR="0099221F" w:rsidRPr="000664D0" w:rsidRDefault="0099221F" w:rsidP="00E909B4">
            <w:pPr>
              <w:spacing w:line="276" w:lineRule="auto"/>
              <w:jc w:val="center"/>
            </w:pPr>
            <w:r w:rsidRPr="000664D0">
              <w:t>786</w:t>
            </w:r>
          </w:p>
        </w:tc>
        <w:tc>
          <w:tcPr>
            <w:tcW w:w="2268" w:type="dxa"/>
            <w:vAlign w:val="center"/>
          </w:tcPr>
          <w:p w:rsidR="0099221F" w:rsidRPr="000664D0" w:rsidRDefault="0099221F" w:rsidP="00E909B4">
            <w:pPr>
              <w:spacing w:line="276" w:lineRule="auto"/>
              <w:jc w:val="center"/>
            </w:pPr>
            <w:r w:rsidRPr="000664D0">
              <w:t>40%</w:t>
            </w:r>
          </w:p>
        </w:tc>
      </w:tr>
      <w:tr w:rsidR="0099221F" w:rsidRPr="000664D0" w:rsidTr="00E909B4">
        <w:trPr>
          <w:trHeight w:val="454"/>
        </w:trPr>
        <w:tc>
          <w:tcPr>
            <w:tcW w:w="963" w:type="dxa"/>
            <w:vAlign w:val="center"/>
          </w:tcPr>
          <w:p w:rsidR="0099221F" w:rsidRPr="000664D0" w:rsidRDefault="0099221F" w:rsidP="00E909B4">
            <w:pPr>
              <w:spacing w:line="276" w:lineRule="auto"/>
              <w:jc w:val="center"/>
            </w:pPr>
            <w:r w:rsidRPr="000664D0">
              <w:lastRenderedPageBreak/>
              <w:t>2015</w:t>
            </w:r>
          </w:p>
        </w:tc>
        <w:tc>
          <w:tcPr>
            <w:tcW w:w="2439" w:type="dxa"/>
            <w:vAlign w:val="center"/>
          </w:tcPr>
          <w:p w:rsidR="0099221F" w:rsidRPr="000664D0" w:rsidRDefault="0099221F" w:rsidP="00E909B4">
            <w:pPr>
              <w:spacing w:line="276" w:lineRule="auto"/>
              <w:jc w:val="center"/>
            </w:pPr>
            <w:r w:rsidRPr="000664D0">
              <w:t>2 272</w:t>
            </w:r>
          </w:p>
        </w:tc>
        <w:tc>
          <w:tcPr>
            <w:tcW w:w="2263" w:type="dxa"/>
            <w:vAlign w:val="center"/>
          </w:tcPr>
          <w:p w:rsidR="0099221F" w:rsidRPr="000664D0" w:rsidRDefault="0099221F" w:rsidP="00E909B4">
            <w:pPr>
              <w:spacing w:line="276" w:lineRule="auto"/>
              <w:jc w:val="center"/>
            </w:pPr>
            <w:r w:rsidRPr="000664D0">
              <w:t>712</w:t>
            </w:r>
          </w:p>
        </w:tc>
        <w:tc>
          <w:tcPr>
            <w:tcW w:w="2268" w:type="dxa"/>
            <w:vAlign w:val="center"/>
          </w:tcPr>
          <w:p w:rsidR="0099221F" w:rsidRPr="000664D0" w:rsidRDefault="0099221F" w:rsidP="00E909B4">
            <w:pPr>
              <w:spacing w:line="276" w:lineRule="auto"/>
              <w:jc w:val="center"/>
            </w:pPr>
            <w:r w:rsidRPr="000664D0">
              <w:t>31%</w:t>
            </w:r>
          </w:p>
        </w:tc>
      </w:tr>
      <w:tr w:rsidR="0099221F" w:rsidRPr="000664D0" w:rsidTr="00E909B4">
        <w:trPr>
          <w:trHeight w:val="454"/>
        </w:trPr>
        <w:tc>
          <w:tcPr>
            <w:tcW w:w="963" w:type="dxa"/>
            <w:vAlign w:val="center"/>
          </w:tcPr>
          <w:p w:rsidR="0099221F" w:rsidRPr="000664D0" w:rsidRDefault="0099221F" w:rsidP="00E909B4">
            <w:pPr>
              <w:spacing w:line="276" w:lineRule="auto"/>
              <w:jc w:val="center"/>
            </w:pPr>
            <w:r w:rsidRPr="000664D0">
              <w:t>2016</w:t>
            </w:r>
          </w:p>
        </w:tc>
        <w:tc>
          <w:tcPr>
            <w:tcW w:w="2439" w:type="dxa"/>
            <w:vAlign w:val="center"/>
          </w:tcPr>
          <w:p w:rsidR="0099221F" w:rsidRPr="000664D0" w:rsidRDefault="0099221F" w:rsidP="00E909B4">
            <w:pPr>
              <w:spacing w:line="276" w:lineRule="auto"/>
              <w:jc w:val="center"/>
            </w:pPr>
            <w:r w:rsidRPr="000664D0">
              <w:t>1 637</w:t>
            </w:r>
          </w:p>
        </w:tc>
        <w:tc>
          <w:tcPr>
            <w:tcW w:w="2263" w:type="dxa"/>
            <w:vAlign w:val="center"/>
          </w:tcPr>
          <w:p w:rsidR="0099221F" w:rsidRPr="000664D0" w:rsidRDefault="0099221F" w:rsidP="00E909B4">
            <w:pPr>
              <w:spacing w:line="276" w:lineRule="auto"/>
            </w:pPr>
            <w:r w:rsidRPr="000664D0">
              <w:t xml:space="preserve">              511</w:t>
            </w:r>
          </w:p>
        </w:tc>
        <w:tc>
          <w:tcPr>
            <w:tcW w:w="2268" w:type="dxa"/>
            <w:vAlign w:val="center"/>
          </w:tcPr>
          <w:p w:rsidR="0099221F" w:rsidRPr="000664D0" w:rsidRDefault="0099221F" w:rsidP="00E909B4">
            <w:pPr>
              <w:spacing w:line="276" w:lineRule="auto"/>
              <w:jc w:val="center"/>
            </w:pPr>
            <w:r w:rsidRPr="000664D0">
              <w:t xml:space="preserve">     31 % *</w:t>
            </w:r>
            <w:r w:rsidRPr="000664D0">
              <w:rPr>
                <w:vertAlign w:val="superscript"/>
              </w:rPr>
              <w:t>)</w:t>
            </w:r>
          </w:p>
        </w:tc>
      </w:tr>
      <w:tr w:rsidR="0099221F" w:rsidRPr="000664D0" w:rsidTr="00E909B4">
        <w:trPr>
          <w:trHeight w:val="680"/>
        </w:trPr>
        <w:tc>
          <w:tcPr>
            <w:tcW w:w="963" w:type="dxa"/>
            <w:vAlign w:val="center"/>
          </w:tcPr>
          <w:p w:rsidR="0099221F" w:rsidRPr="000664D0" w:rsidRDefault="0099221F" w:rsidP="00E909B4">
            <w:pPr>
              <w:spacing w:line="276" w:lineRule="auto"/>
              <w:ind w:left="-108"/>
              <w:jc w:val="center"/>
            </w:pPr>
            <w:r w:rsidRPr="000664D0">
              <w:t>Pokles</w:t>
            </w:r>
            <w:r w:rsidRPr="000664D0">
              <w:br/>
              <w:t xml:space="preserve">     o**</w:t>
            </w:r>
          </w:p>
        </w:tc>
        <w:tc>
          <w:tcPr>
            <w:tcW w:w="2439" w:type="dxa"/>
            <w:vAlign w:val="center"/>
          </w:tcPr>
          <w:p w:rsidR="0099221F" w:rsidRPr="000664D0" w:rsidRDefault="0099221F" w:rsidP="00E909B4">
            <w:pPr>
              <w:spacing w:line="276" w:lineRule="auto"/>
              <w:jc w:val="center"/>
            </w:pPr>
            <w:r w:rsidRPr="000664D0">
              <w:t xml:space="preserve">   780 </w:t>
            </w:r>
            <w:r w:rsidRPr="000664D0">
              <w:br/>
              <w:t xml:space="preserve"> (32,3 %)</w:t>
            </w:r>
          </w:p>
        </w:tc>
        <w:tc>
          <w:tcPr>
            <w:tcW w:w="2263" w:type="dxa"/>
            <w:vAlign w:val="center"/>
          </w:tcPr>
          <w:p w:rsidR="0099221F" w:rsidRPr="000664D0" w:rsidRDefault="0099221F" w:rsidP="00E909B4">
            <w:pPr>
              <w:spacing w:line="276" w:lineRule="auto"/>
              <w:jc w:val="center"/>
            </w:pPr>
            <w:r w:rsidRPr="000664D0">
              <w:t xml:space="preserve"> 679 </w:t>
            </w:r>
            <w:r w:rsidRPr="000664D0">
              <w:br/>
              <w:t xml:space="preserve">  (57,1 %)</w:t>
            </w:r>
          </w:p>
        </w:tc>
        <w:tc>
          <w:tcPr>
            <w:tcW w:w="2268" w:type="dxa"/>
            <w:vAlign w:val="center"/>
          </w:tcPr>
          <w:p w:rsidR="0099221F" w:rsidRPr="000664D0" w:rsidRDefault="0099221F" w:rsidP="00E909B4">
            <w:pPr>
              <w:spacing w:line="276" w:lineRule="auto"/>
              <w:jc w:val="center"/>
            </w:pPr>
            <w:r w:rsidRPr="000664D0">
              <w:t>18 %</w:t>
            </w:r>
          </w:p>
        </w:tc>
      </w:tr>
    </w:tbl>
    <w:p w:rsidR="0099221F" w:rsidRPr="009B3985" w:rsidRDefault="0099221F" w:rsidP="0099221F">
      <w:pPr>
        <w:spacing w:after="120" w:line="276" w:lineRule="auto"/>
        <w:jc w:val="both"/>
        <w:rPr>
          <w:sz w:val="2"/>
          <w:szCs w:val="2"/>
        </w:rPr>
      </w:pPr>
    </w:p>
    <w:p w:rsidR="0099221F" w:rsidRDefault="0099221F" w:rsidP="0099221F">
      <w:pPr>
        <w:spacing w:line="264" w:lineRule="auto"/>
        <w:ind w:left="284" w:hanging="283"/>
        <w:jc w:val="both"/>
        <w:rPr>
          <w:bCs/>
          <w:sz w:val="20"/>
          <w:szCs w:val="20"/>
        </w:rPr>
      </w:pPr>
      <w:r w:rsidRPr="002A4484">
        <w:rPr>
          <w:sz w:val="20"/>
          <w:szCs w:val="20"/>
        </w:rPr>
        <w:t xml:space="preserve">*)  </w:t>
      </w:r>
      <w:r w:rsidRPr="002A4484">
        <w:rPr>
          <w:i/>
          <w:sz w:val="20"/>
          <w:szCs w:val="20"/>
        </w:rPr>
        <w:t>Poznámka:</w:t>
      </w:r>
      <w:r w:rsidRPr="002A4484">
        <w:rPr>
          <w:sz w:val="20"/>
          <w:szCs w:val="20"/>
        </w:rPr>
        <w:t xml:space="preserve"> </w:t>
      </w:r>
      <w:r w:rsidRPr="002A4484">
        <w:rPr>
          <w:bCs/>
          <w:sz w:val="20"/>
          <w:szCs w:val="20"/>
        </w:rPr>
        <w:t>Po znížení kritérií pre posúdenie psychickej spôsobilosti občana na prijatie do štátnej služby. V prípade ponechania pôvodných kritérií v platnosti by úspešnosť záujemcov klesla na úroveň pod 30 %.</w:t>
      </w:r>
    </w:p>
    <w:p w:rsidR="0099221F" w:rsidRDefault="0099221F" w:rsidP="0099221F">
      <w:pPr>
        <w:spacing w:line="264" w:lineRule="auto"/>
        <w:ind w:left="284" w:hanging="283"/>
        <w:jc w:val="both"/>
        <w:rPr>
          <w:bCs/>
          <w:sz w:val="20"/>
          <w:szCs w:val="20"/>
        </w:rPr>
      </w:pPr>
      <w:r w:rsidRPr="002A4484">
        <w:rPr>
          <w:sz w:val="20"/>
          <w:szCs w:val="20"/>
        </w:rPr>
        <w:t>*</w:t>
      </w:r>
      <w:r>
        <w:rPr>
          <w:sz w:val="20"/>
          <w:szCs w:val="20"/>
        </w:rPr>
        <w:t>*</w:t>
      </w:r>
      <w:r w:rsidRPr="002A4484">
        <w:rPr>
          <w:sz w:val="20"/>
          <w:szCs w:val="20"/>
        </w:rPr>
        <w:t xml:space="preserve">) </w:t>
      </w:r>
      <w:r w:rsidRPr="002A4484">
        <w:rPr>
          <w:i/>
          <w:sz w:val="20"/>
          <w:szCs w:val="20"/>
        </w:rPr>
        <w:t>Poznámka:</w:t>
      </w:r>
      <w:r w:rsidRPr="002A4484">
        <w:rPr>
          <w:sz w:val="20"/>
          <w:szCs w:val="20"/>
        </w:rPr>
        <w:t xml:space="preserve"> </w:t>
      </w:r>
      <w:r w:rsidRPr="002A4484">
        <w:rPr>
          <w:bCs/>
          <w:sz w:val="20"/>
          <w:szCs w:val="20"/>
        </w:rPr>
        <w:t>P</w:t>
      </w:r>
      <w:r>
        <w:rPr>
          <w:bCs/>
          <w:sz w:val="20"/>
          <w:szCs w:val="20"/>
        </w:rPr>
        <w:t>okles v roku 2016 v porovnaní s rokom 2012</w:t>
      </w:r>
      <w:r w:rsidRPr="002A4484">
        <w:rPr>
          <w:bCs/>
          <w:sz w:val="20"/>
          <w:szCs w:val="20"/>
        </w:rPr>
        <w:t>.</w:t>
      </w:r>
    </w:p>
    <w:p w:rsidR="0099221F" w:rsidRPr="009B3985" w:rsidRDefault="0099221F" w:rsidP="0099221F">
      <w:pPr>
        <w:spacing w:line="264" w:lineRule="auto"/>
        <w:ind w:left="284" w:hanging="283"/>
        <w:jc w:val="both"/>
        <w:rPr>
          <w:sz w:val="6"/>
          <w:szCs w:val="6"/>
        </w:rPr>
      </w:pPr>
    </w:p>
    <w:p w:rsidR="0099221F" w:rsidRDefault="0099221F" w:rsidP="0099221F">
      <w:pPr>
        <w:autoSpaceDE w:val="0"/>
        <w:autoSpaceDN w:val="0"/>
        <w:adjustRightInd w:val="0"/>
        <w:spacing w:after="120" w:line="264" w:lineRule="auto"/>
        <w:jc w:val="center"/>
      </w:pPr>
      <w:r w:rsidRPr="001C3F69">
        <w:t>Zdroj: MO SR, 2017</w:t>
      </w:r>
    </w:p>
    <w:p w:rsidR="0099221F" w:rsidRDefault="0099221F" w:rsidP="0099221F">
      <w:pPr>
        <w:autoSpaceDE w:val="0"/>
        <w:autoSpaceDN w:val="0"/>
        <w:adjustRightInd w:val="0"/>
        <w:spacing w:after="120" w:line="264" w:lineRule="auto"/>
        <w:jc w:val="center"/>
        <w:rPr>
          <w:sz w:val="6"/>
          <w:szCs w:val="6"/>
        </w:rPr>
      </w:pPr>
    </w:p>
    <w:p w:rsidR="001379ED" w:rsidRPr="00A72939" w:rsidRDefault="001379ED" w:rsidP="0099221F">
      <w:pPr>
        <w:autoSpaceDE w:val="0"/>
        <w:autoSpaceDN w:val="0"/>
        <w:adjustRightInd w:val="0"/>
        <w:spacing w:after="120" w:line="264" w:lineRule="auto"/>
        <w:jc w:val="center"/>
        <w:rPr>
          <w:sz w:val="6"/>
          <w:szCs w:val="6"/>
        </w:rPr>
      </w:pPr>
    </w:p>
    <w:p w:rsidR="0099221F" w:rsidRDefault="0099221F" w:rsidP="0099221F">
      <w:pPr>
        <w:spacing w:after="120" w:line="264" w:lineRule="auto"/>
        <w:jc w:val="center"/>
      </w:pPr>
      <w:r>
        <w:rPr>
          <w:noProof/>
        </w:rPr>
        <w:drawing>
          <wp:inline distT="0" distB="0" distL="0" distR="0" wp14:anchorId="07927302" wp14:editId="1852BB37">
            <wp:extent cx="5001260" cy="2827655"/>
            <wp:effectExtent l="0" t="0" r="8890" b="10795"/>
            <wp:docPr id="6" name="Graf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9221F" w:rsidRPr="002A4484" w:rsidRDefault="0099221F" w:rsidP="0099221F">
      <w:pPr>
        <w:spacing w:after="120" w:line="264" w:lineRule="auto"/>
        <w:ind w:left="284" w:hanging="283"/>
        <w:jc w:val="both"/>
        <w:rPr>
          <w:sz w:val="20"/>
          <w:szCs w:val="20"/>
        </w:rPr>
      </w:pPr>
      <w:r w:rsidRPr="002A4484">
        <w:rPr>
          <w:sz w:val="20"/>
          <w:szCs w:val="20"/>
        </w:rPr>
        <w:t xml:space="preserve">*)  </w:t>
      </w:r>
      <w:r w:rsidRPr="002A4484">
        <w:rPr>
          <w:i/>
          <w:sz w:val="20"/>
          <w:szCs w:val="20"/>
        </w:rPr>
        <w:t>Poznámka:</w:t>
      </w:r>
      <w:r w:rsidRPr="002A4484">
        <w:rPr>
          <w:sz w:val="20"/>
          <w:szCs w:val="20"/>
        </w:rPr>
        <w:t xml:space="preserve"> </w:t>
      </w:r>
      <w:r w:rsidRPr="000822DD">
        <w:rPr>
          <w:bCs/>
          <w:sz w:val="20"/>
          <w:szCs w:val="20"/>
        </w:rPr>
        <w:t>Stav</w:t>
      </w:r>
      <w:r>
        <w:rPr>
          <w:bCs/>
          <w:sz w:val="20"/>
          <w:szCs w:val="20"/>
        </w:rPr>
        <w:t xml:space="preserve"> k 6.7.2017</w:t>
      </w:r>
      <w:r w:rsidRPr="002A4484">
        <w:rPr>
          <w:bCs/>
          <w:sz w:val="20"/>
          <w:szCs w:val="20"/>
        </w:rPr>
        <w:t>.</w:t>
      </w:r>
    </w:p>
    <w:p w:rsidR="0099221F" w:rsidRDefault="0099221F" w:rsidP="0099221F">
      <w:pPr>
        <w:spacing w:after="120" w:line="264" w:lineRule="auto"/>
        <w:jc w:val="center"/>
      </w:pPr>
      <w:r w:rsidRPr="00AB3C4C">
        <w:t>Graf 1</w:t>
      </w:r>
      <w:r w:rsidRPr="00AB3C4C">
        <w:br/>
      </w:r>
      <w:r w:rsidRPr="001C3F69">
        <w:rPr>
          <w:bCs/>
        </w:rPr>
        <w:t xml:space="preserve">Prehľad vývoja personálnej naplnenosti tabuľkových funkcií profesionálnych </w:t>
      </w:r>
      <w:r w:rsidRPr="001C3F69">
        <w:rPr>
          <w:bCs/>
        </w:rPr>
        <w:br/>
        <w:t>vojakov OS SR v rokoch 2009 až 2017 (v %)</w:t>
      </w:r>
      <w:r w:rsidRPr="001C3F69">
        <w:rPr>
          <w:bCs/>
        </w:rPr>
        <w:br/>
      </w:r>
      <w:r w:rsidRPr="001C3F69">
        <w:t>Zdroj: MO SR, 2017</w:t>
      </w:r>
    </w:p>
    <w:p w:rsidR="0099221F" w:rsidRDefault="0099221F" w:rsidP="0099221F">
      <w:pPr>
        <w:spacing w:after="120" w:line="264" w:lineRule="auto"/>
        <w:jc w:val="center"/>
      </w:pPr>
    </w:p>
    <w:p w:rsidR="0099221F" w:rsidRDefault="0099221F" w:rsidP="0099221F">
      <w:pPr>
        <w:spacing w:line="264" w:lineRule="auto"/>
        <w:ind w:firstLine="567"/>
        <w:jc w:val="both"/>
        <w:rPr>
          <w:color w:val="C00000"/>
        </w:rPr>
      </w:pPr>
      <w:r w:rsidRPr="001C3F69">
        <w:t>V prvom polroku roku 2017 bol zaznamenaný ďalší 18%-</w:t>
      </w:r>
      <w:proofErr w:type="spellStart"/>
      <w:r w:rsidRPr="001C3F69">
        <w:t>ný</w:t>
      </w:r>
      <w:proofErr w:type="spellEnd"/>
      <w:r w:rsidRPr="001C3F69">
        <w:t xml:space="preserve"> pokles podaných žiadostí </w:t>
      </w:r>
      <w:r w:rsidRPr="002754BA">
        <w:t>o vstup do OS SR v porovnaní s rovnakým obdobím roku 2016. Dá sa preto reálne očakávať, že počet záujemcov o štátnu službu profesionálnych vojakov bude v roku 2017 a v nasledujúcich rokoch nižší ako v roku 2016 a</w:t>
      </w:r>
      <w:r>
        <w:t xml:space="preserve"> </w:t>
      </w:r>
      <w:r w:rsidRPr="002754BA">
        <w:t>bude ďalej klesať</w:t>
      </w:r>
      <w:r>
        <w:rPr>
          <w:color w:val="3333FF"/>
        </w:rPr>
        <w:t xml:space="preserve"> </w:t>
      </w:r>
      <w:r w:rsidRPr="002754BA">
        <w:t xml:space="preserve">(tabuľka 2). Tento predpoklad </w:t>
      </w:r>
      <w:r w:rsidRPr="009714AA">
        <w:t>potvrdzuje aj prognóza spracovaná Personálnym úradom Ozbrojených síl Slovenskej republiky (ďalej len „PÚ OS SR“) s využitím údajov verejne prezentovaných jednotlivými kompetentnými ministerstvami a úradmi Slovenskej republiky (napr. Ekonomické prognózy</w:t>
      </w:r>
      <w:r w:rsidRPr="009714AA">
        <w:rPr>
          <w:rStyle w:val="Odkaznapoznmkupodiarou"/>
        </w:rPr>
        <w:footnoteReference w:id="1"/>
      </w:r>
      <w:r w:rsidRPr="009714AA">
        <w:t xml:space="preserve"> a Ekonomické štatistiky</w:t>
      </w:r>
      <w:r w:rsidRPr="009714AA">
        <w:rPr>
          <w:rStyle w:val="Odkaznapoznmkupodiarou"/>
        </w:rPr>
        <w:footnoteReference w:id="2"/>
      </w:r>
      <w:r w:rsidRPr="009714AA">
        <w:t xml:space="preserve"> Inštitútu finančnej politiky Ministerstva financií </w:t>
      </w:r>
      <w:proofErr w:type="spellStart"/>
      <w:r w:rsidRPr="009714AA">
        <w:t>Sloven-</w:t>
      </w:r>
      <w:r w:rsidRPr="009714AA">
        <w:lastRenderedPageBreak/>
        <w:t>skej</w:t>
      </w:r>
      <w:proofErr w:type="spellEnd"/>
      <w:r w:rsidRPr="009714AA">
        <w:t xml:space="preserve"> republiky, Štruktúra miezd v SR 2016 Štatistického úradu Slovenskej republiky</w:t>
      </w:r>
      <w:r w:rsidRPr="009714AA">
        <w:rPr>
          <w:rStyle w:val="Odkaznapoznmkupodiarou"/>
        </w:rPr>
        <w:footnoteReference w:id="3"/>
      </w:r>
      <w:r w:rsidRPr="009714AA">
        <w:t xml:space="preserve"> a pod.). </w:t>
      </w:r>
      <w:r>
        <w:t xml:space="preserve">Znižujúci sa počet záujemcov o vstup do OS SR navyše nedokáže pokryť ani počet každoročne odchádzajúcich profesionálnych vojakov. </w:t>
      </w:r>
      <w:r w:rsidRPr="009714AA">
        <w:t xml:space="preserve">Je </w:t>
      </w:r>
      <w:r>
        <w:t xml:space="preserve">preto </w:t>
      </w:r>
      <w:r w:rsidRPr="009714AA">
        <w:t xml:space="preserve">vysoko pravdepodobné, že negatívny trend z roku 2016, kedy bolo z OS </w:t>
      </w:r>
      <w:r w:rsidRPr="000822DD">
        <w:t>SR viac prepustených ako prijatých profesionálnych vojakov, bude pokračovať aj v nasledujúcich rokoch.</w:t>
      </w:r>
    </w:p>
    <w:p w:rsidR="0099221F" w:rsidRDefault="0099221F" w:rsidP="0099221F">
      <w:pPr>
        <w:spacing w:after="120" w:line="264" w:lineRule="auto"/>
        <w:ind w:firstLine="567"/>
        <w:jc w:val="both"/>
        <w:rPr>
          <w:color w:val="FF0000"/>
        </w:rPr>
      </w:pPr>
    </w:p>
    <w:p w:rsidR="0099221F" w:rsidRPr="00343AF2" w:rsidRDefault="0099221F" w:rsidP="0099221F">
      <w:pPr>
        <w:spacing w:after="120" w:line="276" w:lineRule="auto"/>
        <w:jc w:val="center"/>
      </w:pPr>
      <w:r w:rsidRPr="00343AF2">
        <w:t>Tabuľka 2</w:t>
      </w:r>
      <w:r w:rsidRPr="00343AF2">
        <w:br/>
        <w:t xml:space="preserve">Prognóza vývoja počtov záujemcov o službu v OS SR na funkciu </w:t>
      </w:r>
      <w:r w:rsidRPr="00343AF2">
        <w:br/>
        <w:t xml:space="preserve">vojak 2. stupňa a záujemcov, ktorí splnia kritériá na vstup do štátnej </w:t>
      </w:r>
      <w:r w:rsidRPr="00343AF2">
        <w:br/>
        <w:t xml:space="preserve">služby v rokoch 2017 až 2020 </w:t>
      </w:r>
    </w:p>
    <w:tbl>
      <w:tblPr>
        <w:tblW w:w="793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
        <w:gridCol w:w="2439"/>
        <w:gridCol w:w="2263"/>
        <w:gridCol w:w="2268"/>
      </w:tblGrid>
      <w:tr w:rsidR="0099221F" w:rsidRPr="000664D0" w:rsidTr="00E909B4">
        <w:trPr>
          <w:trHeight w:val="1408"/>
        </w:trPr>
        <w:tc>
          <w:tcPr>
            <w:tcW w:w="963" w:type="dxa"/>
            <w:vAlign w:val="center"/>
          </w:tcPr>
          <w:p w:rsidR="0099221F" w:rsidRPr="000664D0" w:rsidRDefault="0099221F" w:rsidP="00E909B4">
            <w:pPr>
              <w:spacing w:line="276" w:lineRule="auto"/>
              <w:jc w:val="center"/>
            </w:pPr>
            <w:r w:rsidRPr="00343AF2">
              <w:rPr>
                <w:sz w:val="6"/>
                <w:szCs w:val="6"/>
              </w:rPr>
              <w:t xml:space="preserve"> </w:t>
            </w:r>
            <w:r w:rsidRPr="000664D0">
              <w:t>Rok</w:t>
            </w:r>
          </w:p>
        </w:tc>
        <w:tc>
          <w:tcPr>
            <w:tcW w:w="2439" w:type="dxa"/>
            <w:vAlign w:val="center"/>
          </w:tcPr>
          <w:p w:rsidR="0099221F" w:rsidRPr="000664D0" w:rsidRDefault="0099221F" w:rsidP="00E909B4">
            <w:pPr>
              <w:spacing w:line="276" w:lineRule="auto"/>
              <w:jc w:val="center"/>
            </w:pPr>
            <w:r w:rsidRPr="000664D0">
              <w:t xml:space="preserve">Počet občanov – záujemcov o vstup </w:t>
            </w:r>
            <w:r w:rsidRPr="000664D0">
              <w:br/>
              <w:t xml:space="preserve">do štátnej služby </w:t>
            </w:r>
            <w:r w:rsidRPr="000664D0">
              <w:br/>
              <w:t>v OS SR</w:t>
            </w:r>
          </w:p>
        </w:tc>
        <w:tc>
          <w:tcPr>
            <w:tcW w:w="2263" w:type="dxa"/>
            <w:vAlign w:val="center"/>
          </w:tcPr>
          <w:p w:rsidR="0099221F" w:rsidRPr="000664D0" w:rsidRDefault="0099221F" w:rsidP="00E909B4">
            <w:pPr>
              <w:spacing w:line="276" w:lineRule="auto"/>
              <w:jc w:val="center"/>
            </w:pPr>
            <w:r w:rsidRPr="000664D0">
              <w:t xml:space="preserve">Počet záujemcov, ktorí splnia kritériá </w:t>
            </w:r>
            <w:r w:rsidRPr="000664D0">
              <w:br/>
              <w:t>na vstup do štátnej služby v OS SR</w:t>
            </w:r>
          </w:p>
        </w:tc>
        <w:tc>
          <w:tcPr>
            <w:tcW w:w="2268" w:type="dxa"/>
            <w:vAlign w:val="center"/>
          </w:tcPr>
          <w:p w:rsidR="0099221F" w:rsidRPr="000664D0" w:rsidRDefault="0099221F" w:rsidP="00E909B4">
            <w:pPr>
              <w:spacing w:line="276" w:lineRule="auto"/>
              <w:jc w:val="center"/>
            </w:pPr>
            <w:r w:rsidRPr="000664D0">
              <w:t>Percentuálne vyjadrenie počtu záujemcov, ktorí splnia kritériá</w:t>
            </w:r>
          </w:p>
        </w:tc>
      </w:tr>
      <w:tr w:rsidR="0099221F" w:rsidRPr="000664D0" w:rsidTr="00E909B4">
        <w:trPr>
          <w:trHeight w:val="510"/>
        </w:trPr>
        <w:tc>
          <w:tcPr>
            <w:tcW w:w="963" w:type="dxa"/>
            <w:vAlign w:val="center"/>
          </w:tcPr>
          <w:p w:rsidR="0099221F" w:rsidRPr="000664D0" w:rsidRDefault="0099221F" w:rsidP="00E909B4">
            <w:pPr>
              <w:spacing w:line="276" w:lineRule="auto"/>
              <w:jc w:val="center"/>
            </w:pPr>
            <w:r w:rsidRPr="000664D0">
              <w:t>2017</w:t>
            </w:r>
          </w:p>
        </w:tc>
        <w:tc>
          <w:tcPr>
            <w:tcW w:w="2439" w:type="dxa"/>
            <w:vAlign w:val="center"/>
          </w:tcPr>
          <w:p w:rsidR="0099221F" w:rsidRPr="005D05C9" w:rsidRDefault="0099221F" w:rsidP="00E909B4">
            <w:pPr>
              <w:spacing w:line="276" w:lineRule="auto"/>
              <w:jc w:val="center"/>
            </w:pPr>
            <w:r w:rsidRPr="005D05C9">
              <w:t>1 250</w:t>
            </w:r>
          </w:p>
        </w:tc>
        <w:tc>
          <w:tcPr>
            <w:tcW w:w="2263" w:type="dxa"/>
            <w:vAlign w:val="center"/>
          </w:tcPr>
          <w:p w:rsidR="0099221F" w:rsidRPr="005D05C9" w:rsidRDefault="0099221F" w:rsidP="00E909B4">
            <w:pPr>
              <w:spacing w:line="276" w:lineRule="auto"/>
              <w:jc w:val="center"/>
            </w:pPr>
            <w:r w:rsidRPr="005D05C9">
              <w:t>501</w:t>
            </w:r>
          </w:p>
        </w:tc>
        <w:tc>
          <w:tcPr>
            <w:tcW w:w="2268" w:type="dxa"/>
            <w:vAlign w:val="center"/>
          </w:tcPr>
          <w:p w:rsidR="0099221F" w:rsidRPr="005D05C9" w:rsidRDefault="0099221F" w:rsidP="00E909B4">
            <w:pPr>
              <w:spacing w:line="276" w:lineRule="auto"/>
              <w:jc w:val="center"/>
            </w:pPr>
            <w:r w:rsidRPr="005D05C9">
              <w:t>40</w:t>
            </w:r>
          </w:p>
        </w:tc>
      </w:tr>
      <w:tr w:rsidR="0099221F" w:rsidRPr="000664D0" w:rsidTr="00E909B4">
        <w:trPr>
          <w:trHeight w:val="510"/>
        </w:trPr>
        <w:tc>
          <w:tcPr>
            <w:tcW w:w="963" w:type="dxa"/>
            <w:vAlign w:val="center"/>
          </w:tcPr>
          <w:p w:rsidR="0099221F" w:rsidRPr="000664D0" w:rsidRDefault="0099221F" w:rsidP="00E909B4">
            <w:pPr>
              <w:spacing w:line="276" w:lineRule="auto"/>
              <w:jc w:val="center"/>
            </w:pPr>
            <w:r w:rsidRPr="000664D0">
              <w:t>2018</w:t>
            </w:r>
          </w:p>
        </w:tc>
        <w:tc>
          <w:tcPr>
            <w:tcW w:w="2439" w:type="dxa"/>
            <w:vAlign w:val="center"/>
          </w:tcPr>
          <w:p w:rsidR="0099221F" w:rsidRPr="005D05C9" w:rsidRDefault="0099221F" w:rsidP="00E909B4">
            <w:pPr>
              <w:spacing w:line="276" w:lineRule="auto"/>
              <w:jc w:val="center"/>
            </w:pPr>
            <w:r w:rsidRPr="005D05C9">
              <w:t>1 150</w:t>
            </w:r>
          </w:p>
        </w:tc>
        <w:tc>
          <w:tcPr>
            <w:tcW w:w="2263" w:type="dxa"/>
            <w:vAlign w:val="center"/>
          </w:tcPr>
          <w:p w:rsidR="0099221F" w:rsidRPr="005D05C9" w:rsidRDefault="0099221F" w:rsidP="00E909B4">
            <w:pPr>
              <w:spacing w:line="276" w:lineRule="auto"/>
              <w:jc w:val="center"/>
            </w:pPr>
            <w:r w:rsidRPr="005D05C9">
              <w:t>450</w:t>
            </w:r>
          </w:p>
        </w:tc>
        <w:tc>
          <w:tcPr>
            <w:tcW w:w="2268" w:type="dxa"/>
            <w:vAlign w:val="center"/>
          </w:tcPr>
          <w:p w:rsidR="0099221F" w:rsidRPr="005D05C9" w:rsidRDefault="0099221F" w:rsidP="00E909B4">
            <w:pPr>
              <w:spacing w:line="276" w:lineRule="auto"/>
              <w:jc w:val="center"/>
            </w:pPr>
            <w:r w:rsidRPr="005D05C9">
              <w:t>39</w:t>
            </w:r>
          </w:p>
        </w:tc>
      </w:tr>
      <w:tr w:rsidR="0099221F" w:rsidRPr="000664D0" w:rsidTr="00E909B4">
        <w:trPr>
          <w:trHeight w:val="510"/>
        </w:trPr>
        <w:tc>
          <w:tcPr>
            <w:tcW w:w="963" w:type="dxa"/>
            <w:vAlign w:val="center"/>
          </w:tcPr>
          <w:p w:rsidR="0099221F" w:rsidRPr="000664D0" w:rsidRDefault="0099221F" w:rsidP="00E909B4">
            <w:pPr>
              <w:spacing w:line="276" w:lineRule="auto"/>
              <w:jc w:val="center"/>
            </w:pPr>
            <w:r w:rsidRPr="000664D0">
              <w:t>2019</w:t>
            </w:r>
          </w:p>
        </w:tc>
        <w:tc>
          <w:tcPr>
            <w:tcW w:w="2439" w:type="dxa"/>
            <w:vAlign w:val="center"/>
          </w:tcPr>
          <w:p w:rsidR="0099221F" w:rsidRPr="005D05C9" w:rsidRDefault="0099221F" w:rsidP="00E909B4">
            <w:pPr>
              <w:spacing w:line="276" w:lineRule="auto"/>
              <w:jc w:val="center"/>
            </w:pPr>
            <w:r w:rsidRPr="005D05C9">
              <w:t>1 050</w:t>
            </w:r>
          </w:p>
        </w:tc>
        <w:tc>
          <w:tcPr>
            <w:tcW w:w="2263" w:type="dxa"/>
            <w:vAlign w:val="center"/>
          </w:tcPr>
          <w:p w:rsidR="0099221F" w:rsidRPr="005D05C9" w:rsidRDefault="0099221F" w:rsidP="00E909B4">
            <w:pPr>
              <w:spacing w:line="276" w:lineRule="auto"/>
              <w:jc w:val="center"/>
            </w:pPr>
            <w:r w:rsidRPr="005D05C9">
              <w:t>410</w:t>
            </w:r>
          </w:p>
        </w:tc>
        <w:tc>
          <w:tcPr>
            <w:tcW w:w="2268" w:type="dxa"/>
            <w:vAlign w:val="center"/>
          </w:tcPr>
          <w:p w:rsidR="0099221F" w:rsidRPr="005D05C9" w:rsidRDefault="0099221F" w:rsidP="00E909B4">
            <w:pPr>
              <w:spacing w:line="276" w:lineRule="auto"/>
              <w:jc w:val="center"/>
            </w:pPr>
            <w:r w:rsidRPr="005D05C9">
              <w:t>39</w:t>
            </w:r>
          </w:p>
        </w:tc>
      </w:tr>
      <w:tr w:rsidR="0099221F" w:rsidRPr="000664D0" w:rsidTr="00E909B4">
        <w:trPr>
          <w:trHeight w:val="510"/>
        </w:trPr>
        <w:tc>
          <w:tcPr>
            <w:tcW w:w="963" w:type="dxa"/>
            <w:vAlign w:val="center"/>
          </w:tcPr>
          <w:p w:rsidR="0099221F" w:rsidRPr="000664D0" w:rsidRDefault="0099221F" w:rsidP="00E909B4">
            <w:pPr>
              <w:spacing w:line="276" w:lineRule="auto"/>
              <w:jc w:val="center"/>
            </w:pPr>
            <w:r w:rsidRPr="000664D0">
              <w:t>2020</w:t>
            </w:r>
          </w:p>
        </w:tc>
        <w:tc>
          <w:tcPr>
            <w:tcW w:w="2439" w:type="dxa"/>
            <w:vAlign w:val="center"/>
          </w:tcPr>
          <w:p w:rsidR="0099221F" w:rsidRPr="005D05C9" w:rsidRDefault="0099221F" w:rsidP="00E909B4">
            <w:pPr>
              <w:spacing w:line="276" w:lineRule="auto"/>
              <w:jc w:val="center"/>
            </w:pPr>
            <w:r w:rsidRPr="005D05C9">
              <w:t>950</w:t>
            </w:r>
          </w:p>
        </w:tc>
        <w:tc>
          <w:tcPr>
            <w:tcW w:w="2263" w:type="dxa"/>
            <w:vAlign w:val="center"/>
          </w:tcPr>
          <w:p w:rsidR="0099221F" w:rsidRPr="005D05C9" w:rsidRDefault="0099221F" w:rsidP="00E909B4">
            <w:pPr>
              <w:spacing w:line="276" w:lineRule="auto"/>
              <w:jc w:val="center"/>
            </w:pPr>
            <w:r w:rsidRPr="005D05C9">
              <w:t>361</w:t>
            </w:r>
          </w:p>
        </w:tc>
        <w:tc>
          <w:tcPr>
            <w:tcW w:w="2268" w:type="dxa"/>
            <w:vAlign w:val="center"/>
          </w:tcPr>
          <w:p w:rsidR="0099221F" w:rsidRPr="005D05C9" w:rsidRDefault="0099221F" w:rsidP="00E909B4">
            <w:pPr>
              <w:spacing w:line="276" w:lineRule="auto"/>
              <w:jc w:val="center"/>
            </w:pPr>
            <w:r w:rsidRPr="005D05C9">
              <w:t>38</w:t>
            </w:r>
          </w:p>
        </w:tc>
      </w:tr>
    </w:tbl>
    <w:p w:rsidR="0099221F" w:rsidRPr="0051239A" w:rsidRDefault="0099221F" w:rsidP="0099221F">
      <w:pPr>
        <w:autoSpaceDE w:val="0"/>
        <w:autoSpaceDN w:val="0"/>
        <w:adjustRightInd w:val="0"/>
        <w:spacing w:after="120" w:line="264" w:lineRule="auto"/>
        <w:jc w:val="center"/>
        <w:rPr>
          <w:sz w:val="6"/>
          <w:szCs w:val="6"/>
        </w:rPr>
      </w:pPr>
    </w:p>
    <w:p w:rsidR="0099221F" w:rsidRPr="002A4484" w:rsidRDefault="0099221F" w:rsidP="0099221F">
      <w:pPr>
        <w:spacing w:after="120" w:line="264" w:lineRule="auto"/>
        <w:ind w:left="284" w:hanging="283"/>
        <w:jc w:val="both"/>
        <w:rPr>
          <w:sz w:val="20"/>
          <w:szCs w:val="20"/>
        </w:rPr>
      </w:pPr>
      <w:r w:rsidRPr="002A4484">
        <w:rPr>
          <w:sz w:val="20"/>
          <w:szCs w:val="20"/>
        </w:rPr>
        <w:t xml:space="preserve">*)  </w:t>
      </w:r>
      <w:r w:rsidRPr="002A4484">
        <w:rPr>
          <w:i/>
          <w:sz w:val="20"/>
          <w:szCs w:val="20"/>
        </w:rPr>
        <w:t>Poznámka:</w:t>
      </w:r>
      <w:r w:rsidRPr="002A4484">
        <w:rPr>
          <w:sz w:val="20"/>
          <w:szCs w:val="20"/>
        </w:rPr>
        <w:t xml:space="preserve"> </w:t>
      </w:r>
      <w:r>
        <w:rPr>
          <w:bCs/>
          <w:sz w:val="20"/>
          <w:szCs w:val="20"/>
        </w:rPr>
        <w:t>Až do roku 2020 je plánovaná požiadavka na zregrutovanie 750 občanov ročne do OS SR</w:t>
      </w:r>
      <w:r w:rsidRPr="002A4484">
        <w:rPr>
          <w:bCs/>
          <w:sz w:val="20"/>
          <w:szCs w:val="20"/>
        </w:rPr>
        <w:t>.</w:t>
      </w:r>
    </w:p>
    <w:p w:rsidR="0099221F" w:rsidRDefault="0099221F" w:rsidP="0099221F">
      <w:pPr>
        <w:autoSpaceDE w:val="0"/>
        <w:autoSpaceDN w:val="0"/>
        <w:adjustRightInd w:val="0"/>
        <w:spacing w:after="120" w:line="264" w:lineRule="auto"/>
        <w:jc w:val="center"/>
      </w:pPr>
      <w:r w:rsidRPr="00AB3C4C">
        <w:t>Zdroj: MO SR / PÚ OS SR, 2017</w:t>
      </w:r>
    </w:p>
    <w:p w:rsidR="0099221F" w:rsidRDefault="0099221F" w:rsidP="0099221F">
      <w:pPr>
        <w:autoSpaceDE w:val="0"/>
        <w:autoSpaceDN w:val="0"/>
        <w:adjustRightInd w:val="0"/>
        <w:spacing w:line="264" w:lineRule="auto"/>
        <w:jc w:val="center"/>
      </w:pPr>
    </w:p>
    <w:p w:rsidR="0099221F" w:rsidRDefault="0099221F" w:rsidP="0099221F">
      <w:pPr>
        <w:spacing w:after="120" w:line="264" w:lineRule="auto"/>
        <w:ind w:firstLine="567"/>
        <w:jc w:val="both"/>
      </w:pPr>
      <w:r w:rsidRPr="00873CA5">
        <w:t>Situácia v</w:t>
      </w:r>
      <w:r>
        <w:t> </w:t>
      </w:r>
      <w:r w:rsidRPr="009A6F10">
        <w:t>oblastiach doplňovania (regrutácie) a udržiavania vojenského personálu OS SR sa tak stáva postupne stále vážnejšou, pričom z vykonaných prognóz vyplýva, že v</w:t>
      </w:r>
      <w:r>
        <w:t> </w:t>
      </w:r>
      <w:r w:rsidRPr="009A6F10">
        <w:t xml:space="preserve">nasledujúcich rokoch sa môže </w:t>
      </w:r>
      <w:r w:rsidRPr="00873CA5">
        <w:t xml:space="preserve">ešte viac zhoršovať. Bez prijatia systémových opatrení môže </w:t>
      </w:r>
      <w:r>
        <w:t xml:space="preserve">v budúcnosti </w:t>
      </w:r>
      <w:r w:rsidRPr="00873CA5">
        <w:t>prehlbovanie nerovnováhy medzi objektívne rastúcimi požiadavkami na počet a</w:t>
      </w:r>
      <w:r>
        <w:t> </w:t>
      </w:r>
      <w:r w:rsidRPr="00873CA5">
        <w:t>kvalitu</w:t>
      </w:r>
      <w:r>
        <w:t xml:space="preserve"> </w:t>
      </w:r>
      <w:r w:rsidRPr="00873CA5">
        <w:t>príslušníkov OS SR a</w:t>
      </w:r>
      <w:r>
        <w:t> </w:t>
      </w:r>
      <w:r w:rsidRPr="00873CA5">
        <w:t>znižujúcim</w:t>
      </w:r>
      <w:r>
        <w:t xml:space="preserve"> </w:t>
      </w:r>
      <w:r w:rsidRPr="00873CA5">
        <w:t xml:space="preserve">sa počtom a kvalitou záujemcov o vojenskú službu dosiahnuť až kritickú úroveň. </w:t>
      </w:r>
    </w:p>
    <w:p w:rsidR="0099221F" w:rsidRPr="00D128CE" w:rsidRDefault="0099221F" w:rsidP="0099221F">
      <w:pPr>
        <w:spacing w:after="120" w:line="264" w:lineRule="auto"/>
        <w:ind w:firstLine="567"/>
        <w:jc w:val="both"/>
      </w:pPr>
      <w:r>
        <w:t>Hlavn</w:t>
      </w:r>
      <w:r w:rsidRPr="00D128CE">
        <w:t>ým dôvodom je pokračujúci pokles atraktivity vojenského povolania a</w:t>
      </w:r>
      <w:r>
        <w:t> </w:t>
      </w:r>
      <w:r w:rsidRPr="00D128CE">
        <w:t xml:space="preserve">konkurencieschopnosti ministerstva obrany ako zamestnávateľa na trhu práce, zapríčinený rastúcimi rizikami ohrozenia života a zdravia profesionálnych vojakov pri plnení služobných úloh v rámci domáceho a medzinárodného krízového manažmentu, zvyšujúcimi sa požiadavkami na výkon vojenského povolania a taktiež postupne sa zväčšujúcim rozdielom </w:t>
      </w:r>
      <w:r w:rsidRPr="00D128CE">
        <w:lastRenderedPageBreak/>
        <w:t>medzi výškou finančného ohodnotenia profesionálnych vojakov v</w:t>
      </w:r>
      <w:r>
        <w:t xml:space="preserve"> </w:t>
      </w:r>
      <w:r w:rsidRPr="00D128CE">
        <w:t>rezorte obrany a</w:t>
      </w:r>
      <w:r>
        <w:t xml:space="preserve"> </w:t>
      </w:r>
      <w:r w:rsidRPr="00D128CE">
        <w:t>rastom miezd v civilnom sektore.</w:t>
      </w:r>
    </w:p>
    <w:p w:rsidR="0099221F" w:rsidRDefault="0099221F" w:rsidP="0099221F">
      <w:pPr>
        <w:spacing w:after="120" w:line="264" w:lineRule="auto"/>
        <w:ind w:firstLine="708"/>
        <w:jc w:val="both"/>
      </w:pPr>
      <w:r w:rsidRPr="00694E01">
        <w:t>Vysoká, aktuálne viac než 24%-</w:t>
      </w:r>
      <w:proofErr w:type="spellStart"/>
      <w:r w:rsidRPr="00694E01">
        <w:t>ná</w:t>
      </w:r>
      <w:proofErr w:type="spellEnd"/>
      <w:r w:rsidRPr="00694E01">
        <w:t xml:space="preserve"> personálna </w:t>
      </w:r>
      <w:proofErr w:type="spellStart"/>
      <w:r w:rsidRPr="00694E01">
        <w:t>nenaplnenosť</w:t>
      </w:r>
      <w:proofErr w:type="spellEnd"/>
      <w:r w:rsidRPr="00694E01">
        <w:t xml:space="preserve"> tabuľkových funkcií profesionálnych vojakov, ktorá sa najvýraznejšie prejavuje v hodnostnom zbore dôstojníkov, (gra</w:t>
      </w:r>
      <w:r>
        <w:t>f 2) už v súčasnosti negatívne</w:t>
      </w:r>
      <w:r w:rsidRPr="00694E01">
        <w:t> ovplyvňuje operačnú pripravenosť OS SR a v prípade povolania vojakov v zálohe na výkon mimoriadnej služby, resp. mobilizácie OS SR vytvára riziko nedostatku veliacich dôstojníkov OS SR. </w:t>
      </w:r>
    </w:p>
    <w:p w:rsidR="0099221F" w:rsidRPr="00694E01" w:rsidRDefault="0099221F" w:rsidP="0099221F">
      <w:pPr>
        <w:spacing w:after="120" w:line="264" w:lineRule="auto"/>
        <w:ind w:firstLine="708"/>
        <w:jc w:val="both"/>
      </w:pPr>
      <w:r w:rsidRPr="00694E01">
        <w:t xml:space="preserve"> </w:t>
      </w:r>
    </w:p>
    <w:p w:rsidR="0099221F" w:rsidRDefault="0099221F" w:rsidP="0099221F">
      <w:pPr>
        <w:spacing w:after="120" w:line="264" w:lineRule="auto"/>
        <w:jc w:val="center"/>
      </w:pPr>
      <w:r>
        <w:rPr>
          <w:noProof/>
        </w:rPr>
        <w:drawing>
          <wp:inline distT="0" distB="0" distL="0" distR="0" wp14:anchorId="38E4FC41" wp14:editId="43AE2A32">
            <wp:extent cx="4893310" cy="2676525"/>
            <wp:effectExtent l="0" t="0" r="2540" b="9525"/>
            <wp:docPr id="9" name="Graf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9221F" w:rsidRDefault="0099221F" w:rsidP="0099221F">
      <w:pPr>
        <w:spacing w:after="120" w:line="264" w:lineRule="auto"/>
        <w:jc w:val="center"/>
      </w:pPr>
      <w:r w:rsidRPr="002D2558">
        <w:t xml:space="preserve">Graf </w:t>
      </w:r>
      <w:r w:rsidRPr="00362A8B">
        <w:t>2</w:t>
      </w:r>
      <w:r w:rsidRPr="002D2558">
        <w:t xml:space="preserve"> </w:t>
      </w:r>
      <w:r w:rsidRPr="002D2558">
        <w:br/>
      </w:r>
      <w:r>
        <w:rPr>
          <w:bCs/>
        </w:rPr>
        <w:t>Prehľad</w:t>
      </w:r>
      <w:r w:rsidRPr="002D2558">
        <w:rPr>
          <w:bCs/>
        </w:rPr>
        <w:t xml:space="preserve"> personáln</w:t>
      </w:r>
      <w:r>
        <w:rPr>
          <w:bCs/>
        </w:rPr>
        <w:t>ej naplnenosti tabuľkových funkcií OS SR</w:t>
      </w:r>
      <w:r>
        <w:rPr>
          <w:bCs/>
        </w:rPr>
        <w:br/>
      </w:r>
      <w:r w:rsidRPr="00694E01">
        <w:rPr>
          <w:bCs/>
        </w:rPr>
        <w:t>podľa hodnostných zborov</w:t>
      </w:r>
      <w:r w:rsidRPr="00694E01">
        <w:rPr>
          <w:bCs/>
        </w:rPr>
        <w:br/>
      </w:r>
      <w:r w:rsidRPr="002D2558">
        <w:t>Zdroj: MO SR</w:t>
      </w:r>
    </w:p>
    <w:p w:rsidR="0099221F" w:rsidRDefault="0099221F" w:rsidP="0099221F">
      <w:pPr>
        <w:spacing w:after="120" w:line="264" w:lineRule="auto"/>
        <w:jc w:val="center"/>
      </w:pPr>
    </w:p>
    <w:p w:rsidR="0099221F" w:rsidRPr="00694E01" w:rsidRDefault="0099221F" w:rsidP="0099221F">
      <w:pPr>
        <w:spacing w:after="120" w:line="264" w:lineRule="auto"/>
        <w:ind w:firstLine="708"/>
        <w:jc w:val="both"/>
      </w:pPr>
      <w:r w:rsidRPr="00694E01">
        <w:t>Nízka naplnenosť tabuľkových funkcií profesionálnych vojakov spolu so znižujúcou sa schopnosťou získať prostredníctvom regrutácie do OS SR mladých ľudí ako nových profesionálnych vojakov a</w:t>
      </w:r>
      <w:r>
        <w:t xml:space="preserve"> </w:t>
      </w:r>
      <w:r w:rsidRPr="00694E01">
        <w:t>klesajúcou schopnosťou udržať si slúžiaci vojenský personál</w:t>
      </w:r>
      <w:r>
        <w:t>,</w:t>
      </w:r>
      <w:r w:rsidRPr="00694E01">
        <w:t xml:space="preserve"> </w:t>
      </w:r>
      <w:r w:rsidRPr="00E27E2E">
        <w:t xml:space="preserve">výrazne obmedzuje </w:t>
      </w:r>
      <w:r w:rsidRPr="00694E01">
        <w:t>plnohodnotný intenzívny výcvik jednotiek</w:t>
      </w:r>
      <w:r>
        <w:t>,</w:t>
      </w:r>
      <w:r w:rsidRPr="00694E01">
        <w:t xml:space="preserve"> a tým aj zvládnutie kvalitatívne vyšších bojových parametrov perspektívne dodávanej modernej výzbroje a</w:t>
      </w:r>
      <w:r>
        <w:t> </w:t>
      </w:r>
      <w:r w:rsidRPr="00694E01">
        <w:t>techniky. Tento vývoj môže v</w:t>
      </w:r>
      <w:r>
        <w:t> </w:t>
      </w:r>
      <w:r w:rsidRPr="009A6F10">
        <w:t xml:space="preserve">priebehu nasledujúcich rokov veľmi negatívne ovplyvniť bojaschopnosť a pripravenosť OS SR plniť im </w:t>
      </w:r>
      <w:r w:rsidRPr="00694E01">
        <w:t>stanovené úlohy obrany štátu</w:t>
      </w:r>
      <w:r>
        <w:t>,</w:t>
      </w:r>
      <w:r w:rsidRPr="00694E01">
        <w:t xml:space="preserve"> </w:t>
      </w:r>
      <w:r w:rsidRPr="007763AC">
        <w:t>vrátane</w:t>
      </w:r>
      <w:r w:rsidRPr="00694E01">
        <w:t xml:space="preserve"> plnenia medzinárodných záväzkov.   </w:t>
      </w:r>
    </w:p>
    <w:p w:rsidR="0099221F" w:rsidRPr="00873CA5" w:rsidRDefault="0099221F" w:rsidP="0099221F">
      <w:pPr>
        <w:spacing w:after="120" w:line="264" w:lineRule="auto"/>
        <w:ind w:firstLine="709"/>
        <w:jc w:val="both"/>
        <w:rPr>
          <w:color w:val="C00000"/>
        </w:rPr>
      </w:pPr>
      <w:r w:rsidRPr="00AB3C4C">
        <w:t xml:space="preserve">Základným strategickým </w:t>
      </w:r>
      <w:r w:rsidRPr="00362A8B">
        <w:t xml:space="preserve">dokumentom na zmenu konskripčnej armády na plne profesionálne ozbrojené sily bol </w:t>
      </w:r>
      <w:r>
        <w:t>p</w:t>
      </w:r>
      <w:r w:rsidRPr="00362A8B">
        <w:t xml:space="preserve">re Slovenskú republiku dokument </w:t>
      </w:r>
      <w:r w:rsidRPr="00C01C64">
        <w:rPr>
          <w:i/>
        </w:rPr>
        <w:t xml:space="preserve">Dlhodobý plán štruktúry </w:t>
      </w:r>
      <w:r w:rsidR="00532491">
        <w:rPr>
          <w:i/>
        </w:rPr>
        <w:t>a rozvoja o</w:t>
      </w:r>
      <w:r w:rsidRPr="00AB3C4C">
        <w:rPr>
          <w:i/>
        </w:rPr>
        <w:t>zbrojených síl SR – plán rozvoja a rozvojových programov vrátane ich finančnej náročnosti</w:t>
      </w:r>
      <w:r w:rsidRPr="00AB3C4C">
        <w:rPr>
          <w:rStyle w:val="Odkaznapoznmkupodiarou"/>
          <w:i/>
        </w:rPr>
        <w:footnoteReference w:id="4"/>
      </w:r>
      <w:r w:rsidRPr="00AB3C4C">
        <w:t>.</w:t>
      </w:r>
      <w:r w:rsidRPr="00AB3C4C">
        <w:rPr>
          <w:b/>
        </w:rPr>
        <w:t xml:space="preserve"> </w:t>
      </w:r>
      <w:r w:rsidRPr="00AB3C4C">
        <w:t>Podľa tohto dokumentu mali OS SR v</w:t>
      </w:r>
      <w:r>
        <w:t xml:space="preserve"> </w:t>
      </w:r>
      <w:r w:rsidRPr="00AB3C4C">
        <w:t xml:space="preserve">roku 2006, teda v roku plnej profesionalizácie, disponovať celkovým počtom maximálne 19 520 </w:t>
      </w:r>
      <w:r w:rsidRPr="000822DD">
        <w:t xml:space="preserve">profesionálnych vojakov, </w:t>
      </w:r>
      <w:r w:rsidRPr="000822DD">
        <w:lastRenderedPageBreak/>
        <w:t>ale v skutočnosti disponovali počtom o 4 168 vojakov nižším</w:t>
      </w:r>
      <w:r w:rsidRPr="009714AA">
        <w:t>. V priebehu nasledujúcich rokov sa celkové počty profesionálnych vojakov menili</w:t>
      </w:r>
      <w:r>
        <w:t xml:space="preserve"> </w:t>
      </w:r>
      <w:r w:rsidRPr="009714AA">
        <w:t xml:space="preserve">(graf </w:t>
      </w:r>
      <w:r w:rsidRPr="000822DD">
        <w:t>3)</w:t>
      </w:r>
      <w:r w:rsidRPr="009714AA">
        <w:t xml:space="preserve"> v závislosti od úloh stanovených OS SR v súlade s potrebami zabezpečenia obrany Slovenskej republiky a bezpečnosti štátu a v súlade s medzinárodnými zmluvami, ktorými je Slovenská republika viazaná</w:t>
      </w:r>
      <w:r>
        <w:t xml:space="preserve">. </w:t>
      </w:r>
      <w:r w:rsidRPr="000822DD">
        <w:t xml:space="preserve">K 6. júlu 2017 bolo v OS SR plánovaných 16 077 funkcií profesionálnych vojakov, ale ich skutočný počet predstavoval len 12 180, t. j. o 3 897 menej, čo výrazne negatívnym spôsobom ovplyvňovalo a naďalej ovplyvňuje systém manažmentu vojenského personálu a plnenie úloh OS SR. </w:t>
      </w:r>
    </w:p>
    <w:p w:rsidR="0099221F" w:rsidRPr="0007657E" w:rsidRDefault="0099221F" w:rsidP="0099221F">
      <w:pPr>
        <w:spacing w:after="120" w:line="264" w:lineRule="auto"/>
        <w:ind w:firstLine="708"/>
        <w:jc w:val="both"/>
        <w:rPr>
          <w:sz w:val="12"/>
          <w:szCs w:val="12"/>
        </w:rPr>
      </w:pPr>
    </w:p>
    <w:p w:rsidR="0099221F" w:rsidRDefault="0099221F" w:rsidP="0099221F">
      <w:pPr>
        <w:spacing w:after="120" w:line="264" w:lineRule="auto"/>
        <w:ind w:firstLine="708"/>
        <w:jc w:val="both"/>
        <w:rPr>
          <w:color w:val="00B050"/>
        </w:rPr>
      </w:pPr>
      <w:r w:rsidRPr="00610690">
        <w:rPr>
          <w:noProof/>
          <w:color w:val="00B050"/>
        </w:rPr>
        <w:drawing>
          <wp:inline distT="0" distB="0" distL="0" distR="0" wp14:anchorId="0B959F2D" wp14:editId="0608411E">
            <wp:extent cx="4874260" cy="2862580"/>
            <wp:effectExtent l="0" t="0" r="0" b="0"/>
            <wp:docPr id="10" name="Graf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221F" w:rsidRPr="002A4484" w:rsidRDefault="0099221F" w:rsidP="0099221F">
      <w:pPr>
        <w:spacing w:after="120" w:line="264" w:lineRule="auto"/>
        <w:jc w:val="both"/>
        <w:rPr>
          <w:sz w:val="20"/>
          <w:szCs w:val="20"/>
        </w:rPr>
      </w:pPr>
      <w:r>
        <w:rPr>
          <w:sz w:val="20"/>
          <w:szCs w:val="20"/>
        </w:rPr>
        <w:t xml:space="preserve"> </w:t>
      </w:r>
      <w:r w:rsidRPr="002A4484">
        <w:rPr>
          <w:sz w:val="20"/>
          <w:szCs w:val="20"/>
        </w:rPr>
        <w:t xml:space="preserve">*)  </w:t>
      </w:r>
      <w:r w:rsidRPr="002A4484">
        <w:rPr>
          <w:i/>
          <w:sz w:val="20"/>
          <w:szCs w:val="20"/>
        </w:rPr>
        <w:t>Poznámka:</w:t>
      </w:r>
      <w:r w:rsidRPr="002A4484">
        <w:rPr>
          <w:sz w:val="20"/>
          <w:szCs w:val="20"/>
        </w:rPr>
        <w:t xml:space="preserve"> </w:t>
      </w:r>
      <w:r w:rsidRPr="007C328E">
        <w:rPr>
          <w:bCs/>
          <w:sz w:val="20"/>
          <w:szCs w:val="20"/>
        </w:rPr>
        <w:t>S</w:t>
      </w:r>
      <w:r>
        <w:rPr>
          <w:bCs/>
          <w:sz w:val="20"/>
          <w:szCs w:val="20"/>
        </w:rPr>
        <w:t>tav k 6.7.2017</w:t>
      </w:r>
      <w:r w:rsidRPr="002A4484">
        <w:rPr>
          <w:bCs/>
          <w:sz w:val="20"/>
          <w:szCs w:val="20"/>
        </w:rPr>
        <w:t>.</w:t>
      </w:r>
    </w:p>
    <w:p w:rsidR="0099221F" w:rsidRDefault="0099221F" w:rsidP="0099221F">
      <w:pPr>
        <w:spacing w:after="120" w:line="264" w:lineRule="auto"/>
        <w:jc w:val="center"/>
      </w:pPr>
      <w:r w:rsidRPr="00AB3C4C">
        <w:t xml:space="preserve">Graf </w:t>
      </w:r>
      <w:r w:rsidRPr="000822DD">
        <w:t>3</w:t>
      </w:r>
      <w:r w:rsidRPr="00AB3C4C">
        <w:t xml:space="preserve"> </w:t>
      </w:r>
      <w:r w:rsidRPr="00AB3C4C">
        <w:br/>
      </w:r>
      <w:r w:rsidRPr="00AB3C4C">
        <w:rPr>
          <w:bCs/>
        </w:rPr>
        <w:t xml:space="preserve">Prehľad plánovaných a skutočných počtov vojenského personálu </w:t>
      </w:r>
      <w:r w:rsidRPr="00AB3C4C">
        <w:rPr>
          <w:bCs/>
        </w:rPr>
        <w:br/>
        <w:t>OS SR v rokoch 2006 až 2017</w:t>
      </w:r>
      <w:r w:rsidRPr="00AB3C4C">
        <w:rPr>
          <w:bCs/>
        </w:rPr>
        <w:br/>
      </w:r>
      <w:r w:rsidRPr="00AB3C4C">
        <w:t>Zdroj: MO SR</w:t>
      </w:r>
    </w:p>
    <w:p w:rsidR="0099221F" w:rsidRPr="007C328E" w:rsidRDefault="0099221F" w:rsidP="0099221F">
      <w:pPr>
        <w:spacing w:after="120" w:line="264" w:lineRule="auto"/>
        <w:jc w:val="center"/>
      </w:pPr>
    </w:p>
    <w:p w:rsidR="0099221F" w:rsidRPr="00AB3C4C" w:rsidRDefault="0099221F" w:rsidP="0099221F">
      <w:pPr>
        <w:autoSpaceDE w:val="0"/>
        <w:autoSpaceDN w:val="0"/>
        <w:adjustRightInd w:val="0"/>
        <w:spacing w:after="120" w:line="264" w:lineRule="auto"/>
        <w:ind w:firstLine="567"/>
        <w:jc w:val="both"/>
      </w:pPr>
      <w:r w:rsidRPr="000822DD">
        <w:t xml:space="preserve">Trvalý pokles kvantity i kvality uchádzačov o štátnu službu v OS SR (tabuľka 1) dokumentuje aj vývoj záujmu o vojenské vysokoškolské štúdium z radov mladých ľudí. Napríklad, kým v roku 2006 </w:t>
      </w:r>
      <w:r>
        <w:t xml:space="preserve">(v čase profesionalizácie) </w:t>
      </w:r>
      <w:r w:rsidRPr="000822DD">
        <w:t xml:space="preserve">sa prihlásilo na Akadémiu ozbrojených síl generála Milana Rastislava Štefánika (ďalej len „AOS“) 1 133 uchádzačov, z ktorých úspešne splnilo </w:t>
      </w:r>
      <w:r w:rsidRPr="00AB3C4C">
        <w:t xml:space="preserve">podmienky na vstup do prípravnej štátnej služby 467 uchádzačov (41,2 %), v roku 2017 sa o štúdium na AOS uchádzalo už len 455 záujemcov (pokles o 59,8 %), z ktorých iba 153 splnilo kritériá (33,6 %) na štúdium a službu v OS SR (graf 4). </w:t>
      </w:r>
    </w:p>
    <w:p w:rsidR="0099221F" w:rsidRPr="00162EFC" w:rsidRDefault="0099221F" w:rsidP="0099221F">
      <w:pPr>
        <w:autoSpaceDE w:val="0"/>
        <w:autoSpaceDN w:val="0"/>
        <w:adjustRightInd w:val="0"/>
        <w:spacing w:after="120" w:line="264" w:lineRule="auto"/>
        <w:ind w:firstLine="567"/>
        <w:jc w:val="both"/>
        <w:rPr>
          <w:sz w:val="12"/>
          <w:szCs w:val="12"/>
          <w:highlight w:val="yellow"/>
        </w:rPr>
      </w:pPr>
    </w:p>
    <w:p w:rsidR="0099221F" w:rsidRDefault="0099221F" w:rsidP="0099221F">
      <w:pPr>
        <w:autoSpaceDE w:val="0"/>
        <w:autoSpaceDN w:val="0"/>
        <w:adjustRightInd w:val="0"/>
        <w:spacing w:after="120" w:line="264" w:lineRule="auto"/>
        <w:ind w:left="567"/>
        <w:jc w:val="both"/>
      </w:pPr>
      <w:r>
        <w:rPr>
          <w:noProof/>
        </w:rPr>
        <w:lastRenderedPageBreak/>
        <w:drawing>
          <wp:inline distT="0" distB="0" distL="0" distR="0" wp14:anchorId="05B6BF1E" wp14:editId="4ECEA39C">
            <wp:extent cx="5046345" cy="2816225"/>
            <wp:effectExtent l="0" t="0" r="1905" b="3175"/>
            <wp:docPr id="11" name="Graf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9221F" w:rsidRPr="003649A5" w:rsidRDefault="0099221F" w:rsidP="0099221F">
      <w:pPr>
        <w:autoSpaceDE w:val="0"/>
        <w:autoSpaceDN w:val="0"/>
        <w:adjustRightInd w:val="0"/>
        <w:spacing w:after="120" w:line="264" w:lineRule="auto"/>
        <w:ind w:firstLine="708"/>
        <w:jc w:val="both"/>
        <w:rPr>
          <w:sz w:val="6"/>
          <w:szCs w:val="6"/>
        </w:rPr>
      </w:pPr>
    </w:p>
    <w:p w:rsidR="0099221F" w:rsidRDefault="0099221F" w:rsidP="0099221F">
      <w:pPr>
        <w:autoSpaceDE w:val="0"/>
        <w:autoSpaceDN w:val="0"/>
        <w:adjustRightInd w:val="0"/>
        <w:spacing w:after="120" w:line="264" w:lineRule="auto"/>
        <w:jc w:val="center"/>
      </w:pPr>
      <w:r w:rsidRPr="00362A8B">
        <w:t xml:space="preserve">Graf </w:t>
      </w:r>
      <w:r>
        <w:t>4</w:t>
      </w:r>
      <w:r w:rsidRPr="00362A8B">
        <w:t xml:space="preserve">  </w:t>
      </w:r>
      <w:r>
        <w:br/>
        <w:t>Porovnanie v</w:t>
      </w:r>
      <w:r w:rsidRPr="00FF5934">
        <w:t>ývoj</w:t>
      </w:r>
      <w:r>
        <w:t>a</w:t>
      </w:r>
      <w:r w:rsidRPr="00FF5934">
        <w:t xml:space="preserve"> </w:t>
      </w:r>
      <w:r>
        <w:t xml:space="preserve">počtov záujemcov o štúdium na </w:t>
      </w:r>
      <w:r w:rsidRPr="00CD25C2">
        <w:t>AOS</w:t>
      </w:r>
      <w:r>
        <w:t xml:space="preserve"> v rokoch 2006 a 201</w:t>
      </w:r>
      <w:r w:rsidRPr="00D92DA4">
        <w:t>7</w:t>
      </w:r>
      <w:r>
        <w:br/>
        <w:t>Zdroj: MO SR, 2017</w:t>
      </w:r>
    </w:p>
    <w:p w:rsidR="0099221F" w:rsidRDefault="0099221F" w:rsidP="0099221F">
      <w:pPr>
        <w:autoSpaceDE w:val="0"/>
        <w:autoSpaceDN w:val="0"/>
        <w:adjustRightInd w:val="0"/>
        <w:spacing w:after="120" w:line="264" w:lineRule="auto"/>
        <w:jc w:val="center"/>
      </w:pPr>
    </w:p>
    <w:p w:rsidR="0099221F" w:rsidRDefault="0099221F" w:rsidP="0099221F">
      <w:pPr>
        <w:autoSpaceDE w:val="0"/>
        <w:autoSpaceDN w:val="0"/>
        <w:adjustRightInd w:val="0"/>
        <w:spacing w:after="120" w:line="264" w:lineRule="auto"/>
        <w:ind w:firstLine="708"/>
        <w:jc w:val="both"/>
      </w:pPr>
      <w:r w:rsidRPr="00AB3C4C">
        <w:t>Napriek tomu, že v oblasti personálnej politiky bolo v </w:t>
      </w:r>
      <w:r>
        <w:t>posledných</w:t>
      </w:r>
      <w:r w:rsidRPr="00AB3C4C">
        <w:t xml:space="preserve"> rokoch vykonaných viacero opatrení, napr. v podobe niekoľkých novelizácií zákona č. 346/2005 Z. z. alebo v prijatí zákona č. 281/2015 Z. </w:t>
      </w:r>
      <w:r>
        <w:t xml:space="preserve">z. </w:t>
      </w:r>
      <w:r w:rsidRPr="00AB3C4C">
        <w:t>a s tým súvisiacich služobných predpisov</w:t>
      </w:r>
      <w:r>
        <w:t>,</w:t>
      </w:r>
      <w:r w:rsidRPr="00AB3C4C">
        <w:t xml:space="preserve"> </w:t>
      </w:r>
      <w:r w:rsidRPr="00D958DF">
        <w:t>stále výraznejšie zaostávanie úrovne odmeňovania práce profesionálnych vojakov za vývojom odmeňovania v civilnom sektore</w:t>
      </w:r>
      <w:r w:rsidRPr="00DC1C80">
        <w:t xml:space="preserve">, spolu s nedostatočným materiálno-technickým vybavením útvarov OS SR, a spolu so zmenou zákona č. 328/2002 </w:t>
      </w:r>
      <w:r>
        <w:t xml:space="preserve">Z. z. </w:t>
      </w:r>
      <w:r w:rsidRPr="00DC1C80">
        <w:t xml:space="preserve">o sociálnom zabezpečení policajtov a vojakov a o zmene a doplnení niektorých zákonov v znení neskorších predpisov, ku ktorej došlo s účinnosťou k 1. máju 2013 (napr. zvýšenie doby služby potrebnej na získanie nároku na výsluhový dôchodok), </w:t>
      </w:r>
      <w:r w:rsidRPr="00D958DF">
        <w:t>spôsobuj</w:t>
      </w:r>
      <w:r>
        <w:t>ú</w:t>
      </w:r>
      <w:r w:rsidRPr="00D958DF">
        <w:t xml:space="preserve"> rezortu obrany čoraz väčšie problémy pri získavaní </w:t>
      </w:r>
      <w:r w:rsidRPr="00AB3C4C">
        <w:t xml:space="preserve">a udržaní kvalitných ľudských zdrojov s požadovaným vzdelaním, predpokladmi a schopnosťami, resp. už získanými skúsenosťami a spôsobilosťami. </w:t>
      </w:r>
      <w:r>
        <w:t>Nevyhnutným c</w:t>
      </w:r>
      <w:r w:rsidRPr="00AB3C4C">
        <w:t xml:space="preserve">ieľom OS SR je </w:t>
      </w:r>
      <w:r>
        <w:t xml:space="preserve">pritom </w:t>
      </w:r>
      <w:r w:rsidRPr="00AB3C4C">
        <w:t>získať čo najkvalitnejších, zdravotne, fyzicky i</w:t>
      </w:r>
      <w:r>
        <w:t> </w:t>
      </w:r>
      <w:r w:rsidRPr="00AB3C4C">
        <w:t>psychicky</w:t>
      </w:r>
      <w:r>
        <w:t xml:space="preserve"> </w:t>
      </w:r>
      <w:r w:rsidRPr="00AB3C4C">
        <w:t xml:space="preserve">zdatných jednotlivcov, a tým eliminovať </w:t>
      </w:r>
      <w:r>
        <w:t xml:space="preserve">možné </w:t>
      </w:r>
      <w:r w:rsidRPr="00AB3C4C">
        <w:t>zlyhanie ľudského faktora pri plnení náročných služobných úloh v rámci riešenia situácií s</w:t>
      </w:r>
      <w:r>
        <w:t> </w:t>
      </w:r>
      <w:r w:rsidRPr="00AB3C4C">
        <w:t>rôznym</w:t>
      </w:r>
      <w:r>
        <w:t xml:space="preserve"> </w:t>
      </w:r>
      <w:r w:rsidRPr="00AB3C4C">
        <w:t>stupňom nebezpečenstva a</w:t>
      </w:r>
      <w:r>
        <w:t> </w:t>
      </w:r>
      <w:r w:rsidRPr="00AB3C4C">
        <w:t>fyzickej</w:t>
      </w:r>
      <w:r>
        <w:t xml:space="preserve"> </w:t>
      </w:r>
      <w:r w:rsidRPr="00AB3C4C">
        <w:t xml:space="preserve">i psychickej záťaže, vrátane takých, pri ktorých reálne dochádza k ohrozeniu života a zdravia samotných profesionálnych vojakov. </w:t>
      </w:r>
    </w:p>
    <w:p w:rsidR="0099221F" w:rsidRPr="002A4484" w:rsidRDefault="0099221F" w:rsidP="0099221F">
      <w:pPr>
        <w:spacing w:after="120" w:line="264" w:lineRule="auto"/>
        <w:ind w:firstLine="709"/>
        <w:jc w:val="both"/>
      </w:pPr>
      <w:r w:rsidRPr="002A4484">
        <w:t>Zákon č. 281/2015 Z. z. nadobudol účinnosť 1. januára 2016. Jeho cieľom bolo prispôsobiť štátnu službu profesionálnych vojakov novým podmienkam na trhu práce, zabezpečiť vhodné právne prostredie pre lepší manažment vojenského personálu, získať nových kvalitných mladých ľudí a zároveň stabilizovať kvalifikovaných a skúsených profesionálnych vojakov v služobnom pomere s filozofiou vykonávania vojenského povolania ako celoživotného povolania.</w:t>
      </w:r>
      <w:r>
        <w:t xml:space="preserve"> </w:t>
      </w:r>
      <w:r w:rsidRPr="00AB3C4C">
        <w:t xml:space="preserve">Nepriniesol však </w:t>
      </w:r>
      <w:r w:rsidRPr="002A4484">
        <w:t>žiadne zásadné kvalitatívne zmeny v oblasti motivačných a stimulačných faktorov vo vzťahu k adekvátnemu oceneniu služby profesionálneho vojaka. A to aj napriek tomu, že už počas finalizácie návrhu zákona došlo k</w:t>
      </w:r>
      <w:r>
        <w:t> </w:t>
      </w:r>
      <w:r w:rsidRPr="002A4484">
        <w:t>zhode</w:t>
      </w:r>
      <w:r>
        <w:t xml:space="preserve"> </w:t>
      </w:r>
      <w:r w:rsidRPr="002A4484">
        <w:t xml:space="preserve">názorov odborníkov z viacerých strán o nevyhnutnosti prijatia radikálnejších zmien </w:t>
      </w:r>
      <w:r w:rsidRPr="002A4484">
        <w:lastRenderedPageBreak/>
        <w:t xml:space="preserve">v odmeňovaní profesionálnych vojakov, nakoľko navrhovaná právna úprava, napriek istým pozitívam, podľa nich </w:t>
      </w:r>
      <w:r w:rsidRPr="002A4484">
        <w:rPr>
          <w:i/>
        </w:rPr>
        <w:t>„nesie so sebou</w:t>
      </w:r>
      <w:r w:rsidRPr="002A4484">
        <w:t xml:space="preserve"> </w:t>
      </w:r>
      <w:r w:rsidRPr="002A4484">
        <w:rPr>
          <w:i/>
        </w:rPr>
        <w:t>punc stagnácie a prepadu</w:t>
      </w:r>
      <w:r w:rsidRPr="002A4484">
        <w:t xml:space="preserve"> </w:t>
      </w:r>
      <w:r w:rsidRPr="002A4484">
        <w:rPr>
          <w:i/>
        </w:rPr>
        <w:t>vo vzťahu k atraktivite a konkurencieschopnosti vojenského povolania na trhu práce</w:t>
      </w:r>
      <w:r w:rsidRPr="002A4484">
        <w:t xml:space="preserve">“. </w:t>
      </w:r>
    </w:p>
    <w:p w:rsidR="0099221F" w:rsidRPr="00D958DF" w:rsidRDefault="0099221F" w:rsidP="0099221F">
      <w:pPr>
        <w:spacing w:after="120" w:line="264" w:lineRule="auto"/>
        <w:ind w:left="64" w:firstLine="567"/>
        <w:jc w:val="both"/>
      </w:pPr>
      <w:r w:rsidRPr="00873CA5">
        <w:t>Ministerstvo obrany preto v súlade s</w:t>
      </w:r>
      <w:r>
        <w:t xml:space="preserve"> </w:t>
      </w:r>
      <w:r w:rsidRPr="00873CA5">
        <w:t>Rozpracovaním Programového vyhlásen</w:t>
      </w:r>
      <w:r>
        <w:t xml:space="preserve">ia vlády </w:t>
      </w:r>
      <w:r w:rsidRPr="00873CA5">
        <w:t>SR v rezorte obrany na roky 2016</w:t>
      </w:r>
      <w:r>
        <w:t xml:space="preserve"> – </w:t>
      </w:r>
      <w:r w:rsidRPr="00873CA5">
        <w:t>2020, Bielou knihou o obrane Slovenskej republiky (2016),</w:t>
      </w:r>
      <w:r w:rsidRPr="00D958DF">
        <w:t xml:space="preserve"> Dlhodobými cieľmi výstavby a rozvoja OS SR s</w:t>
      </w:r>
      <w:r>
        <w:t xml:space="preserve"> </w:t>
      </w:r>
      <w:r w:rsidRPr="00D958DF">
        <w:t xml:space="preserve">výhľadom do roku 2030 a Dlhodobým plánom rozvoja obrany s dôrazom na výstavbu a rozvoj OS SR s výhľadom do roku 2030 pripraví </w:t>
      </w:r>
      <w:r w:rsidRPr="00F80F30">
        <w:t>a v roku 2018 predloží na rokovanie vlády SR</w:t>
      </w:r>
      <w:r w:rsidRPr="00D958DF">
        <w:t xml:space="preserve"> návrh zákona, ktorým sa mení a dopĺňa zákon č. 281/2015 Z. z., s primárnym cieľom zvýšiť atraktívnosť vojenského povolania a</w:t>
      </w:r>
      <w:r w:rsidR="001379ED">
        <w:t> </w:t>
      </w:r>
      <w:r w:rsidRPr="00D958DF">
        <w:t>konkurencieschopnosť</w:t>
      </w:r>
      <w:r w:rsidR="001379ED">
        <w:t xml:space="preserve"> </w:t>
      </w:r>
      <w:r w:rsidRPr="00D958DF">
        <w:t>rezortu obrany na trhu práce, a zlepšiť úroveň odmeňovania, motivácie a kvality života profesionálnych vojakov. V záujme eliminácie súčasných negatívnych tendencií spojených s poklesom záujmu o štátnu službu profesionálneho vojaka a zvýšenou odchodo</w:t>
      </w:r>
      <w:r>
        <w:t>vo</w:t>
      </w:r>
      <w:r w:rsidRPr="00D958DF">
        <w:t>sťou profesionálnych vojakov zo štátnej služby zvýši investície do vojenského personálu a prijme ďalšie opatrenia smerujúce k tomu, aby bolo verejnosťou vnímané ako zodpovedný, spoľahlivý a</w:t>
      </w:r>
      <w:r>
        <w:t xml:space="preserve"> </w:t>
      </w:r>
      <w:r w:rsidRPr="00D958DF">
        <w:t>atraktívny zamestnávateľ schopný uspieť v</w:t>
      </w:r>
      <w:r w:rsidR="001379ED">
        <w:t> </w:t>
      </w:r>
      <w:proofErr w:type="spellStart"/>
      <w:r w:rsidRPr="00D958DF">
        <w:t>konkuren</w:t>
      </w:r>
      <w:r w:rsidR="001379ED">
        <w:t>-</w:t>
      </w:r>
      <w:r w:rsidRPr="00D958DF">
        <w:t>čnom</w:t>
      </w:r>
      <w:proofErr w:type="spellEnd"/>
      <w:r w:rsidR="001379ED">
        <w:t xml:space="preserve"> </w:t>
      </w:r>
      <w:r w:rsidRPr="00D958DF">
        <w:t xml:space="preserve">prostredí. </w:t>
      </w:r>
    </w:p>
    <w:p w:rsidR="00A466C5" w:rsidRPr="0008147E" w:rsidRDefault="00667937" w:rsidP="0008147E"/>
    <w:sectPr w:rsidR="00A466C5" w:rsidRPr="000814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937" w:rsidRDefault="00667937" w:rsidP="0099221F">
      <w:r>
        <w:separator/>
      </w:r>
    </w:p>
  </w:endnote>
  <w:endnote w:type="continuationSeparator" w:id="0">
    <w:p w:rsidR="00667937" w:rsidRDefault="00667937" w:rsidP="0099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937" w:rsidRDefault="00667937" w:rsidP="0099221F">
      <w:r>
        <w:separator/>
      </w:r>
    </w:p>
  </w:footnote>
  <w:footnote w:type="continuationSeparator" w:id="0">
    <w:p w:rsidR="00667937" w:rsidRDefault="00667937" w:rsidP="0099221F">
      <w:r>
        <w:continuationSeparator/>
      </w:r>
    </w:p>
  </w:footnote>
  <w:footnote w:id="1">
    <w:p w:rsidR="0099221F" w:rsidRPr="009714AA" w:rsidRDefault="0099221F" w:rsidP="0099221F">
      <w:pPr>
        <w:pStyle w:val="Textpoznmkypodiarou"/>
        <w:tabs>
          <w:tab w:val="left" w:pos="142"/>
        </w:tabs>
        <w:ind w:left="142" w:hanging="142"/>
      </w:pPr>
      <w:r w:rsidRPr="009714AA">
        <w:rPr>
          <w:rStyle w:val="Odkaznapoznmkupodiarou"/>
        </w:rPr>
        <w:footnoteRef/>
      </w:r>
      <w:r w:rsidRPr="009714AA">
        <w:t xml:space="preserve"> </w:t>
      </w:r>
      <w:r w:rsidRPr="009714AA">
        <w:tab/>
        <w:t xml:space="preserve">Inštitút finančnej politiky Ministerstva financií Slovenskej republiky. 2017. </w:t>
      </w:r>
      <w:r w:rsidRPr="009714AA">
        <w:rPr>
          <w:i/>
        </w:rPr>
        <w:t>Ekonomické prognózy</w:t>
      </w:r>
      <w:r w:rsidRPr="009714AA">
        <w:t>. Dostupné verejne na internete na: &lt;http://www.finance.gov.sk/Default.aspx?CatID=74&gt;.</w:t>
      </w:r>
    </w:p>
  </w:footnote>
  <w:footnote w:id="2">
    <w:p w:rsidR="0099221F" w:rsidRPr="009714AA" w:rsidRDefault="0099221F" w:rsidP="0099221F">
      <w:pPr>
        <w:pStyle w:val="Textpoznmkypodiarou"/>
        <w:tabs>
          <w:tab w:val="left" w:pos="142"/>
        </w:tabs>
        <w:ind w:left="142" w:hanging="142"/>
      </w:pPr>
      <w:r w:rsidRPr="009714AA">
        <w:rPr>
          <w:rStyle w:val="Odkaznapoznmkupodiarou"/>
        </w:rPr>
        <w:footnoteRef/>
      </w:r>
      <w:r w:rsidRPr="009714AA">
        <w:tab/>
        <w:t xml:space="preserve">Inštitút finančnej politiky Ministerstva financií Slovenskej republiky. 2017. </w:t>
      </w:r>
      <w:r w:rsidRPr="009714AA">
        <w:rPr>
          <w:i/>
        </w:rPr>
        <w:t xml:space="preserve">Ekonomické </w:t>
      </w:r>
      <w:r w:rsidR="001379ED">
        <w:rPr>
          <w:i/>
        </w:rPr>
        <w:t>štatistiky</w:t>
      </w:r>
      <w:r w:rsidRPr="009714AA">
        <w:t>. Dostupné verejne na internete na: &lt;http://www.finance.gov.sk/Default.aspx?CatID=73&gt;.</w:t>
      </w:r>
    </w:p>
  </w:footnote>
  <w:footnote w:id="3">
    <w:p w:rsidR="0099221F" w:rsidRPr="009714AA" w:rsidRDefault="0099221F" w:rsidP="0099221F">
      <w:pPr>
        <w:pStyle w:val="Textpoznmkypodiarou"/>
        <w:ind w:left="142" w:hanging="142"/>
      </w:pPr>
      <w:r w:rsidRPr="009714AA">
        <w:rPr>
          <w:rStyle w:val="Odkaznapoznmkupodiarou"/>
        </w:rPr>
        <w:footnoteRef/>
      </w:r>
      <w:r w:rsidRPr="009714AA">
        <w:t xml:space="preserve"> Štatistický úrad Slovenskej republiky. 2017. </w:t>
      </w:r>
      <w:r w:rsidRPr="009714AA">
        <w:rPr>
          <w:i/>
        </w:rPr>
        <w:t>Štruktúra miezd SR 2016</w:t>
      </w:r>
      <w:r w:rsidRPr="009714AA">
        <w:t>. Dostupné verejne na internete na: &lt;https://slovak.statistics.sk/wps/portal/ext/themes/demography/cost/publications/!ut/p/z1/pZPbUoMwEIafprfk5wzepSgnmdoSsTU3DnWQolg6gO3rm1Fu2tqg494l-_17yGYJJyvCt_m-KvO-arZ5Lc6P3Hpa2JEznaoUmCY6oviWzULP14xMI8tjwJmlN4ju6TxIY0OFYRIu3D6ba9Q1Au86vfOF29McllgaoA56CcCPwps2EM1YBjwwMGDQewENDTsBnCQwEdEwS92FroPqx_pL9eOCUfxOLylQ1n9gjfQvAFl-Vz_Nfw78rf4TgOF_egFw-fMuCf9CZBMci8HHPhmXdsHGIogpxISXdbP-3gi6XetOSXhbvBRt0Sofrbje9P3uaoIJDoeD0vVigbq-eu6U7m2Cn0SbpuvJ6gwmu_dssBWq6NWs9wn9BFhuZd0!/dz/d5/L2dJQSEvUUt3QS80TmxFL1o2X1E3SThCQjFBMDBCTDMwSUpLU05IQ0YyNFUy/&gt;.</w:t>
      </w:r>
    </w:p>
  </w:footnote>
  <w:footnote w:id="4">
    <w:p w:rsidR="0099221F" w:rsidRDefault="0099221F" w:rsidP="0099221F">
      <w:pPr>
        <w:pStyle w:val="Textpoznmkypodiarou"/>
        <w:tabs>
          <w:tab w:val="left" w:pos="142"/>
        </w:tabs>
        <w:ind w:left="142" w:hanging="142"/>
        <w:jc w:val="both"/>
      </w:pPr>
      <w:r w:rsidRPr="001C3F69">
        <w:rPr>
          <w:rStyle w:val="Odkaznapoznmkupodiarou"/>
        </w:rPr>
        <w:footnoteRef/>
      </w:r>
      <w:r w:rsidRPr="001C3F69">
        <w:t xml:space="preserve"> </w:t>
      </w:r>
      <w:r w:rsidRPr="001C3F69">
        <w:tab/>
      </w:r>
      <w:r w:rsidRPr="001C3F69">
        <w:rPr>
          <w:i/>
        </w:rPr>
        <w:t>Dlhodobý plán štruktúry a rozvoja Ozbrojených síl SR – plán rozvoja a rozvojových programov vrátane ich finančnej náročnosti</w:t>
      </w:r>
      <w:r w:rsidRPr="001C3F69">
        <w:t xml:space="preserve"> (schválený Radou obrany štátu na 45. schôdzi dňa 7. februára 2002 a následne </w:t>
      </w:r>
      <w:r w:rsidRPr="001C3F69">
        <w:rPr>
          <w:bCs/>
          <w:shd w:val="clear" w:color="auto" w:fill="FFFFFF"/>
        </w:rPr>
        <w:t xml:space="preserve">Národnou radou Slovenskej republiky na </w:t>
      </w:r>
      <w:r w:rsidRPr="001C3F69">
        <w:t xml:space="preserve">rokovaní 61. schôdze dňa </w:t>
      </w:r>
      <w:r w:rsidRPr="001C3F69">
        <w:rPr>
          <w:bCs/>
          <w:shd w:val="clear" w:color="auto" w:fill="FFFFFF"/>
        </w:rPr>
        <w:t>11. júla 2002).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750E7A"/>
    <w:multiLevelType w:val="hybridMultilevel"/>
    <w:tmpl w:val="2D24095A"/>
    <w:lvl w:ilvl="0" w:tplc="3A2C0192">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421"/>
    <w:rsid w:val="0008147E"/>
    <w:rsid w:val="000E0359"/>
    <w:rsid w:val="001379ED"/>
    <w:rsid w:val="001D2421"/>
    <w:rsid w:val="0033150F"/>
    <w:rsid w:val="003736CD"/>
    <w:rsid w:val="004A5C99"/>
    <w:rsid w:val="00532491"/>
    <w:rsid w:val="00667937"/>
    <w:rsid w:val="0099221F"/>
    <w:rsid w:val="00A27ECD"/>
    <w:rsid w:val="00A73D4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655D8-B217-43C0-9167-A10220A3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221F"/>
    <w:pPr>
      <w:spacing w:after="0" w:line="240" w:lineRule="auto"/>
    </w:pPr>
    <w:rPr>
      <w:rFonts w:ascii="Times New Roman" w:eastAsia="Calibri"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rsid w:val="0099221F"/>
    <w:rPr>
      <w:rFonts w:eastAsia="Times New Roman"/>
      <w:sz w:val="20"/>
      <w:szCs w:val="20"/>
    </w:rPr>
  </w:style>
  <w:style w:type="character" w:customStyle="1" w:styleId="TextpoznmkypodiarouChar">
    <w:name w:val="Text poznámky pod čiarou Char"/>
    <w:basedOn w:val="Predvolenpsmoodseku"/>
    <w:link w:val="Textpoznmkypodiarou"/>
    <w:uiPriority w:val="99"/>
    <w:semiHidden/>
    <w:rsid w:val="0099221F"/>
    <w:rPr>
      <w:rFonts w:ascii="Times New Roman" w:eastAsia="Times New Roman" w:hAnsi="Times New Roman" w:cs="Times New Roman"/>
      <w:sz w:val="20"/>
      <w:szCs w:val="20"/>
      <w:lang w:eastAsia="sk-SK"/>
    </w:rPr>
  </w:style>
  <w:style w:type="character" w:styleId="Odkaznapoznmkupodiarou">
    <w:name w:val="footnote reference"/>
    <w:uiPriority w:val="99"/>
    <w:semiHidden/>
    <w:rsid w:val="0099221F"/>
    <w:rPr>
      <w:rFonts w:cs="Times New Roman"/>
      <w:vertAlign w:val="superscript"/>
    </w:rPr>
  </w:style>
  <w:style w:type="paragraph" w:styleId="Odsekzoznamu">
    <w:name w:val="List Paragraph"/>
    <w:basedOn w:val="Normlny"/>
    <w:uiPriority w:val="34"/>
    <w:qFormat/>
    <w:rsid w:val="0099221F"/>
    <w:pPr>
      <w:spacing w:after="160" w:line="259" w:lineRule="auto"/>
      <w:ind w:left="720"/>
      <w:contextualSpacing/>
    </w:pPr>
    <w:rPr>
      <w:rFonts w:ascii="Calibri" w:hAnsi="Calibri"/>
      <w:sz w:val="22"/>
      <w:szCs w:val="22"/>
      <w:lang w:eastAsia="en-US"/>
    </w:rPr>
  </w:style>
  <w:style w:type="paragraph" w:styleId="Textbubliny">
    <w:name w:val="Balloon Text"/>
    <w:basedOn w:val="Normlny"/>
    <w:link w:val="TextbublinyChar"/>
    <w:uiPriority w:val="99"/>
    <w:semiHidden/>
    <w:unhideWhenUsed/>
    <w:rsid w:val="009922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99221F"/>
    <w:rPr>
      <w:rFonts w:ascii="Segoe UI" w:eastAsia="Calibri"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ustomXml" Target="../customXml/item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UsersData\ivancikr\Desktop\SE&#317;UZ\Anal&#253;zy\Anal&#253;za%20stavu%20dopl&#328;ovania%20a%20udr&#382;iavania\Graf%2011%20-%20Preh&#318;ad%20naplnenosti%20OS%20SR%20v%20r.%202009-2017.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UsersData\berkyl\Desktop\SE&#317;UZ%202013\2016\TP%20hodnosti%20a%20obsadenos&#357;.xlsx"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H_rok_programu_Microsoft_Excel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UsersData\ivancikr\Desktop\SE&#317;UZ\Anal&#253;zy\Anal&#253;za%20stavu%20dopl&#328;ovania%20a%20udr&#382;iavania\Graf%204%20-%20Porovnanie%20z&#225;ujemcov%20o%20&#353;t&#250;dium%20na%20AO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Hárok1!$B$1</c:f>
              <c:strCache>
                <c:ptCount val="1"/>
                <c:pt idx="0">
                  <c:v>Rad 1</c:v>
                </c:pt>
              </c:strCache>
            </c:strRef>
          </c:tx>
          <c:spPr>
            <a:ln w="44450" cap="rnd">
              <a:solidFill>
                <a:schemeClr val="accent1">
                  <a:lumMod val="50000"/>
                </a:schemeClr>
              </a:solidFill>
              <a:round/>
            </a:ln>
            <a:effectLst/>
          </c:spPr>
          <c:marker>
            <c:symbol val="triangle"/>
            <c:size val="10"/>
            <c:spPr>
              <a:solidFill>
                <a:schemeClr val="accent1">
                  <a:lumMod val="50000"/>
                </a:schemeClr>
              </a:solidFill>
              <a:ln w="9525">
                <a:solidFill>
                  <a:schemeClr val="accent1">
                    <a:lumMod val="5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sk-SK"/>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Hárok1!$A$2:$A$10</c:f>
              <c:strCache>
                <c:ptCount val="9"/>
                <c:pt idx="0">
                  <c:v>2009</c:v>
                </c:pt>
                <c:pt idx="1">
                  <c:v>2010</c:v>
                </c:pt>
                <c:pt idx="2">
                  <c:v>2011</c:v>
                </c:pt>
                <c:pt idx="3">
                  <c:v>2012</c:v>
                </c:pt>
                <c:pt idx="4">
                  <c:v>2013</c:v>
                </c:pt>
                <c:pt idx="5">
                  <c:v>2014</c:v>
                </c:pt>
                <c:pt idx="6">
                  <c:v>2015</c:v>
                </c:pt>
                <c:pt idx="7">
                  <c:v>2016</c:v>
                </c:pt>
                <c:pt idx="8">
                  <c:v>2017*</c:v>
                </c:pt>
              </c:strCache>
            </c:strRef>
          </c:cat>
          <c:val>
            <c:numRef>
              <c:f>Hárok1!$B$2:$B$10</c:f>
              <c:numCache>
                <c:formatCode>General</c:formatCode>
                <c:ptCount val="9"/>
                <c:pt idx="0">
                  <c:v>91.1</c:v>
                </c:pt>
                <c:pt idx="1">
                  <c:v>89.9</c:v>
                </c:pt>
                <c:pt idx="2">
                  <c:v>88.3</c:v>
                </c:pt>
                <c:pt idx="3">
                  <c:v>84.6</c:v>
                </c:pt>
                <c:pt idx="4">
                  <c:v>83.1</c:v>
                </c:pt>
                <c:pt idx="5">
                  <c:v>83.6</c:v>
                </c:pt>
                <c:pt idx="6">
                  <c:v>83.5</c:v>
                </c:pt>
                <c:pt idx="7">
                  <c:v>79.099999999999994</c:v>
                </c:pt>
                <c:pt idx="8">
                  <c:v>75.8</c:v>
                </c:pt>
              </c:numCache>
            </c:numRef>
          </c:val>
          <c:smooth val="0"/>
        </c:ser>
        <c:dLbls>
          <c:showLegendKey val="0"/>
          <c:showVal val="0"/>
          <c:showCatName val="0"/>
          <c:showSerName val="0"/>
          <c:showPercent val="0"/>
          <c:showBubbleSize val="0"/>
        </c:dLbls>
        <c:marker val="1"/>
        <c:smooth val="0"/>
        <c:axId val="553137688"/>
        <c:axId val="553135728"/>
      </c:lineChart>
      <c:catAx>
        <c:axId val="553137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k-SK"/>
          </a:p>
        </c:txPr>
        <c:crossAx val="553135728"/>
        <c:crosses val="autoZero"/>
        <c:auto val="1"/>
        <c:lblAlgn val="ctr"/>
        <c:lblOffset val="100"/>
        <c:noMultiLvlLbl val="0"/>
      </c:catAx>
      <c:valAx>
        <c:axId val="553135728"/>
        <c:scaling>
          <c:orientation val="minMax"/>
          <c:max val="95"/>
          <c:min val="70"/>
        </c:scaling>
        <c:delete val="1"/>
        <c:axPos val="l"/>
        <c:numFmt formatCode="General" sourceLinked="1"/>
        <c:majorTickMark val="none"/>
        <c:minorTickMark val="none"/>
        <c:tickLblPos val="nextTo"/>
        <c:crossAx val="553137688"/>
        <c:crosses val="autoZero"/>
        <c:crossBetween val="between"/>
      </c:valAx>
      <c:spPr>
        <a:noFill/>
        <a:ln>
          <a:noFill/>
        </a:ln>
        <a:effectLst/>
      </c:spPr>
    </c:plotArea>
    <c:plotVisOnly val="1"/>
    <c:dispBlanksAs val="zero"/>
    <c:showDLblsOverMax val="0"/>
  </c:chart>
  <c:spPr>
    <a:solidFill>
      <a:schemeClr val="bg1"/>
    </a:solidFill>
    <a:ln w="12700" cap="flat" cmpd="sng" algn="ctr">
      <a:solidFill>
        <a:schemeClr val="tx1"/>
      </a:solidFill>
      <a:round/>
    </a:ln>
    <a:effectLst/>
  </c:spPr>
  <c:txPr>
    <a:bodyPr/>
    <a:lstStyle/>
    <a:p>
      <a:pPr>
        <a:defRPr/>
      </a:pPr>
      <a:endParaRPr lang="sk-SK"/>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'obsadenosť OS SR'!$B$23</c:f>
              <c:strCache>
                <c:ptCount val="1"/>
                <c:pt idx="0">
                  <c:v>percentuálna obsadenosť</c:v>
                </c:pt>
              </c:strCache>
            </c:strRef>
          </c:tx>
          <c:spPr>
            <a:solidFill>
              <a:schemeClr val="accent1"/>
            </a:solidFill>
            <a:ln w="9525">
              <a:solidFill>
                <a:schemeClr val="tx1"/>
              </a:solidFill>
            </a:ln>
            <a:effectLst/>
          </c:spPr>
          <c:invertIfNegative val="0"/>
          <c:dPt>
            <c:idx val="0"/>
            <c:invertIfNegative val="0"/>
            <c:bubble3D val="0"/>
            <c:spPr>
              <a:solidFill>
                <a:srgbClr val="FF0000"/>
              </a:solidFill>
              <a:ln w="9525">
                <a:solidFill>
                  <a:schemeClr val="tx1"/>
                </a:solidFill>
              </a:ln>
              <a:effectLst/>
            </c:spPr>
          </c:dPt>
          <c:dPt>
            <c:idx val="1"/>
            <c:invertIfNegative val="0"/>
            <c:bubble3D val="0"/>
            <c:spPr>
              <a:solidFill>
                <a:srgbClr val="92D050"/>
              </a:solidFill>
              <a:ln w="9525">
                <a:solidFill>
                  <a:schemeClr val="tx1"/>
                </a:solidFill>
              </a:ln>
              <a:effectLst/>
            </c:spPr>
          </c:dPt>
          <c:dPt>
            <c:idx val="2"/>
            <c:invertIfNegative val="0"/>
            <c:bubble3D val="0"/>
            <c:spPr>
              <a:solidFill>
                <a:schemeClr val="accent6">
                  <a:lumMod val="75000"/>
                </a:schemeClr>
              </a:solidFill>
              <a:ln w="9525">
                <a:solidFill>
                  <a:schemeClr val="tx1"/>
                </a:solidFill>
              </a:ln>
              <a:effectLst/>
            </c:spPr>
          </c:dPt>
          <c:dPt>
            <c:idx val="3"/>
            <c:invertIfNegative val="0"/>
            <c:bubble3D val="0"/>
            <c:spPr>
              <a:solidFill>
                <a:schemeClr val="accent6">
                  <a:lumMod val="50000"/>
                </a:schemeClr>
              </a:solidFill>
              <a:ln w="9525">
                <a:solidFill>
                  <a:schemeClr val="tx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sk-SK"/>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'obsadenosť OS SR'!$A$24:$A$28</c:f>
              <c:strCache>
                <c:ptCount val="4"/>
                <c:pt idx="0">
                  <c:v>OS SR 2017</c:v>
                </c:pt>
                <c:pt idx="1">
                  <c:v>mužstvo</c:v>
                </c:pt>
                <c:pt idx="2">
                  <c:v>poddôstojníci</c:v>
                </c:pt>
                <c:pt idx="3">
                  <c:v>dôstojníci</c:v>
                </c:pt>
              </c:strCache>
              <c:extLst/>
            </c:strRef>
          </c:cat>
          <c:val>
            <c:numRef>
              <c:f>'obsadenosť OS SR'!$B$24:$B$28</c:f>
              <c:numCache>
                <c:formatCode>0.0%</c:formatCode>
                <c:ptCount val="4"/>
                <c:pt idx="0">
                  <c:v>0.75800000000000001</c:v>
                </c:pt>
                <c:pt idx="1">
                  <c:v>0.80300000000000005</c:v>
                </c:pt>
                <c:pt idx="2">
                  <c:v>0.74</c:v>
                </c:pt>
                <c:pt idx="3">
                  <c:v>0.71799999999999997</c:v>
                </c:pt>
              </c:numCache>
              <c:extLst/>
            </c:numRef>
          </c:val>
          <c:extLst/>
        </c:ser>
        <c:dLbls>
          <c:showLegendKey val="0"/>
          <c:showVal val="0"/>
          <c:showCatName val="0"/>
          <c:showSerName val="0"/>
          <c:showPercent val="0"/>
          <c:showBubbleSize val="0"/>
        </c:dLbls>
        <c:gapWidth val="219"/>
        <c:overlap val="-27"/>
        <c:axId val="598079528"/>
        <c:axId val="598080704"/>
      </c:barChart>
      <c:catAx>
        <c:axId val="598079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sk-SK"/>
          </a:p>
        </c:txPr>
        <c:crossAx val="598080704"/>
        <c:crosses val="autoZero"/>
        <c:auto val="1"/>
        <c:lblAlgn val="ctr"/>
        <c:lblOffset val="100"/>
        <c:noMultiLvlLbl val="0"/>
      </c:catAx>
      <c:valAx>
        <c:axId val="598080704"/>
        <c:scaling>
          <c:orientation val="minMax"/>
          <c:max val="0.9"/>
          <c:min val="0.30000000000000004"/>
        </c:scaling>
        <c:delete val="1"/>
        <c:axPos val="l"/>
        <c:numFmt formatCode="0.0%" sourceLinked="1"/>
        <c:majorTickMark val="none"/>
        <c:minorTickMark val="none"/>
        <c:tickLblPos val="nextTo"/>
        <c:crossAx val="598079528"/>
        <c:crosses val="autoZero"/>
        <c:crossBetween val="between"/>
      </c:valAx>
      <c:spPr>
        <a:noFill/>
        <a:ln>
          <a:noFill/>
        </a:ln>
        <a:effectLst/>
      </c:spPr>
    </c:plotArea>
    <c:plotVisOnly val="1"/>
    <c:dispBlanksAs val="gap"/>
    <c:showDLblsOverMax val="0"/>
  </c:chart>
  <c:spPr>
    <a:solidFill>
      <a:schemeClr val="bg1"/>
    </a:solidFill>
    <a:ln w="12700" cap="flat" cmpd="sng" algn="ctr">
      <a:solidFill>
        <a:schemeClr val="tx1"/>
      </a:solidFill>
      <a:round/>
    </a:ln>
    <a:effectLst/>
  </c:spPr>
  <c:txPr>
    <a:bodyPr/>
    <a:lstStyle/>
    <a:p>
      <a:pPr>
        <a:defRPr/>
      </a:pPr>
      <a:endParaRPr lang="sk-SK"/>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Hárok1!$B$1</c:f>
              <c:strCache>
                <c:ptCount val="1"/>
                <c:pt idx="0">
                  <c:v>Plánovaný počet </c:v>
                </c:pt>
              </c:strCache>
            </c:strRef>
          </c:tx>
          <c:spPr>
            <a:ln w="37673" cap="rnd">
              <a:solidFill>
                <a:schemeClr val="accent5">
                  <a:lumMod val="50000"/>
                </a:schemeClr>
              </a:solidFill>
              <a:round/>
            </a:ln>
            <a:effectLst/>
          </c:spPr>
          <c:marker>
            <c:symbol val="triangle"/>
            <c:size val="7"/>
            <c:spPr>
              <a:solidFill>
                <a:schemeClr val="accent5">
                  <a:lumMod val="50000"/>
                </a:schemeClr>
              </a:solidFill>
              <a:ln w="9418">
                <a:solidFill>
                  <a:schemeClr val="accent5">
                    <a:lumMod val="50000"/>
                  </a:schemeClr>
                </a:solidFill>
              </a:ln>
              <a:effectLst/>
            </c:spPr>
          </c:marker>
          <c:dLbls>
            <c:spPr>
              <a:noFill/>
              <a:ln w="25385">
                <a:noFill/>
              </a:ln>
            </c:spPr>
            <c:txPr>
              <a:bodyPr rot="0" spcFirstLastPara="1" vertOverflow="ellipsis" vert="horz" wrap="square" anchor="ctr" anchorCtr="1"/>
              <a:lstStyle/>
              <a:p>
                <a:pPr>
                  <a:defRPr sz="989" b="1" i="0" u="none" strike="noStrike" kern="1200" baseline="0">
                    <a:solidFill>
                      <a:sysClr val="windowText" lastClr="000000"/>
                    </a:solidFill>
                    <a:latin typeface="+mn-lt"/>
                    <a:ea typeface="+mn-ea"/>
                    <a:cs typeface="+mn-cs"/>
                  </a:defRPr>
                </a:pPr>
                <a:endParaRPr lang="sk-SK"/>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Hárok1!$A$2:$A$8</c:f>
              <c:strCache>
                <c:ptCount val="7"/>
                <c:pt idx="0">
                  <c:v>2006</c:v>
                </c:pt>
                <c:pt idx="1">
                  <c:v>2008</c:v>
                </c:pt>
                <c:pt idx="2">
                  <c:v>2010</c:v>
                </c:pt>
                <c:pt idx="3">
                  <c:v>2012</c:v>
                </c:pt>
                <c:pt idx="4">
                  <c:v>2014</c:v>
                </c:pt>
                <c:pt idx="5">
                  <c:v>2016</c:v>
                </c:pt>
                <c:pt idx="6">
                  <c:v>2017*</c:v>
                </c:pt>
              </c:strCache>
            </c:strRef>
          </c:cat>
          <c:val>
            <c:numRef>
              <c:f>Hárok1!$B$2:$B$8</c:f>
              <c:numCache>
                <c:formatCode>_-* #\ ##0\ _€_-;\-* #\ ##0\ _€_-;_-* "-"??\ _€_-;_-@_-</c:formatCode>
                <c:ptCount val="7"/>
                <c:pt idx="0">
                  <c:v>19520</c:v>
                </c:pt>
                <c:pt idx="1">
                  <c:v>17966</c:v>
                </c:pt>
                <c:pt idx="2">
                  <c:v>15803</c:v>
                </c:pt>
                <c:pt idx="3">
                  <c:v>14772</c:v>
                </c:pt>
                <c:pt idx="4">
                  <c:v>14854</c:v>
                </c:pt>
                <c:pt idx="5">
                  <c:v>15591</c:v>
                </c:pt>
                <c:pt idx="6">
                  <c:v>16077</c:v>
                </c:pt>
              </c:numCache>
            </c:numRef>
          </c:val>
          <c:smooth val="0"/>
        </c:ser>
        <c:ser>
          <c:idx val="1"/>
          <c:order val="1"/>
          <c:tx>
            <c:strRef>
              <c:f>Hárok1!$C$1</c:f>
              <c:strCache>
                <c:ptCount val="1"/>
                <c:pt idx="0">
                  <c:v>Skutočný počet</c:v>
                </c:pt>
              </c:strCache>
            </c:strRef>
          </c:tx>
          <c:spPr>
            <a:ln w="37673">
              <a:solidFill>
                <a:srgbClr val="FF0000"/>
              </a:solidFill>
              <a:prstDash val="solid"/>
            </a:ln>
          </c:spPr>
          <c:marker>
            <c:symbol val="triangle"/>
            <c:size val="7"/>
            <c:spPr>
              <a:solidFill>
                <a:srgbClr val="FF0000"/>
              </a:solidFill>
              <a:ln>
                <a:solidFill>
                  <a:srgbClr val="FF0000"/>
                </a:solidFill>
                <a:prstDash val="solid"/>
              </a:ln>
            </c:spPr>
          </c:marker>
          <c:dLbls>
            <c:spPr>
              <a:noFill/>
              <a:ln w="25385">
                <a:noFill/>
              </a:ln>
            </c:spPr>
            <c:txPr>
              <a:bodyPr rot="0" spcFirstLastPara="1" vertOverflow="ellipsis" vert="horz" wrap="square" anchor="ctr" anchorCtr="1"/>
              <a:lstStyle/>
              <a:p>
                <a:pPr>
                  <a:defRPr sz="989" b="1" i="0" u="none" strike="noStrike" kern="1200" baseline="0">
                    <a:solidFill>
                      <a:sysClr val="windowText" lastClr="000000"/>
                    </a:solidFill>
                    <a:latin typeface="+mn-lt"/>
                    <a:ea typeface="+mn-ea"/>
                    <a:cs typeface="+mn-cs"/>
                  </a:defRPr>
                </a:pPr>
                <a:endParaRPr lang="sk-SK"/>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Hárok1!$A$2:$A$8</c:f>
              <c:strCache>
                <c:ptCount val="7"/>
                <c:pt idx="0">
                  <c:v>2006</c:v>
                </c:pt>
                <c:pt idx="1">
                  <c:v>2008</c:v>
                </c:pt>
                <c:pt idx="2">
                  <c:v>2010</c:v>
                </c:pt>
                <c:pt idx="3">
                  <c:v>2012</c:v>
                </c:pt>
                <c:pt idx="4">
                  <c:v>2014</c:v>
                </c:pt>
                <c:pt idx="5">
                  <c:v>2016</c:v>
                </c:pt>
                <c:pt idx="6">
                  <c:v>2017*</c:v>
                </c:pt>
              </c:strCache>
            </c:strRef>
          </c:cat>
          <c:val>
            <c:numRef>
              <c:f>Hárok1!$C$2:$C$8</c:f>
              <c:numCache>
                <c:formatCode>_-* #\ ##0\ _€_-;\-* #\ ##0\ _€_-;_-* "-"??\ _€_-;_-@_-</c:formatCode>
                <c:ptCount val="7"/>
                <c:pt idx="0">
                  <c:v>15352</c:v>
                </c:pt>
                <c:pt idx="1">
                  <c:v>15529</c:v>
                </c:pt>
                <c:pt idx="2">
                  <c:v>14199</c:v>
                </c:pt>
                <c:pt idx="3">
                  <c:v>12497</c:v>
                </c:pt>
                <c:pt idx="4">
                  <c:v>12421</c:v>
                </c:pt>
                <c:pt idx="5">
                  <c:v>12333</c:v>
                </c:pt>
                <c:pt idx="6">
                  <c:v>12180</c:v>
                </c:pt>
              </c:numCache>
            </c:numRef>
          </c:val>
          <c:smooth val="0"/>
        </c:ser>
        <c:dLbls>
          <c:showLegendKey val="0"/>
          <c:showVal val="0"/>
          <c:showCatName val="0"/>
          <c:showSerName val="0"/>
          <c:showPercent val="0"/>
          <c:showBubbleSize val="0"/>
        </c:dLbls>
        <c:marker val="1"/>
        <c:smooth val="0"/>
        <c:axId val="598081880"/>
        <c:axId val="598080312"/>
      </c:lineChart>
      <c:catAx>
        <c:axId val="598081880"/>
        <c:scaling>
          <c:orientation val="minMax"/>
        </c:scaling>
        <c:delete val="0"/>
        <c:axPos val="b"/>
        <c:numFmt formatCode="General" sourceLinked="1"/>
        <c:majorTickMark val="none"/>
        <c:minorTickMark val="none"/>
        <c:tickLblPos val="nextTo"/>
        <c:spPr>
          <a:noFill/>
          <a:ln w="9418" cap="flat" cmpd="sng" algn="ctr">
            <a:solidFill>
              <a:schemeClr val="tx1">
                <a:lumMod val="15000"/>
                <a:lumOff val="85000"/>
              </a:schemeClr>
            </a:solidFill>
            <a:round/>
          </a:ln>
          <a:effectLst/>
        </c:spPr>
        <c:txPr>
          <a:bodyPr rot="-60000000" spcFirstLastPara="1" vertOverflow="ellipsis" vert="horz" wrap="square" anchor="ctr" anchorCtr="1"/>
          <a:lstStyle/>
          <a:p>
            <a:pPr>
              <a:defRPr sz="989" b="0" i="0" u="none" strike="noStrike" kern="1200" baseline="0">
                <a:solidFill>
                  <a:sysClr val="windowText" lastClr="000000"/>
                </a:solidFill>
                <a:latin typeface="+mn-lt"/>
                <a:ea typeface="+mn-ea"/>
                <a:cs typeface="+mn-cs"/>
              </a:defRPr>
            </a:pPr>
            <a:endParaRPr lang="sk-SK"/>
          </a:p>
        </c:txPr>
        <c:crossAx val="598080312"/>
        <c:crosses val="autoZero"/>
        <c:auto val="1"/>
        <c:lblAlgn val="ctr"/>
        <c:lblOffset val="100"/>
        <c:noMultiLvlLbl val="0"/>
      </c:catAx>
      <c:valAx>
        <c:axId val="598080312"/>
        <c:scaling>
          <c:orientation val="minMax"/>
          <c:max val="20000"/>
          <c:min val="11000"/>
        </c:scaling>
        <c:delete val="1"/>
        <c:axPos val="l"/>
        <c:numFmt formatCode="_-* #\ ##0\ _€_-;\-* #\ ##0\ _€_-;_-* &quot;-&quot;??\ _€_-;_-@_-" sourceLinked="1"/>
        <c:majorTickMark val="out"/>
        <c:minorTickMark val="none"/>
        <c:tickLblPos val="nextTo"/>
        <c:crossAx val="598081880"/>
        <c:crosses val="autoZero"/>
        <c:crossBetween val="between"/>
      </c:valAx>
      <c:spPr>
        <a:noFill/>
        <a:ln w="25385">
          <a:noFill/>
        </a:ln>
      </c:spPr>
    </c:plotArea>
    <c:legend>
      <c:legendPos val="b"/>
      <c:layout>
        <c:manualLayout>
          <c:xMode val="edge"/>
          <c:yMode val="edge"/>
          <c:x val="0.12475233595800525"/>
          <c:y val="0.89176216294762456"/>
          <c:w val="0.84697490813648302"/>
          <c:h val="8.1271467364157357E-2"/>
        </c:manualLayout>
      </c:layout>
      <c:overlay val="0"/>
      <c:spPr>
        <a:noFill/>
        <a:ln w="25116">
          <a:noFill/>
        </a:ln>
      </c:spPr>
      <c:txPr>
        <a:bodyPr rot="0" spcFirstLastPara="1" vertOverflow="ellipsis" vert="horz" wrap="square" anchor="ctr" anchorCtr="1"/>
        <a:lstStyle/>
        <a:p>
          <a:pPr>
            <a:defRPr sz="989" b="0" i="0" u="none" strike="noStrike" kern="1200" baseline="0">
              <a:solidFill>
                <a:sysClr val="windowText" lastClr="000000"/>
              </a:solidFill>
              <a:latin typeface="+mn-lt"/>
              <a:ea typeface="+mn-ea"/>
              <a:cs typeface="+mn-cs"/>
            </a:defRPr>
          </a:pPr>
          <a:endParaRPr lang="sk-SK"/>
        </a:p>
      </c:txPr>
    </c:legend>
    <c:plotVisOnly val="1"/>
    <c:dispBlanksAs val="gap"/>
    <c:showDLblsOverMax val="0"/>
  </c:chart>
  <c:spPr>
    <a:solidFill>
      <a:schemeClr val="bg1"/>
    </a:solidFill>
    <a:ln w="12557" cap="flat" cmpd="sng" algn="ctr">
      <a:solidFill>
        <a:schemeClr val="tx1"/>
      </a:solidFill>
      <a:round/>
    </a:ln>
    <a:effectLst/>
  </c:spPr>
  <c:txPr>
    <a:bodyPr/>
    <a:lstStyle/>
    <a:p>
      <a:pPr>
        <a:defRPr>
          <a:solidFill>
            <a:sysClr val="windowText" lastClr="000000"/>
          </a:solidFill>
        </a:defRPr>
      </a:pPr>
      <a:endParaRPr lang="sk-SK"/>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3.2407407407407406E-2"/>
          <c:y val="7.2670263530913493E-2"/>
          <c:w val="0.94907407407407407"/>
          <c:h val="0.67379978775037663"/>
        </c:manualLayout>
      </c:layout>
      <c:barChart>
        <c:barDir val="col"/>
        <c:grouping val="clustered"/>
        <c:varyColors val="0"/>
        <c:ser>
          <c:idx val="0"/>
          <c:order val="0"/>
          <c:tx>
            <c:strRef>
              <c:f>Hárok1!$B$1</c:f>
              <c:strCache>
                <c:ptCount val="1"/>
                <c:pt idx="0">
                  <c:v>2006</c:v>
                </c:pt>
              </c:strCache>
            </c:strRef>
          </c:tx>
          <c:spPr>
            <a:solidFill>
              <a:schemeClr val="accent5">
                <a:lumMod val="75000"/>
              </a:schemeClr>
            </a:solidFill>
            <a:ln w="12700">
              <a:solidFill>
                <a:schemeClr val="tx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sk-SK"/>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Hárok1!$A$2:$A$3</c:f>
              <c:strCache>
                <c:ptCount val="2"/>
                <c:pt idx="0">
                  <c:v>Celkový počet záujemcov o štúdium                                           na AOS</c:v>
                </c:pt>
                <c:pt idx="1">
                  <c:v>Počet záujemcov, ktorí splnili stanovené                                            kritériá</c:v>
                </c:pt>
              </c:strCache>
            </c:strRef>
          </c:cat>
          <c:val>
            <c:numRef>
              <c:f>Hárok1!$B$2:$B$3</c:f>
              <c:numCache>
                <c:formatCode>_-* #\ ##0\ _E_U_R_-;\-* #\ ##0\ _E_U_R_-;_-* "-"??\ _E_U_R_-;_-@_-</c:formatCode>
                <c:ptCount val="2"/>
                <c:pt idx="0">
                  <c:v>1133</c:v>
                </c:pt>
                <c:pt idx="1">
                  <c:v>467</c:v>
                </c:pt>
              </c:numCache>
            </c:numRef>
          </c:val>
        </c:ser>
        <c:ser>
          <c:idx val="1"/>
          <c:order val="1"/>
          <c:tx>
            <c:strRef>
              <c:f>Hárok1!$C$1</c:f>
              <c:strCache>
                <c:ptCount val="1"/>
                <c:pt idx="0">
                  <c:v>2017</c:v>
                </c:pt>
              </c:strCache>
            </c:strRef>
          </c:tx>
          <c:spPr>
            <a:solidFill>
              <a:srgbClr val="FFFF00"/>
            </a:solidFill>
            <a:ln w="12700">
              <a:solidFill>
                <a:schemeClr val="tx1"/>
              </a:solidFill>
            </a:ln>
            <a:effectLst/>
          </c:spPr>
          <c:invertIfNegative val="0"/>
          <c:dLbls>
            <c:dLbl>
              <c:idx val="1"/>
              <c:tx>
                <c:rich>
                  <a:bodyPr/>
                  <a:lstStyle/>
                  <a:p>
                    <a:r>
                      <a:rPr lang="en-US"/>
                      <a:t>153</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sk-SK"/>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Hárok1!$A$2:$A$3</c:f>
              <c:strCache>
                <c:ptCount val="2"/>
                <c:pt idx="0">
                  <c:v>Celkový počet záujemcov o štúdium                                           na AOS</c:v>
                </c:pt>
                <c:pt idx="1">
                  <c:v>Počet záujemcov, ktorí splnili stanovené                                            kritériá</c:v>
                </c:pt>
              </c:strCache>
            </c:strRef>
          </c:cat>
          <c:val>
            <c:numRef>
              <c:f>Hárok1!$C$2:$C$3</c:f>
              <c:numCache>
                <c:formatCode>_-* #\ ##0\ _E_U_R_-;\-* #\ ##0\ _E_U_R_-;_-* "-"??\ _E_U_R_-;_-@_-</c:formatCode>
                <c:ptCount val="2"/>
                <c:pt idx="0">
                  <c:v>455</c:v>
                </c:pt>
                <c:pt idx="1">
                  <c:v>159</c:v>
                </c:pt>
              </c:numCache>
            </c:numRef>
          </c:val>
        </c:ser>
        <c:dLbls>
          <c:showLegendKey val="0"/>
          <c:showVal val="0"/>
          <c:showCatName val="0"/>
          <c:showSerName val="0"/>
          <c:showPercent val="0"/>
          <c:showBubbleSize val="0"/>
        </c:dLbls>
        <c:gapWidth val="219"/>
        <c:overlap val="-27"/>
        <c:axId val="598082664"/>
        <c:axId val="598079136"/>
      </c:barChart>
      <c:catAx>
        <c:axId val="598082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sk-SK"/>
          </a:p>
        </c:txPr>
        <c:crossAx val="598079136"/>
        <c:crosses val="autoZero"/>
        <c:auto val="1"/>
        <c:lblAlgn val="ctr"/>
        <c:lblOffset val="100"/>
        <c:noMultiLvlLbl val="0"/>
      </c:catAx>
      <c:valAx>
        <c:axId val="598079136"/>
        <c:scaling>
          <c:orientation val="minMax"/>
        </c:scaling>
        <c:delete val="1"/>
        <c:axPos val="l"/>
        <c:numFmt formatCode="_-* #\ ##0\ _E_U_R_-;\-* #\ ##0\ _E_U_R_-;_-* &quot;-&quot;??\ _E_U_R_-;_-@_-" sourceLinked="1"/>
        <c:majorTickMark val="none"/>
        <c:minorTickMark val="none"/>
        <c:tickLblPos val="nextTo"/>
        <c:crossAx val="598082664"/>
        <c:crosses val="autoZero"/>
        <c:crossBetween val="between"/>
      </c:valAx>
      <c:spPr>
        <a:noFill/>
        <a:ln>
          <a:noFill/>
        </a:ln>
        <a:effectLst/>
      </c:spPr>
    </c:plotArea>
    <c:legend>
      <c:legendPos val="b"/>
      <c:layout>
        <c:manualLayout>
          <c:xMode val="edge"/>
          <c:yMode val="edge"/>
          <c:x val="0.140282854531248"/>
          <c:y val="0.9092257217847769"/>
          <c:w val="0.71811320717346494"/>
          <c:h val="6.6964754405699281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sk-SK"/>
        </a:p>
      </c:txPr>
    </c:legend>
    <c:plotVisOnly val="1"/>
    <c:dispBlanksAs val="gap"/>
    <c:showDLblsOverMax val="0"/>
  </c:chart>
  <c:spPr>
    <a:solidFill>
      <a:schemeClr val="bg1"/>
    </a:solidFill>
    <a:ln w="12700" cap="flat" cmpd="sng" algn="ctr">
      <a:solidFill>
        <a:schemeClr val="tx1"/>
      </a:solidFill>
      <a:round/>
    </a:ln>
    <a:effectLst/>
  </c:spPr>
  <c:txPr>
    <a:bodyPr/>
    <a:lstStyle/>
    <a:p>
      <a:pPr>
        <a:defRPr/>
      </a:pPr>
      <a:endParaRPr lang="sk-SK"/>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WKX3UHSAJ2R6-2-798560</_dlc_DocId>
    <_dlc_DocIdUrl xmlns="e60a29af-d413-48d4-bd90-fe9d2a897e4b">
      <Url>https://ovdmasv601/sites/DMS/_layouts/15/DocIdRedir.aspx?ID=WKX3UHSAJ2R6-2-798560</Url>
      <Description>WKX3UHSAJ2R6-2-798560</Description>
    </_dlc_DocIdUrl>
  </documentManagement>
</p:properties>
</file>

<file path=customXml/itemProps1.xml><?xml version="1.0" encoding="utf-8"?>
<ds:datastoreItem xmlns:ds="http://schemas.openxmlformats.org/officeDocument/2006/customXml" ds:itemID="{8989EA29-01C6-4F3B-B663-2D26B872617C}"/>
</file>

<file path=customXml/itemProps2.xml><?xml version="1.0" encoding="utf-8"?>
<ds:datastoreItem xmlns:ds="http://schemas.openxmlformats.org/officeDocument/2006/customXml" ds:itemID="{C4CEAF29-79A6-4EA7-9AF1-84FEC15F589F}"/>
</file>

<file path=customXml/itemProps3.xml><?xml version="1.0" encoding="utf-8"?>
<ds:datastoreItem xmlns:ds="http://schemas.openxmlformats.org/officeDocument/2006/customXml" ds:itemID="{7B3A0B5D-531C-4328-84BC-C4372D4895F8}"/>
</file>

<file path=customXml/itemProps4.xml><?xml version="1.0" encoding="utf-8"?>
<ds:datastoreItem xmlns:ds="http://schemas.openxmlformats.org/officeDocument/2006/customXml" ds:itemID="{0CF9E40F-4D2C-4865-8D9F-A562C0FBA698}"/>
</file>

<file path=docProps/app.xml><?xml version="1.0" encoding="utf-8"?>
<Properties xmlns="http://schemas.openxmlformats.org/officeDocument/2006/extended-properties" xmlns:vt="http://schemas.openxmlformats.org/officeDocument/2006/docPropsVTypes">
  <Template>Normal</Template>
  <TotalTime>0</TotalTime>
  <Pages>7</Pages>
  <Words>1802</Words>
  <Characters>10276</Characters>
  <Application>Microsoft Office Word</Application>
  <DocSecurity>0</DocSecurity>
  <Lines>85</Lines>
  <Paragraphs>24</Paragraphs>
  <ScaleCrop>false</ScaleCrop>
  <HeadingPairs>
    <vt:vector size="2" baseType="variant">
      <vt:variant>
        <vt:lpstr>Názov</vt:lpstr>
      </vt:variant>
      <vt:variant>
        <vt:i4>1</vt:i4>
      </vt:variant>
    </vt:vector>
  </HeadingPairs>
  <TitlesOfParts>
    <vt:vector size="1" baseType="lpstr">
      <vt:lpstr/>
    </vt:vector>
  </TitlesOfParts>
  <Company>MO SR</Company>
  <LinksUpToDate>false</LinksUpToDate>
  <CharactersWithSpaces>12054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BERKY Lubos</dc:creator>
  <cp:keywords/>
  <dc:description/>
  <cp:lastModifiedBy>SEVCOVICOVA Viola</cp:lastModifiedBy>
  <cp:revision>2</cp:revision>
  <cp:lastPrinted>2017-09-07T08:06:00Z</cp:lastPrinted>
  <dcterms:created xsi:type="dcterms:W3CDTF">2017-09-08T10:29:00Z</dcterms:created>
  <dcterms:modified xsi:type="dcterms:W3CDTF">2017-09-08T10:29:00Z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d3949aa7-0342-4d42-8ae4-a4588d3eb04a</vt:lpwstr>
  </property>
</Properties>
</file>