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B86" w:rsidRPr="00446787" w:rsidRDefault="00295B86" w:rsidP="00295B86">
      <w:pPr>
        <w:spacing w:line="276" w:lineRule="auto"/>
        <w:ind w:right="1"/>
        <w:rPr>
          <w:b/>
          <w:sz w:val="28"/>
          <w:szCs w:val="28"/>
        </w:rPr>
      </w:pPr>
      <w:r w:rsidRPr="00446787">
        <w:rPr>
          <w:b/>
          <w:sz w:val="28"/>
          <w:szCs w:val="28"/>
        </w:rPr>
        <w:t>DÔVODOVÁ SPRÁVA</w:t>
      </w:r>
    </w:p>
    <w:p w:rsidR="00295B86" w:rsidRPr="00446787" w:rsidRDefault="00295B86" w:rsidP="00295B86">
      <w:pPr>
        <w:spacing w:line="276" w:lineRule="auto"/>
        <w:ind w:right="1"/>
        <w:rPr>
          <w:b/>
          <w:sz w:val="28"/>
          <w:szCs w:val="28"/>
        </w:rPr>
      </w:pPr>
    </w:p>
    <w:p w:rsidR="00295B86" w:rsidRPr="00446787" w:rsidRDefault="00295B86" w:rsidP="00295B86">
      <w:pPr>
        <w:numPr>
          <w:ilvl w:val="0"/>
          <w:numId w:val="1"/>
        </w:numPr>
        <w:spacing w:line="276" w:lineRule="auto"/>
        <w:ind w:right="1"/>
        <w:jc w:val="left"/>
        <w:rPr>
          <w:b/>
        </w:rPr>
      </w:pPr>
      <w:r w:rsidRPr="00446787">
        <w:rPr>
          <w:b/>
        </w:rPr>
        <w:t>Všeobecná časť</w:t>
      </w:r>
    </w:p>
    <w:p w:rsidR="00295B86" w:rsidRPr="00446787" w:rsidRDefault="00295B86" w:rsidP="00295B86">
      <w:pPr>
        <w:spacing w:line="276" w:lineRule="auto"/>
        <w:ind w:left="644" w:right="1" w:firstLine="0"/>
        <w:rPr>
          <w:b/>
        </w:rPr>
      </w:pPr>
    </w:p>
    <w:p w:rsidR="00295B86" w:rsidRPr="00446787" w:rsidRDefault="00295B86" w:rsidP="00295B86">
      <w:pPr>
        <w:spacing w:line="276" w:lineRule="auto"/>
        <w:ind w:left="644" w:right="1" w:firstLine="0"/>
        <w:rPr>
          <w:b/>
        </w:rPr>
      </w:pPr>
      <w:r w:rsidRPr="00446787">
        <w:rPr>
          <w:b/>
        </w:rPr>
        <w:t>I.</w:t>
      </w:r>
    </w:p>
    <w:p w:rsidR="00295B86" w:rsidRPr="00446787" w:rsidRDefault="00295B86" w:rsidP="00295B86">
      <w:pPr>
        <w:spacing w:line="276" w:lineRule="auto"/>
        <w:ind w:right="1"/>
        <w:jc w:val="both"/>
      </w:pPr>
      <w:r w:rsidRPr="00446787">
        <w:t>Jadrom práva o územnom plánovaní v súčasnosti je zákon č. 50/1976 Zb. o územnom plánovaní a stavebnom poriadku (stavebný zákon) prijatý Federálnym zhromaždením Československej socialistickej republiky 27. apríla 1976, ktorý nadobudol účinnosť 1. októbra 1976</w:t>
      </w:r>
      <w:r>
        <w:t xml:space="preserve"> a v súčasnosti rieši aj oblasť stavebného poriadku. Súčasný platný stavebný zákon n</w:t>
      </w:r>
      <w:r w:rsidRPr="00446787">
        <w:t xml:space="preserve">ahradil zákon o územnom plánovaní a zákon o stavebnom poriadku, oba z roku 1958, a zákon o dokumentácii stavieb z roku 1959.  </w:t>
      </w:r>
    </w:p>
    <w:p w:rsidR="00295B86" w:rsidRPr="00446787" w:rsidRDefault="00295B86" w:rsidP="00295B86">
      <w:pPr>
        <w:spacing w:line="276" w:lineRule="auto"/>
        <w:ind w:right="1"/>
        <w:jc w:val="both"/>
      </w:pPr>
      <w:r w:rsidRPr="00446787">
        <w:t xml:space="preserve">Stavebný zákon z roku 1976 bol zavŕšením tzv. normalizácie spoločnosti v oblasti regulácie územného plánovania a výstavby. Formálne znamenal kodifikáciu podstatnej časti stavebného práva a obsahovo znamenal dokončenie centralizácie štátnej regulácie výstavby začatej ešte v roku 1949 (zákonom č. 280/1949 Zb. o územnom plánovaní a výstavbe obcí). Utvoril nevyhnutné politické a právne predpoklady jednotného národohospodárskeho plánovania, centrálneho riadenia a kontroly umiestňovania, povoľovania, financovania a uskutočňovania výstavby, najmä v prospech rozsiahlej štátnej výstavby, osobitne tzv. komplexnej bytovej výstavby (prevažne panelových sídlisk), industrializácie krajiny a rozvoja dopravnej infraštruktúry, najmä diaľnic a rýchlostných ciest. </w:t>
      </w:r>
    </w:p>
    <w:p w:rsidR="00295B86" w:rsidRPr="00446787" w:rsidRDefault="00295B86" w:rsidP="00295B86">
      <w:pPr>
        <w:spacing w:line="276" w:lineRule="auto"/>
        <w:ind w:right="1"/>
        <w:jc w:val="both"/>
      </w:pPr>
      <w:r w:rsidRPr="00446787">
        <w:t>Od roku 1990 do roku 201</w:t>
      </w:r>
      <w:r w:rsidR="001371B9">
        <w:t>9</w:t>
      </w:r>
      <w:r w:rsidRPr="00446787">
        <w:t xml:space="preserve"> bol stavebný zákon novelizovaný </w:t>
      </w:r>
      <w:r>
        <w:t>3</w:t>
      </w:r>
      <w:r w:rsidR="001371B9">
        <w:t>8</w:t>
      </w:r>
      <w:r w:rsidRPr="00446787">
        <w:t>-krát a dvakrát bol dotknutý nálezmi Ústavného súdu SR. Všetky čiastkové novely, najmä však rozsiahle novely v rokoch 1997, 2000 a 2005, sledovali cieľ - priblížiť stavebný zákon novým ústavným pomerom založeným na trhovom hospodárstve, rovnosti druhov vlastníctva, právach osôb a dekoncentrácii a decentralizácii verejnej správy v oblasti výstavby, ako aj medzinárodným záväzkom Slovenskej republiky v oblasti prístupu k informáciám, účasti verejnosti na rozhodovaní verejnej správy a požiadavkám ochrany životného prostredia.</w:t>
      </w:r>
    </w:p>
    <w:p w:rsidR="00295B86" w:rsidRPr="00446787" w:rsidRDefault="00295B86" w:rsidP="00295B86">
      <w:pPr>
        <w:spacing w:line="276" w:lineRule="auto"/>
        <w:ind w:right="1"/>
        <w:jc w:val="both"/>
      </w:pPr>
      <w:r w:rsidRPr="00446787">
        <w:t>Napriek mnohým zmenám textu</w:t>
      </w:r>
      <w:r>
        <w:t>,</w:t>
      </w:r>
      <w:r w:rsidRPr="00446787">
        <w:t xml:space="preserve"> stavebný zákon zostal svojou legislatívnou konštrukciou, usporiadaním právnych vzťahov, terminológiou a formami verejnej správy stále v pôvodnom rámci. Stále ďalšie nové zmeny v zákone vyvolali potrebu nového zákona už v 90-tych rokoch, a tak od roku </w:t>
      </w:r>
      <w:r>
        <w:t>2014</w:t>
      </w:r>
      <w:r w:rsidRPr="00446787">
        <w:t xml:space="preserve"> bolo niekoľko pokusov pripraviť nový stavebný zákon. Tieto pokusy stroskotali na nevyjasnenosti koncepcie stavebného práva, na rýchlo sa meniacich spoločenských pomeroch, na rôznorodosti záujmov štátu, obcí, investorov a stavebných firiem a na opakovaných zmenách organizácie verejnej správy od ministerskej úrovne po úroveň miestnych orgánov. Naposledy bola snaha prijať nový stavebný zákon v roku  2015, ale minister dopravy, výstavby a regionálneho rozvoja stiahol vládny návrh z druhého čítania v Národnej rade Slovenskej republiky.</w:t>
      </w:r>
    </w:p>
    <w:p w:rsidR="00295B86" w:rsidRPr="00446787" w:rsidRDefault="00295B86" w:rsidP="00295B86">
      <w:pPr>
        <w:spacing w:line="276" w:lineRule="auto"/>
        <w:ind w:right="1"/>
        <w:jc w:val="both"/>
      </w:pPr>
    </w:p>
    <w:p w:rsidR="00295B86" w:rsidRPr="00446787" w:rsidRDefault="00295B86" w:rsidP="00295B86">
      <w:pPr>
        <w:spacing w:line="276" w:lineRule="auto"/>
        <w:ind w:right="1"/>
        <w:rPr>
          <w:b/>
        </w:rPr>
      </w:pPr>
      <w:r w:rsidRPr="00446787">
        <w:rPr>
          <w:b/>
        </w:rPr>
        <w:t>II.</w:t>
      </w:r>
    </w:p>
    <w:p w:rsidR="00295B86" w:rsidRPr="00446787" w:rsidRDefault="00295B86" w:rsidP="00295B86">
      <w:pPr>
        <w:spacing w:line="276" w:lineRule="auto"/>
        <w:ind w:right="1"/>
        <w:jc w:val="both"/>
        <w:rPr>
          <w:b/>
        </w:rPr>
      </w:pPr>
    </w:p>
    <w:p w:rsidR="00295B86" w:rsidRPr="00446787" w:rsidRDefault="00295B86" w:rsidP="00295B86">
      <w:pPr>
        <w:spacing w:line="276" w:lineRule="auto"/>
        <w:ind w:right="1"/>
        <w:jc w:val="both"/>
      </w:pPr>
      <w:r w:rsidRPr="00446787">
        <w:t xml:space="preserve">Vo všeobecnosti navrhovaný zákon o územnom plánovaní </w:t>
      </w:r>
      <w:r>
        <w:t>má snahu</w:t>
      </w:r>
      <w:r w:rsidRPr="00446787">
        <w:t xml:space="preserve"> </w:t>
      </w:r>
      <w:r>
        <w:t xml:space="preserve">eliminovať </w:t>
      </w:r>
      <w:r w:rsidRPr="00446787">
        <w:t>nedostatky terajšej úpravy, ale</w:t>
      </w:r>
      <w:r>
        <w:t xml:space="preserve"> aj</w:t>
      </w:r>
      <w:r w:rsidRPr="00446787">
        <w:t xml:space="preserve"> zachovať a prehĺbiť osvedčené právne inštitúty, ktoré boli </w:t>
      </w:r>
      <w:r w:rsidRPr="00446787">
        <w:lastRenderedPageBreak/>
        <w:t xml:space="preserve">vnesené do zákona jeho novelami po roku 1990 a doplniť o právne inštitúty známe zo zahraničia. Navrhovaný zákon 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 w:rsidRPr="00446787">
        <w:t xml:space="preserve">je koncepčne usporiadaný podľa súčasných požiadaviek na vnútorné usporiadanie zákonov; v súlade s legislatívnymi pravidlami je oddelená časť základných ustanovení (definícií) od organizácie verejnej správy 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 w:rsidRPr="00446787">
        <w:t>v oblasti odbornej terminológie jednak preberá historicky osvedčenú a všeobecne zaužívanú terminológiu slovenského práva a jednak preberá novú terminológiu z odborných medzinárodných dokumentov, z právne záväzných aktov Európskej únie;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 w:rsidRPr="00446787">
        <w:t>koncepciu územného plánovania ako jednotnej vertikály centrálne riadených a kontrolovaných tzv. stupňov územnoplánovacej dokumentácie zodpovedajúcich stupňom národných výborov nahrádza územnoplánovac</w:t>
      </w:r>
      <w:r>
        <w:t>ou</w:t>
      </w:r>
      <w:r w:rsidRPr="00446787">
        <w:t xml:space="preserve"> dokumentáci</w:t>
      </w:r>
      <w:r>
        <w:t>ou</w:t>
      </w:r>
      <w:r w:rsidRPr="00446787">
        <w:t xml:space="preserve"> </w:t>
      </w:r>
      <w:r>
        <w:t xml:space="preserve">tvorenou systémom </w:t>
      </w:r>
      <w:r w:rsidRPr="00446787">
        <w:t>základných dokumentov územného rozvoja jednotlivých územných celkov (Slovenska, vyšších územných celkov a základných územných celkov - miest a obcí, ich častí), pretože podľa Ústavy Slovenskej republiky ide o samostatnú pôsobnosť územných celkov a nie o centrálne riadenú štátnu agendu;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 w:rsidRPr="00446787">
        <w:t>rozširuje povinnosť mať územný plán obce na všetky obce, pretože každá obec by mala mať odborne spracovaný strategický dokument svojho územného rozvoja, čím sa prispeje k zlepšeniu života obyvateľov rozvojom sídelného prostredia, k ochrane a racionálnemu využívaniu prírodných daností, k ochrane  kultúrneho dedičstva a zavedie poriadok do územia. V roku 2018, z celkového počtu 2 891 obcí má doteraz územný plán 1 402, t.j.  48,2 %.;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>
        <w:t xml:space="preserve">ustanovuje </w:t>
      </w:r>
      <w:r w:rsidRPr="00446787">
        <w:t xml:space="preserve"> územnoplánovaciu dokumentáciu len ako záväznú </w:t>
      </w:r>
      <w:r>
        <w:t xml:space="preserve">časť, </w:t>
      </w:r>
      <w:r w:rsidRPr="00446787">
        <w:t>vyhlásenú nariadením vlády (Koncepcia územného rozvoja Slovenska) a všeobecne záväznými nariadeniami vyšších územných celkov a obcí; prílohou územnoplánovacej dokumentácie bude dôvodová časť</w:t>
      </w:r>
      <w:r>
        <w:t>, čím posilňuje význam územnoplánovacej dokumentácie ako dokumentu s právnou silou</w:t>
      </w:r>
      <w:r w:rsidRPr="00446787">
        <w:t>;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 w:rsidRPr="00446787">
        <w:t>redukuje v obstarávaní územnoplánovacej dokumentácie doterajšiu členitú sústavu územnoplánovacích podkladov len na územnotechnické podklady</w:t>
      </w:r>
      <w:r w:rsidR="002C68A1">
        <w:t xml:space="preserve"> a</w:t>
      </w:r>
      <w:r w:rsidRPr="00446787">
        <w:t xml:space="preserve"> územnú štúdiu  s využívaním priestorových informácií a existujúcich koncepcií a programov, ktoré majú vzťah k územnému rozvoju;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 w:rsidRPr="00446787">
        <w:t>zvýrazňuje v obsahu územnoplánovacej dokumentáci</w:t>
      </w:r>
      <w:r>
        <w:t>e</w:t>
      </w:r>
      <w:r w:rsidRPr="00446787">
        <w:t xml:space="preserve"> urbanistické, krajinné a environmentálne zásady organizácie územia a jeho využívania udržateľným spôsobom; ide o požiadavky implementované z Dohovoru o krajine a z právne záväzných aktov Európskej únie;</w:t>
      </w:r>
    </w:p>
    <w:p w:rsidR="00295B86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 w:rsidRPr="00446787">
        <w:t xml:space="preserve">podrobnejšie a precíznejšie formuluje jednotlivé úlohy orgánov verejnej správy  v jednotlivých fázach procesu obstarávania územných plánov a účasť verejnosti na takomto postupe ako požiadavky implementovanej z tzv. Aarhuského dohovoru, </w:t>
      </w:r>
    </w:p>
    <w:p w:rsidR="00295B86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>
        <w:t>prepája proces posudzovania vplyvov na životné prostredie s procesom obstarávania územnoplánovacej dokumentácie</w:t>
      </w:r>
      <w:r w:rsidRPr="00ED41DC">
        <w:t>;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right="1"/>
        <w:jc w:val="both"/>
      </w:pPr>
      <w:r>
        <w:t>zavádza nový inštitút –územné stanovisko, s ktorým obce môžu prepojiť svoju zodpovednosť za rozvoj územia s povoľovacím procesom stavieb.</w:t>
      </w:r>
    </w:p>
    <w:p w:rsidR="00295B86" w:rsidRPr="00446787" w:rsidRDefault="00295B86" w:rsidP="00295B86">
      <w:pPr>
        <w:spacing w:line="276" w:lineRule="auto"/>
        <w:ind w:right="1"/>
        <w:jc w:val="both"/>
      </w:pPr>
    </w:p>
    <w:p w:rsidR="003D03A9" w:rsidRDefault="003D03A9" w:rsidP="00295B86">
      <w:pPr>
        <w:spacing w:line="276" w:lineRule="auto"/>
        <w:ind w:right="1"/>
        <w:jc w:val="both"/>
      </w:pPr>
    </w:p>
    <w:p w:rsidR="003D03A9" w:rsidRDefault="003D03A9" w:rsidP="00295B86">
      <w:pPr>
        <w:spacing w:line="276" w:lineRule="auto"/>
        <w:ind w:right="1"/>
        <w:jc w:val="both"/>
      </w:pPr>
    </w:p>
    <w:p w:rsidR="00295B86" w:rsidRPr="00446787" w:rsidRDefault="0010595D" w:rsidP="00295B86">
      <w:pPr>
        <w:spacing w:line="276" w:lineRule="auto"/>
        <w:ind w:right="1"/>
        <w:jc w:val="both"/>
      </w:pPr>
      <w:r>
        <w:lastRenderedPageBreak/>
        <w:t xml:space="preserve">Návrh zákona </w:t>
      </w:r>
      <w:r w:rsidR="00295B86" w:rsidRPr="00446787">
        <w:t xml:space="preserve"> sa člení na </w:t>
      </w:r>
      <w:r w:rsidR="00873D12">
        <w:t>šesť</w:t>
      </w:r>
      <w:r w:rsidR="00295B86" w:rsidRPr="00446787">
        <w:t xml:space="preserve"> častí: 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left="567" w:right="1" w:hanging="283"/>
        <w:jc w:val="both"/>
      </w:pPr>
      <w:r w:rsidRPr="00446787">
        <w:t>na prvú časť (</w:t>
      </w:r>
      <w:r w:rsidRPr="00446787">
        <w:rPr>
          <w:b/>
        </w:rPr>
        <w:t>Úvodné ustanovenia</w:t>
      </w:r>
      <w:r w:rsidRPr="00446787">
        <w:t>), ktorá obsahuje predovšetkým definície platné pre celý zákon a základnú terminológiu súvisiacu s územným plánovaním</w:t>
      </w:r>
      <w:r w:rsidR="00873D12">
        <w:t>,</w:t>
      </w:r>
      <w:r w:rsidRPr="00446787">
        <w:t xml:space="preserve"> </w:t>
      </w:r>
    </w:p>
    <w:p w:rsidR="00873D12" w:rsidRDefault="00295B86" w:rsidP="00295B86">
      <w:pPr>
        <w:numPr>
          <w:ilvl w:val="0"/>
          <w:numId w:val="2"/>
        </w:numPr>
        <w:spacing w:line="276" w:lineRule="auto"/>
        <w:ind w:left="567" w:right="1" w:hanging="283"/>
        <w:jc w:val="both"/>
      </w:pPr>
      <w:r w:rsidRPr="00446787">
        <w:t xml:space="preserve">na druhú časť </w:t>
      </w:r>
      <w:r w:rsidR="00873D12" w:rsidRPr="00873D12">
        <w:rPr>
          <w:b/>
        </w:rPr>
        <w:t>(Územnoplánovacie podklady a územnoplánovacia dokumentácia)</w:t>
      </w:r>
      <w:r w:rsidR="00873D12">
        <w:rPr>
          <w:b/>
        </w:rPr>
        <w:t xml:space="preserve">, </w:t>
      </w:r>
      <w:r w:rsidR="00873D12">
        <w:t>ktorá charakterizuje tieto dva nástroje územného plánovania,</w:t>
      </w:r>
    </w:p>
    <w:p w:rsidR="00295B86" w:rsidRPr="00446787" w:rsidRDefault="00873D12" w:rsidP="006E3A48">
      <w:pPr>
        <w:numPr>
          <w:ilvl w:val="0"/>
          <w:numId w:val="2"/>
        </w:numPr>
        <w:spacing w:line="276" w:lineRule="auto"/>
        <w:ind w:left="567" w:right="1" w:hanging="283"/>
        <w:jc w:val="both"/>
      </w:pPr>
      <w:r w:rsidRPr="00446787">
        <w:t>na treti</w:t>
      </w:r>
      <w:r>
        <w:t>u</w:t>
      </w:r>
      <w:r w:rsidRPr="00446787">
        <w:t xml:space="preserve"> časť  </w:t>
      </w:r>
      <w:r w:rsidR="00295B86" w:rsidRPr="00446787">
        <w:t>(</w:t>
      </w:r>
      <w:r w:rsidR="00295B86" w:rsidRPr="00873D12">
        <w:rPr>
          <w:b/>
        </w:rPr>
        <w:t>Pôsobnosť orgánov verejnej správy v oblasti územného plánovania</w:t>
      </w:r>
      <w:r w:rsidR="00295B86" w:rsidRPr="00446787">
        <w:t>), ktorá komplexne upravuje kompetenčné a procesné ustanovenia orgánov verejnej správy na úseku územného plánovania</w:t>
      </w:r>
    </w:p>
    <w:p w:rsidR="00295B86" w:rsidRPr="00446787" w:rsidRDefault="00295B86" w:rsidP="009F5C6A">
      <w:pPr>
        <w:numPr>
          <w:ilvl w:val="0"/>
          <w:numId w:val="2"/>
        </w:numPr>
        <w:spacing w:line="276" w:lineRule="auto"/>
        <w:ind w:left="567" w:right="1" w:hanging="283"/>
        <w:jc w:val="both"/>
      </w:pPr>
      <w:r w:rsidRPr="00446787">
        <w:t xml:space="preserve">na </w:t>
      </w:r>
      <w:r w:rsidR="00873D12">
        <w:t>štvrtú</w:t>
      </w:r>
      <w:r w:rsidRPr="00446787">
        <w:t xml:space="preserve"> časť (</w:t>
      </w:r>
      <w:r w:rsidRPr="00873D12">
        <w:rPr>
          <w:b/>
        </w:rPr>
        <w:t>Územné plánovanie a jeho procesy</w:t>
      </w:r>
      <w:r w:rsidRPr="00446787">
        <w:t>), ktorá komplexne upravuje obstarávanie, prerokúvanie a schvaľovanie územnoplánovacej dokumentácie a jej zmien a doplnkov;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left="567" w:right="1" w:hanging="283"/>
        <w:jc w:val="both"/>
      </w:pPr>
      <w:r w:rsidRPr="00446787">
        <w:t xml:space="preserve">na </w:t>
      </w:r>
      <w:r w:rsidR="00873D12">
        <w:t>piatu</w:t>
      </w:r>
      <w:r w:rsidRPr="00446787">
        <w:t xml:space="preserve"> časť </w:t>
      </w:r>
      <w:r w:rsidRPr="00446787">
        <w:rPr>
          <w:b/>
        </w:rPr>
        <w:t>(Územné stanovisko</w:t>
      </w:r>
      <w:r w:rsidRPr="00446787">
        <w:t>), v ktorej sa ustanovuje procesnosť územného stanoviska</w:t>
      </w:r>
      <w:r w:rsidR="00873D12">
        <w:t>,</w:t>
      </w:r>
    </w:p>
    <w:p w:rsidR="00295B86" w:rsidRPr="00446787" w:rsidRDefault="00295B86" w:rsidP="00295B86">
      <w:pPr>
        <w:numPr>
          <w:ilvl w:val="0"/>
          <w:numId w:val="2"/>
        </w:numPr>
        <w:spacing w:line="276" w:lineRule="auto"/>
        <w:ind w:left="567" w:right="1" w:hanging="283"/>
        <w:jc w:val="both"/>
      </w:pPr>
      <w:r w:rsidRPr="00446787">
        <w:t xml:space="preserve">na </w:t>
      </w:r>
      <w:r w:rsidR="00873D12">
        <w:t>šiestu</w:t>
      </w:r>
      <w:r w:rsidRPr="00446787">
        <w:t xml:space="preserve"> časť </w:t>
      </w:r>
      <w:r w:rsidRPr="00446787">
        <w:rPr>
          <w:b/>
        </w:rPr>
        <w:t>(Spoločné, splnomocňovacie, prechodné, záverečné a zrušovacie ustanovenia</w:t>
      </w:r>
      <w:r w:rsidRPr="00446787">
        <w:t>), ktorá obsahuje prechodné a zrušovacie ustanovenia a</w:t>
      </w:r>
      <w:r>
        <w:t> </w:t>
      </w:r>
      <w:r w:rsidRPr="00446787">
        <w:t>účinnosť</w:t>
      </w:r>
      <w:r>
        <w:t>.</w:t>
      </w:r>
      <w:r w:rsidRPr="00446787">
        <w:t xml:space="preserve"> </w:t>
      </w:r>
    </w:p>
    <w:p w:rsidR="00295B86" w:rsidRPr="00446787" w:rsidRDefault="00295B86" w:rsidP="00295B86">
      <w:pPr>
        <w:spacing w:line="276" w:lineRule="auto"/>
        <w:ind w:right="1" w:firstLine="0"/>
        <w:jc w:val="both"/>
        <w:rPr>
          <w:b/>
        </w:rPr>
      </w:pPr>
    </w:p>
    <w:p w:rsidR="00295B86" w:rsidRPr="00446787" w:rsidRDefault="00295B86" w:rsidP="00295B86">
      <w:pPr>
        <w:spacing w:line="276" w:lineRule="auto"/>
        <w:ind w:left="284" w:right="1" w:firstLine="0"/>
        <w:rPr>
          <w:b/>
        </w:rPr>
      </w:pPr>
      <w:r w:rsidRPr="00446787">
        <w:rPr>
          <w:b/>
        </w:rPr>
        <w:t>III.</w:t>
      </w:r>
    </w:p>
    <w:p w:rsidR="00295B86" w:rsidRPr="00446787" w:rsidRDefault="00295B86" w:rsidP="00295B86">
      <w:pPr>
        <w:spacing w:line="276" w:lineRule="auto"/>
        <w:ind w:left="284" w:right="1" w:firstLine="0"/>
        <w:jc w:val="both"/>
        <w:rPr>
          <w:b/>
        </w:rPr>
      </w:pPr>
    </w:p>
    <w:p w:rsidR="0010595D" w:rsidRPr="00C345F2" w:rsidRDefault="0010595D" w:rsidP="0010595D">
      <w:pPr>
        <w:pStyle w:val="Normlnywebov"/>
        <w:jc w:val="both"/>
      </w:pPr>
      <w:r>
        <w:t xml:space="preserve">Návrh zákona bol predmetom medzirezortného pripomienkového konania, v rámci ktorého bol návrh pripomienkovaný aj s navrhovanými článkami, v ktorých sa novelizovali súvisiace právne predpisy. Na základe pripomienok sa dohodlo, že predmetné články budú novelizované až po prijatí zákona o územnom plánovaní. Preto sa na pripomienky k článkom a vyhláškam neprihliadalo. Súvisiace právne predpisy budú následne predmetom samostatného zákona, aby mohli reagovať na predkladaný návrh. Z tohto dôvodu sa aj stanovuje dlhšia legisvakancia zákona a účinnosť zákona sa ustanovuje na 1. januára 2022. </w:t>
      </w:r>
    </w:p>
    <w:p w:rsidR="0010595D" w:rsidRDefault="0010595D" w:rsidP="0010595D">
      <w:pPr>
        <w:pStyle w:val="Normlnywebov"/>
        <w:jc w:val="both"/>
      </w:pPr>
      <w:r>
        <w:t xml:space="preserve">Návrh zákona má pozitívny ale aj negatívny vplyv na rozpočet verejnej správy, podnikateľské prostredie, pozitívny vplyv na životné prostredie, informatizáciu a na služby pre občana a nemá sociálny vplyv a vplyv na manželstvo, rodičovstvo a rodinu. </w:t>
      </w:r>
    </w:p>
    <w:p w:rsidR="00A23F16" w:rsidRDefault="0010595D" w:rsidP="0010595D">
      <w:pPr>
        <w:pStyle w:val="Normlnywebov"/>
        <w:jc w:val="both"/>
      </w:pPr>
      <w:r>
        <w:t xml:space="preserve">Problematika návrhu zákona nie je upravená v práve Európskej únie, nie je predmetom vnútrokomunitárneho pripomienkového konania.  </w:t>
      </w:r>
    </w:p>
    <w:p w:rsidR="00A23F16" w:rsidRPr="00E071DD" w:rsidRDefault="00A23F16" w:rsidP="001C129E">
      <w:pPr>
        <w:ind w:firstLine="0"/>
        <w:jc w:val="both"/>
        <w:rPr>
          <w:rFonts w:eastAsia="Calibri"/>
          <w:color w:val="000000"/>
        </w:rPr>
      </w:pPr>
      <w:bookmarkStart w:id="0" w:name="_GoBack"/>
      <w:bookmarkEnd w:id="0"/>
      <w:r w:rsidRPr="00C10633">
        <w:rPr>
          <w:rFonts w:eastAsia="Calibri"/>
          <w:color w:val="000000"/>
        </w:rPr>
        <w:t>Návrh zákona je v súlade s Ústavou Slovenskej republiky, ústavnými zákonmi, nálezmi Ústavného súdu Slovenskej republiky, so zákonmi a ostatnými všeobecne záväznými právnymi predpismi, medzinárodnými zmluvami, ktorými je Slovenská republika viazaná, ako aj s právom Európskej únie</w:t>
      </w:r>
      <w:r w:rsidR="00C10633">
        <w:rPr>
          <w:rFonts w:eastAsia="Calibri"/>
          <w:color w:val="000000"/>
        </w:rPr>
        <w:t>.</w:t>
      </w:r>
      <w:r w:rsidRPr="00E071DD">
        <w:rPr>
          <w:rFonts w:eastAsia="Calibri"/>
          <w:color w:val="000000"/>
        </w:rPr>
        <w:t xml:space="preserve"> </w:t>
      </w:r>
    </w:p>
    <w:p w:rsidR="00A23F16" w:rsidRDefault="00A23F16" w:rsidP="00A23F16">
      <w:pPr>
        <w:pStyle w:val="Normlnywebov"/>
        <w:spacing w:before="0" w:beforeAutospacing="0" w:after="0" w:afterAutospacing="0"/>
        <w:jc w:val="both"/>
      </w:pPr>
    </w:p>
    <w:p w:rsidR="00295B86" w:rsidRPr="00446787" w:rsidRDefault="00295B86" w:rsidP="00295B86">
      <w:pPr>
        <w:spacing w:line="276" w:lineRule="auto"/>
        <w:ind w:right="1" w:firstLine="0"/>
        <w:jc w:val="both"/>
      </w:pPr>
    </w:p>
    <w:p w:rsidR="00AC4AD3" w:rsidRDefault="00AC4AD3"/>
    <w:sectPr w:rsidR="00AC4AD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50A" w:rsidRDefault="00F9050A" w:rsidP="00C10633">
      <w:r>
        <w:separator/>
      </w:r>
    </w:p>
  </w:endnote>
  <w:endnote w:type="continuationSeparator" w:id="0">
    <w:p w:rsidR="00F9050A" w:rsidRDefault="00F9050A" w:rsidP="00C1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31324"/>
      <w:docPartObj>
        <w:docPartGallery w:val="Page Numbers (Bottom of Page)"/>
        <w:docPartUnique/>
      </w:docPartObj>
    </w:sdtPr>
    <w:sdtEndPr/>
    <w:sdtContent>
      <w:p w:rsidR="00C10633" w:rsidRDefault="00C10633" w:rsidP="00C002D1">
        <w:pPr>
          <w:pStyle w:val="Pta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D0E">
          <w:rPr>
            <w:noProof/>
          </w:rPr>
          <w:t>3</w:t>
        </w:r>
        <w:r>
          <w:fldChar w:fldCharType="end"/>
        </w:r>
      </w:p>
    </w:sdtContent>
  </w:sdt>
  <w:p w:rsidR="00C10633" w:rsidRDefault="00C1063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50A" w:rsidRDefault="00F9050A" w:rsidP="00C10633">
      <w:r>
        <w:separator/>
      </w:r>
    </w:p>
  </w:footnote>
  <w:footnote w:type="continuationSeparator" w:id="0">
    <w:p w:rsidR="00F9050A" w:rsidRDefault="00F9050A" w:rsidP="00C10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A2803"/>
    <w:multiLevelType w:val="hybridMultilevel"/>
    <w:tmpl w:val="26AE2D42"/>
    <w:lvl w:ilvl="0" w:tplc="2430C744">
      <w:start w:val="1"/>
      <w:numFmt w:val="upperLetter"/>
      <w:lvlText w:val="%1."/>
      <w:lvlJc w:val="left"/>
      <w:pPr>
        <w:ind w:left="644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533593"/>
    <w:multiLevelType w:val="hybridMultilevel"/>
    <w:tmpl w:val="A9E2D836"/>
    <w:lvl w:ilvl="0" w:tplc="FA24DC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B86"/>
    <w:rsid w:val="00012B07"/>
    <w:rsid w:val="00085221"/>
    <w:rsid w:val="0010595D"/>
    <w:rsid w:val="001371B9"/>
    <w:rsid w:val="001C129E"/>
    <w:rsid w:val="001E2B25"/>
    <w:rsid w:val="001F0BC4"/>
    <w:rsid w:val="00295B86"/>
    <w:rsid w:val="002C5537"/>
    <w:rsid w:val="002C68A1"/>
    <w:rsid w:val="00307BD4"/>
    <w:rsid w:val="0035107A"/>
    <w:rsid w:val="00351925"/>
    <w:rsid w:val="003C4513"/>
    <w:rsid w:val="003D03A9"/>
    <w:rsid w:val="004627D3"/>
    <w:rsid w:val="005D5D0E"/>
    <w:rsid w:val="00663BEC"/>
    <w:rsid w:val="00716DC1"/>
    <w:rsid w:val="00761D08"/>
    <w:rsid w:val="007954E6"/>
    <w:rsid w:val="00873D12"/>
    <w:rsid w:val="009F3381"/>
    <w:rsid w:val="00A0194D"/>
    <w:rsid w:val="00A12329"/>
    <w:rsid w:val="00A23F16"/>
    <w:rsid w:val="00A83045"/>
    <w:rsid w:val="00AA13F2"/>
    <w:rsid w:val="00AC4AD3"/>
    <w:rsid w:val="00C002D1"/>
    <w:rsid w:val="00C10633"/>
    <w:rsid w:val="00C41330"/>
    <w:rsid w:val="00D0696B"/>
    <w:rsid w:val="00D83191"/>
    <w:rsid w:val="00ED0DA8"/>
    <w:rsid w:val="00F03D87"/>
    <w:rsid w:val="00F05BB9"/>
    <w:rsid w:val="00F10A60"/>
    <w:rsid w:val="00F34202"/>
    <w:rsid w:val="00F9050A"/>
    <w:rsid w:val="00FC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915F"/>
  <w15:docId w15:val="{556834DA-EA3D-4EF5-B3A3-986E19C6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aliases w:val="Normálny text"/>
    <w:qFormat/>
    <w:rsid w:val="00295B86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10595D"/>
    <w:pPr>
      <w:spacing w:before="100" w:beforeAutospacing="1" w:after="100" w:afterAutospacing="1"/>
      <w:ind w:firstLine="0"/>
      <w:jc w:val="left"/>
    </w:pPr>
    <w:rPr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1063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10633"/>
    <w:rPr>
      <w:rFonts w:ascii="Times New Roman" w:eastAsia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C1063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10633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02D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02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Dovodová-správa---všeobecná-časť"/>
    <f:field ref="objsubject" par="" edit="true" text=""/>
    <f:field ref="objcreatedby" par="" text="Haviar, Milan, Ing. arch."/>
    <f:field ref="objcreatedat" par="" text="12.9.2019 14:37:42"/>
    <f:field ref="objchangedby" par="" text="Administrator, System"/>
    <f:field ref="objmodifiedat" par="" text="12.9.2019 14:37:4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https://ovdmasv601/sites/DMS/_layouts/15/DocIdRedir.aspx?ID=WKX3UHSAJ2R6-2-941645</Url>
      <Description>WKX3UHSAJ2R6-2-941645</Description>
    </_dlc_DocIdUrl>
    <_dlc_DocId xmlns="e60a29af-d413-48d4-bd90-fe9d2a897e4b">WKX3UHSAJ2R6-2-941645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B49363F-74CA-41AB-90D6-36156DA204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35A4BC-2687-4C88-8E99-8EBE5240CECD}"/>
</file>

<file path=customXml/itemProps4.xml><?xml version="1.0" encoding="utf-8"?>
<ds:datastoreItem xmlns:ds="http://schemas.openxmlformats.org/officeDocument/2006/customXml" ds:itemID="{32EDE002-B366-4E31-B343-789D250267B0}"/>
</file>

<file path=customXml/itemProps5.xml><?xml version="1.0" encoding="utf-8"?>
<ds:datastoreItem xmlns:ds="http://schemas.openxmlformats.org/officeDocument/2006/customXml" ds:itemID="{6FBE5DD2-3E57-4737-9037-07A944A7FE82}"/>
</file>

<file path=customXml/itemProps6.xml><?xml version="1.0" encoding="utf-8"?>
<ds:datastoreItem xmlns:ds="http://schemas.openxmlformats.org/officeDocument/2006/customXml" ds:itemID="{74C2D2D7-A8CF-44A9-A517-DAFF12BA7D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Kalinová, Želmíra</dc:creator>
  <cp:lastModifiedBy>Kalinová, Želmíra</cp:lastModifiedBy>
  <cp:revision>14</cp:revision>
  <cp:lastPrinted>2019-10-18T08:44:00Z</cp:lastPrinted>
  <dcterms:created xsi:type="dcterms:W3CDTF">2019-10-03T07:53:00Z</dcterms:created>
  <dcterms:modified xsi:type="dcterms:W3CDTF">2019-10-18T11:33:00Z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Dôvodová správa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12. 9. 2019</vt:lpwstr>
  </property>
  <property fmtid="{D5CDD505-2E9C-101B-9397-08002B2CF9AE}" pid="151" name="FSC#COOSYSTEM@1.1:Container">
    <vt:lpwstr>COO.2145.1000.3.3587144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c5fdd545-1f37-4f0e-beae-153b381e75b0</vt:lpwstr>
  </property>
</Properties>
</file>