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8B" w:rsidRPr="00856FFA" w:rsidRDefault="00112D54" w:rsidP="00112D54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0"/>
          <w:szCs w:val="20"/>
          <w:lang w:val="sk-SK"/>
        </w:rPr>
      </w:pPr>
      <w:bookmarkStart w:id="0" w:name="_GoBack"/>
      <w:bookmarkEnd w:id="0"/>
      <w:r w:rsidRPr="00856FFA">
        <w:rPr>
          <w:rFonts w:ascii="Times New Roman" w:hAnsi="Times New Roman" w:cs="Calibri"/>
          <w:b/>
          <w:caps/>
          <w:sz w:val="20"/>
          <w:szCs w:val="20"/>
          <w:lang w:val="sk-SK"/>
        </w:rPr>
        <w:t>Vyhodnotenie medzirezortného pripomienkového konania</w:t>
      </w:r>
    </w:p>
    <w:p w:rsidR="00A63365" w:rsidRPr="00856FFA" w:rsidRDefault="00A63365" w:rsidP="00112D54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</w:p>
    <w:p w:rsidR="00112D54" w:rsidRPr="00856FFA" w:rsidRDefault="00FA67A7" w:rsidP="00112D54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  <w:lang w:val="sk-SK"/>
        </w:rPr>
      </w:pPr>
      <w:r w:rsidRPr="00FA67A7">
        <w:rPr>
          <w:rFonts w:ascii="Times New Roman" w:hAnsi="Times New Roman" w:cs="Calibri"/>
          <w:iCs/>
          <w:sz w:val="20"/>
          <w:szCs w:val="20"/>
          <w:lang w:val="sk-SK"/>
        </w:rPr>
        <w:t>Návrh nariadenia vlády Slovenskej republiky, ktorým sa dopĺňa nariadenie vlády Slovenskej republiky č. 336/2011 Z. z., ktorým sa vydáva zoznam účinných látok vyhovujúcich na zaradenie do biocídnych výrobkov a zoznam účinných látok s nízkym rizikom vyhovujúcich na zaradenie do biocídnych výrobkov s nízkym rizikom v znení neskorších predpisov </w:t>
      </w:r>
    </w:p>
    <w:p w:rsidR="00A63365" w:rsidRPr="00856FFA" w:rsidRDefault="00A63365" w:rsidP="00112D54">
      <w:pPr>
        <w:widowControl/>
        <w:spacing w:after="0" w:line="240" w:lineRule="auto"/>
        <w:jc w:val="center"/>
        <w:rPr>
          <w:rFonts w:ascii="Times New Roman" w:hAnsi="Times New Roman" w:cs="Calibri"/>
          <w:sz w:val="20"/>
          <w:szCs w:val="20"/>
          <w:lang w:val="sk-SK"/>
        </w:rPr>
      </w:pPr>
    </w:p>
    <w:p w:rsidR="00112D54" w:rsidRPr="00856FFA" w:rsidRDefault="00112D54" w:rsidP="00112D54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tbl>
      <w:tblPr>
        <w:tblW w:w="143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7943"/>
      </w:tblGrid>
      <w:tr w:rsidR="000E0D8B" w:rsidRPr="00DD3F66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Spôsob pripomienkového konania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DD3F66" w:rsidRDefault="00A2596C" w:rsidP="0076337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A2596C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vznesených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18 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0 </w:t>
            </w:r>
          </w:p>
        </w:tc>
      </w:tr>
      <w:tr w:rsidR="00E92A3F" w:rsidRPr="00542B6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E92A3F" w:rsidRPr="00856FFA" w:rsidRDefault="00E92A3F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2A3F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vyhodnotených pripomienok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E92A3F" w:rsidRPr="00542B6A" w:rsidRDefault="00141E5C" w:rsidP="00141E5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141E5C">
              <w:rPr>
                <w:rFonts w:ascii="Times New Roman" w:hAnsi="Times New Roman" w:cs="Calibri"/>
                <w:sz w:val="20"/>
                <w:szCs w:val="20"/>
              </w:rPr>
              <w:t>18 </w:t>
            </w:r>
          </w:p>
        </w:tc>
      </w:tr>
      <w:tr w:rsidR="00E92A3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E92A3F" w:rsidRPr="00856FFA" w:rsidRDefault="00E92A3F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E92A3F" w:rsidRDefault="00E92A3F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14 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>0 </w:t>
            </w: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8C0CA8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</w:t>
            </w:r>
            <w:r w:rsidR="008C0CA8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</w:t>
            </w: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čiastočne 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2 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0 </w:t>
            </w:r>
          </w:p>
        </w:tc>
      </w:tr>
      <w:tr w:rsidR="000E0D8B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0E0D8B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Počet neakceptovaných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0E0D8B" w:rsidRPr="00856FFA" w:rsidRDefault="00AF58FC" w:rsidP="00AF58FC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2  </w:t>
            </w:r>
            <w:r w:rsidR="000E0D8B" w:rsidRPr="00856FFA">
              <w:rPr>
                <w:rFonts w:ascii="Times New Roman" w:hAnsi="Times New Roman" w:cs="Calibri"/>
                <w:sz w:val="20"/>
                <w:szCs w:val="20"/>
                <w:lang w:val="sk-SK"/>
              </w:rPr>
              <w:t>/</w:t>
            </w:r>
            <w:r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 0 </w:t>
            </w: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</w:rPr>
            </w:pP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Rozporové konanie (s kým, kedy, s akým výsledkom)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</w:rPr>
            </w:pPr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Počet odstránených pripomienok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  <w:tr w:rsidR="003C45FA" w:rsidRPr="00856FF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0E0D8B">
            <w:pPr>
              <w:widowControl/>
              <w:spacing w:after="0" w:line="240" w:lineRule="auto"/>
              <w:rPr>
                <w:rFonts w:ascii="Times New Roman" w:hAnsi="Times New Roman" w:cs="Calibri"/>
                <w:bCs/>
                <w:sz w:val="20"/>
                <w:szCs w:val="20"/>
              </w:rPr>
            </w:pPr>
            <w:r w:rsidRPr="00856FFA">
              <w:rPr>
                <w:rFonts w:ascii="Times New Roman" w:hAnsi="Times New Roman" w:cs="Calibri"/>
                <w:bCs/>
                <w:sz w:val="20"/>
                <w:szCs w:val="20"/>
              </w:rPr>
              <w:t>Počet neodstránených pripomienok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3C45FA" w:rsidRPr="00856FFA" w:rsidRDefault="003C45FA" w:rsidP="00856FFA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</w:p>
        </w:tc>
      </w:tr>
    </w:tbl>
    <w:p w:rsidR="000E0D8B" w:rsidRPr="00856FFA" w:rsidRDefault="000E0D8B" w:rsidP="00112D54">
      <w:pPr>
        <w:widowControl/>
        <w:spacing w:after="0" w:line="240" w:lineRule="auto"/>
        <w:rPr>
          <w:rFonts w:ascii="Times New Roman" w:hAnsi="Times New Roman" w:cs="Calibri"/>
          <w:b/>
          <w:sz w:val="20"/>
          <w:szCs w:val="20"/>
          <w:lang w:val="sk-SK"/>
        </w:rPr>
      </w:pPr>
    </w:p>
    <w:p w:rsidR="00442145" w:rsidRPr="00856FFA" w:rsidRDefault="00442145" w:rsidP="00112D54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  <w:r w:rsidRPr="00856FFA">
        <w:rPr>
          <w:rFonts w:ascii="Times New Roman" w:hAnsi="Times New Roman" w:cs="Calibri"/>
          <w:sz w:val="20"/>
          <w:szCs w:val="20"/>
          <w:lang w:val="sk-SK"/>
        </w:rPr>
        <w:t>Sumarizácia vznesených pripomienok</w:t>
      </w:r>
      <w:r w:rsidR="006E1AE4">
        <w:rPr>
          <w:rFonts w:ascii="Times New Roman" w:hAnsi="Times New Roman" w:cs="Calibri"/>
          <w:sz w:val="20"/>
          <w:szCs w:val="20"/>
          <w:lang w:val="sk-SK"/>
        </w:rPr>
        <w:t xml:space="preserve"> podľa subjektov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16"/>
        <w:gridCol w:w="8327"/>
        <w:gridCol w:w="1443"/>
        <w:gridCol w:w="1443"/>
        <w:gridCol w:w="1428"/>
        <w:gridCol w:w="1197"/>
      </w:tblGrid>
      <w:tr w:rsidR="00442145" w:rsidRPr="00856FFA">
        <w:tc>
          <w:tcPr>
            <w:tcW w:w="168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Č.</w:t>
            </w:r>
          </w:p>
        </w:tc>
        <w:tc>
          <w:tcPr>
            <w:tcW w:w="2903" w:type="pct"/>
            <w:vAlign w:val="center"/>
          </w:tcPr>
          <w:p w:rsidR="00442145" w:rsidRPr="00856FFA" w:rsidRDefault="00542B6A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</w:t>
            </w:r>
            <w:r w:rsidR="00442145"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ubjekt</w:t>
            </w:r>
          </w:p>
        </w:tc>
        <w:tc>
          <w:tcPr>
            <w:tcW w:w="505" w:type="pct"/>
            <w:vAlign w:val="center"/>
          </w:tcPr>
          <w:p w:rsidR="00442145" w:rsidRPr="00856FFA" w:rsidRDefault="00442145" w:rsidP="00CA36FC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Pripomienky</w:t>
            </w:r>
            <w:r w:rsidR="00CA36FC"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 xml:space="preserve"> </w:t>
            </w: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do termínu</w:t>
            </w:r>
          </w:p>
        </w:tc>
        <w:tc>
          <w:tcPr>
            <w:tcW w:w="505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Pripomienky po termíne</w:t>
            </w:r>
          </w:p>
        </w:tc>
        <w:tc>
          <w:tcPr>
            <w:tcW w:w="500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Nemali pripomienky</w:t>
            </w:r>
          </w:p>
        </w:tc>
        <w:tc>
          <w:tcPr>
            <w:tcW w:w="419" w:type="pct"/>
            <w:vAlign w:val="center"/>
          </w:tcPr>
          <w:p w:rsidR="00442145" w:rsidRPr="00856FFA" w:rsidRDefault="00442145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Vôbec nezaslali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spravodlivosti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vnútra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1 (1o,0z)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3 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financií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2 (2o,0z)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4 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kultúry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5 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hospodárstva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6 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dopravy, výstavby a regionálneho rozvoja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3 (3o,0z)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7 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pôdohospodárstva a rozvoja vidieka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8 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obrany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9 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zahraničných vecí a európskych záležitostí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1 (1o,0z)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10 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práce, sociálnych vecí a rodiny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11 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životného prostredia Slovenskej republiky 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12 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školstva, vedy, výskumu a športu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2 (2o,0z)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13 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Ministerstvo zdravotníctva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2 (2o,0z)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14 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vlády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15 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Protimonopolný úrad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16 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Štatistický úrad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3 (3o,0z)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17 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geodézie, kartografie a katastra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18 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jadrového dozoru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lastRenderedPageBreak/>
              <w:t>19 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pre normalizáciu, metrológiu a skúšobníctvo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2 (2o,0z)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20 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pre verejné obstarávanie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21 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priemyselného vlastníctva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22 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Správa štátnych hmotných rezerv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23 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Národný bezpečnostný úrad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24 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Národná banka Slovenska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25 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Odbor aproximácie práva sekcie vládnej legislatívy Úradu vlády SR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1 (1o,0z)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26 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Najvyšší kontrolný úrad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27 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Najvyšší súd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28 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Generálna prokuratúra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29 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Konfederácia odborových zväzov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1 (1o,0z)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30 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Asociácia zamestnávateľských zväzov a združení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31 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Úrad na ochranu osobných údajov Slovenskej republiky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442145" w:rsidRPr="00856FFA">
        <w:tc>
          <w:tcPr>
            <w:tcW w:w="168" w:type="pct"/>
            <w:vAlign w:val="center"/>
          </w:tcPr>
          <w:p w:rsidR="00442145" w:rsidRPr="00685203" w:rsidRDefault="00021029" w:rsidP="00021029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32 </w:t>
            </w:r>
            <w:r w:rsidR="00685203" w:rsidRPr="00685203">
              <w:rPr>
                <w:rFonts w:ascii="Times New Roman" w:hAnsi="Times New Roman" w:cs="Calibri"/>
                <w:sz w:val="20"/>
                <w:szCs w:val="20"/>
                <w:lang w:val="sk-SK"/>
              </w:rPr>
              <w:t>.</w:t>
            </w:r>
          </w:p>
        </w:tc>
        <w:tc>
          <w:tcPr>
            <w:tcW w:w="2903" w:type="pct"/>
            <w:vAlign w:val="center"/>
          </w:tcPr>
          <w:p w:rsidR="00442145" w:rsidRPr="00856FFA" w:rsidRDefault="00021029" w:rsidP="00021029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21029">
              <w:rPr>
                <w:rFonts w:ascii="Times New Roman" w:hAnsi="Times New Roman" w:cs="Calibri"/>
                <w:sz w:val="20"/>
                <w:szCs w:val="20"/>
                <w:lang w:val="sk-SK"/>
              </w:rPr>
              <w:t>Združenie miest a obcí Slovenska </w:t>
            </w:r>
          </w:p>
        </w:tc>
        <w:tc>
          <w:tcPr>
            <w:tcW w:w="505" w:type="pct"/>
            <w:vAlign w:val="center"/>
          </w:tcPr>
          <w:p w:rsidR="00442145" w:rsidRPr="00685203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B0044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5" w:type="pct"/>
            <w:vAlign w:val="center"/>
          </w:tcPr>
          <w:p w:rsidR="00442145" w:rsidRPr="00856FFA" w:rsidRDefault="00074151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500" w:type="pct"/>
            <w:vAlign w:val="center"/>
          </w:tcPr>
          <w:p w:rsidR="00442145" w:rsidRPr="00856FFA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  <w:tc>
          <w:tcPr>
            <w:tcW w:w="419" w:type="pct"/>
            <w:vAlign w:val="center"/>
          </w:tcPr>
          <w:p w:rsidR="00442145" w:rsidRPr="00856FFA" w:rsidRDefault="008C29A6" w:rsidP="00074151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sz w:val="20"/>
                <w:szCs w:val="20"/>
                <w:lang w:val="sk-SK"/>
              </w:rPr>
              <w:t>x </w:t>
            </w:r>
          </w:p>
        </w:tc>
      </w:tr>
      <w:tr w:rsidR="00EE5C03" w:rsidRPr="00074151">
        <w:tc>
          <w:tcPr>
            <w:tcW w:w="168" w:type="pct"/>
            <w:vAlign w:val="center"/>
          </w:tcPr>
          <w:p w:rsidR="00EE5C03" w:rsidRPr="00856FFA" w:rsidRDefault="00EE5C03" w:rsidP="00442145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</w:p>
        </w:tc>
        <w:tc>
          <w:tcPr>
            <w:tcW w:w="2903" w:type="pct"/>
            <w:vAlign w:val="center"/>
          </w:tcPr>
          <w:p w:rsidR="00EE5C03" w:rsidRPr="00856FFA" w:rsidRDefault="00EE5C03" w:rsidP="00CA36FC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bCs/>
                <w:sz w:val="20"/>
                <w:szCs w:val="20"/>
                <w:lang w:val="sk-SK"/>
              </w:rPr>
              <w:t>SPOLU</w:t>
            </w:r>
          </w:p>
        </w:tc>
        <w:tc>
          <w:tcPr>
            <w:tcW w:w="505" w:type="pct"/>
            <w:vAlign w:val="center"/>
          </w:tcPr>
          <w:p w:rsidR="00EE5C03" w:rsidRPr="00074151" w:rsidRDefault="00B0044B" w:rsidP="009424B0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18 (18o,0z) </w:t>
            </w:r>
          </w:p>
        </w:tc>
        <w:tc>
          <w:tcPr>
            <w:tcW w:w="505" w:type="pct"/>
            <w:vAlign w:val="center"/>
          </w:tcPr>
          <w:p w:rsidR="00EE5C03" w:rsidRPr="00074151" w:rsidRDefault="00074151" w:rsidP="00763374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074151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0 (0o,0z) </w:t>
            </w:r>
          </w:p>
        </w:tc>
        <w:tc>
          <w:tcPr>
            <w:tcW w:w="500" w:type="pct"/>
            <w:vAlign w:val="center"/>
          </w:tcPr>
          <w:p w:rsidR="00EE5C03" w:rsidRPr="00074151" w:rsidRDefault="0046672B" w:rsidP="0046672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46672B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15 </w:t>
            </w:r>
          </w:p>
        </w:tc>
        <w:tc>
          <w:tcPr>
            <w:tcW w:w="419" w:type="pct"/>
            <w:vAlign w:val="center"/>
          </w:tcPr>
          <w:p w:rsidR="00EE5C03" w:rsidRPr="00074151" w:rsidRDefault="008C29A6" w:rsidP="007211BF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C29A6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7 </w:t>
            </w:r>
          </w:p>
        </w:tc>
      </w:tr>
    </w:tbl>
    <w:p w:rsidR="00442145" w:rsidRPr="00856FFA" w:rsidRDefault="00442145" w:rsidP="00112D54">
      <w:pPr>
        <w:widowControl/>
        <w:spacing w:after="0" w:line="240" w:lineRule="auto"/>
        <w:rPr>
          <w:rFonts w:ascii="Times New Roman" w:hAnsi="Times New Roman" w:cs="Calibri"/>
          <w:b/>
          <w:sz w:val="20"/>
          <w:szCs w:val="20"/>
          <w:lang w:val="sk-SK"/>
        </w:rPr>
      </w:pPr>
    </w:p>
    <w:p w:rsidR="00194B7B" w:rsidRPr="00856FFA" w:rsidRDefault="00194B7B" w:rsidP="00984FB1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p w:rsidR="00984FB1" w:rsidRPr="00856FFA" w:rsidRDefault="00984FB1" w:rsidP="00984FB1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  <w:r w:rsidRPr="00856FFA">
        <w:rPr>
          <w:b w:val="0"/>
          <w:bCs w:val="0"/>
          <w:color w:val="000000"/>
          <w:sz w:val="20"/>
          <w:szCs w:val="20"/>
        </w:rPr>
        <w:t>Vyhodnotenie vecných pripomienok je uvedené v tabuľkovej časti.</w:t>
      </w:r>
    </w:p>
    <w:p w:rsidR="00984FB1" w:rsidRPr="00856FFA" w:rsidRDefault="00984FB1" w:rsidP="00A63365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984FB1" w:rsidRPr="00856FFA"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Vysvetlivky  k použitým skratkám v tabuľke:</w:t>
            </w:r>
          </w:p>
        </w:tc>
      </w:tr>
      <w:tr w:rsidR="00984FB1" w:rsidRPr="00856FF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A – akceptovaná</w:t>
            </w:r>
          </w:p>
        </w:tc>
      </w:tr>
      <w:tr w:rsidR="00984FB1" w:rsidRPr="00856FF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N – neakceptovaná</w:t>
            </w:r>
          </w:p>
        </w:tc>
      </w:tr>
      <w:tr w:rsidR="00984FB1" w:rsidRPr="00856FF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984FB1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84FB1" w:rsidRPr="00856FFA" w:rsidRDefault="00984FB1" w:rsidP="001A373C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56FFA">
              <w:rPr>
                <w:b w:val="0"/>
                <w:color w:val="000000"/>
                <w:sz w:val="20"/>
                <w:szCs w:val="20"/>
              </w:rPr>
              <w:t>ČA</w:t>
            </w:r>
            <w:r w:rsidR="001A373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856FFA">
              <w:rPr>
                <w:b w:val="0"/>
                <w:color w:val="000000"/>
                <w:sz w:val="20"/>
                <w:szCs w:val="20"/>
              </w:rPr>
              <w:t>– čiastočne akceptovaná</w:t>
            </w:r>
          </w:p>
        </w:tc>
      </w:tr>
    </w:tbl>
    <w:p w:rsidR="000E0D8B" w:rsidRPr="00856FFA" w:rsidRDefault="000E0D8B">
      <w:pPr>
        <w:widowControl/>
        <w:rPr>
          <w:rFonts w:ascii="Times New Roman" w:hAnsi="Times New Roman" w:cs="Calibri"/>
          <w:sz w:val="20"/>
          <w:szCs w:val="20"/>
          <w:lang w:val="sk-SK"/>
        </w:rPr>
      </w:pPr>
      <w:r w:rsidRPr="00856FFA">
        <w:rPr>
          <w:rFonts w:ascii="Times New Roman" w:hAnsi="Times New Roman" w:cs="Calibri"/>
          <w:sz w:val="20"/>
          <w:szCs w:val="20"/>
          <w:lang w:val="sk-SK"/>
        </w:rPr>
        <w:br w:type="page"/>
      </w: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6519"/>
        <w:gridCol w:w="708"/>
        <w:gridCol w:w="708"/>
        <w:gridCol w:w="4679"/>
      </w:tblGrid>
      <w:tr w:rsidR="00E92A3F" w:rsidRPr="00856FFA">
        <w:tc>
          <w:tcPr>
            <w:tcW w:w="495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Subjekt</w:t>
            </w:r>
          </w:p>
        </w:tc>
        <w:tc>
          <w:tcPr>
            <w:tcW w:w="2328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Pripomienka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Typ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Vyh.</w:t>
            </w:r>
          </w:p>
        </w:tc>
        <w:tc>
          <w:tcPr>
            <w:tcW w:w="1671" w:type="pct"/>
            <w:vAlign w:val="center"/>
          </w:tcPr>
          <w:p w:rsidR="00E92A3F" w:rsidRPr="00856FFA" w:rsidRDefault="00E92A3F" w:rsidP="008A0DCB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856FFA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Spôsob vyhodnotenia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MV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Bod 1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Bod 1 upraviť takto: „1. V prílohe č. 1 sa doterajší bod 14 označuje ako bod 14a a za bod 14a sa vkladá bod 14b, ktorý znie:“.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V nadväznosti na pripomienku k bodu 1 bod 2 vypustiť a body 3 a 4 označiť ako body 2 a 3.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ČA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Ponechali sme túto úpravu v dvoch novelizačných bodoch z dôvodu prehľadnosti novely.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MF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Všeobecne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Beriem na vedomie, že návrh nebude mať vplyv na rozpočet verejnej správy.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MF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Všeobecne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Návrh je potrebné zosúladiť s čl. 6 Legislatívnych pravidiel vlády SR (napr. v čl. I bode 2 prílohe č. 1 bode 14b siedmom stĺpci druhom odseku a bode 3 a bode 61 siedmom stĺpci prvom odseku odstrániť terminologickú nepresnosť pojmov „relevantné“ a „reprezentatívne“, v bode 2 prílohe č. 1 bode 14b siedmom stĺpci treťom odseku a piatom odseku odstrániť terminologickú nepresnosť pojmu „primerané opatrenia“, vo štvrtom odseku slovo „reziduum“ nahradiť rovnocenným slovenským pojmom) a s prílohou č. 5 týchto pravidiel (ďalej len „príloha LPV“) (napr. úvodnú vetu návrhu zosúladiť s bodom 49 druhou vetou prílohy LPV a pred slovo „dopĺňa“ vložiť slovo „mení“ vzhľadom na znenie novelizačného bodu 1, čl. I bod 2 prílohu č. 1 zosúladiť s bodom 13 prílohy LPV, bod 2 prílohu č. 1 bod 14b siedmy stĺpec prvý odsek až piaty odsek a bod 3 prílohu č. 1 bod 61 siedmy stĺpec prvý odsek a druhý odsek zosúladiť s bodom 3 prílohy LPV, bod 2 prílohu č. 1 bod 14b siedmy stĺpec štvrtý odsek zosúladiť s bodom 8 prílohy LPV).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ČA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Pojmy "relevantné" a "reprezentatívne" boli použité aj v predchádzajúcich novelách tohto nariadenia. Pojem "rezíduum" je odborným chemickým pojmom taktiež používaný už aj v predchádzajúcich novelách tohto nariadenia.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MDVaRR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V Čl. I v úvodnej vete odporúčame pred slovo „dopĺňa“ vložiť slová „mení a“.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MDVaRR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V Čl. I bode 1 odporúčame za slovo „ako“ vložiť slovo „bod“.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MDVaRR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V Čl. I bod 2 znie: „V prílohe č. 1 sa za bod 14a vkladá bod 14b, ktorý znie:“.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MZVaEZ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Doložke zlučiteľnosti právneho predpisu s právom EÚ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Odporúčame predkladateľovi vyplniť všetky body doložky zlučiteľnosti, nakoľko problematika návrhu právneho predpisu je upravená v práve EÚ. 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MŠVVaŠ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Čl. I bod 1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V Čl. I bode 1 uvádzacia veta znie: ,, V prílohe č. 1 bod ,,14" sa nahrádza bodom ,,14a".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lastRenderedPageBreak/>
              <w:t>Odôvodnenie: Súlad s bodom 41 písm. b) Prílohy č. 5 k Legislatívnym pravidlám vlády Slovenskej republiky v platnom znení.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lastRenderedPageBreak/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N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Použili sme inú legislatívnu techniku.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lastRenderedPageBreak/>
              <w:t>MŠVVaŠ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Čl. I bod 5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V Čl. I bode 5 transpozičnej prílohe v bodoch 20 a 21 odporúčame rok ,,2012" nahradiť správnym rokom ,,2013".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Odôvodnenie: Smernice Komisie uvedené v bodoch 20 a 21 sú z roku 2013.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MZ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Čl. I návrhu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Odporúčame doplniť do výpočtu nariadení, ktorými bolo nariadenie vlády č. 336/2011 Z. z. upravované, aj nariadenie vlády Slovenskej republiky č. 336/2011 Z. z.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Odôvodnenie: Predmetné nariadenie vlády bolo upravované aj týmto nariadením.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N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Uvedené číslo je pôvodným číslom tohto nariadenia.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MZ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odôvodneniu, osobitnej časti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Odporúčame nahradiť slová „K bodu 7“ slovami „K bodu 5“.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Odôvodnenie: Zoznam preberaných právne záväzných aktov Európskej únie, ktoré sa dopĺňajú do Prílohy č. 3, je obsahom bodu 5 návrhu nariadenia.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ŠÚ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názvu nariadenia vlády SR a úvodnej vete čl. I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Odporúčame slová „sa dopĺňa“ nahradiť slovami „sa mení a dopĺňa“ (na základe bodu 1).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ŠÚ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bodu 1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Odporúčame za slovo „ako“ vložiť slovo „bod“.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ŠÚ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bodu 2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Odporúčame uviesť uvádzaciu vetu „V prílohe č. 1 sa za bod 14a vkladá bod 14b, ktorý znie:“.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ÚNMS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prílohe č. 1 bodom 14b, 61, 62, 63, 64, 65 a 67 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Meraciu jednotku g/kg navrhujeme uvádzať v tvare „g • kg-1“ (pričom "-1" sa píše ako horný index).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Odôvodnenie: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Ide o zásadu písania meracích jednotiek.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ÚNMS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K prílohe č. 1 bodu 66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Navrhujeme nahradiť „% hm. percent“ vyjadrením „% hmot.“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lastRenderedPageBreak/>
              <w:br/>
              <w:t xml:space="preserve">Odôvodnenie: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Číselná hodnota sa vzťahuje k symbolu %, preto by mali byť umiestnené bezprostredne za sebou. Ide o vyjadrenie % podielu z celkovej hmotnosti.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lastRenderedPageBreak/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lastRenderedPageBreak/>
              <w:t>OAP SVL ÚV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Všeobecne k návrhu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 xml:space="preserve">Cieľom návrhu nariadenia vlády je do právneho systému Slovenskej republiky v súlade s § 2 ods. 1 písm. g), h) a l) zákona č. 19/2002 Z. z., ktorým sa ustanovujú podmienky vydávania aproximačných nariadení vlády Slovenskej republiky v znení neskorších predpisov prebrať smernice 2013/3/EÚ, 2013/4/EÚ, 2013/5/EÚ, 2013/6/EÚ, 2013/7/EÚ, 2013/27/EÚ, 2013/41/EÚ a 2013/44/EÚ. Predmetné smernice menia a dopĺňajú Prílohu I k smernici 98/8/ES Európskeho parlamentu a Rady zo 16. februára 1998 o uvádzaní biocídnych výrobkov na trh.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Smernica 98/8/ES bola však s účinnosťou od 1. septembra 2013 zrušená nariadením Európskeho parlamentu a Rady (EÚ) č. 528/2012 z 22. mája 2012 o sprístupňovaní biocídnych výrobkov na trhu a ich používaní. Zrušovacie ustanovenie v článku 96 nariadenia (EÚ) č. 528/2012 zrušuje smernicu 98/8/ES bez toho, aby boli dotknuté články 86, 89, 90, 91 a 92 tohto nariadenia. Znenie článku 86 nariadenia ustanovuje, že účinné látky zaradené do prílohy I k smernici 98/8/ES sa považujú za schválené podľa tohto nariadenia a zaradia sa do zoznamu uvedeného v článku 9 ods. 2, na základe ktorého sa schválené účinné látky zaradia do zoznamu schválených účinných látok Únie. Komisia tento zoznam aktualizuje a v elektronickej forme ho sprístupňuje verejnosti.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 xml:space="preserve">Navrhované nariadenie vlády Slovenskej republiky, ktorým sa dopĺňa nariadenie vlády Slovenskej republiky č. 336/2011 Z. z., ktorým sa vydáva zoznam účinných látok vyhovujúcich na zaradenie do biocídnych výrobkov a zoznam účinných látok s nízkym rizikom vyhovujúcich na zaradenie do biocídnych výrobkov s nízkym rizikom v znení neskorších predpisov nie je potrebné prijať. Nariadenie č. 336/2011 nie je použiteľné, a z dôvodu zachovania prehľadnosti právneho poriadku je potrebné ho zrušiť. </w:t>
            </w: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br/>
              <w:t>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  <w:tr w:rsidR="00E92A3F" w:rsidRPr="00856FFA">
        <w:tc>
          <w:tcPr>
            <w:tcW w:w="495" w:type="pct"/>
          </w:tcPr>
          <w:p w:rsidR="00E92A3F" w:rsidRPr="00701DA6" w:rsidRDefault="00E92A3F" w:rsidP="00DB178E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A81B86">
              <w:rPr>
                <w:rFonts w:ascii="Times New Roman" w:hAnsi="Times New Roman" w:cs="Calibri"/>
                <w:b/>
                <w:sz w:val="20"/>
                <w:szCs w:val="20"/>
              </w:rPr>
              <w:t>KOZ SR </w:t>
            </w:r>
          </w:p>
        </w:tc>
        <w:tc>
          <w:tcPr>
            <w:tcW w:w="2328" w:type="pct"/>
          </w:tcPr>
          <w:p w:rsidR="00E92A3F" w:rsidRPr="00054B9D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</w:pPr>
            <w:r w:rsidRPr="00054B9D">
              <w:rPr>
                <w:rFonts w:ascii="Times New Roman" w:hAnsi="Times New Roman" w:cs="Calibri"/>
                <w:b/>
                <w:iCs/>
                <w:sz w:val="20"/>
                <w:szCs w:val="20"/>
                <w:lang w:val="sk-SK"/>
              </w:rPr>
              <w:t>Stanovisko k návrhu nariadenia vlády Slovenskej republiky, ktorým sa dopĺňa nariadenie vlády Slovenskej republiky č. 336/2011 Z. z., ktorým sa vydáva zoznam účinných látok vyhovujúcich na zaradenie do biocídnych výrobkov a zoznam účinných látok s nízkym r </w:t>
            </w:r>
          </w:p>
          <w:p w:rsidR="00E92A3F" w:rsidRPr="00856FFA" w:rsidRDefault="00E92A3F" w:rsidP="003877F7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1C1EC9">
              <w:rPr>
                <w:rFonts w:ascii="Times New Roman" w:hAnsi="Times New Roman" w:cs="Calibri"/>
                <w:sz w:val="20"/>
                <w:szCs w:val="20"/>
                <w:lang w:val="sk-SK"/>
              </w:rPr>
              <w:t>KOZ SR k predmetnému návrhu nemá pripomienky.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O </w:t>
            </w:r>
          </w:p>
        </w:tc>
        <w:tc>
          <w:tcPr>
            <w:tcW w:w="253" w:type="pct"/>
            <w:vAlign w:val="center"/>
          </w:tcPr>
          <w:p w:rsidR="00E92A3F" w:rsidRPr="00856FFA" w:rsidRDefault="00E92A3F" w:rsidP="005678B7">
            <w:pPr>
              <w:widowControl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</w:pPr>
            <w:r w:rsidRPr="00FB4269">
              <w:rPr>
                <w:rFonts w:ascii="Times New Roman" w:hAnsi="Times New Roman" w:cs="Calibri"/>
                <w:b/>
                <w:sz w:val="20"/>
                <w:szCs w:val="20"/>
                <w:lang w:val="sk-SK"/>
              </w:rPr>
              <w:t>A </w:t>
            </w:r>
          </w:p>
        </w:tc>
        <w:tc>
          <w:tcPr>
            <w:tcW w:w="1671" w:type="pct"/>
          </w:tcPr>
          <w:p w:rsidR="00E92A3F" w:rsidRPr="00856FFA" w:rsidRDefault="00E92A3F" w:rsidP="00701DA6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  <w:lang w:val="sk-SK"/>
              </w:rPr>
            </w:pPr>
            <w:r w:rsidRPr="00E942DE">
              <w:rPr>
                <w:rFonts w:ascii="Times New Roman" w:hAnsi="Times New Roman" w:cs="Calibri"/>
                <w:sz w:val="20"/>
                <w:szCs w:val="20"/>
                <w:lang w:val="sk-SK"/>
              </w:rPr>
              <w:t> </w:t>
            </w:r>
          </w:p>
        </w:tc>
      </w:tr>
    </w:tbl>
    <w:p w:rsidR="000E0D8B" w:rsidRPr="00856FFA" w:rsidRDefault="000E0D8B" w:rsidP="002E5BFC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p w:rsidR="008A0DCB" w:rsidRPr="00856FFA" w:rsidRDefault="008A0DCB" w:rsidP="002E5BFC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  <w:lang w:val="sk-SK"/>
        </w:rPr>
      </w:pPr>
    </w:p>
    <w:sectPr w:rsidR="008A0DCB" w:rsidRPr="00856FFA">
      <w:pgSz w:w="15840" w:h="12240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B2"/>
    <w:rsid w:val="00021029"/>
    <w:rsid w:val="00054B9D"/>
    <w:rsid w:val="00074151"/>
    <w:rsid w:val="000E0D8B"/>
    <w:rsid w:val="00112D54"/>
    <w:rsid w:val="00141E5C"/>
    <w:rsid w:val="00194B7B"/>
    <w:rsid w:val="001A373C"/>
    <w:rsid w:val="001C1EC9"/>
    <w:rsid w:val="002E5BFC"/>
    <w:rsid w:val="003877F7"/>
    <w:rsid w:val="003C45FA"/>
    <w:rsid w:val="00442145"/>
    <w:rsid w:val="0046672B"/>
    <w:rsid w:val="00510C12"/>
    <w:rsid w:val="00542B6A"/>
    <w:rsid w:val="005678B7"/>
    <w:rsid w:val="00685203"/>
    <w:rsid w:val="006E1AE4"/>
    <w:rsid w:val="00701DA6"/>
    <w:rsid w:val="007211BF"/>
    <w:rsid w:val="00763374"/>
    <w:rsid w:val="00856FFA"/>
    <w:rsid w:val="008A0DCB"/>
    <w:rsid w:val="008C0CA8"/>
    <w:rsid w:val="008C29A6"/>
    <w:rsid w:val="009424B0"/>
    <w:rsid w:val="00984FB1"/>
    <w:rsid w:val="00A2596C"/>
    <w:rsid w:val="00A63365"/>
    <w:rsid w:val="00A81B86"/>
    <w:rsid w:val="00AF58FC"/>
    <w:rsid w:val="00B0044B"/>
    <w:rsid w:val="00B80849"/>
    <w:rsid w:val="00BE6BB2"/>
    <w:rsid w:val="00C35D8B"/>
    <w:rsid w:val="00CA36FC"/>
    <w:rsid w:val="00DB178E"/>
    <w:rsid w:val="00DD3F66"/>
    <w:rsid w:val="00E92A3F"/>
    <w:rsid w:val="00E942DE"/>
    <w:rsid w:val="00EE5C03"/>
    <w:rsid w:val="00FA67A7"/>
    <w:rsid w:val="00FB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uiPriority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0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5D8B"/>
    <w:pPr>
      <w:widowControl w:val="0"/>
      <w:adjustRightInd w:val="0"/>
    </w:pPr>
    <w:rPr>
      <w:rFonts w:cs="Times New Roman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112D54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2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112D54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42145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A6336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A6336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sk-SK"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63365"/>
    <w:rPr>
      <w:rFonts w:ascii="Times New Roman" w:hAnsi="Times New Roman" w:cs="Times New Roman"/>
      <w:b/>
      <w:bCs/>
      <w:sz w:val="28"/>
      <w:szCs w:val="28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984FB1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984FB1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uiPriority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0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5D8B"/>
    <w:pPr>
      <w:widowControl w:val="0"/>
      <w:adjustRightInd w:val="0"/>
    </w:pPr>
    <w:rPr>
      <w:rFonts w:cs="Times New Roman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112D54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2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112D54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42145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A6336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A6336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sk-SK"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63365"/>
    <w:rPr>
      <w:rFonts w:ascii="Times New Roman" w:hAnsi="Times New Roman" w:cs="Times New Roman"/>
      <w:b/>
      <w:bCs/>
      <w:sz w:val="28"/>
      <w:szCs w:val="28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984FB1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984FB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WKX3UHSAJ2R6-2-363080</_dlc_DocId>
    <_dlc_DocIdUrl xmlns="e60a29af-d413-48d4-bd90-fe9d2a897e4b">
      <Url>https://ovdmasv601/sites/DMS/_layouts/15/DocIdRedir.aspx?ID=WKX3UHSAJ2R6-2-363080</Url>
      <Description>WKX3UHSAJ2R6-2-363080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CB71A-9F05-4898-9AAC-6FFC33585F27}"/>
</file>

<file path=customXml/itemProps2.xml><?xml version="1.0" encoding="utf-8"?>
<ds:datastoreItem xmlns:ds="http://schemas.openxmlformats.org/officeDocument/2006/customXml" ds:itemID="{E6B6EA26-3475-411C-B150-7F463ECC59D3}"/>
</file>

<file path=customXml/itemProps3.xml><?xml version="1.0" encoding="utf-8"?>
<ds:datastoreItem xmlns:ds="http://schemas.openxmlformats.org/officeDocument/2006/customXml" ds:itemID="{EF974BF6-E757-4723-8732-A3D3AB4029F2}"/>
</file>

<file path=customXml/itemProps4.xml><?xml version="1.0" encoding="utf-8"?>
<ds:datastoreItem xmlns:ds="http://schemas.openxmlformats.org/officeDocument/2006/customXml" ds:itemID="{3A5E8516-2F67-4823-842F-931DB45537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 Studios, Ltd.</Company>
  <LinksUpToDate>false</LinksUpToDate>
  <CharactersWithSpaces>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koki</dc:creator>
  <cp:lastModifiedBy>Manyova Valeria</cp:lastModifiedBy>
  <cp:revision>2</cp:revision>
  <dcterms:created xsi:type="dcterms:W3CDTF">2013-11-18T11:51:00Z</dcterms:created>
  <dcterms:modified xsi:type="dcterms:W3CDTF">2013-11-18T11:51:00Z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6ab22797-acbe-4025-a0ee-433da4868ca1</vt:lpwstr>
  </property>
</Properties>
</file>