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D38" w:rsidRPr="00AB7800" w:rsidRDefault="00EC0D38" w:rsidP="00EC0D38">
      <w:pPr>
        <w:pStyle w:val="Nzov-M"/>
      </w:pPr>
      <w:r w:rsidRPr="00AB7800">
        <w:t>Predkladacia správa</w:t>
      </w:r>
    </w:p>
    <w:p w:rsidR="00EC0D38" w:rsidRPr="006B0755" w:rsidRDefault="00EC0D38" w:rsidP="00EC0D38">
      <w:pPr>
        <w:pStyle w:val="Nadpis4"/>
      </w:pPr>
    </w:p>
    <w:p w:rsidR="00EC0D38" w:rsidRPr="00DB62B6" w:rsidRDefault="00EC0D38" w:rsidP="00EC0D38">
      <w:pPr>
        <w:ind w:firstLine="708"/>
        <w:jc w:val="both"/>
      </w:pPr>
      <w:r w:rsidRPr="00431EBD">
        <w:t>Návrh na zrušenie úlohy č. 2 v mesiaci december z Plánu legislatívnych úloh vlády Slovenskej republiky na rok 2015 v znení bodu B.3 uznesenia vlády SR č. 9 z 13. januára 2016 a zrušenie úlohy B.8 uznesenia vlády SR č. 172 zo 16. apríla 2014</w:t>
      </w:r>
      <w:r>
        <w:rPr>
          <w:b/>
        </w:rPr>
        <w:t xml:space="preserve"> </w:t>
      </w:r>
      <w:r w:rsidRPr="00DB62B6">
        <w:t>predkladá na rokovanie Porady vedenia MH SR odbor výkonu obchodných opatrení</w:t>
      </w:r>
      <w:r>
        <w:rPr>
          <w:color w:val="FF0000"/>
        </w:rPr>
        <w:t xml:space="preserve"> </w:t>
      </w:r>
      <w:r w:rsidRPr="00AB6920">
        <w:t>ako iniciatívny</w:t>
      </w:r>
      <w:r>
        <w:rPr>
          <w:color w:val="FF0000"/>
        </w:rPr>
        <w:t xml:space="preserve"> </w:t>
      </w:r>
      <w:r w:rsidRPr="00DB62B6">
        <w:t>materiál.</w:t>
      </w:r>
    </w:p>
    <w:p w:rsidR="00EC0D38" w:rsidRPr="006B0755" w:rsidRDefault="00EC0D38" w:rsidP="00EC0D38">
      <w:pPr>
        <w:pStyle w:val="Normlnywebov"/>
        <w:spacing w:before="120" w:beforeAutospacing="0" w:after="0" w:afterAutospacing="0"/>
        <w:ind w:firstLine="720"/>
        <w:jc w:val="both"/>
        <w:rPr>
          <w:rFonts w:ascii="Times-Roman" w:hAnsi="Times-Roman" w:cs="Times-Roman"/>
        </w:rPr>
      </w:pPr>
      <w:r w:rsidRPr="00B2269C">
        <w:rPr>
          <w:rFonts w:ascii="Times-Roman" w:hAnsi="Times-Roman" w:cs="Times-Roman"/>
        </w:rPr>
        <w:t xml:space="preserve">Vláda Slovenskej republiky svojím uznesením č. 629 z 10. decembra 2014 schválila Plán legislatívnych úloh vlády Slovenskej republiky na rok 2015, v rámci ktorého vyplýva ministrovi hospodárstva SR úloha v mesiaci </w:t>
      </w:r>
      <w:r>
        <w:rPr>
          <w:rFonts w:ascii="Times-Roman" w:hAnsi="Times-Roman" w:cs="Times-Roman"/>
        </w:rPr>
        <w:t>dec</w:t>
      </w:r>
      <w:r w:rsidRPr="00B2269C">
        <w:rPr>
          <w:rFonts w:ascii="Times-Roman" w:hAnsi="Times-Roman" w:cs="Times-Roman"/>
        </w:rPr>
        <w:t xml:space="preserve">ember, predložiť na rokovanie vlády </w:t>
      </w:r>
      <w:r>
        <w:rPr>
          <w:rFonts w:ascii="Times-Roman" w:hAnsi="Times-Roman" w:cs="Times-Roman"/>
          <w:color w:val="FF0000"/>
        </w:rPr>
        <w:t xml:space="preserve"> </w:t>
      </w:r>
      <w:r w:rsidRPr="00D84C6E">
        <w:rPr>
          <w:rFonts w:ascii="Times-Roman" w:hAnsi="Times-Roman" w:cs="Times-Roman"/>
        </w:rPr>
        <w:t>Slovenskej republiky</w:t>
      </w:r>
      <w:r w:rsidRPr="00B2269C">
        <w:rPr>
          <w:rFonts w:ascii="Times-Roman" w:hAnsi="Times-Roman" w:cs="Times-Roman"/>
        </w:rPr>
        <w:t xml:space="preserve"> návrh </w:t>
      </w:r>
      <w:r w:rsidRPr="006B0755">
        <w:rPr>
          <w:rFonts w:ascii="Times-Roman" w:hAnsi="Times-Roman" w:cs="Times-Roman"/>
        </w:rPr>
        <w:t>zákona o</w:t>
      </w:r>
      <w:r>
        <w:rPr>
          <w:rFonts w:ascii="Times-Roman" w:hAnsi="Times-Roman" w:cs="Times-Roman"/>
        </w:rPr>
        <w:t> obchodovaní s výrobkami obranného priemyslu</w:t>
      </w:r>
      <w:r w:rsidRPr="00114B8A">
        <w:rPr>
          <w:rFonts w:ascii="Times-Roman" w:hAnsi="Times-Roman" w:cs="Times-Roman"/>
          <w:color w:val="000000"/>
        </w:rPr>
        <w:t>, ktorým sa mala riešiť aj úloha B.8</w:t>
      </w:r>
      <w:r>
        <w:rPr>
          <w:rFonts w:ascii="Times-Roman" w:hAnsi="Times-Roman" w:cs="Times-Roman"/>
          <w:color w:val="FF0000"/>
        </w:rPr>
        <w:t xml:space="preserve"> </w:t>
      </w:r>
      <w:r>
        <w:rPr>
          <w:rFonts w:ascii="Times-Roman" w:hAnsi="Times-Roman" w:cs="Times-Roman"/>
        </w:rPr>
        <w:t xml:space="preserve">vyplývajúca z uznesenia vlády SR č. 172 zo 16. apríla 2014. </w:t>
      </w:r>
    </w:p>
    <w:p w:rsidR="00EC0D38" w:rsidRDefault="00EC0D38" w:rsidP="00EC0D38">
      <w:pPr>
        <w:pStyle w:val="Normlnywebov"/>
        <w:spacing w:before="120"/>
        <w:ind w:firstLine="720"/>
        <w:jc w:val="both"/>
        <w:rPr>
          <w:rFonts w:ascii="Times-Roman" w:hAnsi="Times-Roman" w:cs="Times-Roman"/>
        </w:rPr>
      </w:pPr>
      <w:r w:rsidRPr="00B2269C">
        <w:rPr>
          <w:rFonts w:ascii="Times-Roman" w:hAnsi="Times-Roman" w:cs="Times-Roman"/>
        </w:rPr>
        <w:t>Cieľom nového zákona mal</w:t>
      </w:r>
      <w:r>
        <w:rPr>
          <w:rFonts w:ascii="Times-Roman" w:hAnsi="Times-Roman" w:cs="Times-Roman"/>
        </w:rPr>
        <w:t>a</w:t>
      </w:r>
      <w:r w:rsidRPr="00B2269C">
        <w:rPr>
          <w:rFonts w:ascii="Times-Roman" w:hAnsi="Times-Roman" w:cs="Times-Roman"/>
        </w:rPr>
        <w:t xml:space="preserve"> byť </w:t>
      </w:r>
      <w:r w:rsidRPr="002C6F3F">
        <w:rPr>
          <w:rFonts w:ascii="Times-Roman" w:hAnsi="Times-Roman" w:cs="Times-Roman"/>
        </w:rPr>
        <w:t>komplexn</w:t>
      </w:r>
      <w:r>
        <w:rPr>
          <w:rFonts w:ascii="Times-Roman" w:hAnsi="Times-Roman" w:cs="Times-Roman"/>
        </w:rPr>
        <w:t>á</w:t>
      </w:r>
      <w:r w:rsidRPr="002C6F3F">
        <w:rPr>
          <w:rFonts w:ascii="Times-Roman" w:hAnsi="Times-Roman" w:cs="Times-Roman"/>
        </w:rPr>
        <w:t xml:space="preserve"> </w:t>
      </w:r>
      <w:r>
        <w:rPr>
          <w:rFonts w:ascii="Times-Roman" w:hAnsi="Times-Roman" w:cs="Times-Roman"/>
        </w:rPr>
        <w:t>ú</w:t>
      </w:r>
      <w:r w:rsidRPr="002C6F3F">
        <w:rPr>
          <w:rFonts w:ascii="Times-Roman" w:hAnsi="Times-Roman" w:cs="Times-Roman"/>
        </w:rPr>
        <w:t>prav</w:t>
      </w:r>
      <w:r>
        <w:rPr>
          <w:rFonts w:ascii="Times-Roman" w:hAnsi="Times-Roman" w:cs="Times-Roman"/>
        </w:rPr>
        <w:t>a</w:t>
      </w:r>
      <w:r w:rsidRPr="002C6F3F">
        <w:rPr>
          <w:rFonts w:ascii="Times-Roman" w:hAnsi="Times-Roman" w:cs="Times-Roman"/>
        </w:rPr>
        <w:t xml:space="preserve"> postup</w:t>
      </w:r>
      <w:r>
        <w:rPr>
          <w:rFonts w:ascii="Times-Roman" w:hAnsi="Times-Roman" w:cs="Times-Roman"/>
        </w:rPr>
        <w:t xml:space="preserve">u </w:t>
      </w:r>
      <w:r w:rsidRPr="002C6F3F">
        <w:rPr>
          <w:rFonts w:ascii="Times-Roman" w:hAnsi="Times-Roman" w:cs="Times-Roman"/>
        </w:rPr>
        <w:t>pri udeľovaní povolení, licencií a certifikátov v rámci členských štátov Európskej únie, ako aj štátov mimo územia Európskej únie.</w:t>
      </w:r>
      <w:r>
        <w:rPr>
          <w:rFonts w:ascii="Times-Roman" w:hAnsi="Times-Roman" w:cs="Times-Roman"/>
        </w:rPr>
        <w:t xml:space="preserve"> </w:t>
      </w:r>
      <w:r w:rsidRPr="002C6F3F">
        <w:rPr>
          <w:rFonts w:ascii="Times-Roman" w:hAnsi="Times-Roman" w:cs="Times-Roman"/>
        </w:rPr>
        <w:t xml:space="preserve">Návrh zákona </w:t>
      </w:r>
      <w:r>
        <w:rPr>
          <w:rFonts w:ascii="Times-Roman" w:hAnsi="Times-Roman" w:cs="Times-Roman"/>
        </w:rPr>
        <w:t xml:space="preserve">mal </w:t>
      </w:r>
      <w:r w:rsidRPr="002C6F3F">
        <w:rPr>
          <w:rFonts w:ascii="Times-Roman" w:hAnsi="Times-Roman" w:cs="Times-Roman"/>
        </w:rPr>
        <w:t>uprav</w:t>
      </w:r>
      <w:r>
        <w:rPr>
          <w:rFonts w:ascii="Times-Roman" w:hAnsi="Times-Roman" w:cs="Times-Roman"/>
        </w:rPr>
        <w:t>ovať</w:t>
      </w:r>
      <w:r w:rsidRPr="002C6F3F">
        <w:rPr>
          <w:rFonts w:ascii="Times-Roman" w:hAnsi="Times-Roman" w:cs="Times-Roman"/>
        </w:rPr>
        <w:t xml:space="preserve"> podmienky obchodovania s výrobkami obranného priemyslu, </w:t>
      </w:r>
      <w:r>
        <w:rPr>
          <w:rFonts w:ascii="Times-Roman" w:hAnsi="Times-Roman" w:cs="Times-Roman"/>
        </w:rPr>
        <w:t xml:space="preserve">skrátiť lehotu na vydanie transferových licencií, </w:t>
      </w:r>
      <w:r w:rsidRPr="002C6F3F">
        <w:rPr>
          <w:rFonts w:ascii="Times-Roman" w:hAnsi="Times-Roman" w:cs="Times-Roman"/>
        </w:rPr>
        <w:t>vymedz</w:t>
      </w:r>
      <w:r>
        <w:rPr>
          <w:rFonts w:ascii="Times-Roman" w:hAnsi="Times-Roman" w:cs="Times-Roman"/>
        </w:rPr>
        <w:t>iť</w:t>
      </w:r>
      <w:r w:rsidRPr="002C6F3F">
        <w:rPr>
          <w:rFonts w:ascii="Times-Roman" w:hAnsi="Times-Roman" w:cs="Times-Roman"/>
        </w:rPr>
        <w:t xml:space="preserve"> okruh orgánov štátnej správy, ktoré sa vyjadrujú k žiadosti o vydanie povolenia na obchodovanie, k žiadosti o udelenie licencie, k</w:t>
      </w:r>
      <w:r>
        <w:rPr>
          <w:rFonts w:ascii="Times-Roman" w:hAnsi="Times-Roman" w:cs="Times-Roman"/>
        </w:rPr>
        <w:t> </w:t>
      </w:r>
      <w:r w:rsidRPr="002C6F3F">
        <w:rPr>
          <w:rFonts w:ascii="Times-Roman" w:hAnsi="Times-Roman" w:cs="Times-Roman"/>
        </w:rPr>
        <w:t>certifikátu</w:t>
      </w:r>
      <w:r>
        <w:rPr>
          <w:rFonts w:ascii="Times-Roman" w:hAnsi="Times-Roman" w:cs="Times-Roman"/>
        </w:rPr>
        <w:t xml:space="preserve"> a</w:t>
      </w:r>
      <w:r w:rsidRPr="002C6F3F">
        <w:rPr>
          <w:rFonts w:ascii="Times-Roman" w:hAnsi="Times-Roman" w:cs="Times-Roman"/>
        </w:rPr>
        <w:t xml:space="preserve"> presne špecifik</w:t>
      </w:r>
      <w:r>
        <w:rPr>
          <w:rFonts w:ascii="Times-Roman" w:hAnsi="Times-Roman" w:cs="Times-Roman"/>
        </w:rPr>
        <w:t>ovať,</w:t>
      </w:r>
      <w:r w:rsidRPr="002C6F3F">
        <w:rPr>
          <w:rFonts w:ascii="Times-Roman" w:hAnsi="Times-Roman" w:cs="Times-Roman"/>
        </w:rPr>
        <w:t xml:space="preserve"> v akej lehote budú poskytovať svoje vyjadrenie.</w:t>
      </w:r>
      <w:r>
        <w:rPr>
          <w:rFonts w:ascii="Times-Roman" w:hAnsi="Times-Roman" w:cs="Times-Roman"/>
        </w:rPr>
        <w:t xml:space="preserve"> Obsahom novej právnej úpravy mali byť</w:t>
      </w:r>
      <w:r w:rsidRPr="004725D8">
        <w:t xml:space="preserve"> aj ustanovenia upravujúce výkon kontroly dodržiavania zákona</w:t>
      </w:r>
      <w:r>
        <w:t xml:space="preserve"> a </w:t>
      </w:r>
      <w:r w:rsidRPr="004725D8">
        <w:t>vymedzenie správnych deliktov a priestupkov za porušenia jednotlivých ustanovení zákona, odstupňované podľa závažnosti porušenia.</w:t>
      </w:r>
    </w:p>
    <w:p w:rsidR="00EC0D38" w:rsidRPr="009B092C" w:rsidRDefault="00EC0D38" w:rsidP="00EC0D38">
      <w:pPr>
        <w:pStyle w:val="Normlnywebov"/>
        <w:spacing w:before="120"/>
        <w:ind w:firstLine="720"/>
        <w:jc w:val="both"/>
        <w:rPr>
          <w:rFonts w:ascii="Times-Roman" w:hAnsi="Times-Roman" w:cs="Times-Roman"/>
        </w:rPr>
      </w:pPr>
      <w:r w:rsidRPr="009B092C">
        <w:rPr>
          <w:rFonts w:ascii="Times-Roman" w:hAnsi="Times-Roman" w:cs="Times-Roman"/>
        </w:rPr>
        <w:t xml:space="preserve">MH SR pripravilo návrh zákona v zmysle stanovenej úlohy, ale vzhľadom na potrebu prednostného zapracovania úprav colných režimov vyplývajúcich z nového Colného kódexu EÚ </w:t>
      </w:r>
      <w:r w:rsidR="004E4547" w:rsidRPr="000C3F2D">
        <w:t>(so začiatkom účinnosti 1. mája 2016, vrátane delegovaných a vykonávacích predpisov</w:t>
      </w:r>
      <w:r w:rsidR="004E4547">
        <w:t xml:space="preserve">, ktorými sú </w:t>
      </w:r>
      <w:r w:rsidR="004E4547" w:rsidRPr="000C3F2D">
        <w:t>nariadenie č. 2015/2</w:t>
      </w:r>
      <w:r w:rsidR="004E4547">
        <w:t>446 a nariadenie č. 20015/2447)</w:t>
      </w:r>
      <w:r w:rsidR="004E4547">
        <w:t xml:space="preserve">, ktorého </w:t>
      </w:r>
      <w:r w:rsidRPr="009B092C">
        <w:rPr>
          <w:rFonts w:ascii="Times-Roman" w:hAnsi="Times-Roman" w:cs="Times-Roman"/>
        </w:rPr>
        <w:t xml:space="preserve">obsahom </w:t>
      </w:r>
      <w:r w:rsidR="004E4547">
        <w:rPr>
          <w:rFonts w:ascii="Times-Roman" w:hAnsi="Times-Roman" w:cs="Times-Roman"/>
        </w:rPr>
        <w:t>s</w:t>
      </w:r>
      <w:r w:rsidRPr="009B092C">
        <w:rPr>
          <w:rFonts w:ascii="Times-Roman" w:hAnsi="Times-Roman" w:cs="Times-Roman"/>
        </w:rPr>
        <w:t>ú zmeny podstatného charakteru, ako aj Komisiou EÚ avizovaných zmien</w:t>
      </w:r>
      <w:r w:rsidRPr="002C6F3F">
        <w:rPr>
          <w:rFonts w:ascii="Times-Roman" w:hAnsi="Times-Roman" w:cs="Times-Roman"/>
        </w:rPr>
        <w:t xml:space="preserve"> Smernice EP a Rady č. 2009/43/ES o zjednodušení podmienok pre transfery výrobkov obranného priemyslu v rámci Spoločenstva (</w:t>
      </w:r>
      <w:r>
        <w:rPr>
          <w:rFonts w:ascii="Times-Roman" w:hAnsi="Times-Roman" w:cs="Times-Roman"/>
        </w:rPr>
        <w:t xml:space="preserve">s dôrazom na novú právnu úpravu </w:t>
      </w:r>
      <w:r w:rsidRPr="002C6F3F">
        <w:rPr>
          <w:rFonts w:ascii="Times-Roman" w:hAnsi="Times-Roman" w:cs="Times-Roman"/>
        </w:rPr>
        <w:t>reexportu, ktorý doposiaľ ne</w:t>
      </w:r>
      <w:r>
        <w:rPr>
          <w:rFonts w:ascii="Times-Roman" w:hAnsi="Times-Roman" w:cs="Times-Roman"/>
        </w:rPr>
        <w:t>bol</w:t>
      </w:r>
      <w:r w:rsidRPr="002C6F3F">
        <w:rPr>
          <w:rFonts w:ascii="Times-Roman" w:hAnsi="Times-Roman" w:cs="Times-Roman"/>
        </w:rPr>
        <w:t xml:space="preserve"> </w:t>
      </w:r>
      <w:r>
        <w:rPr>
          <w:rFonts w:ascii="Times-Roman" w:hAnsi="Times-Roman" w:cs="Times-Roman"/>
        </w:rPr>
        <w:t xml:space="preserve">predmetom právnej úpravy </w:t>
      </w:r>
      <w:r w:rsidRPr="002C6F3F">
        <w:rPr>
          <w:rFonts w:ascii="Times-Roman" w:hAnsi="Times-Roman" w:cs="Times-Roman"/>
        </w:rPr>
        <w:t>Smernic</w:t>
      </w:r>
      <w:r>
        <w:rPr>
          <w:rFonts w:ascii="Times-Roman" w:hAnsi="Times-Roman" w:cs="Times-Roman"/>
        </w:rPr>
        <w:t xml:space="preserve">e </w:t>
      </w:r>
      <w:r w:rsidRPr="002C6F3F">
        <w:rPr>
          <w:rFonts w:ascii="Times-Roman" w:hAnsi="Times-Roman" w:cs="Times-Roman"/>
        </w:rPr>
        <w:t>a harmonizáci</w:t>
      </w:r>
      <w:r>
        <w:rPr>
          <w:rFonts w:ascii="Times-Roman" w:hAnsi="Times-Roman" w:cs="Times-Roman"/>
        </w:rPr>
        <w:t>u</w:t>
      </w:r>
      <w:r w:rsidRPr="002C6F3F">
        <w:rPr>
          <w:rFonts w:ascii="Times-Roman" w:hAnsi="Times-Roman" w:cs="Times-Roman"/>
        </w:rPr>
        <w:t xml:space="preserve"> podmienok používania tzv. všeobecných transferových licencií v rámci </w:t>
      </w:r>
      <w:r>
        <w:rPr>
          <w:rFonts w:ascii="Times-Roman" w:hAnsi="Times-Roman" w:cs="Times-Roman"/>
        </w:rPr>
        <w:t>členských štátov EÚ</w:t>
      </w:r>
      <w:r w:rsidRPr="002C6F3F">
        <w:rPr>
          <w:rFonts w:ascii="Times-Roman" w:hAnsi="Times-Roman" w:cs="Times-Roman"/>
        </w:rPr>
        <w:t>)</w:t>
      </w:r>
      <w:r>
        <w:rPr>
          <w:rFonts w:ascii="Times-Roman" w:hAnsi="Times-Roman" w:cs="Times-Roman"/>
        </w:rPr>
        <w:t xml:space="preserve"> </w:t>
      </w:r>
      <w:r w:rsidRPr="002C6F3F">
        <w:rPr>
          <w:rFonts w:ascii="Times-Roman" w:hAnsi="Times-Roman" w:cs="Times-Roman"/>
        </w:rPr>
        <w:t xml:space="preserve">do </w:t>
      </w:r>
      <w:r w:rsidRPr="009B092C">
        <w:rPr>
          <w:rFonts w:ascii="Times-Roman" w:hAnsi="Times-Roman" w:cs="Times-Roman"/>
        </w:rPr>
        <w:t>pripravovaného návrhu zákona, MH SR navrhuje úlohu č. 2 v mesiaci december z Plánu legislatívnych úloh vlády SR na rok 2015 zrušiť. Návrh novej právnej úpravy bude následne predložený na rokovanie vlády SR ako iniciatívny materiál.</w:t>
      </w:r>
    </w:p>
    <w:p w:rsidR="00EC0D38" w:rsidRPr="009B092C" w:rsidRDefault="00EC0D38" w:rsidP="00EC0D38">
      <w:pPr>
        <w:pStyle w:val="Normlnywebov"/>
        <w:spacing w:before="120" w:beforeAutospacing="0" w:after="0" w:afterAutospacing="0"/>
        <w:ind w:firstLine="720"/>
        <w:jc w:val="both"/>
        <w:rPr>
          <w:rFonts w:ascii="Times-Roman" w:hAnsi="Times-Roman" w:cs="Times-Roman"/>
        </w:rPr>
      </w:pPr>
      <w:r w:rsidRPr="009B092C">
        <w:rPr>
          <w:rFonts w:ascii="Times-Roman" w:hAnsi="Times-Roman" w:cs="Times-Roman"/>
        </w:rPr>
        <w:t>Materiál nemá vplyv na rozpočet verejnej správy, na podnikateľské prostredie, nemá sociálne vplyvy, vplyvy na životné prostredie ani na informatizáciu spoločnosti.</w:t>
      </w:r>
    </w:p>
    <w:p w:rsidR="00EC0D38" w:rsidRDefault="00EC0D38" w:rsidP="00EC0D38">
      <w:pPr>
        <w:pStyle w:val="Normlnywebov"/>
        <w:spacing w:before="120" w:beforeAutospacing="0" w:after="0" w:afterAutospacing="0"/>
        <w:ind w:firstLine="709"/>
        <w:jc w:val="both"/>
      </w:pPr>
      <w:r>
        <w:t xml:space="preserve">Materiál nebude predmetom </w:t>
      </w:r>
      <w:proofErr w:type="spellStart"/>
      <w:r>
        <w:t>vnútrokomunitárneho</w:t>
      </w:r>
      <w:proofErr w:type="spellEnd"/>
      <w:r>
        <w:t xml:space="preserve"> pripomienkového konania.</w:t>
      </w:r>
    </w:p>
    <w:p w:rsidR="00EE0A5E" w:rsidRDefault="00EE0A5E"/>
    <w:p w:rsidR="004E4547" w:rsidRDefault="004E4547">
      <w:bookmarkStart w:id="0" w:name="_GoBack"/>
      <w:bookmarkEnd w:id="0"/>
    </w:p>
    <w:sectPr w:rsidR="004E4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351"/>
        </w:tabs>
        <w:ind w:left="135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38"/>
    <w:rsid w:val="004E4547"/>
    <w:rsid w:val="00EC0D38"/>
    <w:rsid w:val="00EE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C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EC0D38"/>
    <w:pPr>
      <w:keepNext/>
      <w:numPr>
        <w:numId w:val="1"/>
      </w:numPr>
      <w:jc w:val="center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EC0D3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EC0D3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qFormat/>
    <w:rsid w:val="00EC0D3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EC0D38"/>
    <w:pPr>
      <w:keepNext/>
      <w:numPr>
        <w:ilvl w:val="4"/>
        <w:numId w:val="1"/>
      </w:numPr>
      <w:outlineLvl w:val="4"/>
    </w:pPr>
    <w:rPr>
      <w:b/>
      <w:bCs/>
    </w:rPr>
  </w:style>
  <w:style w:type="paragraph" w:styleId="Nadpis6">
    <w:name w:val="heading 6"/>
    <w:basedOn w:val="Normlny"/>
    <w:next w:val="Normlny"/>
    <w:link w:val="Nadpis6Char"/>
    <w:qFormat/>
    <w:rsid w:val="00EC0D38"/>
    <w:pPr>
      <w:keepNext/>
      <w:numPr>
        <w:ilvl w:val="5"/>
        <w:numId w:val="1"/>
      </w:numPr>
      <w:jc w:val="both"/>
      <w:outlineLvl w:val="5"/>
    </w:pPr>
    <w:rPr>
      <w:b/>
      <w:bCs/>
      <w:u w:val="single"/>
    </w:rPr>
  </w:style>
  <w:style w:type="paragraph" w:styleId="Nadpis7">
    <w:name w:val="heading 7"/>
    <w:basedOn w:val="Normlny"/>
    <w:next w:val="Normlny"/>
    <w:link w:val="Nadpis7Char"/>
    <w:qFormat/>
    <w:rsid w:val="00EC0D38"/>
    <w:pPr>
      <w:keepNext/>
      <w:numPr>
        <w:ilvl w:val="6"/>
        <w:numId w:val="1"/>
      </w:numPr>
      <w:jc w:val="both"/>
      <w:outlineLvl w:val="6"/>
    </w:pPr>
    <w:rPr>
      <w:b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EC0D38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EC0D38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rsid w:val="00EC0D38"/>
    <w:rPr>
      <w:rFonts w:ascii="Arial" w:eastAsia="Times New Roman" w:hAnsi="Arial" w:cs="Arial"/>
      <w:b/>
      <w:bCs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rsid w:val="00EC0D38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rsid w:val="00EC0D38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EC0D38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7Char">
    <w:name w:val="Nadpis 7 Char"/>
    <w:basedOn w:val="Predvolenpsmoodseku"/>
    <w:link w:val="Nadpis7"/>
    <w:rsid w:val="00EC0D38"/>
    <w:rPr>
      <w:rFonts w:ascii="Times New Roman" w:eastAsia="Times New Roman" w:hAnsi="Times New Roman" w:cs="Times New Roman"/>
      <w:b/>
      <w:sz w:val="24"/>
      <w:szCs w:val="26"/>
      <w:lang w:eastAsia="sk-SK"/>
    </w:rPr>
  </w:style>
  <w:style w:type="paragraph" w:styleId="Normlnywebov">
    <w:name w:val="Normal (Web)"/>
    <w:basedOn w:val="Normlny"/>
    <w:uiPriority w:val="99"/>
    <w:unhideWhenUsed/>
    <w:rsid w:val="00EC0D38"/>
    <w:pPr>
      <w:spacing w:before="100" w:beforeAutospacing="1" w:after="100" w:afterAutospacing="1"/>
    </w:pPr>
  </w:style>
  <w:style w:type="paragraph" w:customStyle="1" w:styleId="Nzov-M">
    <w:name w:val="Názov-M"/>
    <w:basedOn w:val="Normlny"/>
    <w:next w:val="Normlny"/>
    <w:qFormat/>
    <w:rsid w:val="00EC0D38"/>
    <w:pPr>
      <w:jc w:val="center"/>
    </w:pPr>
    <w:rPr>
      <w:b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0D3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0D38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C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EC0D38"/>
    <w:pPr>
      <w:keepNext/>
      <w:numPr>
        <w:numId w:val="1"/>
      </w:numPr>
      <w:jc w:val="center"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aliases w:val="Úloha"/>
    <w:basedOn w:val="Normlny"/>
    <w:next w:val="Normlny"/>
    <w:link w:val="Nadpis2Char"/>
    <w:qFormat/>
    <w:rsid w:val="00EC0D3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EC0D38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qFormat/>
    <w:rsid w:val="00EC0D3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EC0D38"/>
    <w:pPr>
      <w:keepNext/>
      <w:numPr>
        <w:ilvl w:val="4"/>
        <w:numId w:val="1"/>
      </w:numPr>
      <w:outlineLvl w:val="4"/>
    </w:pPr>
    <w:rPr>
      <w:b/>
      <w:bCs/>
    </w:rPr>
  </w:style>
  <w:style w:type="paragraph" w:styleId="Nadpis6">
    <w:name w:val="heading 6"/>
    <w:basedOn w:val="Normlny"/>
    <w:next w:val="Normlny"/>
    <w:link w:val="Nadpis6Char"/>
    <w:qFormat/>
    <w:rsid w:val="00EC0D38"/>
    <w:pPr>
      <w:keepNext/>
      <w:numPr>
        <w:ilvl w:val="5"/>
        <w:numId w:val="1"/>
      </w:numPr>
      <w:jc w:val="both"/>
      <w:outlineLvl w:val="5"/>
    </w:pPr>
    <w:rPr>
      <w:b/>
      <w:bCs/>
      <w:u w:val="single"/>
    </w:rPr>
  </w:style>
  <w:style w:type="paragraph" w:styleId="Nadpis7">
    <w:name w:val="heading 7"/>
    <w:basedOn w:val="Normlny"/>
    <w:next w:val="Normlny"/>
    <w:link w:val="Nadpis7Char"/>
    <w:qFormat/>
    <w:rsid w:val="00EC0D38"/>
    <w:pPr>
      <w:keepNext/>
      <w:numPr>
        <w:ilvl w:val="6"/>
        <w:numId w:val="1"/>
      </w:numPr>
      <w:jc w:val="both"/>
      <w:outlineLvl w:val="6"/>
    </w:pPr>
    <w:rPr>
      <w:b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EC0D38"/>
    <w:rPr>
      <w:rFonts w:ascii="Times New Roman" w:eastAsia="Arial Unicode MS" w:hAnsi="Times New Roman" w:cs="Times New Roman"/>
      <w:b/>
      <w:sz w:val="28"/>
      <w:szCs w:val="20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EC0D38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basedOn w:val="Predvolenpsmoodseku"/>
    <w:link w:val="Nadpis3"/>
    <w:rsid w:val="00EC0D38"/>
    <w:rPr>
      <w:rFonts w:ascii="Arial" w:eastAsia="Times New Roman" w:hAnsi="Arial" w:cs="Arial"/>
      <w:b/>
      <w:bCs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rsid w:val="00EC0D38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rsid w:val="00EC0D38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6Char">
    <w:name w:val="Nadpis 6 Char"/>
    <w:basedOn w:val="Predvolenpsmoodseku"/>
    <w:link w:val="Nadpis6"/>
    <w:rsid w:val="00EC0D38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7Char">
    <w:name w:val="Nadpis 7 Char"/>
    <w:basedOn w:val="Predvolenpsmoodseku"/>
    <w:link w:val="Nadpis7"/>
    <w:rsid w:val="00EC0D38"/>
    <w:rPr>
      <w:rFonts w:ascii="Times New Roman" w:eastAsia="Times New Roman" w:hAnsi="Times New Roman" w:cs="Times New Roman"/>
      <w:b/>
      <w:sz w:val="24"/>
      <w:szCs w:val="26"/>
      <w:lang w:eastAsia="sk-SK"/>
    </w:rPr>
  </w:style>
  <w:style w:type="paragraph" w:styleId="Normlnywebov">
    <w:name w:val="Normal (Web)"/>
    <w:basedOn w:val="Normlny"/>
    <w:uiPriority w:val="99"/>
    <w:unhideWhenUsed/>
    <w:rsid w:val="00EC0D38"/>
    <w:pPr>
      <w:spacing w:before="100" w:beforeAutospacing="1" w:after="100" w:afterAutospacing="1"/>
    </w:pPr>
  </w:style>
  <w:style w:type="paragraph" w:customStyle="1" w:styleId="Nzov-M">
    <w:name w:val="Názov-M"/>
    <w:basedOn w:val="Normlny"/>
    <w:next w:val="Normlny"/>
    <w:qFormat/>
    <w:rsid w:val="00EC0D38"/>
    <w:pPr>
      <w:jc w:val="center"/>
    </w:pPr>
    <w:rPr>
      <w:b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C0D3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C0D38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WKX3UHSAJ2R6-2-437128</_dlc_DocId>
    <_dlc_DocIdUrl xmlns="e60a29af-d413-48d4-bd90-fe9d2a897e4b">
      <Url>https://ovdmasv601/sites/DMS/_layouts/15/DocIdRedir.aspx?ID=WKX3UHSAJ2R6-2-437128</Url>
      <Description>WKX3UHSAJ2R6-2-437128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FDCE62-05E2-4430-AA41-DDCCD13F5AB3}"/>
</file>

<file path=customXml/itemProps2.xml><?xml version="1.0" encoding="utf-8"?>
<ds:datastoreItem xmlns:ds="http://schemas.openxmlformats.org/officeDocument/2006/customXml" ds:itemID="{6688271A-6BBA-484C-B358-53DD12AB0DF7}"/>
</file>

<file path=customXml/itemProps3.xml><?xml version="1.0" encoding="utf-8"?>
<ds:datastoreItem xmlns:ds="http://schemas.openxmlformats.org/officeDocument/2006/customXml" ds:itemID="{2DB0BF8C-B454-4B71-B7EC-DA4EC5E5697A}"/>
</file>

<file path=customXml/itemProps4.xml><?xml version="1.0" encoding="utf-8"?>
<ds:datastoreItem xmlns:ds="http://schemas.openxmlformats.org/officeDocument/2006/customXml" ds:itemID="{A9E4964D-3725-49D4-9215-0585D2C93A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Hajdu Ladislav</dc:creator>
  <cp:lastModifiedBy>Hajdu Ladislav</cp:lastModifiedBy>
  <cp:revision>2</cp:revision>
  <cp:lastPrinted>2016-03-01T11:36:00Z</cp:lastPrinted>
  <dcterms:created xsi:type="dcterms:W3CDTF">2016-03-01T11:04:00Z</dcterms:created>
  <dcterms:modified xsi:type="dcterms:W3CDTF">2016-03-01T11:36:00Z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f064df5e-3ded-442e-ab4f-fe2c2cfe40ee</vt:lpwstr>
  </property>
</Properties>
</file>