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A78" w:rsidRDefault="00D75A78" w:rsidP="00D75A78">
      <w:pPr>
        <w:pStyle w:val="Zkladntext2"/>
        <w:jc w:val="both"/>
        <w:rPr>
          <w:b/>
          <w:bCs/>
          <w:caps/>
        </w:rPr>
      </w:pPr>
      <w:r>
        <w:rPr>
          <w:b/>
          <w:bCs/>
          <w:caps/>
        </w:rPr>
        <w:t xml:space="preserve">Správa štátnych hmotných rezerv </w:t>
      </w:r>
    </w:p>
    <w:p w:rsidR="00D75A78" w:rsidRDefault="00D75A78" w:rsidP="00D75A78">
      <w:pPr>
        <w:pStyle w:val="Zkladntext2"/>
        <w:jc w:val="both"/>
        <w:rPr>
          <w:b/>
          <w:bCs/>
        </w:rPr>
      </w:pPr>
      <w:r>
        <w:rPr>
          <w:b/>
          <w:bCs/>
        </w:rPr>
        <w:t xml:space="preserve">SLOVENSKEJ REPUBLIKY   </w:t>
      </w:r>
    </w:p>
    <w:p w:rsidR="00D75A78" w:rsidRDefault="00D75A78" w:rsidP="00D75A78">
      <w:pPr>
        <w:pStyle w:val="Zkladntext2"/>
        <w:jc w:val="both"/>
      </w:pPr>
    </w:p>
    <w:p w:rsidR="00D75A78" w:rsidRDefault="00D75A78" w:rsidP="00D75A78">
      <w:pPr>
        <w:adjustRightInd w:val="0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</w:rPr>
        <w:t xml:space="preserve">Číslo: </w:t>
      </w:r>
      <w:r>
        <w:rPr>
          <w:rFonts w:ascii="Times New Roman" w:hAnsi="Times New Roman" w:cs="Times New Roman"/>
          <w:color w:val="000000"/>
          <w:sz w:val="24"/>
          <w:szCs w:val="24"/>
          <w:lang w:eastAsia="sk-SK"/>
        </w:rPr>
        <w:t>2014/02003-1 PRED</w:t>
      </w:r>
    </w:p>
    <w:p w:rsidR="00D75A78" w:rsidRDefault="00D75A78" w:rsidP="00D75A78">
      <w:pPr>
        <w:pStyle w:val="Zkladntext2"/>
        <w:ind w:left="60"/>
        <w:jc w:val="both"/>
      </w:pPr>
    </w:p>
    <w:p w:rsidR="00D75A78" w:rsidRDefault="00D75A78" w:rsidP="00D75A78">
      <w:pPr>
        <w:pStyle w:val="Zkladntext2"/>
        <w:jc w:val="both"/>
      </w:pPr>
      <w:r>
        <w:t xml:space="preserve">Materiál na rokovanie </w:t>
      </w:r>
    </w:p>
    <w:p w:rsidR="00D75A78" w:rsidRDefault="00D75A78" w:rsidP="00D75A78">
      <w:pPr>
        <w:pStyle w:val="Zkladntext2"/>
        <w:jc w:val="both"/>
      </w:pPr>
      <w:r>
        <w:t>vlády SR</w:t>
      </w:r>
    </w:p>
    <w:p w:rsidR="00D75A78" w:rsidRDefault="00D75A78" w:rsidP="00D75A78">
      <w:pPr>
        <w:pStyle w:val="Zkladntext2"/>
        <w:ind w:left="60"/>
        <w:jc w:val="both"/>
      </w:pPr>
    </w:p>
    <w:p w:rsidR="00D75A78" w:rsidRDefault="00D75A78" w:rsidP="00D75A78">
      <w:pPr>
        <w:pStyle w:val="Zkladntext2"/>
        <w:ind w:left="60"/>
        <w:jc w:val="both"/>
      </w:pPr>
    </w:p>
    <w:p w:rsidR="00D75A78" w:rsidRDefault="00D75A78" w:rsidP="00D75A78">
      <w:pPr>
        <w:pStyle w:val="Zkladntext2"/>
        <w:ind w:left="60"/>
        <w:jc w:val="both"/>
      </w:pPr>
    </w:p>
    <w:p w:rsidR="00D75A78" w:rsidRDefault="00D75A78" w:rsidP="00D75A78">
      <w:pPr>
        <w:pStyle w:val="Zkladntext2"/>
        <w:ind w:left="60"/>
        <w:rPr>
          <w:b/>
          <w:bCs/>
        </w:rPr>
      </w:pPr>
    </w:p>
    <w:p w:rsidR="00D75A78" w:rsidRDefault="00D75A78" w:rsidP="00D75A78">
      <w:pPr>
        <w:pStyle w:val="Zkladntext2"/>
        <w:ind w:left="60"/>
        <w:rPr>
          <w:b/>
          <w:bCs/>
        </w:rPr>
      </w:pPr>
    </w:p>
    <w:p w:rsidR="00D75A78" w:rsidRDefault="00D75A78" w:rsidP="00D75A78">
      <w:pPr>
        <w:pStyle w:val="Zkladntext2"/>
        <w:ind w:left="60"/>
        <w:rPr>
          <w:b/>
          <w:bCs/>
        </w:rPr>
      </w:pPr>
    </w:p>
    <w:p w:rsidR="00D75A78" w:rsidRDefault="00D75A78" w:rsidP="00D75A78">
      <w:pPr>
        <w:pStyle w:val="Zkladntext2"/>
        <w:pBdr>
          <w:bottom w:val="single" w:sz="12" w:space="1" w:color="auto"/>
        </w:pBdr>
        <w:ind w:left="60"/>
        <w:rPr>
          <w:b/>
          <w:bCs/>
        </w:rPr>
      </w:pPr>
      <w:r>
        <w:rPr>
          <w:b/>
          <w:bCs/>
        </w:rPr>
        <w:t>k Príprave návrhu na reštrukturalizáciu správy núdzových zásob ropy a ropných výrobkov</w:t>
      </w:r>
    </w:p>
    <w:p w:rsidR="00D75A78" w:rsidRDefault="00D75A78" w:rsidP="00D75A78">
      <w:pPr>
        <w:pStyle w:val="Zkladntext2"/>
        <w:pBdr>
          <w:bottom w:val="single" w:sz="12" w:space="1" w:color="auto"/>
        </w:pBdr>
        <w:ind w:left="60"/>
        <w:rPr>
          <w:b/>
          <w:bCs/>
        </w:rPr>
      </w:pPr>
    </w:p>
    <w:p w:rsidR="00D75A78" w:rsidRDefault="00D75A78" w:rsidP="00D75A78">
      <w:pPr>
        <w:pStyle w:val="Zkladntext2"/>
        <w:ind w:left="60"/>
        <w:jc w:val="both"/>
      </w:pPr>
    </w:p>
    <w:p w:rsidR="00D75A78" w:rsidRDefault="00D75A78" w:rsidP="00D75A78">
      <w:pPr>
        <w:pStyle w:val="Zkladntext2"/>
        <w:ind w:left="60"/>
        <w:jc w:val="both"/>
      </w:pPr>
    </w:p>
    <w:p w:rsidR="00D75A78" w:rsidRDefault="00D75A78" w:rsidP="00D75A78">
      <w:pPr>
        <w:pStyle w:val="Zkladntext2"/>
        <w:ind w:left="60"/>
        <w:jc w:val="both"/>
      </w:pPr>
    </w:p>
    <w:p w:rsidR="00D75A78" w:rsidRDefault="00D75A78" w:rsidP="00D75A78">
      <w:pPr>
        <w:pStyle w:val="Zkladntext2"/>
        <w:ind w:left="60"/>
        <w:jc w:val="both"/>
      </w:pPr>
    </w:p>
    <w:p w:rsidR="00D75A78" w:rsidRDefault="00D75A78" w:rsidP="00D75A78">
      <w:pPr>
        <w:pStyle w:val="Zkladntext2"/>
        <w:ind w:left="60"/>
        <w:jc w:val="both"/>
        <w:rPr>
          <w:u w:val="single"/>
        </w:rPr>
      </w:pPr>
      <w:r>
        <w:rPr>
          <w:u w:val="single"/>
        </w:rPr>
        <w:t>Podnet: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>Obsah materiálu:</w:t>
      </w:r>
    </w:p>
    <w:p w:rsidR="00D75A78" w:rsidRDefault="00D75A78" w:rsidP="00D75A78">
      <w:pPr>
        <w:pStyle w:val="Zkladntext2"/>
        <w:ind w:left="60"/>
        <w:jc w:val="both"/>
      </w:pPr>
    </w:p>
    <w:p w:rsidR="00D75A78" w:rsidRDefault="00D75A78" w:rsidP="00D75A78">
      <w:pPr>
        <w:pStyle w:val="Zkladntext2"/>
        <w:ind w:left="60"/>
        <w:jc w:val="both"/>
      </w:pPr>
      <w:r>
        <w:t>Iniciatívny materiál</w:t>
      </w:r>
      <w:r>
        <w:tab/>
      </w:r>
      <w:r>
        <w:tab/>
      </w:r>
      <w:r>
        <w:tab/>
      </w:r>
      <w:r>
        <w:tab/>
      </w:r>
      <w:r>
        <w:tab/>
      </w:r>
      <w:r>
        <w:tab/>
        <w:t>1. Návrh uznesenia</w:t>
      </w:r>
    </w:p>
    <w:p w:rsidR="00D75A78" w:rsidRDefault="00D75A78" w:rsidP="00D75A78">
      <w:pPr>
        <w:pStyle w:val="Zkladntext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2. Predkladacia správa</w:t>
      </w:r>
    </w:p>
    <w:p w:rsidR="00D75A78" w:rsidRDefault="00D75A78" w:rsidP="00D75A78">
      <w:pPr>
        <w:pStyle w:val="Zkladntext2"/>
        <w:ind w:left="5664" w:firstLine="6"/>
        <w:jc w:val="both"/>
      </w:pPr>
      <w:r>
        <w:t xml:space="preserve">3. Vlastný materiál </w:t>
      </w:r>
    </w:p>
    <w:p w:rsidR="00D75A78" w:rsidRDefault="00D75A78" w:rsidP="00D75A78">
      <w:pPr>
        <w:pStyle w:val="Zkladntext2"/>
        <w:ind w:left="2832" w:hanging="2832"/>
        <w:jc w:val="both"/>
      </w:pPr>
      <w:r>
        <w:tab/>
      </w:r>
      <w:r>
        <w:tab/>
      </w:r>
      <w:r>
        <w:tab/>
      </w:r>
      <w:r>
        <w:tab/>
      </w:r>
      <w:r>
        <w:tab/>
        <w:t>4. Návrh komuniké</w:t>
      </w:r>
    </w:p>
    <w:p w:rsidR="00D75A78" w:rsidRDefault="00D75A78" w:rsidP="00D75A78">
      <w:pPr>
        <w:pStyle w:val="Zkladntext2"/>
        <w:ind w:left="2832" w:hanging="2832"/>
        <w:jc w:val="both"/>
      </w:pPr>
      <w:r>
        <w:tab/>
      </w:r>
      <w:r>
        <w:tab/>
      </w:r>
      <w:r>
        <w:tab/>
      </w:r>
      <w:r>
        <w:tab/>
      </w:r>
      <w:r>
        <w:tab/>
        <w:t>5. Doložka vplyvov</w:t>
      </w:r>
    </w:p>
    <w:p w:rsidR="00D75A78" w:rsidRDefault="00D75A78" w:rsidP="00D75A78">
      <w:pPr>
        <w:pStyle w:val="Zkladntext2"/>
        <w:ind w:left="6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6. Vyhodnotenie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pripomienkového konania</w:t>
      </w:r>
    </w:p>
    <w:p w:rsidR="00D75A78" w:rsidRDefault="00D75A78" w:rsidP="00D75A78">
      <w:pPr>
        <w:pStyle w:val="Zkladntext2"/>
        <w:ind w:left="60"/>
        <w:jc w:val="both"/>
      </w:pPr>
    </w:p>
    <w:p w:rsidR="00D75A78" w:rsidRDefault="00D75A78" w:rsidP="00D75A78">
      <w:pPr>
        <w:pStyle w:val="Zkladntext2"/>
        <w:ind w:left="60"/>
        <w:jc w:val="both"/>
        <w:rPr>
          <w:b/>
          <w:bCs/>
          <w:u w:val="single"/>
        </w:rPr>
      </w:pPr>
    </w:p>
    <w:p w:rsidR="00D75A78" w:rsidRDefault="00D75A78" w:rsidP="00D75A78">
      <w:pPr>
        <w:pStyle w:val="Zkladntext2"/>
        <w:ind w:left="60"/>
        <w:jc w:val="both"/>
        <w:rPr>
          <w:b/>
          <w:bCs/>
          <w:u w:val="single"/>
        </w:rPr>
      </w:pPr>
    </w:p>
    <w:p w:rsidR="00D75A78" w:rsidRDefault="00D75A78" w:rsidP="00D75A78">
      <w:pPr>
        <w:pStyle w:val="Zkladntext2"/>
        <w:ind w:left="60"/>
        <w:jc w:val="both"/>
        <w:rPr>
          <w:b/>
          <w:bCs/>
          <w:u w:val="single"/>
        </w:rPr>
      </w:pPr>
    </w:p>
    <w:p w:rsidR="00D75A78" w:rsidRDefault="00D75A78" w:rsidP="00D75A78">
      <w:pPr>
        <w:pStyle w:val="Zkladntext2"/>
        <w:ind w:left="60"/>
        <w:jc w:val="both"/>
        <w:rPr>
          <w:b/>
          <w:bCs/>
          <w:u w:val="single"/>
        </w:rPr>
      </w:pPr>
    </w:p>
    <w:p w:rsidR="00D75A78" w:rsidRDefault="00D75A78" w:rsidP="00D75A78">
      <w:pPr>
        <w:pStyle w:val="Zkladntext2"/>
        <w:ind w:left="60"/>
        <w:jc w:val="both"/>
        <w:rPr>
          <w:b/>
          <w:bCs/>
          <w:u w:val="single"/>
        </w:rPr>
      </w:pPr>
    </w:p>
    <w:p w:rsidR="00D75A78" w:rsidRDefault="00D75A78" w:rsidP="00D75A78">
      <w:pPr>
        <w:pStyle w:val="Zkladntext2"/>
        <w:ind w:left="60"/>
        <w:jc w:val="both"/>
        <w:rPr>
          <w:b/>
          <w:bCs/>
          <w:u w:val="single"/>
        </w:rPr>
      </w:pPr>
    </w:p>
    <w:p w:rsidR="00D75A78" w:rsidRDefault="00D75A78" w:rsidP="00D75A78">
      <w:pPr>
        <w:pStyle w:val="Zkladntext2"/>
        <w:ind w:left="60"/>
        <w:jc w:val="both"/>
        <w:rPr>
          <w:b/>
          <w:bCs/>
          <w:u w:val="single"/>
        </w:rPr>
      </w:pPr>
    </w:p>
    <w:p w:rsidR="00D75A78" w:rsidRDefault="00D75A78" w:rsidP="00D75A78">
      <w:pPr>
        <w:pStyle w:val="Zkladntext2"/>
        <w:ind w:left="60"/>
        <w:jc w:val="both"/>
        <w:rPr>
          <w:b/>
          <w:bCs/>
          <w:u w:val="single"/>
        </w:rPr>
      </w:pPr>
    </w:p>
    <w:p w:rsidR="00D75A78" w:rsidRDefault="00D75A78" w:rsidP="00D75A78">
      <w:pPr>
        <w:pStyle w:val="Zkladntext2"/>
        <w:jc w:val="both"/>
        <w:rPr>
          <w:b/>
          <w:bCs/>
          <w:u w:val="single"/>
        </w:rPr>
      </w:pPr>
      <w:r>
        <w:rPr>
          <w:b/>
          <w:bCs/>
          <w:u w:val="single"/>
        </w:rPr>
        <w:t>Predkladá:</w:t>
      </w:r>
    </w:p>
    <w:p w:rsidR="00D75A78" w:rsidRDefault="00D75A78" w:rsidP="00D75A78">
      <w:pPr>
        <w:pStyle w:val="Zkladntext2"/>
        <w:ind w:left="60"/>
        <w:jc w:val="both"/>
      </w:pPr>
    </w:p>
    <w:p w:rsidR="00D75A78" w:rsidRDefault="00D75A78" w:rsidP="00D75A78">
      <w:pPr>
        <w:pStyle w:val="Zkladntext2"/>
        <w:jc w:val="both"/>
      </w:pPr>
      <w:r>
        <w:t xml:space="preserve">JUDr. </w:t>
      </w:r>
      <w:proofErr w:type="spellStart"/>
      <w:r>
        <w:t>Kajetán</w:t>
      </w:r>
      <w:proofErr w:type="spellEnd"/>
      <w:r>
        <w:t xml:space="preserve"> </w:t>
      </w:r>
      <w:proofErr w:type="spellStart"/>
      <w:r>
        <w:t>Kičura</w:t>
      </w:r>
      <w:proofErr w:type="spellEnd"/>
      <w:r>
        <w:t xml:space="preserve"> </w:t>
      </w:r>
    </w:p>
    <w:p w:rsidR="00D75A78" w:rsidRDefault="00D75A78" w:rsidP="00D75A78">
      <w:pPr>
        <w:pStyle w:val="Zkladntext2"/>
        <w:jc w:val="both"/>
      </w:pPr>
      <w:r>
        <w:t xml:space="preserve">predseda Správy štátnych hmotných rezerv Slovenskej republiky </w:t>
      </w:r>
    </w:p>
    <w:p w:rsidR="00D75A78" w:rsidRDefault="00D75A78" w:rsidP="00D75A78">
      <w:pPr>
        <w:pStyle w:val="Zkladntext2"/>
        <w:ind w:left="60"/>
        <w:jc w:val="both"/>
      </w:pPr>
    </w:p>
    <w:p w:rsidR="00D75A78" w:rsidRDefault="00D75A78" w:rsidP="00D75A78">
      <w:pPr>
        <w:pStyle w:val="Zkladntext2"/>
        <w:ind w:left="60"/>
        <w:jc w:val="both"/>
      </w:pPr>
    </w:p>
    <w:p w:rsidR="00D75A78" w:rsidRDefault="00D75A78" w:rsidP="00D75A78">
      <w:pPr>
        <w:pStyle w:val="Zkladntext2"/>
        <w:ind w:left="60"/>
        <w:jc w:val="both"/>
      </w:pPr>
    </w:p>
    <w:p w:rsidR="00D75A78" w:rsidRDefault="00D75A78" w:rsidP="00D75A78">
      <w:pPr>
        <w:pStyle w:val="Zkladntext2"/>
        <w:ind w:left="60"/>
        <w:jc w:val="both"/>
      </w:pPr>
    </w:p>
    <w:p w:rsidR="00D75A78" w:rsidRDefault="00D75A78" w:rsidP="00D75A78">
      <w:pPr>
        <w:pStyle w:val="Zkladntext2"/>
        <w:ind w:left="60"/>
        <w:jc w:val="both"/>
      </w:pPr>
    </w:p>
    <w:p w:rsidR="00D75A78" w:rsidRDefault="00D75A78" w:rsidP="00D75A78">
      <w:pPr>
        <w:pStyle w:val="Zkladntext2"/>
        <w:ind w:left="60"/>
        <w:jc w:val="both"/>
      </w:pPr>
    </w:p>
    <w:p w:rsidR="004E77EB" w:rsidRDefault="00D75A78" w:rsidP="00D75A78">
      <w:pPr>
        <w:jc w:val="center"/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Bratislava 13. máj 2014</w:t>
      </w:r>
    </w:p>
    <w:sectPr w:rsidR="004E77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828"/>
    <w:rsid w:val="004E3828"/>
    <w:rsid w:val="004E77EB"/>
    <w:rsid w:val="00D7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75A78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semiHidden/>
    <w:unhideWhenUsed/>
    <w:rsid w:val="00D75A78"/>
    <w:pPr>
      <w:autoSpaceDE w:val="0"/>
      <w:autoSpaceDN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D75A78"/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75A78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semiHidden/>
    <w:unhideWhenUsed/>
    <w:rsid w:val="00D75A78"/>
    <w:pPr>
      <w:autoSpaceDE w:val="0"/>
      <w:autoSpaceDN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D75A78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1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WKX3UHSAJ2R6-2-378600</_dlc_DocId>
    <_dlc_DocIdUrl xmlns="e60a29af-d413-48d4-bd90-fe9d2a897e4b">
      <Url>https://ovdmasv601/sites/DMS/_layouts/15/DocIdRedir.aspx?ID=WKX3UHSAJ2R6-2-378600</Url>
      <Description>WKX3UHSAJ2R6-2-378600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4864A3-84CF-4A2D-98FC-86B27C4E667A}"/>
</file>

<file path=customXml/itemProps2.xml><?xml version="1.0" encoding="utf-8"?>
<ds:datastoreItem xmlns:ds="http://schemas.openxmlformats.org/officeDocument/2006/customXml" ds:itemID="{A9AD068E-C61A-4789-9358-7DB4A8CD2561}"/>
</file>

<file path=customXml/itemProps3.xml><?xml version="1.0" encoding="utf-8"?>
<ds:datastoreItem xmlns:ds="http://schemas.openxmlformats.org/officeDocument/2006/customXml" ds:itemID="{A519D347-88E4-4962-AD8F-E22F4554A396}"/>
</file>

<file path=customXml/itemProps4.xml><?xml version="1.0" encoding="utf-8"?>
<ds:datastoreItem xmlns:ds="http://schemas.openxmlformats.org/officeDocument/2006/customXml" ds:itemID="{C634AFE9-AE0E-4ACE-ABA4-B02326AD4E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Matus Timko</dc:creator>
  <cp:keywords/>
  <dc:description/>
  <cp:lastModifiedBy>Matus Timko</cp:lastModifiedBy>
  <cp:revision>2</cp:revision>
  <dcterms:created xsi:type="dcterms:W3CDTF">2014-05-15T09:31:00Z</dcterms:created>
  <dcterms:modified xsi:type="dcterms:W3CDTF">2014-05-15T09:31:00Z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4aaee75c-701d-47fa-9b69-cdc1416dffa8</vt:lpwstr>
  </property>
</Properties>
</file>