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239" w:rsidRPr="00CE1EFA" w:rsidRDefault="00C35E73" w:rsidP="00BA63D8">
      <w:pPr>
        <w:pStyle w:val="Nadpis1"/>
        <w:spacing w:before="0" w:line="240" w:lineRule="auto"/>
        <w:rPr>
          <w:color w:val="auto"/>
        </w:rPr>
      </w:pPr>
      <w:r w:rsidRPr="00CE1EFA">
        <w:rPr>
          <w:color w:val="auto"/>
        </w:rPr>
        <w:t>Plán obnovy relevantných budov</w:t>
      </w:r>
      <w:r w:rsidR="00324B22" w:rsidRPr="00CE1EFA">
        <w:rPr>
          <w:color w:val="auto"/>
        </w:rPr>
        <w:t xml:space="preserve"> 201</w:t>
      </w:r>
      <w:r w:rsidR="001A334D" w:rsidRPr="00CE1EFA">
        <w:rPr>
          <w:color w:val="auto"/>
        </w:rPr>
        <w:t>8</w:t>
      </w:r>
    </w:p>
    <w:p w:rsidR="00C35E73" w:rsidRPr="00CE1EFA" w:rsidRDefault="00C35E73" w:rsidP="006F6A58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C35E73" w:rsidRPr="00CE1EFA" w:rsidRDefault="00C35E73" w:rsidP="006F6A58">
      <w:pPr>
        <w:spacing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>Úvod</w:t>
      </w:r>
    </w:p>
    <w:p w:rsidR="00C35E73" w:rsidRPr="00CE1EFA" w:rsidRDefault="00C35E73" w:rsidP="006023D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Každý členský štát má povinnosť podľa článku 5 smernice Európskeho parlamentu a Rady 2012/27/EÚ z 25. októbra 2012 o energetickej efektívnosti, ktorou sa menia a dopĺňajú smernice 2009/ES a 2010/30</w:t>
      </w:r>
      <w:r w:rsidRPr="00CE1EFA">
        <w:rPr>
          <w:rFonts w:ascii="Times New Roman" w:hAnsi="Times New Roman" w:cs="Times New Roman"/>
          <w:sz w:val="24"/>
          <w:szCs w:val="24"/>
        </w:rPr>
        <w:t xml:space="preserve">/EÚ a ktorou sa zrušujú smernice 2004/8/ES a 2006/32/ES (ďalej len „smernica 2012/27/EÚ“)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každoročne od 1. januára 2014 zabezpečiť obnovu 3 % z</w:t>
      </w:r>
      <w:r w:rsidR="005574F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celkovej podlahovej plochy vykurovaných a/alebo chladených budov, ktoré vlastnia a využívajú ústredné orgány štátnej správy (ďalej len „ÚOŠS“) tak, aby dosiahli aspoň minimálne požiadavky na energetickú hospodárnosť stanovené príslušným členským štátom podľa článku 4 smernice Európskeho</w:t>
      </w:r>
      <w:r w:rsidRPr="00CE1EFA">
        <w:rPr>
          <w:rFonts w:ascii="Times New Roman" w:hAnsi="Times New Roman" w:cs="Times New Roman"/>
          <w:sz w:val="24"/>
          <w:szCs w:val="24"/>
        </w:rPr>
        <w:t xml:space="preserve"> parlamentu a Rady 2010/31/EÚ zo dňa 19. mája 2010 o energetickej hospodárnosti budov (prepracované znenie) (ďalej len „smernica 2010/31/EÚ“)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4D5C45" w:rsidRPr="00CE1EFA" w:rsidRDefault="00C35E73" w:rsidP="006023D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Smernica 2012/27/EÚ (čl. 5 ods. 6) zároveň umožňuje splniť povinnosť vyplývajúcu z čl.</w:t>
      </w:r>
      <w:r w:rsidR="000843E7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5 ods.1 alternatívnym spôsobom. To znamená, že členský štát môže prijať nákladovo efektívne opatrenia vrátane hĺbkovej obnovy a opatrenia na zmenu správania užívateľov budovy, prostredníctvom ktorých dosiahne do roku 2020 úspory energie v relevantných budovách, ktoré budú prinajmenšom zodpovedať objemu úspor požadovanému v</w:t>
      </w:r>
      <w:r w:rsidR="000843E7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čl</w:t>
      </w:r>
      <w:r w:rsidR="000843E7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5 ods</w:t>
      </w:r>
      <w:r w:rsidR="000843E7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 smernice 2012/27/EÚ, o čom členské štáty každoročne podáva</w:t>
      </w:r>
      <w:r w:rsidR="006F3BF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jú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správu Európskej komisii.</w:t>
      </w:r>
      <w:r w:rsidR="0044476D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C35E73" w:rsidRPr="00CE1EFA" w:rsidRDefault="007A2995" w:rsidP="006023D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Aby mohol byť tento záväzok naplnený priprav</w:t>
      </w:r>
      <w:r w:rsidR="005657D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ilo Ministerstvo dopravy</w:t>
      </w:r>
      <w:r w:rsidR="006F3BF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</w:t>
      </w:r>
      <w:r w:rsidR="005657D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výstavby Slovenskej republiky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657D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(ďalej len „ministerstvo“) </w:t>
      </w:r>
      <w:r w:rsidR="001A334D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P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lán obnovy </w:t>
      </w:r>
      <w:r w:rsidR="005574F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relevantných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budov </w:t>
      </w:r>
      <w:r w:rsidR="003E62B9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(ďalej len „plán obnovy“)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Uvedená úloha vyplýva </w:t>
      </w:r>
      <w:r w:rsidR="005657D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pre ministerstvo </w:t>
      </w:r>
      <w:r w:rsidR="00F60E24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z § 10 zákona č. 321/2014 Z. z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o energetickej efektívnosti a o zmene a doplnení niektorých zákonov (ďalej len „zákon </w:t>
      </w:r>
      <w:r w:rsidR="00066F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   </w:t>
      </w:r>
      <w:r w:rsidR="00C82658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č. 321/2014 Z. z.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“), ktorým sa smernica 2012/27/EÚ </w:t>
      </w:r>
      <w:r w:rsidR="006F3BF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transponovala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do právneho systému Slovenskej republiky</w:t>
      </w:r>
      <w:r w:rsidR="00DA441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5574F1" w:rsidRPr="00CE1EFA" w:rsidRDefault="005574F1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5574F1" w:rsidRPr="00CE1EFA" w:rsidRDefault="005574F1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5574F1" w:rsidRPr="00CE1EFA" w:rsidRDefault="005574F1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Stanovenie fondu budov a zoznam budov</w:t>
      </w:r>
      <w:r w:rsidR="005657DF" w:rsidRPr="00CE1EF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ÚOŠS</w:t>
      </w:r>
    </w:p>
    <w:p w:rsidR="005574F1" w:rsidRPr="00CE1EFA" w:rsidRDefault="005574F1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5471A6" w:rsidRPr="00CE1EFA" w:rsidRDefault="00AB5EE8" w:rsidP="006F6A5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1EFA">
        <w:rPr>
          <w:rFonts w:ascii="Times New Roman" w:hAnsi="Times New Roman" w:cs="Times New Roman"/>
          <w:sz w:val="24"/>
          <w:szCs w:val="24"/>
          <w:lang w:eastAsia="en-GB"/>
        </w:rPr>
        <w:t>R</w:t>
      </w:r>
      <w:r w:rsidR="0060154B" w:rsidRPr="00CE1EFA">
        <w:rPr>
          <w:rFonts w:ascii="Times New Roman" w:hAnsi="Times New Roman" w:cs="Times New Roman"/>
          <w:sz w:val="24"/>
          <w:szCs w:val="24"/>
          <w:lang w:eastAsia="en-GB"/>
        </w:rPr>
        <w:t xml:space="preserve">ozsah fondu </w:t>
      </w:r>
      <w:r w:rsidR="00BD46D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budov</w:t>
      </w:r>
      <w:r w:rsidR="0060154B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vo vlastníctve štátu a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="0060154B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samospráv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je</w:t>
      </w:r>
      <w:r w:rsidR="0060154B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uvedený v</w:t>
      </w:r>
      <w:r w:rsidR="00D74DC4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Strat</w:t>
      </w:r>
      <w:r w:rsidR="000018D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é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gi</w:t>
      </w:r>
      <w:r w:rsidR="000018D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CE1EFA">
        <w:rPr>
          <w:rFonts w:ascii="Times New Roman" w:hAnsi="Times New Roman" w:cs="Times New Roman"/>
          <w:sz w:val="24"/>
          <w:szCs w:val="24"/>
          <w:lang w:eastAsia="en-GB"/>
        </w:rPr>
        <w:t>obnovy bytových a nebytových budov v Slovenskej republike (ďalej len „stratégia“), schválenej uznesením vlády SR č. 347</w:t>
      </w:r>
      <w:r w:rsidR="00CB32E6" w:rsidRPr="00CE1EFA">
        <w:rPr>
          <w:rFonts w:ascii="Times New Roman" w:hAnsi="Times New Roman" w:cs="Times New Roman"/>
          <w:sz w:val="24"/>
          <w:szCs w:val="24"/>
          <w:lang w:eastAsia="en-GB"/>
        </w:rPr>
        <w:t xml:space="preserve"> zo dňa 9. júla 2014</w:t>
      </w:r>
      <w:r w:rsidRPr="00CE1EFA"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r w:rsidR="00531597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Stratégia t</w:t>
      </w:r>
      <w:r w:rsidR="0060154B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iež uvádza počty budov </w:t>
      </w:r>
      <w:r w:rsidR="00BD46D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ÚOŠS</w:t>
      </w:r>
      <w:r w:rsidR="0060154B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 členení podľa veľkosti a roku výstavby.</w:t>
      </w:r>
      <w:r w:rsidR="00BD46D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5471A6" w:rsidRPr="00CE1EFA" w:rsidRDefault="005471A6" w:rsidP="006F6A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CE1EFA">
        <w:rPr>
          <w:rFonts w:ascii="Times New Roman" w:hAnsi="Times New Roman" w:cs="Times New Roman"/>
          <w:sz w:val="24"/>
          <w:szCs w:val="24"/>
          <w:lang w:eastAsia="en-GB"/>
        </w:rPr>
        <w:t>Požiadavky na obnovu sa neuplatň</w:t>
      </w:r>
      <w:r w:rsidR="00AB5EE8" w:rsidRPr="00CE1EFA">
        <w:rPr>
          <w:rFonts w:ascii="Times New Roman" w:hAnsi="Times New Roman" w:cs="Times New Roman"/>
          <w:sz w:val="24"/>
          <w:szCs w:val="24"/>
          <w:lang w:eastAsia="en-GB"/>
        </w:rPr>
        <w:t>ujú</w:t>
      </w:r>
      <w:r w:rsidRPr="00CE1EFA">
        <w:rPr>
          <w:rFonts w:ascii="Times New Roman" w:hAnsi="Times New Roman" w:cs="Times New Roman"/>
          <w:sz w:val="24"/>
          <w:szCs w:val="24"/>
          <w:lang w:eastAsia="en-GB"/>
        </w:rPr>
        <w:t xml:space="preserve"> pre tieto kategórie budov:</w:t>
      </w:r>
    </w:p>
    <w:p w:rsidR="005F35DE" w:rsidRPr="00CE1EFA" w:rsidRDefault="005F35DE" w:rsidP="006F6A58">
      <w:pPr>
        <w:pStyle w:val="Odsekzoznamu"/>
        <w:numPr>
          <w:ilvl w:val="0"/>
          <w:numId w:val="10"/>
        </w:numPr>
        <w:jc w:val="both"/>
        <w:rPr>
          <w:rFonts w:ascii="Times New Roman" w:eastAsiaTheme="minorHAnsi" w:hAnsi="Times New Roman" w:cs="Times New Roman"/>
          <w:sz w:val="24"/>
          <w:lang w:eastAsia="en-GB"/>
        </w:rPr>
      </w:pPr>
      <w:r w:rsidRPr="00CE1EFA">
        <w:rPr>
          <w:rFonts w:ascii="Times New Roman" w:eastAsiaTheme="minorHAnsi" w:hAnsi="Times New Roman" w:cs="Times New Roman"/>
          <w:sz w:val="24"/>
          <w:lang w:eastAsia="en-GB"/>
        </w:rPr>
        <w:t>budovy úradne chránené ako súčasť charakteristického prostredia alebo budovy s</w:t>
      </w:r>
      <w:r w:rsidR="00A22106" w:rsidRPr="00CE1EFA">
        <w:rPr>
          <w:rFonts w:ascii="Times New Roman" w:eastAsiaTheme="minorHAnsi" w:hAnsi="Times New Roman" w:cs="Times New Roman"/>
          <w:sz w:val="24"/>
          <w:lang w:eastAsia="en-GB"/>
        </w:rPr>
        <w:t> </w:t>
      </w:r>
      <w:r w:rsidRPr="00CE1EFA">
        <w:rPr>
          <w:rFonts w:ascii="Times New Roman" w:eastAsiaTheme="minorHAnsi" w:hAnsi="Times New Roman" w:cs="Times New Roman"/>
          <w:sz w:val="24"/>
          <w:lang w:eastAsia="en-GB"/>
        </w:rPr>
        <w:t xml:space="preserve">osobitnými architektonickými, historickými a inými pamiatkovými hodnotami, pokiaľ by dodržanie určitých minimálnych požiadaviek na energetickú hospodárnosť mohlo ohroziť ich pamiatkové hodnoty; </w:t>
      </w:r>
    </w:p>
    <w:p w:rsidR="005F35DE" w:rsidRPr="00CE1EFA" w:rsidRDefault="000959EC" w:rsidP="006F6A58">
      <w:pPr>
        <w:pStyle w:val="Odsekzoznamu"/>
        <w:numPr>
          <w:ilvl w:val="0"/>
          <w:numId w:val="10"/>
        </w:numPr>
        <w:jc w:val="both"/>
        <w:rPr>
          <w:rFonts w:ascii="Times New Roman" w:eastAsiaTheme="minorHAnsi" w:hAnsi="Times New Roman" w:cs="Times New Roman"/>
          <w:sz w:val="24"/>
          <w:lang w:eastAsia="en-GB"/>
        </w:rPr>
      </w:pPr>
      <w:r w:rsidRPr="00CE1EFA">
        <w:rPr>
          <w:rFonts w:ascii="Times New Roman" w:eastAsiaTheme="minorHAnsi" w:hAnsi="Times New Roman" w:cs="Times New Roman"/>
          <w:sz w:val="24"/>
          <w:lang w:eastAsia="en-GB"/>
        </w:rPr>
        <w:t xml:space="preserve">budovy, ktoré užívajú ozbrojené sily alebo ústredné orgány štátnej správy a ktoré slúžia na účely obrany štátu, okrem samostatných obytných priestorov alebo budov </w:t>
      </w:r>
      <w:r w:rsidR="00CD0580">
        <w:rPr>
          <w:rFonts w:ascii="Times New Roman" w:eastAsiaTheme="minorHAnsi" w:hAnsi="Times New Roman" w:cs="Times New Roman"/>
          <w:sz w:val="24"/>
          <w:lang w:eastAsia="en-GB"/>
        </w:rPr>
        <w:t xml:space="preserve">     </w:t>
      </w:r>
      <w:r w:rsidRPr="00CE1EFA">
        <w:rPr>
          <w:rFonts w:ascii="Times New Roman" w:eastAsiaTheme="minorHAnsi" w:hAnsi="Times New Roman" w:cs="Times New Roman"/>
          <w:sz w:val="24"/>
          <w:lang w:eastAsia="en-GB"/>
        </w:rPr>
        <w:t>s úradmi pre ozbrojené sily</w:t>
      </w:r>
      <w:r w:rsidR="005F35DE" w:rsidRPr="00CE1EFA">
        <w:rPr>
          <w:rFonts w:ascii="Times New Roman" w:eastAsiaTheme="minorHAnsi" w:hAnsi="Times New Roman" w:cs="Times New Roman"/>
          <w:sz w:val="24"/>
          <w:lang w:eastAsia="en-GB"/>
        </w:rPr>
        <w:t xml:space="preserve">; </w:t>
      </w:r>
    </w:p>
    <w:p w:rsidR="005F35DE" w:rsidRPr="00CE1EFA" w:rsidRDefault="005F35DE" w:rsidP="006F6A58">
      <w:pPr>
        <w:pStyle w:val="Odsekzoznamu"/>
        <w:numPr>
          <w:ilvl w:val="0"/>
          <w:numId w:val="10"/>
        </w:numPr>
        <w:jc w:val="both"/>
        <w:rPr>
          <w:rFonts w:ascii="Times New Roman" w:eastAsiaTheme="minorHAnsi" w:hAnsi="Times New Roman" w:cs="Times New Roman"/>
          <w:sz w:val="24"/>
          <w:lang w:eastAsia="en-GB"/>
        </w:rPr>
      </w:pPr>
      <w:r w:rsidRPr="00CE1EFA">
        <w:rPr>
          <w:rFonts w:ascii="Times New Roman" w:eastAsiaTheme="minorHAnsi" w:hAnsi="Times New Roman" w:cs="Times New Roman"/>
          <w:sz w:val="24"/>
          <w:lang w:eastAsia="en-GB"/>
        </w:rPr>
        <w:t>budovy používané ako miesta na bohoslužby a náboženské podujatia.</w:t>
      </w:r>
    </w:p>
    <w:p w:rsidR="005471A6" w:rsidRPr="00CE1EFA" w:rsidRDefault="005471A6" w:rsidP="006F6A5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468B1" w:rsidRPr="00CE1EFA" w:rsidRDefault="00085155" w:rsidP="00066F4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60154B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Ministerstvo má </w:t>
      </w:r>
      <w:r w:rsidR="003B58A7" w:rsidRPr="00A44AC3">
        <w:rPr>
          <w:rFonts w:ascii="Times New Roman" w:eastAsia="Times New Roman" w:hAnsi="Times New Roman" w:cs="Times New Roman"/>
          <w:sz w:val="24"/>
          <w:szCs w:val="24"/>
          <w:lang w:eastAsia="en-GB"/>
        </w:rPr>
        <w:t>podľa § 10</w:t>
      </w:r>
      <w:r w:rsidR="00571990" w:rsidRPr="00A44AC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ods. 6</w:t>
      </w:r>
      <w:r w:rsidR="003B58A7" w:rsidRPr="00A44AC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zákona č. 321/2014 Z. z. </w:t>
      </w:r>
      <w:r w:rsidR="0060154B" w:rsidRPr="00A44AC3">
        <w:rPr>
          <w:rFonts w:ascii="Times New Roman" w:eastAsia="Times New Roman" w:hAnsi="Times New Roman" w:cs="Times New Roman"/>
          <w:sz w:val="24"/>
          <w:szCs w:val="24"/>
          <w:lang w:eastAsia="en-GB"/>
        </w:rPr>
        <w:t>povinnosť viesť zoznam relevantných budov</w:t>
      </w:r>
      <w:r w:rsidR="00571990" w:rsidRPr="00A44AC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(§ 10 ods. 2 zákona č. 321/2014 Z. z.)</w:t>
      </w:r>
      <w:r w:rsidR="00EE6E56" w:rsidRPr="00A44AC3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="00EE6E5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ktor</w:t>
      </w:r>
      <w:r w:rsidR="008468B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é</w:t>
      </w:r>
      <w:r w:rsidR="00EE6E5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 1. januáru príslušného kalendárneho roka nespĺňa</w:t>
      </w:r>
      <w:r w:rsidR="008468B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jú</w:t>
      </w:r>
      <w:r w:rsidR="00EE6E5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minimálne požiadavky na energetickú hospodárnosť</w:t>
      </w:r>
      <w:r w:rsidR="00103C9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budov</w:t>
      </w:r>
      <w:r w:rsidR="00EE6E5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podľa § 4 zákona č.</w:t>
      </w:r>
      <w:r w:rsidR="003A1B43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="00EE6E5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555/2005 Z. z. o energetickej hospodárnosti budov </w:t>
      </w:r>
      <w:r w:rsidR="00103C9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 o zmene a doplnení niektorých zákonov </w:t>
      </w:r>
      <w:r w:rsidR="00EE6E5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v</w:t>
      </w:r>
      <w:r w:rsidR="00DA441F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="00EE6E5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znení</w:t>
      </w:r>
      <w:r w:rsidR="00DA441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zákona č</w:t>
      </w:r>
      <w:r w:rsidR="00DA441F" w:rsidRPr="00DA441F">
        <w:rPr>
          <w:rFonts w:ascii="Times New Roman" w:eastAsia="Times New Roman" w:hAnsi="Times New Roman" w:cs="Times New Roman"/>
          <w:sz w:val="24"/>
          <w:szCs w:val="24"/>
          <w:lang w:eastAsia="en-GB"/>
        </w:rPr>
        <w:t>. 300/ 2012 Z. z.</w:t>
      </w:r>
      <w:r w:rsidR="00EE6E5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903F4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(ďalej len „zákon </w:t>
      </w:r>
      <w:r w:rsidR="00BA63D8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č. 555/2005 Z. z.</w:t>
      </w:r>
      <w:r w:rsidR="004903F4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“)</w:t>
      </w:r>
      <w:r w:rsidR="008468B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="00EE6E5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ktorej celková podlahová plocha je väčšia ako </w:t>
      </w:r>
      <w:r w:rsidR="005652D3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250</w:t>
      </w:r>
      <w:r w:rsidR="00EE6E5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</w:t>
      </w:r>
      <w:r w:rsidR="00EE6E56" w:rsidRPr="00CE1EF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2</w:t>
      </w:r>
      <w:r w:rsidR="008468B1" w:rsidRPr="00CE1EF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 xml:space="preserve"> </w:t>
      </w:r>
      <w:r w:rsidR="008468B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a zverejniť ho</w:t>
      </w:r>
      <w:r w:rsidR="00F60E24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EE6E5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bookmarkStart w:id="0" w:name="_GoBack"/>
      <w:bookmarkEnd w:id="0"/>
    </w:p>
    <w:p w:rsidR="00881496" w:rsidRPr="00CE1EFA" w:rsidRDefault="005574F1" w:rsidP="00066F4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Zoznam budov ÚOŠS </w:t>
      </w:r>
      <w:r w:rsidRPr="00CE1EFA">
        <w:rPr>
          <w:rFonts w:ascii="Times New Roman" w:eastAsia="Times New Roman" w:hAnsi="Times New Roman" w:cs="Times New Roman"/>
          <w:sz w:val="24"/>
          <w:szCs w:val="24"/>
        </w:rPr>
        <w:t xml:space="preserve">podľa čl. 5 smernice </w:t>
      </w:r>
      <w:r w:rsidR="0088149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2012/27/EÚ </w:t>
      </w:r>
      <w:r w:rsidRPr="00CE1EFA">
        <w:rPr>
          <w:rFonts w:ascii="Times New Roman" w:eastAsia="Times New Roman" w:hAnsi="Times New Roman" w:cs="Times New Roman"/>
          <w:sz w:val="24"/>
          <w:szCs w:val="24"/>
        </w:rPr>
        <w:t>je zverejnený na webovom sídle ministerstva</w:t>
      </w:r>
      <w:r w:rsidR="008468B1" w:rsidRPr="00CE1EFA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="008468B1" w:rsidRPr="00CE1EFA">
        <w:rPr>
          <w:rFonts w:ascii="Times New Roman" w:hAnsi="Times New Roman" w:cs="Times New Roman"/>
          <w:sz w:val="24"/>
          <w:szCs w:val="24"/>
        </w:rPr>
        <w:t>https://www.mindop.sk/ministerstvo-1/vystavba-5/stavebnictvo“</w:t>
      </w:r>
      <w:r w:rsidR="004D02DF" w:rsidRPr="00CE1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26CB" w:rsidRPr="00CE1EFA">
        <w:rPr>
          <w:rFonts w:ascii="Times New Roman" w:eastAsia="Times New Roman" w:hAnsi="Times New Roman" w:cs="Times New Roman"/>
          <w:sz w:val="24"/>
          <w:szCs w:val="24"/>
        </w:rPr>
        <w:t xml:space="preserve">v rozsahu  </w:t>
      </w:r>
      <w:r w:rsidR="0088149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z</w:t>
      </w:r>
      <w:r w:rsidR="001226CB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ákladných</w:t>
      </w:r>
      <w:r w:rsidR="0088149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informačn</w:t>
      </w:r>
      <w:r w:rsidR="001226CB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ých</w:t>
      </w:r>
      <w:r w:rsidR="0088149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údaj</w:t>
      </w:r>
      <w:r w:rsidR="001226CB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ov</w:t>
      </w:r>
      <w:r w:rsidR="0088149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 budove:</w:t>
      </w:r>
    </w:p>
    <w:p w:rsidR="00881496" w:rsidRPr="00CE1EFA" w:rsidRDefault="00881496" w:rsidP="006F6A58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lang w:eastAsia="en-GB"/>
        </w:rPr>
      </w:pPr>
      <w:r w:rsidRPr="00CE1EFA">
        <w:rPr>
          <w:rFonts w:ascii="Times New Roman" w:hAnsi="Times New Roman" w:cs="Times New Roman"/>
          <w:sz w:val="24"/>
          <w:lang w:eastAsia="en-GB"/>
        </w:rPr>
        <w:t xml:space="preserve">identifikačné údaje budovy v rozsahu uvedenom v § 7 ods. 1 písm. b) zákona </w:t>
      </w:r>
      <w:r w:rsidR="00BA63D8" w:rsidRPr="00CE1EFA">
        <w:rPr>
          <w:rFonts w:ascii="Times New Roman" w:hAnsi="Times New Roman" w:cs="Times New Roman"/>
          <w:sz w:val="24"/>
          <w:lang w:eastAsia="en-GB"/>
        </w:rPr>
        <w:t>č. 555/2005 Z. z.</w:t>
      </w:r>
      <w:r w:rsidRPr="00CE1EFA">
        <w:rPr>
          <w:rFonts w:ascii="Times New Roman" w:hAnsi="Times New Roman" w:cs="Times New Roman"/>
          <w:sz w:val="24"/>
          <w:lang w:eastAsia="en-GB"/>
        </w:rPr>
        <w:t>;</w:t>
      </w:r>
    </w:p>
    <w:p w:rsidR="00881496" w:rsidRPr="00CE1EFA" w:rsidRDefault="00DA3620" w:rsidP="006F6A58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lang w:eastAsia="en-GB"/>
        </w:rPr>
      </w:pPr>
      <w:r w:rsidRPr="00CE1EFA">
        <w:rPr>
          <w:rFonts w:ascii="Times New Roman" w:hAnsi="Times New Roman" w:cs="Times New Roman"/>
          <w:sz w:val="24"/>
          <w:lang w:eastAsia="en-GB"/>
        </w:rPr>
        <w:t xml:space="preserve">celková </w:t>
      </w:r>
      <w:r w:rsidR="00881496" w:rsidRPr="00CE1EFA">
        <w:rPr>
          <w:rFonts w:ascii="Times New Roman" w:hAnsi="Times New Roman" w:cs="Times New Roman"/>
          <w:sz w:val="24"/>
          <w:lang w:eastAsia="en-GB"/>
        </w:rPr>
        <w:t>podlahov</w:t>
      </w:r>
      <w:r w:rsidR="007C2203" w:rsidRPr="00CE1EFA">
        <w:rPr>
          <w:rFonts w:ascii="Times New Roman" w:hAnsi="Times New Roman" w:cs="Times New Roman"/>
          <w:sz w:val="24"/>
          <w:lang w:eastAsia="en-GB"/>
        </w:rPr>
        <w:t>á</w:t>
      </w:r>
      <w:r w:rsidR="00881496" w:rsidRPr="00CE1EFA">
        <w:rPr>
          <w:rFonts w:ascii="Times New Roman" w:hAnsi="Times New Roman" w:cs="Times New Roman"/>
          <w:sz w:val="24"/>
          <w:lang w:eastAsia="en-GB"/>
        </w:rPr>
        <w:t xml:space="preserve"> ploch</w:t>
      </w:r>
      <w:r w:rsidR="007C2203" w:rsidRPr="00CE1EFA">
        <w:rPr>
          <w:rFonts w:ascii="Times New Roman" w:hAnsi="Times New Roman" w:cs="Times New Roman"/>
          <w:sz w:val="24"/>
          <w:lang w:eastAsia="en-GB"/>
        </w:rPr>
        <w:t>a</w:t>
      </w:r>
      <w:r w:rsidR="00881496" w:rsidRPr="00CE1EFA">
        <w:rPr>
          <w:rFonts w:ascii="Times New Roman" w:hAnsi="Times New Roman" w:cs="Times New Roman"/>
          <w:sz w:val="24"/>
          <w:lang w:eastAsia="en-GB"/>
        </w:rPr>
        <w:t xml:space="preserve"> budovy v m</w:t>
      </w:r>
      <w:r w:rsidR="00881496" w:rsidRPr="00CE1EFA">
        <w:rPr>
          <w:rFonts w:ascii="Times New Roman" w:hAnsi="Times New Roman" w:cs="Times New Roman"/>
          <w:sz w:val="24"/>
          <w:vertAlign w:val="superscript"/>
          <w:lang w:eastAsia="en-GB"/>
        </w:rPr>
        <w:t>2</w:t>
      </w:r>
      <w:r w:rsidR="00881496" w:rsidRPr="00CE1EFA">
        <w:rPr>
          <w:rFonts w:ascii="Times New Roman" w:hAnsi="Times New Roman" w:cs="Times New Roman"/>
          <w:sz w:val="24"/>
          <w:lang w:eastAsia="en-GB"/>
        </w:rPr>
        <w:t>;</w:t>
      </w:r>
    </w:p>
    <w:p w:rsidR="00881496" w:rsidRPr="00CE1EFA" w:rsidRDefault="00881496" w:rsidP="006F6A58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lang w:eastAsia="en-GB"/>
        </w:rPr>
      </w:pPr>
      <w:r w:rsidRPr="00CE1EFA">
        <w:rPr>
          <w:rFonts w:ascii="Times New Roman" w:hAnsi="Times New Roman" w:cs="Times New Roman"/>
          <w:sz w:val="24"/>
          <w:lang w:eastAsia="en-GB"/>
        </w:rPr>
        <w:t>údaje o energetickej hospodárnosti budovy alebo relevantné energetické údaje budovy.</w:t>
      </w:r>
    </w:p>
    <w:p w:rsidR="005471A6" w:rsidRPr="00CE1EFA" w:rsidRDefault="005471A6" w:rsidP="006F6A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12"/>
        <w:gridCol w:w="2300"/>
      </w:tblGrid>
      <w:tr w:rsidR="00FB45EA" w:rsidRPr="00CE1EFA" w:rsidTr="00BA63D8">
        <w:tc>
          <w:tcPr>
            <w:tcW w:w="6912" w:type="dxa"/>
            <w:vAlign w:val="center"/>
          </w:tcPr>
          <w:p w:rsidR="00FB45EA" w:rsidRPr="00CE1EFA" w:rsidRDefault="00FB45EA" w:rsidP="00BA63D8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E1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Indikátor</w:t>
            </w:r>
          </w:p>
        </w:tc>
        <w:tc>
          <w:tcPr>
            <w:tcW w:w="2300" w:type="dxa"/>
            <w:vAlign w:val="center"/>
          </w:tcPr>
          <w:p w:rsidR="00FB45EA" w:rsidRPr="00CE1EFA" w:rsidRDefault="00B90F47" w:rsidP="008468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E1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201</w:t>
            </w:r>
            <w:r w:rsidR="008468B1" w:rsidRPr="00CE1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8</w:t>
            </w:r>
          </w:p>
        </w:tc>
      </w:tr>
      <w:tr w:rsidR="00FB45EA" w:rsidRPr="00CE1EFA" w:rsidTr="00BA63D8">
        <w:tc>
          <w:tcPr>
            <w:tcW w:w="6912" w:type="dxa"/>
            <w:vAlign w:val="center"/>
          </w:tcPr>
          <w:p w:rsidR="00FB45EA" w:rsidRPr="00CE1EFA" w:rsidRDefault="00FB45EA" w:rsidP="00BA63D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Celková podlahová plocha budov ÚOŠS (nad </w:t>
            </w:r>
            <w:r w:rsidR="005652D3"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250</w:t>
            </w:r>
            <w:r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</w:t>
            </w:r>
            <w:r w:rsidRPr="00CE1E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300" w:type="dxa"/>
            <w:vAlign w:val="center"/>
          </w:tcPr>
          <w:p w:rsidR="00FB45EA" w:rsidRPr="00CE1EFA" w:rsidRDefault="00134278" w:rsidP="0065108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="00651082"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75</w:t>
            </w:r>
            <w:r w:rsidR="00836C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="00651082"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303</w:t>
            </w:r>
            <w:r w:rsidR="00836C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,9</w:t>
            </w:r>
            <w:r w:rsidR="00B90F47"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</w:t>
            </w:r>
            <w:r w:rsidR="00B90F47" w:rsidRPr="00CE1E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</w:p>
        </w:tc>
      </w:tr>
    </w:tbl>
    <w:p w:rsidR="00F60E24" w:rsidRPr="00CE1EFA" w:rsidRDefault="00F60E24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D02DF" w:rsidRPr="00CE1EFA" w:rsidRDefault="004D02DF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B4468" w:rsidRPr="00CE1EFA" w:rsidRDefault="008B4468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Cieľ úspor a spôsob výpočtu cieľa</w:t>
      </w:r>
    </w:p>
    <w:p w:rsidR="0095180F" w:rsidRPr="00CE1EFA" w:rsidRDefault="0095180F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</w:p>
    <w:p w:rsidR="00447EA3" w:rsidRPr="00CE1EFA" w:rsidRDefault="00A01789" w:rsidP="008A7730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1EFA">
        <w:rPr>
          <w:rFonts w:ascii="Times New Roman" w:hAnsi="Times New Roman" w:cs="Times New Roman"/>
          <w:sz w:val="24"/>
          <w:szCs w:val="24"/>
        </w:rPr>
        <w:t>V</w:t>
      </w:r>
      <w:r w:rsidR="0095180F" w:rsidRPr="00CE1EFA">
        <w:rPr>
          <w:rFonts w:ascii="Times New Roman" w:hAnsi="Times New Roman" w:cs="Times New Roman"/>
          <w:sz w:val="24"/>
          <w:szCs w:val="24"/>
        </w:rPr>
        <w:t xml:space="preserve"> zoznam</w:t>
      </w:r>
      <w:r w:rsidRPr="00CE1EFA">
        <w:rPr>
          <w:rFonts w:ascii="Times New Roman" w:hAnsi="Times New Roman" w:cs="Times New Roman"/>
          <w:sz w:val="24"/>
          <w:szCs w:val="24"/>
        </w:rPr>
        <w:t>e</w:t>
      </w:r>
      <w:r w:rsidR="0095180F" w:rsidRPr="00CE1EFA">
        <w:rPr>
          <w:rFonts w:ascii="Times New Roman" w:hAnsi="Times New Roman" w:cs="Times New Roman"/>
          <w:sz w:val="24"/>
          <w:szCs w:val="24"/>
        </w:rPr>
        <w:t xml:space="preserve"> budov ÚOŠS</w:t>
      </w:r>
      <w:r w:rsidRPr="00CE1EFA">
        <w:rPr>
          <w:rFonts w:ascii="Times New Roman" w:hAnsi="Times New Roman" w:cs="Times New Roman"/>
          <w:sz w:val="24"/>
          <w:szCs w:val="24"/>
        </w:rPr>
        <w:t>, ktoré</w:t>
      </w:r>
      <w:r w:rsidR="00E4483E" w:rsidRPr="00CE1EFA">
        <w:rPr>
          <w:rFonts w:ascii="Times New Roman" w:hAnsi="Times New Roman" w:cs="Times New Roman"/>
          <w:sz w:val="24"/>
          <w:szCs w:val="24"/>
        </w:rPr>
        <w:t xml:space="preserve"> k 1. januáru 201</w:t>
      </w:r>
      <w:r w:rsidR="00651082" w:rsidRPr="00CE1EFA">
        <w:rPr>
          <w:rFonts w:ascii="Times New Roman" w:hAnsi="Times New Roman" w:cs="Times New Roman"/>
          <w:sz w:val="24"/>
          <w:szCs w:val="24"/>
        </w:rPr>
        <w:t>8</w:t>
      </w:r>
      <w:r w:rsidR="00E4483E" w:rsidRPr="00CE1EFA">
        <w:rPr>
          <w:rFonts w:ascii="Times New Roman" w:hAnsi="Times New Roman" w:cs="Times New Roman"/>
          <w:sz w:val="24"/>
          <w:szCs w:val="24"/>
        </w:rPr>
        <w:t xml:space="preserve"> </w:t>
      </w:r>
      <w:r w:rsidRPr="00CE1EFA">
        <w:rPr>
          <w:rFonts w:ascii="Times New Roman" w:hAnsi="Times New Roman" w:cs="Times New Roman"/>
          <w:sz w:val="24"/>
          <w:szCs w:val="24"/>
        </w:rPr>
        <w:t>nespĺňajú minimálne požiadavky na energetickú hospodárnosť budov</w:t>
      </w:r>
      <w:r w:rsidR="00C831BC" w:rsidRPr="00CE1EFA">
        <w:rPr>
          <w:rFonts w:ascii="Times New Roman" w:hAnsi="Times New Roman" w:cs="Times New Roman"/>
          <w:sz w:val="24"/>
          <w:szCs w:val="24"/>
        </w:rPr>
        <w:t xml:space="preserve"> (</w:t>
      </w:r>
      <w:r w:rsidRPr="00CE1EFA">
        <w:rPr>
          <w:rFonts w:ascii="Times New Roman" w:hAnsi="Times New Roman" w:cs="Times New Roman"/>
          <w:sz w:val="24"/>
          <w:szCs w:val="24"/>
        </w:rPr>
        <w:t>Príloh</w:t>
      </w:r>
      <w:r w:rsidR="00C831BC" w:rsidRPr="00CE1EFA">
        <w:rPr>
          <w:rFonts w:ascii="Times New Roman" w:hAnsi="Times New Roman" w:cs="Times New Roman"/>
          <w:sz w:val="24"/>
          <w:szCs w:val="24"/>
        </w:rPr>
        <w:t>a</w:t>
      </w:r>
      <w:r w:rsidRPr="00CE1EFA">
        <w:rPr>
          <w:rFonts w:ascii="Times New Roman" w:hAnsi="Times New Roman" w:cs="Times New Roman"/>
          <w:sz w:val="24"/>
          <w:szCs w:val="24"/>
        </w:rPr>
        <w:t xml:space="preserve">  1</w:t>
      </w:r>
      <w:r w:rsidR="00C831BC" w:rsidRPr="00CE1EFA">
        <w:rPr>
          <w:rFonts w:ascii="Times New Roman" w:hAnsi="Times New Roman" w:cs="Times New Roman"/>
          <w:sz w:val="24"/>
          <w:szCs w:val="24"/>
        </w:rPr>
        <w:t>)</w:t>
      </w:r>
      <w:r w:rsidRPr="00CE1EFA">
        <w:rPr>
          <w:rFonts w:ascii="Times New Roman" w:hAnsi="Times New Roman" w:cs="Times New Roman"/>
          <w:sz w:val="24"/>
          <w:szCs w:val="24"/>
        </w:rPr>
        <w:t xml:space="preserve"> sú uvedené </w:t>
      </w:r>
      <w:r w:rsidR="00531597" w:rsidRPr="00CE1EFA">
        <w:rPr>
          <w:rFonts w:ascii="Times New Roman" w:hAnsi="Times New Roman" w:cs="Times New Roman"/>
          <w:sz w:val="24"/>
          <w:szCs w:val="24"/>
        </w:rPr>
        <w:t xml:space="preserve">jednotlivé </w:t>
      </w:r>
      <w:r w:rsidRPr="00CE1EFA">
        <w:rPr>
          <w:rFonts w:ascii="Times New Roman" w:hAnsi="Times New Roman" w:cs="Times New Roman"/>
          <w:sz w:val="24"/>
          <w:szCs w:val="24"/>
        </w:rPr>
        <w:t>budovy</w:t>
      </w:r>
      <w:r w:rsidR="00531597" w:rsidRPr="00CE1EFA">
        <w:rPr>
          <w:rFonts w:ascii="Times New Roman" w:hAnsi="Times New Roman" w:cs="Times New Roman"/>
          <w:sz w:val="24"/>
          <w:szCs w:val="24"/>
        </w:rPr>
        <w:t>, ktorých</w:t>
      </w:r>
      <w:r w:rsidR="00C831BC" w:rsidRPr="00CE1EFA">
        <w:rPr>
          <w:rFonts w:ascii="Times New Roman" w:hAnsi="Times New Roman" w:cs="Times New Roman"/>
          <w:sz w:val="24"/>
          <w:szCs w:val="24"/>
        </w:rPr>
        <w:t xml:space="preserve"> </w:t>
      </w:r>
      <w:r w:rsidRPr="00CE1EFA">
        <w:rPr>
          <w:rFonts w:ascii="Times New Roman" w:hAnsi="Times New Roman" w:cs="Times New Roman"/>
          <w:sz w:val="24"/>
          <w:szCs w:val="24"/>
        </w:rPr>
        <w:t>celkov</w:t>
      </w:r>
      <w:r w:rsidR="00C831BC" w:rsidRPr="00CE1EFA">
        <w:rPr>
          <w:rFonts w:ascii="Times New Roman" w:hAnsi="Times New Roman" w:cs="Times New Roman"/>
          <w:sz w:val="24"/>
          <w:szCs w:val="24"/>
        </w:rPr>
        <w:t>á</w:t>
      </w:r>
      <w:r w:rsidRPr="00CE1EFA">
        <w:rPr>
          <w:rFonts w:ascii="Times New Roman" w:hAnsi="Times New Roman" w:cs="Times New Roman"/>
          <w:sz w:val="24"/>
          <w:szCs w:val="24"/>
        </w:rPr>
        <w:t xml:space="preserve"> podlahov</w:t>
      </w:r>
      <w:r w:rsidR="00C831BC" w:rsidRPr="00CE1EFA">
        <w:rPr>
          <w:rFonts w:ascii="Times New Roman" w:hAnsi="Times New Roman" w:cs="Times New Roman"/>
          <w:sz w:val="24"/>
          <w:szCs w:val="24"/>
        </w:rPr>
        <w:t>á</w:t>
      </w:r>
      <w:r w:rsidRPr="00CE1EFA">
        <w:rPr>
          <w:rFonts w:ascii="Times New Roman" w:hAnsi="Times New Roman" w:cs="Times New Roman"/>
          <w:sz w:val="24"/>
          <w:szCs w:val="24"/>
        </w:rPr>
        <w:t xml:space="preserve"> ploch</w:t>
      </w:r>
      <w:r w:rsidR="00C831BC" w:rsidRPr="00CE1EFA">
        <w:rPr>
          <w:rFonts w:ascii="Times New Roman" w:hAnsi="Times New Roman" w:cs="Times New Roman"/>
          <w:sz w:val="24"/>
          <w:szCs w:val="24"/>
        </w:rPr>
        <w:t>a je</w:t>
      </w:r>
      <w:r w:rsidR="004855E8" w:rsidRPr="00CE1EFA">
        <w:rPr>
          <w:rFonts w:ascii="Times New Roman" w:hAnsi="Times New Roman" w:cs="Times New Roman"/>
          <w:sz w:val="24"/>
          <w:szCs w:val="24"/>
        </w:rPr>
        <w:t xml:space="preserve"> </w:t>
      </w:r>
      <w:r w:rsidR="00651082" w:rsidRPr="00CE1EFA">
        <w:rPr>
          <w:rFonts w:ascii="Times New Roman" w:hAnsi="Times New Roman" w:cs="Times New Roman"/>
          <w:sz w:val="24"/>
          <w:szCs w:val="24"/>
        </w:rPr>
        <w:t>375</w:t>
      </w:r>
      <w:r w:rsidR="00836C7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="00651082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303</w:t>
      </w:r>
      <w:r w:rsidR="00836C7A">
        <w:rPr>
          <w:rFonts w:ascii="Times New Roman" w:eastAsia="Times New Roman" w:hAnsi="Times New Roman" w:cs="Times New Roman"/>
          <w:sz w:val="24"/>
          <w:szCs w:val="24"/>
          <w:lang w:eastAsia="en-GB"/>
        </w:rPr>
        <w:t>,9</w:t>
      </w:r>
      <w:r w:rsidR="009B1DD9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42C44" w:rsidRPr="00CE1EFA">
        <w:rPr>
          <w:rFonts w:ascii="Times New Roman" w:hAnsi="Times New Roman" w:cs="Times New Roman"/>
          <w:sz w:val="24"/>
          <w:szCs w:val="24"/>
        </w:rPr>
        <w:t>m</w:t>
      </w:r>
      <w:r w:rsidR="00B42C44" w:rsidRPr="00CE1EF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56E12" w:rsidRPr="00CE1EFA">
        <w:rPr>
          <w:rFonts w:ascii="Times New Roman" w:hAnsi="Times New Roman" w:cs="Times New Roman"/>
          <w:sz w:val="24"/>
          <w:szCs w:val="24"/>
        </w:rPr>
        <w:t>. Podľa požiadaviek smernice</w:t>
      </w:r>
      <w:r w:rsidRPr="00CE1EFA">
        <w:rPr>
          <w:rFonts w:ascii="Times New Roman" w:hAnsi="Times New Roman" w:cs="Times New Roman"/>
          <w:sz w:val="24"/>
          <w:szCs w:val="24"/>
        </w:rPr>
        <w:t xml:space="preserve"> </w:t>
      </w:r>
      <w:r w:rsidR="00C56E12" w:rsidRPr="00CE1EFA">
        <w:rPr>
          <w:rFonts w:ascii="Times New Roman" w:hAnsi="Times New Roman" w:cs="Times New Roman"/>
          <w:sz w:val="24"/>
          <w:szCs w:val="24"/>
        </w:rPr>
        <w:t>2012/27/EÚ</w:t>
      </w:r>
      <w:r w:rsidR="0095180F" w:rsidRPr="00CE1EFA">
        <w:rPr>
          <w:rFonts w:ascii="Times New Roman" w:hAnsi="Times New Roman" w:cs="Times New Roman"/>
          <w:sz w:val="24"/>
          <w:szCs w:val="24"/>
        </w:rPr>
        <w:t xml:space="preserve"> </w:t>
      </w:r>
      <w:r w:rsidR="00103C9E" w:rsidRPr="00CE1EFA">
        <w:rPr>
          <w:rFonts w:ascii="Times New Roman" w:hAnsi="Times New Roman" w:cs="Times New Roman"/>
          <w:sz w:val="24"/>
          <w:szCs w:val="24"/>
        </w:rPr>
        <w:t>má SR</w:t>
      </w:r>
      <w:r w:rsidR="00C56E12" w:rsidRPr="00CE1EFA">
        <w:rPr>
          <w:rFonts w:ascii="Times New Roman" w:hAnsi="Times New Roman" w:cs="Times New Roman"/>
          <w:sz w:val="24"/>
          <w:szCs w:val="24"/>
        </w:rPr>
        <w:t xml:space="preserve"> povinnosť obnoviť 3</w:t>
      </w:r>
      <w:r w:rsidR="008A7730" w:rsidRPr="00CE1EFA">
        <w:rPr>
          <w:rFonts w:ascii="Times New Roman" w:hAnsi="Times New Roman" w:cs="Times New Roman"/>
          <w:sz w:val="24"/>
          <w:szCs w:val="24"/>
        </w:rPr>
        <w:t> </w:t>
      </w:r>
      <w:r w:rsidR="00C56E12" w:rsidRPr="00CE1EFA">
        <w:rPr>
          <w:rFonts w:ascii="Times New Roman" w:hAnsi="Times New Roman" w:cs="Times New Roman"/>
          <w:sz w:val="24"/>
          <w:szCs w:val="24"/>
        </w:rPr>
        <w:t>% z tejto plochy</w:t>
      </w:r>
      <w:r w:rsidR="00651082" w:rsidRPr="00CE1EFA">
        <w:rPr>
          <w:rFonts w:ascii="Times New Roman" w:hAnsi="Times New Roman" w:cs="Times New Roman"/>
          <w:sz w:val="24"/>
          <w:szCs w:val="24"/>
        </w:rPr>
        <w:t>, čo predstavuje 11</w:t>
      </w:r>
      <w:r w:rsidR="00066F42">
        <w:rPr>
          <w:rFonts w:ascii="Times New Roman" w:hAnsi="Times New Roman" w:cs="Times New Roman"/>
          <w:sz w:val="24"/>
          <w:szCs w:val="24"/>
        </w:rPr>
        <w:t xml:space="preserve"> </w:t>
      </w:r>
      <w:r w:rsidR="00651082" w:rsidRPr="00CE1EFA">
        <w:rPr>
          <w:rFonts w:ascii="Times New Roman" w:hAnsi="Times New Roman" w:cs="Times New Roman"/>
          <w:sz w:val="24"/>
          <w:szCs w:val="24"/>
        </w:rPr>
        <w:t>25</w:t>
      </w:r>
      <w:r w:rsidR="007F6800" w:rsidRPr="00CE1EFA">
        <w:rPr>
          <w:rFonts w:ascii="Times New Roman" w:hAnsi="Times New Roman" w:cs="Times New Roman"/>
          <w:sz w:val="24"/>
          <w:szCs w:val="24"/>
        </w:rPr>
        <w:t>9</w:t>
      </w:r>
      <w:r w:rsidR="00651082" w:rsidRPr="00CE1EFA">
        <w:rPr>
          <w:rFonts w:ascii="Times New Roman" w:hAnsi="Times New Roman" w:cs="Times New Roman"/>
          <w:sz w:val="24"/>
          <w:szCs w:val="24"/>
        </w:rPr>
        <w:t>,</w:t>
      </w:r>
      <w:r w:rsidR="00836C7A">
        <w:rPr>
          <w:rFonts w:ascii="Times New Roman" w:hAnsi="Times New Roman" w:cs="Times New Roman"/>
          <w:sz w:val="24"/>
          <w:szCs w:val="24"/>
        </w:rPr>
        <w:t>12</w:t>
      </w:r>
      <w:r w:rsidR="00651082" w:rsidRPr="00CE1EFA">
        <w:rPr>
          <w:rFonts w:ascii="Times New Roman" w:hAnsi="Times New Roman" w:cs="Times New Roman"/>
          <w:sz w:val="24"/>
          <w:szCs w:val="24"/>
        </w:rPr>
        <w:t xml:space="preserve"> m</w:t>
      </w:r>
      <w:r w:rsidR="00651082" w:rsidRPr="00CE1EF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831BC" w:rsidRPr="00CE1E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2BD1" w:rsidRPr="00CE1EFA" w:rsidRDefault="00C831BC" w:rsidP="00085155">
      <w:pPr>
        <w:pStyle w:val="Bezriadkovania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1EFA">
        <w:rPr>
          <w:rFonts w:ascii="Times New Roman" w:hAnsi="Times New Roman" w:cs="Times New Roman"/>
          <w:sz w:val="24"/>
          <w:szCs w:val="24"/>
        </w:rPr>
        <w:t xml:space="preserve">Tento cieľ možno plniť aj alternatívnym spôsobom </w:t>
      </w:r>
      <w:r w:rsidR="00263258" w:rsidRPr="00CE1EFA">
        <w:rPr>
          <w:rFonts w:ascii="Times New Roman" w:hAnsi="Times New Roman" w:cs="Times New Roman"/>
          <w:sz w:val="24"/>
          <w:szCs w:val="24"/>
        </w:rPr>
        <w:t>(</w:t>
      </w:r>
      <w:r w:rsidRPr="00CE1EFA">
        <w:rPr>
          <w:rFonts w:ascii="Times New Roman" w:hAnsi="Times New Roman" w:cs="Times New Roman"/>
          <w:sz w:val="24"/>
          <w:szCs w:val="24"/>
        </w:rPr>
        <w:t>čl. 5 ods</w:t>
      </w:r>
      <w:r w:rsidR="00103C9E" w:rsidRPr="00CE1EFA">
        <w:rPr>
          <w:rFonts w:ascii="Times New Roman" w:hAnsi="Times New Roman" w:cs="Times New Roman"/>
          <w:sz w:val="24"/>
          <w:szCs w:val="24"/>
        </w:rPr>
        <w:t>.</w:t>
      </w:r>
      <w:r w:rsidR="00263258" w:rsidRPr="00CE1EFA">
        <w:rPr>
          <w:rFonts w:ascii="Times New Roman" w:hAnsi="Times New Roman" w:cs="Times New Roman"/>
          <w:sz w:val="24"/>
          <w:szCs w:val="24"/>
        </w:rPr>
        <w:t> </w:t>
      </w:r>
      <w:r w:rsidRPr="00CE1EFA">
        <w:rPr>
          <w:rFonts w:ascii="Times New Roman" w:hAnsi="Times New Roman" w:cs="Times New Roman"/>
          <w:sz w:val="24"/>
          <w:szCs w:val="24"/>
        </w:rPr>
        <w:t>6</w:t>
      </w:r>
      <w:r w:rsidR="004D02DF" w:rsidRPr="00CE1EFA">
        <w:rPr>
          <w:rFonts w:ascii="Times New Roman" w:hAnsi="Times New Roman" w:cs="Times New Roman"/>
          <w:sz w:val="24"/>
          <w:szCs w:val="24"/>
        </w:rPr>
        <w:t xml:space="preserve"> </w:t>
      </w:r>
      <w:r w:rsidR="004D02DF" w:rsidRPr="00CE1EFA">
        <w:rPr>
          <w:rFonts w:ascii="Times New Roman" w:eastAsia="Times New Roman" w:hAnsi="Times New Roman" w:cs="Times New Roman"/>
          <w:sz w:val="24"/>
          <w:szCs w:val="24"/>
        </w:rPr>
        <w:t xml:space="preserve">smernice </w:t>
      </w:r>
      <w:r w:rsidR="004D02D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2012/27/EÚ</w:t>
      </w:r>
      <w:r w:rsidR="00263258" w:rsidRPr="00CE1EFA">
        <w:rPr>
          <w:rFonts w:ascii="Times New Roman" w:hAnsi="Times New Roman" w:cs="Times New Roman"/>
          <w:sz w:val="24"/>
          <w:szCs w:val="24"/>
        </w:rPr>
        <w:t>)</w:t>
      </w:r>
      <w:r w:rsidRPr="00CE1EFA">
        <w:rPr>
          <w:rFonts w:ascii="Times New Roman" w:hAnsi="Times New Roman" w:cs="Times New Roman"/>
          <w:sz w:val="24"/>
          <w:szCs w:val="24"/>
        </w:rPr>
        <w:t xml:space="preserve">, ktorým sa dosiahne rovnaký objem úspor energie ako </w:t>
      </w:r>
      <w:r w:rsidR="00103C9E" w:rsidRPr="00CE1EFA">
        <w:rPr>
          <w:rFonts w:ascii="Times New Roman" w:hAnsi="Times New Roman" w:cs="Times New Roman"/>
          <w:sz w:val="24"/>
          <w:szCs w:val="24"/>
        </w:rPr>
        <w:t>štandardným</w:t>
      </w:r>
      <w:r w:rsidRPr="00CE1EFA">
        <w:rPr>
          <w:rFonts w:ascii="Times New Roman" w:hAnsi="Times New Roman" w:cs="Times New Roman"/>
          <w:sz w:val="24"/>
          <w:szCs w:val="24"/>
        </w:rPr>
        <w:t xml:space="preserve"> prístup</w:t>
      </w:r>
      <w:r w:rsidR="00103C9E" w:rsidRPr="00CE1EFA">
        <w:rPr>
          <w:rFonts w:ascii="Times New Roman" w:hAnsi="Times New Roman" w:cs="Times New Roman"/>
          <w:sz w:val="24"/>
          <w:szCs w:val="24"/>
        </w:rPr>
        <w:t>om</w:t>
      </w:r>
      <w:r w:rsidRPr="00CE1EFA">
        <w:rPr>
          <w:rFonts w:ascii="Times New Roman" w:hAnsi="Times New Roman" w:cs="Times New Roman"/>
          <w:sz w:val="24"/>
          <w:szCs w:val="24"/>
        </w:rPr>
        <w:t>.</w:t>
      </w:r>
      <w:r w:rsidR="00237DC5" w:rsidRPr="00CE1EFA">
        <w:rPr>
          <w:rFonts w:ascii="Times New Roman" w:hAnsi="Times New Roman" w:cs="Times New Roman"/>
          <w:sz w:val="24"/>
          <w:szCs w:val="24"/>
        </w:rPr>
        <w:t xml:space="preserve"> </w:t>
      </w:r>
      <w:r w:rsidR="00237DC5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Notifikačná správa </w:t>
      </w:r>
      <w:r w:rsidR="000A2B13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 alternatívnemu prístupu podľa smernice 2012/27/EÚ </w:t>
      </w:r>
      <w:r w:rsidR="00237DC5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informuje Európsku komisiu o</w:t>
      </w:r>
      <w:r w:rsidR="00756828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="00237DC5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plánovaných alternatívnych opatreniach, ktorými sa dosiahne cieľ úspory energie do roku 2020 podľa čl. 5 ods. 6. Správa obsahuje návrh predbežného cieľa podľa čl. 5 ods. 1, cieľa vyjadreného vo forme úspor energie pre potreby aplikácie alternatívneho spôsobu, ako aj zoznam alternatívnych opatrení. </w:t>
      </w:r>
      <w:r w:rsidR="00A12BD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Na účely alternatívneho prístupu </w:t>
      </w:r>
      <w:r w:rsidR="002F7055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boli</w:t>
      </w:r>
      <w:r w:rsidR="00A12BD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odhadn</w:t>
      </w:r>
      <w:r w:rsidR="002F7055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uté</w:t>
      </w:r>
      <w:r w:rsidR="00A12BD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úspory energie </w:t>
      </w:r>
      <w:r w:rsidR="002F7055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 </w:t>
      </w:r>
      <w:r w:rsidR="00A12BD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použitím príslušných štandardných hodnôt spotreby energie referenčných budov pred a po obnove a podľa odhadov plochy fondu budov</w:t>
      </w:r>
      <w:r w:rsidR="002F7055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 jednotlivých kategóriách budov</w:t>
      </w:r>
      <w:r w:rsidR="00A12BD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. S</w:t>
      </w:r>
      <w:r w:rsidR="00A12BD1" w:rsidRPr="00CE1EFA">
        <w:rPr>
          <w:rFonts w:ascii="Times New Roman" w:hAnsi="Times New Roman" w:cs="Times New Roman"/>
          <w:sz w:val="24"/>
          <w:szCs w:val="24"/>
        </w:rPr>
        <w:t>pôsob výpočtu národného cieľa pre alternatívny prístup bol súčasťou Notifikačnej správy a mala by sa dosiahnuť úspora 52,17 GWh/rok.</w:t>
      </w:r>
    </w:p>
    <w:p w:rsidR="00447EA3" w:rsidRPr="00CE1EFA" w:rsidRDefault="00263258" w:rsidP="00085155">
      <w:pPr>
        <w:pStyle w:val="Bezriadkovania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Ak </w:t>
      </w:r>
      <w:r w:rsidR="00447EA3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sa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obnoví viac ako 3 % celkovej podlahovej plochy budov ÚOŠS v danom roku, môže </w:t>
      </w:r>
      <w:r w:rsidR="00447EA3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sa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do ročnej miery obnovy započítať podlahov</w:t>
      </w:r>
      <w:r w:rsidR="002F7055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á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ploch</w:t>
      </w:r>
      <w:r w:rsidR="002F7055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nad plánovaný rámec v ktoromkoľvek z troch predchádzajúcich alebo nasledujúcich rokov.</w:t>
      </w:r>
      <w:r w:rsidR="00447EA3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E44A40" w:rsidRPr="00CE1EFA" w:rsidRDefault="00447EA3" w:rsidP="00085155">
      <w:pPr>
        <w:pStyle w:val="Bezriadkovania"/>
        <w:spacing w:after="24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D</w:t>
      </w:r>
      <w:r w:rsidR="00263258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 ročnej miery obnovy budov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ÚOŠS sa môžu </w:t>
      </w:r>
      <w:r w:rsidR="00263258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započítať nové budovy využívané a vlastnené ako náhrada za konkrétne budovy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ÚOŠS </w:t>
      </w:r>
      <w:r w:rsidR="00263258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zbúrané počas ktoréhokoľvek z dvoch predchádzajúcich rokov alebo budovy, ktoré sa predali, zbúrali alebo prestali využívať počas ktoréhokoľvek z dvoch predchádzajúcich rokov z dôvodu intenzívnejšieho využívania iných budov.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12"/>
        <w:gridCol w:w="2300"/>
      </w:tblGrid>
      <w:tr w:rsidR="00EC674E" w:rsidRPr="00CE1EFA" w:rsidTr="00B90F47">
        <w:tc>
          <w:tcPr>
            <w:tcW w:w="6912" w:type="dxa"/>
          </w:tcPr>
          <w:p w:rsidR="00B90F47" w:rsidRPr="00031EB4" w:rsidRDefault="00B90F47" w:rsidP="006F6A5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31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Indikátor</w:t>
            </w:r>
          </w:p>
        </w:tc>
        <w:tc>
          <w:tcPr>
            <w:tcW w:w="2300" w:type="dxa"/>
          </w:tcPr>
          <w:p w:rsidR="00B90F47" w:rsidRPr="00031EB4" w:rsidRDefault="00B90F47" w:rsidP="00066F4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31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201</w:t>
            </w:r>
            <w:r w:rsidR="00066F42" w:rsidRPr="00031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8</w:t>
            </w:r>
          </w:p>
        </w:tc>
      </w:tr>
      <w:tr w:rsidR="00EC674E" w:rsidRPr="00CE1EFA" w:rsidTr="00B90F47">
        <w:tc>
          <w:tcPr>
            <w:tcW w:w="6912" w:type="dxa"/>
          </w:tcPr>
          <w:p w:rsidR="00B90F47" w:rsidRPr="00031EB4" w:rsidRDefault="00B90F47" w:rsidP="00031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1E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Základný cieľ úspor</w:t>
            </w:r>
            <w:r w:rsidR="00E26749" w:rsidRPr="00031E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: 3 % z celkovej podlahovej plochy budov ÚOŠS, ktoré nespĺňajú minimálne požiadavky na energetickú hospodárnosť budov</w:t>
            </w:r>
            <w:r w:rsidR="00E4483E" w:rsidRPr="00031E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k </w:t>
            </w:r>
            <w:r w:rsidR="00E4483E" w:rsidRPr="00031EB4">
              <w:rPr>
                <w:rFonts w:ascii="Times New Roman" w:hAnsi="Times New Roman" w:cs="Times New Roman"/>
                <w:sz w:val="24"/>
                <w:szCs w:val="24"/>
              </w:rPr>
              <w:t>1. januáru 201</w:t>
            </w:r>
            <w:r w:rsidR="00031EB4" w:rsidRPr="00031E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0" w:type="dxa"/>
          </w:tcPr>
          <w:p w:rsidR="00A91BCB" w:rsidRPr="00A91BCB" w:rsidRDefault="005F5D54" w:rsidP="00066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E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fldChar w:fldCharType="begin"/>
            </w:r>
            <w:r w:rsidR="009B1DD9" w:rsidRPr="00031E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instrText xml:space="preserve"> LINK </w:instrText>
            </w:r>
            <w:r w:rsidR="0068420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instrText xml:space="preserve">Excel.Sheet.12 "C:\\letenay\\Desktop\\Plan obnovy 2016\\2016\\Po MPK\\4_4_Priloha1.xlsx" "Zozanam budov!R80C14" </w:instrText>
            </w:r>
            <w:r w:rsidR="009B1DD9" w:rsidRPr="00031E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instrText xml:space="preserve">\a \f 5 \h  \* MERGEFORMAT </w:instrText>
            </w:r>
            <w:r w:rsidRPr="00031E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fldChar w:fldCharType="separate"/>
            </w:r>
          </w:p>
          <w:p w:rsidR="00A91BCB" w:rsidRPr="00A91BCB" w:rsidRDefault="00A91BCB" w:rsidP="00A91B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91BC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  <w:p w:rsidR="00B90F47" w:rsidRPr="00031EB4" w:rsidRDefault="005F5D54" w:rsidP="00066F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31E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fldChar w:fldCharType="end"/>
            </w:r>
            <w:r w:rsidR="00066F42" w:rsidRPr="00031E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  <w:r w:rsidR="00836C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="00066F42" w:rsidRPr="00031E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259</w:t>
            </w:r>
            <w:r w:rsidR="00836C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,12</w:t>
            </w:r>
            <w:r w:rsidR="00BA63D8" w:rsidRPr="00031E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E26749" w:rsidRPr="00031E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</w:t>
            </w:r>
            <w:r w:rsidR="00E26749" w:rsidRPr="00031EB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="00134278" w:rsidRPr="00031EB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 </w:t>
            </w:r>
            <w:r w:rsidR="00134278" w:rsidRPr="00031E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</w:tbl>
    <w:p w:rsidR="001C55A3" w:rsidRPr="00CE1EFA" w:rsidRDefault="001C55A3" w:rsidP="006F6A58">
      <w:pPr>
        <w:pStyle w:val="Bezriadkovania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E44A40" w:rsidRPr="00CE1EFA" w:rsidRDefault="00066F42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N</w:t>
      </w:r>
      <w:r w:rsidR="008B4468" w:rsidRPr="00CE1E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ávrh opatrení na obnovu</w:t>
      </w:r>
      <w:r w:rsidR="00DF25D5" w:rsidRPr="00CE1E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, </w:t>
      </w:r>
      <w:r w:rsidR="007E1702" w:rsidRPr="00CE1E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potenciál úspor</w:t>
      </w:r>
    </w:p>
    <w:p w:rsidR="00E44A40" w:rsidRPr="00CE1EFA" w:rsidRDefault="00E44A40" w:rsidP="006F6A58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4A40" w:rsidRPr="00CE1EFA" w:rsidRDefault="00E44A40" w:rsidP="006F6A5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1EFA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Návrhy nákladovo efektívnych opatrení na zlepšenie energetickej efektívnosti budov súvisia s hĺbkovou obnovou budov. Pri hĺbkovej obnove budov je potreb</w:t>
      </w:r>
      <w:r w:rsidR="00471ABD" w:rsidRPr="00CE1EF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né okrem stavebných konštrukcií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budov a ich významnej obnovy (zlepšenia tepelnej ochrany stavebných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konštrukcií) venovať pozornosť aj významnej obnove technických systémov budov. Týka sa to vykurovacieho systému a systému prípravy teplej vody pre bytové a nebytové budovy, ale aj vetrania, chladenia a osvetlenia nebytových budov. </w:t>
      </w:r>
    </w:p>
    <w:p w:rsidR="00E44A40" w:rsidRPr="00CE1EFA" w:rsidRDefault="00E44A40" w:rsidP="006F6A5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1EF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Opatrenia hĺbkovej obnovy je možné vykonať ako čiastkové, postupnými krokmi, prípadne samostatne, ako významnú obnovu budovy (stavebných konštrukcií) a významnú obnovu technických systémov. Hĺbkovú obnovu je možné vykonať aj súčasne s uplatnením všetkých opatrení naraz. </w:t>
      </w:r>
    </w:p>
    <w:p w:rsidR="00E44A40" w:rsidRPr="00CE1EFA" w:rsidRDefault="00E44A40" w:rsidP="006F6A5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>Návrh opatrení sa rozlišuje podľa:</w:t>
      </w:r>
    </w:p>
    <w:p w:rsidR="00E44A40" w:rsidRPr="00CE1EFA" w:rsidRDefault="00E44A40" w:rsidP="006F6A58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 xml:space="preserve">a) stanovených cieľov na zabezpečenie energetickej hospodárnosti budov stanovených zákonom </w:t>
      </w:r>
      <w:r w:rsidR="00FB4949" w:rsidRPr="00CE1EF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č. 555/2005 Z. z.</w:t>
      </w:r>
      <w:r w:rsidR="00103C9E" w:rsidRPr="00CE1EFA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44A40" w:rsidRPr="00CE1EFA" w:rsidRDefault="00E44A40" w:rsidP="006F6A58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>b) kategórie budovy</w:t>
      </w:r>
      <w:r w:rsidR="00103C9E" w:rsidRPr="00CE1EFA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44A40" w:rsidRPr="00CE1EFA" w:rsidRDefault="002F7055" w:rsidP="006F6A58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>c) obdobia výstavby</w:t>
      </w:r>
      <w:r w:rsidR="00103C9E" w:rsidRPr="00CE1EFA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44A40" w:rsidRPr="00CE1EFA" w:rsidRDefault="00E44A40" w:rsidP="006F6A58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>d) pôvodného stavu stavebných konštrukcií (otvorových konštrukcií, obvodového plášťa, strešného plášťa a vnútorných deliacich konštrukcií medzi vykurovanými a nevykurovanými miestnosťami)</w:t>
      </w:r>
      <w:r w:rsidR="00103C9E" w:rsidRPr="00CE1EFA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44A40" w:rsidRPr="00CE1EFA" w:rsidRDefault="00E44A40" w:rsidP="006F6A58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>e) pôvodného stavu technických systémov v budove (vykurovanie, príprava teplej vody, vetranie, chladenie, osvetlenie)</w:t>
      </w:r>
      <w:r w:rsidR="00103C9E" w:rsidRPr="00CE1EFA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44A40" w:rsidRPr="00CE1EFA" w:rsidRDefault="00E44A40" w:rsidP="006F6A58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>f) veku a technického stavu zdrojov tepla, prípravy teplej vody, chladu a rozvodov v budove a mimo nej</w:t>
      </w:r>
      <w:r w:rsidR="00103C9E" w:rsidRPr="00CE1EFA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44A40" w:rsidRPr="00CE1EFA" w:rsidRDefault="00E44A40" w:rsidP="006F6A58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>g) rozsahu zavedenia obnoviteľných zdrojov tepla, teplej vody a elektriny.</w:t>
      </w:r>
    </w:p>
    <w:p w:rsidR="00471ABD" w:rsidRPr="00CE1EFA" w:rsidRDefault="00471ABD" w:rsidP="006F6A58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4A40" w:rsidRPr="00CE1EFA" w:rsidRDefault="00E44A40" w:rsidP="006F6A5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 xml:space="preserve">Návrh nákladovo efektívnych opatrení na zlepšenie energetickej hospodárnosti budov </w:t>
      </w:r>
      <w:r w:rsidR="00DF25D5" w:rsidRPr="00CE1EFA">
        <w:rPr>
          <w:rFonts w:ascii="Times New Roman" w:eastAsia="Times New Roman" w:hAnsi="Times New Roman" w:cs="Times New Roman"/>
          <w:sz w:val="24"/>
          <w:szCs w:val="24"/>
        </w:rPr>
        <w:t xml:space="preserve">pre jednotlivé kategórie budov </w:t>
      </w:r>
      <w:r w:rsidRPr="00CE1EFA">
        <w:rPr>
          <w:rFonts w:ascii="Times New Roman" w:eastAsia="Times New Roman" w:hAnsi="Times New Roman" w:cs="Times New Roman"/>
          <w:sz w:val="24"/>
          <w:szCs w:val="24"/>
        </w:rPr>
        <w:t>je podrobnejšie uvedený v </w:t>
      </w:r>
      <w:r w:rsidR="0036281F" w:rsidRPr="00CE1EFA">
        <w:rPr>
          <w:rFonts w:ascii="Times New Roman" w:eastAsia="Times New Roman" w:hAnsi="Times New Roman" w:cs="Times New Roman"/>
          <w:sz w:val="24"/>
          <w:szCs w:val="24"/>
        </w:rPr>
        <w:t>stratégi</w:t>
      </w:r>
      <w:r w:rsidR="00DF25D5" w:rsidRPr="00CE1EF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E1E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E1702" w:rsidRPr="00CE1EFA" w:rsidRDefault="007E1702" w:rsidP="006F6A5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>Pri určení potenciálu úspor sa pri projektoch</w:t>
      </w:r>
      <w:r w:rsidR="00C71E0D" w:rsidRPr="00CE1EFA">
        <w:rPr>
          <w:rFonts w:ascii="Times New Roman" w:eastAsia="Times New Roman" w:hAnsi="Times New Roman" w:cs="Times New Roman"/>
          <w:sz w:val="24"/>
          <w:szCs w:val="24"/>
        </w:rPr>
        <w:t xml:space="preserve"> vychádza z pôvodného stavu</w:t>
      </w:r>
      <w:r w:rsidR="00553970" w:rsidRPr="00CE1E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C71E0D" w:rsidRPr="00CE1EFA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553970" w:rsidRPr="00CE1EFA">
        <w:rPr>
          <w:rFonts w:ascii="Times New Roman" w:eastAsia="Times New Roman" w:hAnsi="Times New Roman" w:cs="Times New Roman"/>
          <w:sz w:val="24"/>
          <w:szCs w:val="24"/>
        </w:rPr>
        <w:t>á</w:t>
      </w:r>
      <w:r w:rsidR="00C71E0D" w:rsidRPr="00CE1EFA">
        <w:rPr>
          <w:rFonts w:ascii="Times New Roman" w:eastAsia="Times New Roman" w:hAnsi="Times New Roman" w:cs="Times New Roman"/>
          <w:sz w:val="24"/>
          <w:szCs w:val="24"/>
        </w:rPr>
        <w:t>vrh</w:t>
      </w:r>
      <w:r w:rsidR="00553970" w:rsidRPr="00CE1EFA">
        <w:rPr>
          <w:rFonts w:ascii="Times New Roman" w:eastAsia="Times New Roman" w:hAnsi="Times New Roman" w:cs="Times New Roman"/>
          <w:sz w:val="24"/>
          <w:szCs w:val="24"/>
        </w:rPr>
        <w:t>u</w:t>
      </w:r>
      <w:r w:rsidR="00C71E0D" w:rsidRPr="00CE1EFA">
        <w:rPr>
          <w:rFonts w:ascii="Times New Roman" w:eastAsia="Times New Roman" w:hAnsi="Times New Roman" w:cs="Times New Roman"/>
          <w:sz w:val="24"/>
          <w:szCs w:val="24"/>
        </w:rPr>
        <w:t xml:space="preserve"> opatrení</w:t>
      </w:r>
      <w:r w:rsidR="00553970" w:rsidRPr="00CE1EFA">
        <w:rPr>
          <w:rFonts w:ascii="Times New Roman" w:eastAsia="Times New Roman" w:hAnsi="Times New Roman" w:cs="Times New Roman"/>
          <w:sz w:val="24"/>
          <w:szCs w:val="24"/>
        </w:rPr>
        <w:t xml:space="preserve"> tak</w:t>
      </w:r>
      <w:r w:rsidR="00C828A8" w:rsidRPr="00CE1E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553970" w:rsidRPr="00CE1EFA">
        <w:rPr>
          <w:rFonts w:ascii="Times New Roman" w:eastAsia="Times New Roman" w:hAnsi="Times New Roman" w:cs="Times New Roman"/>
          <w:sz w:val="24"/>
          <w:szCs w:val="24"/>
        </w:rPr>
        <w:t xml:space="preserve"> aby boli splnené minimálne požiadavky na energetickú hospodárnosť budov.</w:t>
      </w:r>
    </w:p>
    <w:p w:rsidR="00987600" w:rsidRPr="00CE1EFA" w:rsidRDefault="00987600" w:rsidP="006F6A5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12"/>
        <w:gridCol w:w="2300"/>
      </w:tblGrid>
      <w:tr w:rsidR="00987600" w:rsidRPr="00CE1EFA" w:rsidTr="00FD0548">
        <w:tc>
          <w:tcPr>
            <w:tcW w:w="6912" w:type="dxa"/>
          </w:tcPr>
          <w:p w:rsidR="00987600" w:rsidRPr="00CE1EFA" w:rsidRDefault="00987600" w:rsidP="00BA63D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E1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Indikátor</w:t>
            </w:r>
          </w:p>
        </w:tc>
        <w:tc>
          <w:tcPr>
            <w:tcW w:w="2300" w:type="dxa"/>
          </w:tcPr>
          <w:p w:rsidR="00987600" w:rsidRPr="00CE1EFA" w:rsidRDefault="00987600" w:rsidP="007F68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E1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201</w:t>
            </w:r>
            <w:r w:rsidR="007F6800" w:rsidRPr="00CE1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8</w:t>
            </w:r>
          </w:p>
        </w:tc>
      </w:tr>
      <w:tr w:rsidR="00987600" w:rsidRPr="00CE1EFA" w:rsidTr="00FD0548">
        <w:tc>
          <w:tcPr>
            <w:tcW w:w="6912" w:type="dxa"/>
            <w:vAlign w:val="center"/>
          </w:tcPr>
          <w:p w:rsidR="00987600" w:rsidRPr="00CE1EFA" w:rsidRDefault="00987600" w:rsidP="00BA63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Celková podlahová plocha budov</w:t>
            </w:r>
            <w:r w:rsidR="00CB32E6"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určených na obnovu</w:t>
            </w:r>
          </w:p>
        </w:tc>
        <w:tc>
          <w:tcPr>
            <w:tcW w:w="2300" w:type="dxa"/>
            <w:vAlign w:val="center"/>
          </w:tcPr>
          <w:p w:rsidR="00987600" w:rsidRPr="00973DD0" w:rsidRDefault="00973DD0" w:rsidP="00973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D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65 529,</w:t>
            </w:r>
            <w:r w:rsidR="007F6800" w:rsidRPr="00973D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</w:t>
            </w:r>
            <w:r w:rsidR="00D42AA7" w:rsidRPr="00973D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987600" w:rsidRPr="00973D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</w:t>
            </w:r>
            <w:r w:rsidR="00987600" w:rsidRPr="00973DD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</w:p>
        </w:tc>
      </w:tr>
      <w:tr w:rsidR="00987600" w:rsidRPr="00CE1EFA" w:rsidTr="00FD0548">
        <w:tc>
          <w:tcPr>
            <w:tcW w:w="6912" w:type="dxa"/>
            <w:vAlign w:val="center"/>
          </w:tcPr>
          <w:p w:rsidR="00987600" w:rsidRPr="00CE1EFA" w:rsidRDefault="00987600" w:rsidP="00BA63D8">
            <w:pPr>
              <w:tabs>
                <w:tab w:val="righ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E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Potenciál úspor </w:t>
            </w:r>
            <w:r w:rsidR="00943410" w:rsidRPr="00CE1E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obnovovaných budov </w:t>
            </w:r>
            <w:r w:rsidRPr="00CE1EFA">
              <w:rPr>
                <w:rFonts w:ascii="Times New Roman" w:eastAsia="Times New Roman" w:hAnsi="Times New Roman" w:cs="Times New Roman"/>
                <w:sz w:val="24"/>
                <w:szCs w:val="24"/>
              </w:rPr>
              <w:t>do triedy A1</w:t>
            </w:r>
          </w:p>
        </w:tc>
        <w:tc>
          <w:tcPr>
            <w:tcW w:w="2300" w:type="dxa"/>
            <w:vAlign w:val="center"/>
          </w:tcPr>
          <w:p w:rsidR="00987600" w:rsidRPr="00973DD0" w:rsidRDefault="00FD0548" w:rsidP="00973DD0">
            <w:pPr>
              <w:tabs>
                <w:tab w:val="righ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73D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973DD0" w:rsidRPr="00973DD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02DA9" w:rsidRPr="00973D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73DD0" w:rsidRPr="00973DD0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  <w:r w:rsidR="00102DA9" w:rsidRPr="00973D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42B3" w:rsidRPr="00973DD0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00987600" w:rsidRPr="00973DD0">
              <w:rPr>
                <w:rFonts w:ascii="Times New Roman" w:eastAsia="Times New Roman" w:hAnsi="Times New Roman" w:cs="Times New Roman"/>
                <w:sz w:val="24"/>
                <w:szCs w:val="24"/>
              </w:rPr>
              <w:t>Wh/rok</w:t>
            </w:r>
          </w:p>
        </w:tc>
      </w:tr>
    </w:tbl>
    <w:p w:rsidR="00553970" w:rsidRPr="00CE1EFA" w:rsidRDefault="00553970" w:rsidP="006F6A5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42B3" w:rsidRPr="00CE1EFA" w:rsidRDefault="00943410" w:rsidP="006F6A5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>O</w:t>
      </w:r>
      <w:r w:rsidR="00AD42B3" w:rsidRPr="00CE1EFA">
        <w:rPr>
          <w:rFonts w:ascii="Times New Roman" w:eastAsia="Times New Roman" w:hAnsi="Times New Roman" w:cs="Times New Roman"/>
          <w:sz w:val="24"/>
          <w:szCs w:val="24"/>
        </w:rPr>
        <w:t>d 1. januára 201</w:t>
      </w:r>
      <w:r w:rsidR="00134278" w:rsidRPr="00CE1EFA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42B3" w:rsidRPr="00CE1EFA">
        <w:rPr>
          <w:rFonts w:ascii="Times New Roman" w:eastAsia="Times New Roman" w:hAnsi="Times New Roman" w:cs="Times New Roman"/>
          <w:sz w:val="24"/>
          <w:szCs w:val="24"/>
        </w:rPr>
        <w:t xml:space="preserve"> prišlo k sprísneniu </w:t>
      </w:r>
      <w:r w:rsidRPr="00CE1EFA">
        <w:rPr>
          <w:rFonts w:ascii="Times New Roman" w:eastAsia="Times New Roman" w:hAnsi="Times New Roman" w:cs="Times New Roman"/>
          <w:sz w:val="24"/>
          <w:szCs w:val="24"/>
        </w:rPr>
        <w:t>požiadaviek na tep</w:t>
      </w:r>
      <w:r w:rsidR="00823975" w:rsidRPr="00CE1EF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E1EFA">
        <w:rPr>
          <w:rFonts w:ascii="Times New Roman" w:eastAsia="Times New Roman" w:hAnsi="Times New Roman" w:cs="Times New Roman"/>
          <w:sz w:val="24"/>
          <w:szCs w:val="24"/>
        </w:rPr>
        <w:t xml:space="preserve">lnotechnické vlastnosti stavebných </w:t>
      </w:r>
      <w:r w:rsidR="00613C5F" w:rsidRPr="00CE1EFA">
        <w:rPr>
          <w:rFonts w:ascii="Times New Roman" w:eastAsia="Times New Roman" w:hAnsi="Times New Roman" w:cs="Times New Roman"/>
          <w:sz w:val="24"/>
          <w:szCs w:val="24"/>
        </w:rPr>
        <w:t xml:space="preserve">konštrukcií </w:t>
      </w:r>
      <w:r w:rsidR="00AA7442" w:rsidRPr="00CE1EF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E1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2B3" w:rsidRPr="00CE1EFA">
        <w:rPr>
          <w:rFonts w:ascii="Times New Roman" w:eastAsia="Times New Roman" w:hAnsi="Times New Roman" w:cs="Times New Roman"/>
          <w:sz w:val="24"/>
          <w:szCs w:val="24"/>
        </w:rPr>
        <w:t>minimálnych požiadaviek na energetickú hospodárnosť</w:t>
      </w:r>
      <w:r w:rsidR="009806DF" w:rsidRPr="00CE1EFA">
        <w:rPr>
          <w:rFonts w:ascii="Times New Roman" w:eastAsia="Times New Roman" w:hAnsi="Times New Roman" w:cs="Times New Roman"/>
          <w:sz w:val="24"/>
          <w:szCs w:val="24"/>
        </w:rPr>
        <w:t xml:space="preserve"> budov</w:t>
      </w:r>
      <w:r w:rsidR="00AD42B3" w:rsidRPr="00CE1EFA">
        <w:rPr>
          <w:rFonts w:ascii="Times New Roman" w:eastAsia="Times New Roman" w:hAnsi="Times New Roman" w:cs="Times New Roman"/>
          <w:sz w:val="24"/>
          <w:szCs w:val="24"/>
        </w:rPr>
        <w:t xml:space="preserve">. Preto pri výpočte </w:t>
      </w:r>
      <w:r w:rsidR="00511E3E" w:rsidRPr="00CE1EFA">
        <w:rPr>
          <w:rFonts w:ascii="Times New Roman" w:eastAsia="Times New Roman" w:hAnsi="Times New Roman" w:cs="Times New Roman"/>
          <w:sz w:val="24"/>
          <w:szCs w:val="24"/>
        </w:rPr>
        <w:t xml:space="preserve">potenciálu </w:t>
      </w:r>
      <w:r w:rsidR="00AD42B3" w:rsidRPr="00CE1EFA">
        <w:rPr>
          <w:rFonts w:ascii="Times New Roman" w:eastAsia="Times New Roman" w:hAnsi="Times New Roman" w:cs="Times New Roman"/>
          <w:sz w:val="24"/>
          <w:szCs w:val="24"/>
        </w:rPr>
        <w:t>úspor energie sme vychádzali z</w:t>
      </w:r>
      <w:r w:rsidR="008D2AD8" w:rsidRPr="00CE1EF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D42B3" w:rsidRPr="00CE1EFA">
        <w:rPr>
          <w:rFonts w:ascii="Times New Roman" w:eastAsia="Times New Roman" w:hAnsi="Times New Roman" w:cs="Times New Roman"/>
          <w:sz w:val="24"/>
          <w:szCs w:val="24"/>
        </w:rPr>
        <w:t>faktu</w:t>
      </w:r>
      <w:r w:rsidR="008D2AD8" w:rsidRPr="00CE1E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EE1956" w:rsidRPr="00CE1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5155">
        <w:rPr>
          <w:rFonts w:ascii="Times New Roman" w:eastAsia="Times New Roman" w:hAnsi="Times New Roman" w:cs="Times New Roman"/>
          <w:sz w:val="24"/>
          <w:szCs w:val="24"/>
        </w:rPr>
        <w:t xml:space="preserve">že </w:t>
      </w:r>
      <w:r w:rsidR="00CF3FD9" w:rsidRPr="00CE1EFA">
        <w:rPr>
          <w:rFonts w:ascii="Times New Roman" w:eastAsia="Times New Roman" w:hAnsi="Times New Roman" w:cs="Times New Roman"/>
          <w:sz w:val="24"/>
          <w:szCs w:val="24"/>
        </w:rPr>
        <w:t>budovy</w:t>
      </w:r>
      <w:r w:rsidR="00085155">
        <w:rPr>
          <w:rFonts w:ascii="Times New Roman" w:eastAsia="Times New Roman" w:hAnsi="Times New Roman" w:cs="Times New Roman"/>
          <w:sz w:val="24"/>
          <w:szCs w:val="24"/>
        </w:rPr>
        <w:t xml:space="preserve"> budú obnovené na úroveň výstavby s energetickou triedou</w:t>
      </w:r>
      <w:r w:rsidR="00CF3FD9" w:rsidRPr="00CE1EFA">
        <w:rPr>
          <w:rFonts w:ascii="Times New Roman" w:eastAsia="Times New Roman" w:hAnsi="Times New Roman" w:cs="Times New Roman"/>
          <w:sz w:val="24"/>
          <w:szCs w:val="24"/>
        </w:rPr>
        <w:t xml:space="preserve"> A1. </w:t>
      </w:r>
      <w:r w:rsidR="00085155">
        <w:rPr>
          <w:rFonts w:ascii="Times New Roman" w:eastAsia="Times New Roman" w:hAnsi="Times New Roman" w:cs="Times New Roman"/>
          <w:sz w:val="24"/>
          <w:szCs w:val="24"/>
        </w:rPr>
        <w:t xml:space="preserve">Takto vypočítaný potenciál predstavuje </w:t>
      </w:r>
      <w:r w:rsidR="00FF42A5" w:rsidRPr="00CE1EFA">
        <w:rPr>
          <w:rFonts w:ascii="Times New Roman" w:eastAsia="Times New Roman" w:hAnsi="Times New Roman" w:cs="Times New Roman"/>
          <w:sz w:val="24"/>
          <w:szCs w:val="24"/>
        </w:rPr>
        <w:t>úspor</w:t>
      </w:r>
      <w:r w:rsidR="00655AEC">
        <w:rPr>
          <w:rFonts w:ascii="Times New Roman" w:eastAsia="Times New Roman" w:hAnsi="Times New Roman" w:cs="Times New Roman"/>
          <w:sz w:val="24"/>
          <w:szCs w:val="24"/>
        </w:rPr>
        <w:t>u</w:t>
      </w:r>
      <w:r w:rsidR="00FF42A5" w:rsidRPr="00CE1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DD0" w:rsidRPr="00973DD0">
        <w:rPr>
          <w:rFonts w:ascii="Times New Roman" w:eastAsia="Times New Roman" w:hAnsi="Times New Roman" w:cs="Times New Roman"/>
          <w:sz w:val="24"/>
          <w:szCs w:val="24"/>
        </w:rPr>
        <w:t>5</w:t>
      </w:r>
      <w:r w:rsidR="00FD0548" w:rsidRPr="00973DD0">
        <w:rPr>
          <w:rFonts w:ascii="Times New Roman" w:eastAsia="Times New Roman" w:hAnsi="Times New Roman" w:cs="Times New Roman"/>
          <w:sz w:val="24"/>
          <w:szCs w:val="24"/>
        </w:rPr>
        <w:t>,</w:t>
      </w:r>
      <w:r w:rsidR="00973DD0" w:rsidRPr="00973DD0">
        <w:rPr>
          <w:rFonts w:ascii="Times New Roman" w:eastAsia="Times New Roman" w:hAnsi="Times New Roman" w:cs="Times New Roman"/>
          <w:sz w:val="24"/>
          <w:szCs w:val="24"/>
        </w:rPr>
        <w:t>65</w:t>
      </w:r>
      <w:r w:rsidR="00CF3FD9" w:rsidRPr="00973DD0">
        <w:rPr>
          <w:rFonts w:ascii="Times New Roman" w:eastAsia="Times New Roman" w:hAnsi="Times New Roman" w:cs="Times New Roman"/>
          <w:sz w:val="24"/>
          <w:szCs w:val="24"/>
        </w:rPr>
        <w:t xml:space="preserve"> GWh/rok.</w:t>
      </w:r>
      <w:r w:rsidR="00B07664" w:rsidRPr="00CE1EFA">
        <w:rPr>
          <w:rFonts w:ascii="Times New Roman" w:eastAsia="Times New Roman" w:hAnsi="Times New Roman" w:cs="Times New Roman"/>
          <w:sz w:val="24"/>
          <w:szCs w:val="24"/>
        </w:rPr>
        <w:t xml:space="preserve"> Vyčíslenie úspor, ktoré prinesú opatrenia do technického zariadenia budov, v tomto štádiu nie je možné, preto nie sú započítané v potenciál</w:t>
      </w:r>
      <w:r w:rsidR="00655AEC">
        <w:rPr>
          <w:rFonts w:ascii="Times New Roman" w:eastAsia="Times New Roman" w:hAnsi="Times New Roman" w:cs="Times New Roman"/>
          <w:sz w:val="24"/>
          <w:szCs w:val="24"/>
        </w:rPr>
        <w:t>i</w:t>
      </w:r>
      <w:r w:rsidR="00B07664" w:rsidRPr="00CE1EFA">
        <w:rPr>
          <w:rFonts w:ascii="Times New Roman" w:eastAsia="Times New Roman" w:hAnsi="Times New Roman" w:cs="Times New Roman"/>
          <w:sz w:val="24"/>
          <w:szCs w:val="24"/>
        </w:rPr>
        <w:t xml:space="preserve"> úspor.</w:t>
      </w:r>
    </w:p>
    <w:p w:rsidR="007E1702" w:rsidRPr="00CE1EFA" w:rsidRDefault="007E1702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FD0548" w:rsidRDefault="00FD0548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7E1702" w:rsidRPr="00CE1EFA" w:rsidRDefault="007E1702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Zoznam budov určených na obnovu </w:t>
      </w:r>
    </w:p>
    <w:p w:rsidR="00FD0548" w:rsidRDefault="00FD0548" w:rsidP="00BA63D8">
      <w:pPr>
        <w:tabs>
          <w:tab w:val="righ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3E9D" w:rsidRPr="00CE1EFA" w:rsidRDefault="00C23E9D" w:rsidP="00BA63D8">
      <w:pPr>
        <w:tabs>
          <w:tab w:val="righ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>Zoznam budov určených na obnovu vychádza z poskytnutých ide</w:t>
      </w:r>
      <w:r w:rsidR="00651082" w:rsidRPr="00CE1EFA">
        <w:rPr>
          <w:rFonts w:ascii="Times New Roman" w:eastAsia="Times New Roman" w:hAnsi="Times New Roman" w:cs="Times New Roman"/>
          <w:sz w:val="24"/>
          <w:szCs w:val="24"/>
        </w:rPr>
        <w:t xml:space="preserve">ntifikačných údajov o budovách </w:t>
      </w:r>
      <w:r w:rsidRPr="00CE1EFA">
        <w:rPr>
          <w:rFonts w:ascii="Times New Roman" w:eastAsia="Times New Roman" w:hAnsi="Times New Roman" w:cs="Times New Roman"/>
          <w:sz w:val="24"/>
          <w:szCs w:val="24"/>
        </w:rPr>
        <w:t>a je podrobnejšie uvedený v Prílohe  2.</w:t>
      </w:r>
    </w:p>
    <w:p w:rsidR="009F6F22" w:rsidRPr="00CE1EFA" w:rsidRDefault="002E5CA5" w:rsidP="00BA63D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 xml:space="preserve">Do zoznamu budov určených na obnovu bolo zaradených </w:t>
      </w:r>
      <w:r w:rsidR="00973DD0" w:rsidRPr="00973DD0">
        <w:rPr>
          <w:rFonts w:ascii="Times New Roman" w:eastAsia="Times New Roman" w:hAnsi="Times New Roman" w:cs="Times New Roman"/>
          <w:sz w:val="24"/>
          <w:szCs w:val="24"/>
        </w:rPr>
        <w:t>27</w:t>
      </w:r>
      <w:r w:rsidR="00E92CC7" w:rsidRPr="00973D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3DD0">
        <w:rPr>
          <w:rFonts w:ascii="Times New Roman" w:eastAsia="Times New Roman" w:hAnsi="Times New Roman" w:cs="Times New Roman"/>
          <w:sz w:val="24"/>
          <w:szCs w:val="24"/>
        </w:rPr>
        <w:t>budov</w:t>
      </w:r>
      <w:r w:rsidR="00AA7442" w:rsidRPr="00CE1EFA">
        <w:rPr>
          <w:rFonts w:ascii="Times New Roman" w:eastAsia="Times New Roman" w:hAnsi="Times New Roman" w:cs="Times New Roman"/>
          <w:sz w:val="24"/>
          <w:szCs w:val="24"/>
        </w:rPr>
        <w:t xml:space="preserve"> ÚOŠS</w:t>
      </w:r>
      <w:r w:rsidRPr="00CE1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4CF9" w:rsidRPr="00CE1EFA">
        <w:rPr>
          <w:rFonts w:ascii="Times New Roman" w:eastAsia="Times New Roman" w:hAnsi="Times New Roman" w:cs="Times New Roman"/>
          <w:sz w:val="24"/>
          <w:szCs w:val="24"/>
        </w:rPr>
        <w:t xml:space="preserve">s podlahovou plochou </w:t>
      </w:r>
      <w:r w:rsidR="00823975" w:rsidRPr="00CE1EFA">
        <w:rPr>
          <w:rFonts w:ascii="Times New Roman" w:eastAsia="Times New Roman" w:hAnsi="Times New Roman" w:cs="Times New Roman"/>
          <w:sz w:val="24"/>
          <w:szCs w:val="24"/>
        </w:rPr>
        <w:t xml:space="preserve">väčšou </w:t>
      </w:r>
      <w:r w:rsidR="007A4CF9" w:rsidRPr="00CE1EFA">
        <w:rPr>
          <w:rFonts w:ascii="Times New Roman" w:eastAsia="Times New Roman" w:hAnsi="Times New Roman" w:cs="Times New Roman"/>
          <w:sz w:val="24"/>
          <w:szCs w:val="24"/>
        </w:rPr>
        <w:t>ako 250 m</w:t>
      </w:r>
      <w:r w:rsidR="007A4CF9" w:rsidRPr="00CE1EF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FC3E74" w:rsidRPr="00CE1E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4CF9" w:rsidRPr="00CE1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3C5F" w:rsidRPr="00CE1EFA">
        <w:rPr>
          <w:rFonts w:ascii="Times New Roman" w:eastAsia="Times New Roman" w:hAnsi="Times New Roman" w:cs="Times New Roman"/>
          <w:sz w:val="24"/>
          <w:szCs w:val="24"/>
        </w:rPr>
        <w:t>s</w:t>
      </w:r>
      <w:r w:rsidR="00E92CC7" w:rsidRPr="00CE1EFA">
        <w:rPr>
          <w:rFonts w:ascii="Times New Roman" w:eastAsia="Times New Roman" w:hAnsi="Times New Roman" w:cs="Times New Roman"/>
          <w:sz w:val="24"/>
          <w:szCs w:val="24"/>
        </w:rPr>
        <w:t xml:space="preserve"> celkovou </w:t>
      </w:r>
      <w:r w:rsidR="007A4CF9" w:rsidRPr="00CE1EFA">
        <w:rPr>
          <w:rFonts w:ascii="Times New Roman" w:eastAsia="Times New Roman" w:hAnsi="Times New Roman" w:cs="Times New Roman"/>
          <w:sz w:val="24"/>
          <w:szCs w:val="24"/>
        </w:rPr>
        <w:t>podlahov</w:t>
      </w:r>
      <w:r w:rsidR="00613C5F" w:rsidRPr="00CE1EFA">
        <w:rPr>
          <w:rFonts w:ascii="Times New Roman" w:eastAsia="Times New Roman" w:hAnsi="Times New Roman" w:cs="Times New Roman"/>
          <w:sz w:val="24"/>
          <w:szCs w:val="24"/>
        </w:rPr>
        <w:t>ou</w:t>
      </w:r>
      <w:r w:rsidR="007A4CF9" w:rsidRPr="00CE1EFA">
        <w:rPr>
          <w:rFonts w:ascii="Times New Roman" w:eastAsia="Times New Roman" w:hAnsi="Times New Roman" w:cs="Times New Roman"/>
          <w:sz w:val="24"/>
          <w:szCs w:val="24"/>
        </w:rPr>
        <w:t xml:space="preserve"> ploch</w:t>
      </w:r>
      <w:r w:rsidR="00613C5F" w:rsidRPr="00CE1EFA">
        <w:rPr>
          <w:rFonts w:ascii="Times New Roman" w:eastAsia="Times New Roman" w:hAnsi="Times New Roman" w:cs="Times New Roman"/>
          <w:sz w:val="24"/>
          <w:szCs w:val="24"/>
        </w:rPr>
        <w:t>ou</w:t>
      </w:r>
      <w:r w:rsidR="00E92CC7" w:rsidRPr="00CE1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DD0" w:rsidRPr="00614D6B">
        <w:rPr>
          <w:rFonts w:ascii="Times New Roman" w:eastAsia="Times New Roman" w:hAnsi="Times New Roman" w:cs="Times New Roman"/>
          <w:sz w:val="24"/>
          <w:szCs w:val="24"/>
        </w:rPr>
        <w:t>65</w:t>
      </w:r>
      <w:r w:rsidR="00066F42" w:rsidRPr="00614D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DD0" w:rsidRPr="00614D6B">
        <w:rPr>
          <w:rFonts w:ascii="Times New Roman" w:eastAsia="Times New Roman" w:hAnsi="Times New Roman" w:cs="Times New Roman"/>
          <w:sz w:val="24"/>
          <w:szCs w:val="24"/>
        </w:rPr>
        <w:t>529</w:t>
      </w:r>
      <w:r w:rsidR="007F6800" w:rsidRPr="00614D6B">
        <w:rPr>
          <w:rFonts w:ascii="Times New Roman" w:eastAsia="Times New Roman" w:hAnsi="Times New Roman" w:cs="Times New Roman"/>
          <w:sz w:val="24"/>
          <w:szCs w:val="24"/>
        </w:rPr>
        <w:t>,12</w:t>
      </w:r>
      <w:r w:rsidR="007A4CF9" w:rsidRPr="00614D6B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 w:rsidR="007A4CF9" w:rsidRPr="00614D6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FF42A5" w:rsidRPr="00614D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E1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4ED6" w:rsidRPr="00CE1EFA">
        <w:rPr>
          <w:rFonts w:ascii="Times New Roman" w:eastAsia="Times New Roman" w:hAnsi="Times New Roman" w:cs="Times New Roman"/>
          <w:sz w:val="24"/>
          <w:szCs w:val="24"/>
        </w:rPr>
        <w:t>Predpokladaný objem investícií, určených na obnovu predstavuje</w:t>
      </w:r>
      <w:r w:rsidR="009F6F22" w:rsidRPr="00CE1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4D6B" w:rsidRPr="00614D6B">
        <w:rPr>
          <w:rFonts w:ascii="Times New Roman" w:eastAsia="Times New Roman" w:hAnsi="Times New Roman" w:cs="Times New Roman"/>
          <w:sz w:val="24"/>
          <w:szCs w:val="24"/>
        </w:rPr>
        <w:t>9</w:t>
      </w:r>
      <w:r w:rsidR="00066F42" w:rsidRPr="00614D6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14D6B" w:rsidRPr="00614D6B">
        <w:rPr>
          <w:rFonts w:ascii="Times New Roman" w:eastAsia="Times New Roman" w:hAnsi="Times New Roman" w:cs="Times New Roman"/>
          <w:sz w:val="24"/>
          <w:szCs w:val="24"/>
        </w:rPr>
        <w:t>127</w:t>
      </w:r>
      <w:r w:rsidR="00066F42" w:rsidRPr="00614D6B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="007F6800" w:rsidRPr="00614D6B">
        <w:rPr>
          <w:rFonts w:ascii="Times New Roman" w:eastAsia="Times New Roman" w:hAnsi="Times New Roman" w:cs="Times New Roman"/>
          <w:sz w:val="24"/>
          <w:szCs w:val="24"/>
        </w:rPr>
        <w:t>97</w:t>
      </w:r>
      <w:r w:rsidR="007A07DB" w:rsidRPr="00614D6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="00651082" w:rsidRPr="00614D6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82</w:t>
      </w:r>
      <w:r w:rsidR="00E92CC7" w:rsidRPr="00614D6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C23E9D" w:rsidRPr="00614D6B">
        <w:rPr>
          <w:rFonts w:ascii="Times New Roman" w:eastAsia="Times New Roman" w:hAnsi="Times New Roman" w:cs="Times New Roman"/>
          <w:sz w:val="24"/>
          <w:szCs w:val="24"/>
        </w:rPr>
        <w:t>€.</w:t>
      </w:r>
      <w:r w:rsidR="009F6F22" w:rsidRPr="00CE1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7442" w:rsidRPr="00CE1EFA">
        <w:rPr>
          <w:rFonts w:ascii="Times New Roman" w:eastAsia="Times New Roman" w:hAnsi="Times New Roman" w:cs="Times New Roman"/>
          <w:sz w:val="24"/>
          <w:szCs w:val="24"/>
        </w:rPr>
        <w:t xml:space="preserve">Pri obnove sa využijú </w:t>
      </w:r>
      <w:r w:rsidR="009F6F22" w:rsidRPr="00836C7A">
        <w:rPr>
          <w:rFonts w:ascii="Times New Roman" w:eastAsia="Times New Roman" w:hAnsi="Times New Roman" w:cs="Times New Roman"/>
          <w:sz w:val="24"/>
          <w:szCs w:val="24"/>
        </w:rPr>
        <w:t>finan</w:t>
      </w:r>
      <w:r w:rsidR="00AA7442" w:rsidRPr="00836C7A">
        <w:rPr>
          <w:rFonts w:ascii="Times New Roman" w:eastAsia="Times New Roman" w:hAnsi="Times New Roman" w:cs="Times New Roman"/>
          <w:sz w:val="24"/>
          <w:szCs w:val="24"/>
        </w:rPr>
        <w:t>čné</w:t>
      </w:r>
      <w:r w:rsidR="009F6F22" w:rsidRPr="00836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7442" w:rsidRPr="00836C7A">
        <w:rPr>
          <w:rFonts w:ascii="Times New Roman" w:eastAsia="Times New Roman" w:hAnsi="Times New Roman" w:cs="Times New Roman"/>
          <w:sz w:val="24"/>
          <w:szCs w:val="24"/>
        </w:rPr>
        <w:t>prostriedky zo</w:t>
      </w:r>
      <w:r w:rsidR="009F6F22" w:rsidRPr="00836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3E9D" w:rsidRPr="00836C7A">
        <w:rPr>
          <w:rFonts w:ascii="Times New Roman" w:eastAsia="Times New Roman" w:hAnsi="Times New Roman" w:cs="Times New Roman"/>
          <w:sz w:val="24"/>
          <w:szCs w:val="24"/>
        </w:rPr>
        <w:t>š</w:t>
      </w:r>
      <w:r w:rsidR="009F6F22" w:rsidRPr="00836C7A">
        <w:rPr>
          <w:rFonts w:ascii="Times New Roman" w:eastAsia="Times New Roman" w:hAnsi="Times New Roman" w:cs="Times New Roman"/>
          <w:sz w:val="24"/>
          <w:szCs w:val="24"/>
        </w:rPr>
        <w:t xml:space="preserve">tátneho </w:t>
      </w:r>
      <w:r w:rsidR="00D1704D" w:rsidRPr="00836C7A">
        <w:rPr>
          <w:rFonts w:ascii="Times New Roman" w:eastAsia="Times New Roman" w:hAnsi="Times New Roman" w:cs="Times New Roman"/>
          <w:sz w:val="24"/>
          <w:szCs w:val="24"/>
        </w:rPr>
        <w:t>rozpočtu</w:t>
      </w:r>
      <w:r w:rsidR="009F6F22" w:rsidRPr="00836C7A">
        <w:rPr>
          <w:rFonts w:ascii="Times New Roman" w:eastAsia="Times New Roman" w:hAnsi="Times New Roman" w:cs="Times New Roman"/>
          <w:sz w:val="24"/>
          <w:szCs w:val="24"/>
        </w:rPr>
        <w:t xml:space="preserve">  a </w:t>
      </w:r>
      <w:r w:rsidR="00DA441F" w:rsidRPr="00836C7A">
        <w:rPr>
          <w:rFonts w:ascii="Times New Roman" w:hAnsi="Times New Roman" w:cs="Times New Roman"/>
          <w:sz w:val="24"/>
          <w:szCs w:val="24"/>
          <w:lang w:eastAsia="cs-CZ"/>
        </w:rPr>
        <w:t>Operačného programu Kvalita životného prostredia</w:t>
      </w:r>
      <w:r w:rsidR="00D1704D" w:rsidRPr="00836C7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23E9D" w:rsidRPr="00CE1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28BE">
        <w:rPr>
          <w:rFonts w:ascii="Times New Roman" w:eastAsia="Times New Roman" w:hAnsi="Times New Roman" w:cs="Times New Roman"/>
          <w:sz w:val="24"/>
          <w:szCs w:val="24"/>
        </w:rPr>
        <w:t>Z prostriedkov</w:t>
      </w:r>
      <w:r w:rsidR="00D54ED6" w:rsidRPr="00CE1EFA">
        <w:rPr>
          <w:rFonts w:ascii="Times New Roman" w:eastAsia="Times New Roman" w:hAnsi="Times New Roman" w:cs="Times New Roman"/>
          <w:sz w:val="24"/>
          <w:szCs w:val="24"/>
        </w:rPr>
        <w:t xml:space="preserve"> štátneho rozpočtu by sa malo </w:t>
      </w:r>
      <w:r w:rsidR="00D54ED6" w:rsidRPr="00614D6B">
        <w:rPr>
          <w:rFonts w:ascii="Times New Roman" w:eastAsia="Times New Roman" w:hAnsi="Times New Roman" w:cs="Times New Roman"/>
          <w:sz w:val="24"/>
          <w:szCs w:val="24"/>
        </w:rPr>
        <w:t xml:space="preserve">obnoviť </w:t>
      </w:r>
      <w:r w:rsidR="00FF44A0" w:rsidRPr="00614D6B">
        <w:rPr>
          <w:rFonts w:ascii="Times New Roman" w:eastAsia="Times New Roman" w:hAnsi="Times New Roman" w:cs="Times New Roman"/>
          <w:sz w:val="24"/>
          <w:szCs w:val="24"/>
        </w:rPr>
        <w:t>2</w:t>
      </w:r>
      <w:r w:rsidR="00614D6B" w:rsidRPr="00614D6B">
        <w:rPr>
          <w:rFonts w:ascii="Times New Roman" w:eastAsia="Times New Roman" w:hAnsi="Times New Roman" w:cs="Times New Roman"/>
          <w:sz w:val="24"/>
          <w:szCs w:val="24"/>
        </w:rPr>
        <w:t>1</w:t>
      </w:r>
      <w:r w:rsidR="00E92CC7" w:rsidRPr="00614D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4ED6" w:rsidRPr="00614D6B">
        <w:rPr>
          <w:rFonts w:ascii="Times New Roman" w:eastAsia="Times New Roman" w:hAnsi="Times New Roman" w:cs="Times New Roman"/>
          <w:sz w:val="24"/>
          <w:szCs w:val="24"/>
        </w:rPr>
        <w:t>budov</w:t>
      </w:r>
      <w:r w:rsidR="00D54ED6" w:rsidRPr="00CE1EFA">
        <w:rPr>
          <w:rFonts w:ascii="Times New Roman" w:eastAsia="Times New Roman" w:hAnsi="Times New Roman" w:cs="Times New Roman"/>
          <w:sz w:val="24"/>
          <w:szCs w:val="24"/>
        </w:rPr>
        <w:t xml:space="preserve"> s odhadovanou výškou nákladov</w:t>
      </w:r>
      <w:r w:rsidR="00E92CC7" w:rsidRPr="00CE1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4D6B" w:rsidRPr="00614D6B">
        <w:rPr>
          <w:rFonts w:ascii="Times New Roman" w:eastAsia="Times New Roman" w:hAnsi="Times New Roman" w:cs="Times New Roman"/>
          <w:sz w:val="24"/>
          <w:szCs w:val="24"/>
        </w:rPr>
        <w:t>4</w:t>
      </w:r>
      <w:r w:rsidR="00EA1A59" w:rsidRPr="00614D6B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 </w:t>
      </w:r>
      <w:r w:rsidR="00614D6B" w:rsidRPr="00614D6B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>959</w:t>
      </w:r>
      <w:r w:rsidR="00FF44A0" w:rsidRPr="00614D6B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> </w:t>
      </w:r>
      <w:r w:rsidR="00CD0580" w:rsidRPr="00614D6B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>9</w:t>
      </w:r>
      <w:r w:rsidR="00FF44A0" w:rsidRPr="00614D6B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>26,92</w:t>
      </w:r>
      <w:r w:rsidR="00EB3B5C" w:rsidRPr="00614D6B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 </w:t>
      </w:r>
      <w:r w:rsidR="00FF42A5" w:rsidRPr="00614D6B">
        <w:rPr>
          <w:rFonts w:ascii="Times New Roman" w:eastAsia="Times New Roman" w:hAnsi="Times New Roman" w:cs="Times New Roman"/>
          <w:sz w:val="24"/>
          <w:szCs w:val="24"/>
        </w:rPr>
        <w:t>€</w:t>
      </w:r>
      <w:r w:rsidR="00D54ED6" w:rsidRPr="00CE1EFA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6F6A58" w:rsidRPr="00CE1EF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228BE">
        <w:rPr>
          <w:rFonts w:ascii="Times New Roman" w:eastAsia="Times New Roman" w:hAnsi="Times New Roman" w:cs="Times New Roman"/>
          <w:sz w:val="24"/>
          <w:szCs w:val="24"/>
        </w:rPr>
        <w:t>z prostriedkov</w:t>
      </w:r>
      <w:r w:rsidR="00D54ED6" w:rsidRPr="00CE1EFA">
        <w:rPr>
          <w:rFonts w:ascii="Times New Roman" w:eastAsia="Times New Roman" w:hAnsi="Times New Roman" w:cs="Times New Roman"/>
          <w:sz w:val="24"/>
          <w:szCs w:val="24"/>
        </w:rPr>
        <w:t xml:space="preserve"> OP KŽP by sa mal</w:t>
      </w:r>
      <w:r w:rsidR="007F6800" w:rsidRPr="00CE1EFA">
        <w:rPr>
          <w:rFonts w:ascii="Times New Roman" w:eastAsia="Times New Roman" w:hAnsi="Times New Roman" w:cs="Times New Roman"/>
          <w:sz w:val="24"/>
          <w:szCs w:val="24"/>
        </w:rPr>
        <w:t>o</w:t>
      </w:r>
      <w:r w:rsidR="00D54ED6" w:rsidRPr="00CE1EFA">
        <w:rPr>
          <w:rFonts w:ascii="Times New Roman" w:eastAsia="Times New Roman" w:hAnsi="Times New Roman" w:cs="Times New Roman"/>
          <w:sz w:val="24"/>
          <w:szCs w:val="24"/>
        </w:rPr>
        <w:t xml:space="preserve"> obnoviť </w:t>
      </w:r>
      <w:r w:rsidR="007F6800" w:rsidRPr="00614D6B">
        <w:rPr>
          <w:rFonts w:ascii="Times New Roman" w:eastAsia="Times New Roman" w:hAnsi="Times New Roman" w:cs="Times New Roman"/>
          <w:sz w:val="24"/>
          <w:szCs w:val="24"/>
        </w:rPr>
        <w:t>6</w:t>
      </w:r>
      <w:r w:rsidR="00E92CC7" w:rsidRPr="00614D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4ED6" w:rsidRPr="00614D6B">
        <w:rPr>
          <w:rFonts w:ascii="Times New Roman" w:eastAsia="Times New Roman" w:hAnsi="Times New Roman" w:cs="Times New Roman"/>
          <w:sz w:val="24"/>
          <w:szCs w:val="24"/>
        </w:rPr>
        <w:t>budov</w:t>
      </w:r>
      <w:r w:rsidR="00DA441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D54ED6" w:rsidRPr="00CE1EFA">
        <w:rPr>
          <w:rFonts w:ascii="Times New Roman" w:eastAsia="Times New Roman" w:hAnsi="Times New Roman" w:cs="Times New Roman"/>
          <w:sz w:val="24"/>
          <w:szCs w:val="24"/>
        </w:rPr>
        <w:t xml:space="preserve">s odhadovanou výškou </w:t>
      </w:r>
      <w:r w:rsidR="00D54ED6" w:rsidRPr="00614D6B">
        <w:rPr>
          <w:rFonts w:ascii="Times New Roman" w:eastAsia="Times New Roman" w:hAnsi="Times New Roman" w:cs="Times New Roman"/>
          <w:sz w:val="24"/>
          <w:szCs w:val="24"/>
        </w:rPr>
        <w:t xml:space="preserve">nákladov </w:t>
      </w:r>
      <w:r w:rsidR="007F6800" w:rsidRPr="00614D6B">
        <w:rPr>
          <w:rFonts w:ascii="Times New Roman" w:eastAsia="Times New Roman" w:hAnsi="Times New Roman" w:cs="Times New Roman"/>
          <w:sz w:val="24"/>
          <w:szCs w:val="24"/>
        </w:rPr>
        <w:t>4 167 570,9</w:t>
      </w:r>
      <w:r w:rsidR="00E228BE" w:rsidRPr="00614D6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B3B5C" w:rsidRPr="00614D6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F42A5" w:rsidRPr="00614D6B">
        <w:rPr>
          <w:rFonts w:ascii="Times New Roman" w:eastAsia="Times New Roman" w:hAnsi="Times New Roman" w:cs="Times New Roman"/>
          <w:sz w:val="24"/>
          <w:szCs w:val="24"/>
        </w:rPr>
        <w:t>€</w:t>
      </w:r>
      <w:r w:rsidR="00D54ED6" w:rsidRPr="00614D6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F22" w:rsidRPr="00CE1EFA" w:rsidRDefault="009F6F22" w:rsidP="006F6A58">
      <w:pPr>
        <w:tabs>
          <w:tab w:val="righ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Mriekatabuky1"/>
        <w:tblW w:w="5000" w:type="pct"/>
        <w:tblLook w:val="04A0" w:firstRow="1" w:lastRow="0" w:firstColumn="1" w:lastColumn="0" w:noHBand="0" w:noVBand="1"/>
      </w:tblPr>
      <w:tblGrid>
        <w:gridCol w:w="2234"/>
        <w:gridCol w:w="3119"/>
        <w:gridCol w:w="1843"/>
        <w:gridCol w:w="2092"/>
      </w:tblGrid>
      <w:tr w:rsidR="00CE1EFA" w:rsidRPr="00CE1EFA" w:rsidTr="00D60E5F"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23975" w:rsidRPr="00CE1EFA" w:rsidRDefault="00823975" w:rsidP="006F6A5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E1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Indikátor</w:t>
            </w:r>
          </w:p>
        </w:tc>
        <w:tc>
          <w:tcPr>
            <w:tcW w:w="16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23975" w:rsidRPr="00CE1EFA" w:rsidRDefault="00823975" w:rsidP="006F6A5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23975" w:rsidRPr="00CE1EFA" w:rsidRDefault="00823975" w:rsidP="006F6A5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975" w:rsidRPr="00CE1EFA" w:rsidRDefault="00823975" w:rsidP="006F6A5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CE1EFA" w:rsidRPr="00CE1EFA" w:rsidTr="00D60E5F"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75" w:rsidRPr="00CE1EFA" w:rsidRDefault="00823975" w:rsidP="00BA63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Forma financovania </w:t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75" w:rsidRPr="00CE1EFA" w:rsidRDefault="00823975" w:rsidP="00BA63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Odhadovaná výška nákladov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75" w:rsidRPr="00CE1EFA" w:rsidRDefault="00823975" w:rsidP="00BA63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Počet projektov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75" w:rsidRPr="00CE1EFA" w:rsidRDefault="00823975" w:rsidP="00BA63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 w:rsidRPr="00CE1E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Obnovená plocha</w:t>
            </w:r>
          </w:p>
        </w:tc>
      </w:tr>
      <w:tr w:rsidR="00CE1EFA" w:rsidRPr="00CE1EFA" w:rsidTr="00BA63D8"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75" w:rsidRPr="00CE1EFA" w:rsidRDefault="00823975" w:rsidP="00BA63D8">
            <w:pPr>
              <w:tabs>
                <w:tab w:val="righ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EFA">
              <w:rPr>
                <w:rFonts w:ascii="Times New Roman" w:eastAsia="Times New Roman" w:hAnsi="Times New Roman" w:cs="Times New Roman"/>
                <w:sz w:val="24"/>
                <w:szCs w:val="24"/>
              </w:rPr>
              <w:t>Štátny rozpočet</w:t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75" w:rsidRPr="00614D6B" w:rsidRDefault="00614D6B" w:rsidP="00614D6B">
            <w:pPr>
              <w:tabs>
                <w:tab w:val="righ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4</w:t>
            </w:r>
            <w:r w:rsidR="00FF44A0" w:rsidRPr="00614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614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959</w:t>
            </w:r>
            <w:r w:rsidR="00FF44A0" w:rsidRPr="00614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 </w:t>
            </w:r>
            <w:r w:rsidR="00E228BE" w:rsidRPr="00614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9</w:t>
            </w:r>
            <w:r w:rsidR="00FF44A0" w:rsidRPr="00614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 xml:space="preserve">26,92 </w:t>
            </w:r>
            <w:r w:rsidR="00823975"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75" w:rsidRPr="00614D6B" w:rsidRDefault="00FF44A0" w:rsidP="00614D6B">
            <w:pPr>
              <w:tabs>
                <w:tab w:val="righ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14D6B"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75" w:rsidRPr="00C171EF" w:rsidRDefault="0076483C" w:rsidP="0076483C">
            <w:pPr>
              <w:tabs>
                <w:tab w:val="righ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6483C">
              <w:rPr>
                <w:rFonts w:ascii="Times New Roman" w:eastAsia="Times New Roman" w:hAnsi="Times New Roman" w:cs="Times New Roman"/>
                <w:sz w:val="24"/>
                <w:szCs w:val="24"/>
              </w:rPr>
              <w:t>51 417,12</w:t>
            </w:r>
            <w:r w:rsidR="007A07DB" w:rsidRPr="007648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23975" w:rsidRPr="0076483C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823975" w:rsidRPr="0076483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CE1EFA" w:rsidRPr="00CE1EFA" w:rsidTr="00BA63D8"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75" w:rsidRPr="00614D6B" w:rsidRDefault="00823975" w:rsidP="00BA63D8">
            <w:pPr>
              <w:tabs>
                <w:tab w:val="righ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>OP KŽP</w:t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75" w:rsidRPr="00614D6B" w:rsidRDefault="007F6800" w:rsidP="007A07DB">
            <w:pPr>
              <w:tabs>
                <w:tab w:val="righ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>4 167 570</w:t>
            </w:r>
            <w:r w:rsidR="00FF44A0"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  <w:r w:rsidR="00E228BE"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F44A0" w:rsidRPr="00614D6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EB3B5C" w:rsidRPr="00614D6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823975"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75" w:rsidRPr="00614D6B" w:rsidRDefault="007F6800" w:rsidP="00BA63D8">
            <w:pPr>
              <w:tabs>
                <w:tab w:val="righ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75" w:rsidRPr="00614D6B" w:rsidRDefault="00BE12EF" w:rsidP="00BE12EF">
            <w:pPr>
              <w:tabs>
                <w:tab w:val="righ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BF0ECC"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  <w:r w:rsidR="007A07DB"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23975" w:rsidRPr="00614D6B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823975" w:rsidRPr="00614D6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</w:tbl>
    <w:p w:rsidR="009F6F22" w:rsidRPr="00CE1EFA" w:rsidRDefault="009F6F22" w:rsidP="006F6A58">
      <w:pPr>
        <w:tabs>
          <w:tab w:val="righ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71A9" w:rsidRPr="00CE1EFA" w:rsidRDefault="00F271A9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71A9" w:rsidRPr="00CE1EFA" w:rsidRDefault="00BE12EF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Stav realizácie obnovy relevantných budov z doterajších plánov obnovy</w:t>
      </w:r>
    </w:p>
    <w:p w:rsidR="00B12340" w:rsidRPr="00CE1EFA" w:rsidRDefault="00B12340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</w:p>
    <w:p w:rsidR="00727D96" w:rsidRPr="00CE1EFA" w:rsidRDefault="00B12340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ab/>
      </w:r>
      <w:r w:rsidRPr="00CE1EF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Na základe úlohy vyplývajúcej z § 10 ods. 1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zákona č. 321/2014 Z. z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.,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sú spracovávané každoročne plány obnovy relevantných budov. Doteraz boli spracované v rokoch 2015, 2016 a 2017. Ich plnenie je závislé od mnohých faktorov, predovšetkým od finančných možností ÚOŠS</w:t>
      </w:r>
      <w:r w:rsidR="00EE16A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aj keď</w:t>
      </w:r>
      <w:r w:rsidR="00EE16A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sa finančné prostriedky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alokujú</w:t>
      </w:r>
      <w:r w:rsidR="00EE16A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, ich ďalšie plnenie je determinované zákonmi a z nich vyplývajúcich termínov pre jednotlivé etapy. Rozhodujúcimi sú predovšetkým vyhlásenie verejného obstarávania na spracovanie projektovej dokumentácie, jej spracovanie, podanie žiadostí o stavebné povolenie, jeho vydanie, vyhlásenie verejného obstarávania na dodávateľa významnej obnovy, jej samotná realizácia a vydanie kolaudačného rozhodnutia. Práve cez túto prizmu je potrebné nazerať a hodnotiť tento proces.</w:t>
      </w:r>
    </w:p>
    <w:p w:rsidR="00727D96" w:rsidRPr="00CE1EFA" w:rsidRDefault="00EE16A1" w:rsidP="00727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Na základe informácií od ÚOŠS predkladáme stručné informácie o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 napĺňaní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 jednotlivých doteraz vypracovaných plánoch</w:t>
      </w:r>
      <w:r w:rsidR="00727D96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727D96" w:rsidRPr="00CE1EFA" w:rsidRDefault="00727D96" w:rsidP="00727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727D96" w:rsidRPr="00CE1EFA" w:rsidRDefault="00727D96" w:rsidP="00727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Rok 2015</w:t>
      </w:r>
    </w:p>
    <w:p w:rsidR="00B12340" w:rsidRPr="00CE1EFA" w:rsidRDefault="00727D96" w:rsidP="00727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Plán obnovy relevantných budov 2015 bol schválený na rokovaní vlády SR prijatím uznesenia č. 386/2015 a úlohou B</w:t>
      </w:r>
      <w:r w:rsidR="00DA441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1</w:t>
      </w:r>
      <w:r w:rsidR="00DA441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schválený rozsah obnovy podľa prílohy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č.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2. Plán obsahuje 72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budov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určených na významnú obnovu v správe MV SR. K 31. 12. 2017 je ukončená významná obnova u</w:t>
      </w:r>
      <w:r w:rsidR="00031FD2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3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budo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v, čo predstavuje</w:t>
      </w:r>
      <w:r w:rsidR="00031FD2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5</w:t>
      </w:r>
      <w:r w:rsidR="00066F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31FD2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440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2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čo je </w:t>
      </w:r>
      <w:r w:rsidR="00031FD2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2,8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% z plánovanej 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celkovej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obnov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ovanej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podlahovej plochy. V štádiu realizácie obnovy je </w:t>
      </w:r>
      <w:r w:rsidR="00031FD2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59,66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% celkovej plánovanej podlahovej plochy, </w:t>
      </w:r>
      <w:r w:rsidR="00031FD2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28,2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% je v štádiu žiadosti o n</w:t>
      </w:r>
      <w:r w:rsidR="00E228E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o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vé finančné prostriedky </w:t>
      </w:r>
      <w:r w:rsidR="00066F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    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="00066F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31FD2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9,3</w:t>
      </w:r>
      <w:r w:rsidR="00066F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%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plochy predstavuje vyradené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budov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y z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plánu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obnovy. 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Významná obnova uvedených </w:t>
      </w:r>
      <w:r w:rsidR="00031FD2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3</w:t>
      </w:r>
      <w:r w:rsidR="00A3507E" w:rsidRPr="00CE1EFA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bud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ov bola realizovaná z finančných prostriedkov OP KŽP.</w:t>
      </w:r>
    </w:p>
    <w:p w:rsidR="00727D96" w:rsidRPr="00CE1EFA" w:rsidRDefault="00727D96" w:rsidP="00727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727D96" w:rsidRPr="00CE1EFA" w:rsidRDefault="00727D96" w:rsidP="00727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Rok 2016</w:t>
      </w:r>
    </w:p>
    <w:p w:rsidR="00A3507E" w:rsidRPr="00CE1EFA" w:rsidRDefault="00727D96" w:rsidP="00A350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Plán obnovy relevantných budov 2016 </w:t>
      </w:r>
      <w:r w:rsidR="00E228E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bol schválený na rokovaní vlády SR prijatím uznesenia č. 286/2016 a úlohou B</w:t>
      </w:r>
      <w:r w:rsidR="00DA441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E228E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1</w:t>
      </w:r>
      <w:r w:rsidR="00DA441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E228E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schválený rozsah obnovy podľa prílohy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č.</w:t>
      </w:r>
      <w:r w:rsidR="00E228E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2. Plán obsahuje 26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bud</w:t>
      </w:r>
      <w:r w:rsidR="00E228E1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ov určených na významnú obnovu v správe MS SR, MO SR, MF SR a ÚPV SR.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 31. 12. 2017 je ukončená významná obnova  17 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bud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ov, čo predstavuje 24 951,1 m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2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čo je 42,1 % z plánovanej celkovej obnovovanej podlahovej plochy. Pred dokončením je 1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budova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 celkovou podlahovou plochou 5 231 m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 xml:space="preserve">2  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čo predstavuje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 xml:space="preserve">  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8,8 %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 xml:space="preserve">  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z plánovanej obnovovanej</w:t>
      </w:r>
      <w:r w:rsidR="00836C7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celkovej </w:t>
      </w:r>
      <w:r w:rsidR="00836C7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podlahovej plochy. Jedn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budova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</w:t>
      </w:r>
      <w:r w:rsidR="00836C7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podlahovou</w:t>
      </w:r>
      <w:r w:rsidR="00836C7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plochou 5 932 m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2</w:t>
      </w:r>
      <w:r w:rsidR="005A118A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sa prehodnocuje, čo predstavuje 10 % z plánovanej celkovej obnovovanej podlahovej plochy</w:t>
      </w:r>
      <w:r w:rsidR="00874D9B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Významná obnova uvedených 17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bud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ov bola realizovaná z finančných prostriedkov štátneho rozpočtu.</w:t>
      </w:r>
    </w:p>
    <w:p w:rsidR="00874D9B" w:rsidRPr="00CE1EFA" w:rsidRDefault="00874D9B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74D9B" w:rsidRPr="00CE1EFA" w:rsidRDefault="00874D9B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CE1EF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Rok 2017</w:t>
      </w:r>
    </w:p>
    <w:p w:rsidR="00A3507E" w:rsidRPr="00CE1EFA" w:rsidRDefault="00874D9B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Plán obnovy relevantných budov 2017 bol schválený na rokovaní vlády SR prijatím uznesenia č. 344/2017 a úlohami B</w:t>
      </w:r>
      <w:r w:rsidR="00DA441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1</w:t>
      </w:r>
      <w:r w:rsidR="00DA441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</w:t>
      </w:r>
      <w:r w:rsidR="00DA441F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</w:t>
      </w:r>
      <w:r w:rsidR="00DA441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="00DA441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schválený rozsah obnovy podľa prílohy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č.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2. Plán obsahuje 41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budov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určených na významnú obnovu v správe MS SR, MO SR a  MF SR. </w:t>
      </w:r>
      <w:r w:rsidR="00836C7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 31. 12. 2017 je ukončená významná obnova  10 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bud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ov, čo predstavuje 17 208,7 m</w:t>
      </w:r>
      <w:r w:rsidRPr="00CE1EF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2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čo je 15,4 % z plánovanej celkovej obnovovanej podlahovej plochy. V štádiu realizácie je 12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bud</w:t>
      </w:r>
      <w:r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ov, čo predstavuje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38 469,6 m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2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čo je 34,3 % z plánovanej celkovej obnovovanej podlahovej plochy </w:t>
      </w:r>
      <w:r w:rsidR="000B4F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="000B4F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2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budov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y sa prehodnocujú o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ploche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3</w:t>
      </w:r>
      <w:r w:rsidR="00836C7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580 m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2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čo je 3,2 % z plánovanej celkovej obnovovanej podlahovej plochy. Významná obnova uvedených 10 </w:t>
      </w:r>
      <w:r w:rsidR="00BE12EF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bud</w:t>
      </w:r>
      <w:r w:rsidR="00A3507E" w:rsidRPr="00CE1EFA">
        <w:rPr>
          <w:rFonts w:ascii="Times New Roman" w:eastAsia="Times New Roman" w:hAnsi="Times New Roman" w:cs="Times New Roman"/>
          <w:sz w:val="24"/>
          <w:szCs w:val="24"/>
          <w:lang w:eastAsia="en-GB"/>
        </w:rPr>
        <w:t>ov bola realizovaná z finančných prostriedkov štátneho rozpočtu.</w:t>
      </w:r>
    </w:p>
    <w:p w:rsidR="00F271A9" w:rsidRPr="00CE1EFA" w:rsidRDefault="00F271A9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71A9" w:rsidRPr="00CE1EFA" w:rsidRDefault="00F271A9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75E5" w:rsidRPr="00CE1EFA" w:rsidRDefault="002F75E5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b/>
          <w:sz w:val="24"/>
          <w:szCs w:val="24"/>
        </w:rPr>
        <w:t>Záver</w:t>
      </w:r>
    </w:p>
    <w:p w:rsidR="002F75E5" w:rsidRPr="00CE1EFA" w:rsidRDefault="002F75E5" w:rsidP="006F6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3E1B" w:rsidRPr="00CE1EFA" w:rsidRDefault="00513E1B" w:rsidP="00D7072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1EFA">
        <w:rPr>
          <w:rFonts w:ascii="Times New Roman" w:hAnsi="Times New Roman" w:cs="Times New Roman"/>
          <w:sz w:val="24"/>
          <w:szCs w:val="24"/>
        </w:rPr>
        <w:t>Dôležité je z hľadiska obnovy budov ÚOŠS dlhodobé plánovanie, vrátane alokovania dostatočných finančných prostriedkov, realizovať obnovu nie čiastkovo ale kompletne a nad úroveň minimálnych požiadaviek energetickej hospodárnosti. Úspora energie po obnove bude znamenať zníženie nákladov pri prevádzke týchto budov.</w:t>
      </w:r>
    </w:p>
    <w:p w:rsidR="00513E1B" w:rsidRPr="00CE1EFA" w:rsidRDefault="00513E1B" w:rsidP="00D7072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EFA">
        <w:rPr>
          <w:rFonts w:ascii="Times New Roman" w:eastAsia="Times New Roman" w:hAnsi="Times New Roman" w:cs="Times New Roman"/>
          <w:sz w:val="24"/>
          <w:szCs w:val="24"/>
        </w:rPr>
        <w:t xml:space="preserve">Príprava obnovy budov vo vlastníctve štátu je proces, ktorý vyžaduje poznať skutočný stav budov na základe ich technického posúdenia (EC, energetické hodnotenie, energetické audity), navrhnúť nákladovo efektívne opatrenia a vykonať  projektovú prípravu. Významnou úlohou pre zodpovedný ÚOŠS je zabezpečenie financovania. </w:t>
      </w:r>
    </w:p>
    <w:sectPr w:rsidR="00513E1B" w:rsidRPr="00CE1EFA" w:rsidSect="00BE67E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BAB" w:rsidRDefault="001B7BAB" w:rsidP="00B14739">
      <w:pPr>
        <w:spacing w:after="0" w:line="240" w:lineRule="auto"/>
      </w:pPr>
      <w:r>
        <w:separator/>
      </w:r>
    </w:p>
  </w:endnote>
  <w:endnote w:type="continuationSeparator" w:id="0">
    <w:p w:rsidR="001B7BAB" w:rsidRDefault="001B7BAB" w:rsidP="00B14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7522080"/>
      <w:docPartObj>
        <w:docPartGallery w:val="Page Numbers (Bottom of Page)"/>
        <w:docPartUnique/>
      </w:docPartObj>
    </w:sdtPr>
    <w:sdtEndPr/>
    <w:sdtContent>
      <w:p w:rsidR="00C71E0D" w:rsidRDefault="005F5D54">
        <w:pPr>
          <w:pStyle w:val="Pta"/>
          <w:jc w:val="right"/>
        </w:pPr>
        <w:r>
          <w:fldChar w:fldCharType="begin"/>
        </w:r>
        <w:r w:rsidR="00C71E0D">
          <w:instrText>PAGE   \* MERGEFORMAT</w:instrText>
        </w:r>
        <w:r>
          <w:fldChar w:fldCharType="separate"/>
        </w:r>
        <w:r w:rsidR="00A44AC3">
          <w:rPr>
            <w:noProof/>
          </w:rPr>
          <w:t>1</w:t>
        </w:r>
        <w:r>
          <w:fldChar w:fldCharType="end"/>
        </w:r>
      </w:p>
    </w:sdtContent>
  </w:sdt>
  <w:p w:rsidR="00C71E0D" w:rsidRDefault="00C71E0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BAB" w:rsidRDefault="001B7BAB" w:rsidP="00B14739">
      <w:pPr>
        <w:spacing w:after="0" w:line="240" w:lineRule="auto"/>
      </w:pPr>
      <w:r>
        <w:separator/>
      </w:r>
    </w:p>
  </w:footnote>
  <w:footnote w:type="continuationSeparator" w:id="0">
    <w:p w:rsidR="001B7BAB" w:rsidRDefault="001B7BAB" w:rsidP="00B14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223DE"/>
    <w:multiLevelType w:val="hybridMultilevel"/>
    <w:tmpl w:val="6F92CA4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72A37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276E6DCD"/>
    <w:multiLevelType w:val="hybridMultilevel"/>
    <w:tmpl w:val="46E05A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F7061"/>
    <w:multiLevelType w:val="hybridMultilevel"/>
    <w:tmpl w:val="091603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67828"/>
    <w:multiLevelType w:val="hybridMultilevel"/>
    <w:tmpl w:val="BE1A7C20"/>
    <w:lvl w:ilvl="0" w:tplc="08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5" w15:restartNumberingAfterBreak="0">
    <w:nsid w:val="2FE93486"/>
    <w:multiLevelType w:val="hybridMultilevel"/>
    <w:tmpl w:val="6CAC5B54"/>
    <w:lvl w:ilvl="0" w:tplc="4984C8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85022D"/>
    <w:multiLevelType w:val="hybridMultilevel"/>
    <w:tmpl w:val="46628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46EF2"/>
    <w:multiLevelType w:val="hybridMultilevel"/>
    <w:tmpl w:val="4BB28446"/>
    <w:lvl w:ilvl="0" w:tplc="0DCE07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AB24E2"/>
    <w:multiLevelType w:val="hybridMultilevel"/>
    <w:tmpl w:val="3318B150"/>
    <w:lvl w:ilvl="0" w:tplc="301856AA">
      <w:start w:val="2"/>
      <w:numFmt w:val="bullet"/>
      <w:lvlText w:val="-"/>
      <w:lvlJc w:val="left"/>
      <w:pPr>
        <w:ind w:left="2328" w:hanging="360"/>
      </w:pPr>
      <w:rPr>
        <w:rFonts w:ascii="Times New Roman" w:eastAsia="Times New Roman" w:hAnsi="Times New Roman" w:cs="Times New Roman" w:hint="default"/>
        <w:color w:val="00B050"/>
      </w:rPr>
    </w:lvl>
    <w:lvl w:ilvl="1" w:tplc="041B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9" w15:restartNumberingAfterBreak="0">
    <w:nsid w:val="5A6B08F2"/>
    <w:multiLevelType w:val="hybridMultilevel"/>
    <w:tmpl w:val="417C94E4"/>
    <w:lvl w:ilvl="0" w:tplc="5BA418A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C0B61"/>
    <w:multiLevelType w:val="hybridMultilevel"/>
    <w:tmpl w:val="2020B438"/>
    <w:lvl w:ilvl="0" w:tplc="8BD60F1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91327CA"/>
    <w:multiLevelType w:val="hybridMultilevel"/>
    <w:tmpl w:val="1F90221E"/>
    <w:lvl w:ilvl="0" w:tplc="44B8BA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4"/>
  </w:num>
  <w:num w:numId="7">
    <w:abstractNumId w:val="9"/>
  </w:num>
  <w:num w:numId="8">
    <w:abstractNumId w:val="2"/>
  </w:num>
  <w:num w:numId="9">
    <w:abstractNumId w:val="6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5E73"/>
    <w:rsid w:val="000018DA"/>
    <w:rsid w:val="00002BF8"/>
    <w:rsid w:val="00011B17"/>
    <w:rsid w:val="00017FD3"/>
    <w:rsid w:val="00031EB4"/>
    <w:rsid w:val="00031FD2"/>
    <w:rsid w:val="00036840"/>
    <w:rsid w:val="00047387"/>
    <w:rsid w:val="000547E5"/>
    <w:rsid w:val="000565C6"/>
    <w:rsid w:val="00066BA9"/>
    <w:rsid w:val="00066F42"/>
    <w:rsid w:val="00081349"/>
    <w:rsid w:val="00081DD6"/>
    <w:rsid w:val="000843E7"/>
    <w:rsid w:val="00085155"/>
    <w:rsid w:val="0008548B"/>
    <w:rsid w:val="000959EC"/>
    <w:rsid w:val="000A2B13"/>
    <w:rsid w:val="000B4F61"/>
    <w:rsid w:val="000B68A6"/>
    <w:rsid w:val="000C5FDD"/>
    <w:rsid w:val="000C609B"/>
    <w:rsid w:val="000D2545"/>
    <w:rsid w:val="00102107"/>
    <w:rsid w:val="00102DA9"/>
    <w:rsid w:val="00103C9E"/>
    <w:rsid w:val="00113788"/>
    <w:rsid w:val="001226CB"/>
    <w:rsid w:val="00134278"/>
    <w:rsid w:val="001374E5"/>
    <w:rsid w:val="00145780"/>
    <w:rsid w:val="001753D7"/>
    <w:rsid w:val="0018060D"/>
    <w:rsid w:val="00186092"/>
    <w:rsid w:val="001A334D"/>
    <w:rsid w:val="001A64A3"/>
    <w:rsid w:val="001B79D5"/>
    <w:rsid w:val="001B7BAB"/>
    <w:rsid w:val="001C55A3"/>
    <w:rsid w:val="001D2814"/>
    <w:rsid w:val="001D5E34"/>
    <w:rsid w:val="001E58C0"/>
    <w:rsid w:val="001E5B8E"/>
    <w:rsid w:val="001F49BB"/>
    <w:rsid w:val="0020740E"/>
    <w:rsid w:val="002321A9"/>
    <w:rsid w:val="00237DC5"/>
    <w:rsid w:val="00240216"/>
    <w:rsid w:val="00241D19"/>
    <w:rsid w:val="00242C1A"/>
    <w:rsid w:val="002464FC"/>
    <w:rsid w:val="00260234"/>
    <w:rsid w:val="00263258"/>
    <w:rsid w:val="00272BA9"/>
    <w:rsid w:val="0029028E"/>
    <w:rsid w:val="00292700"/>
    <w:rsid w:val="00297D1E"/>
    <w:rsid w:val="002A469D"/>
    <w:rsid w:val="002C0C44"/>
    <w:rsid w:val="002D2571"/>
    <w:rsid w:val="002E0DF7"/>
    <w:rsid w:val="002E5CA5"/>
    <w:rsid w:val="002F7055"/>
    <w:rsid w:val="002F7530"/>
    <w:rsid w:val="002F75E5"/>
    <w:rsid w:val="00301581"/>
    <w:rsid w:val="00303055"/>
    <w:rsid w:val="003063C1"/>
    <w:rsid w:val="00313572"/>
    <w:rsid w:val="0032012A"/>
    <w:rsid w:val="00322202"/>
    <w:rsid w:val="00324B22"/>
    <w:rsid w:val="00335E6B"/>
    <w:rsid w:val="0034149B"/>
    <w:rsid w:val="00347286"/>
    <w:rsid w:val="00354146"/>
    <w:rsid w:val="0036281F"/>
    <w:rsid w:val="00373086"/>
    <w:rsid w:val="00374E8A"/>
    <w:rsid w:val="0038760C"/>
    <w:rsid w:val="00391B00"/>
    <w:rsid w:val="003A1B43"/>
    <w:rsid w:val="003B58A7"/>
    <w:rsid w:val="003B7CFF"/>
    <w:rsid w:val="003D27E6"/>
    <w:rsid w:val="003E62B9"/>
    <w:rsid w:val="003F44FB"/>
    <w:rsid w:val="004025EC"/>
    <w:rsid w:val="004067FC"/>
    <w:rsid w:val="00412AFD"/>
    <w:rsid w:val="00417716"/>
    <w:rsid w:val="00427253"/>
    <w:rsid w:val="004330B7"/>
    <w:rsid w:val="0044476D"/>
    <w:rsid w:val="00447EA3"/>
    <w:rsid w:val="00465188"/>
    <w:rsid w:val="00471ABD"/>
    <w:rsid w:val="004855E8"/>
    <w:rsid w:val="004903F4"/>
    <w:rsid w:val="004D02DF"/>
    <w:rsid w:val="004D21FE"/>
    <w:rsid w:val="004D5C45"/>
    <w:rsid w:val="004D5CF0"/>
    <w:rsid w:val="004F364E"/>
    <w:rsid w:val="004F3922"/>
    <w:rsid w:val="00511DB2"/>
    <w:rsid w:val="00511E3E"/>
    <w:rsid w:val="00513E1B"/>
    <w:rsid w:val="00515302"/>
    <w:rsid w:val="005314E9"/>
    <w:rsid w:val="00531597"/>
    <w:rsid w:val="0053384B"/>
    <w:rsid w:val="005471A6"/>
    <w:rsid w:val="0055244A"/>
    <w:rsid w:val="005535B3"/>
    <w:rsid w:val="00553970"/>
    <w:rsid w:val="005574F1"/>
    <w:rsid w:val="005652D3"/>
    <w:rsid w:val="005657DF"/>
    <w:rsid w:val="00571990"/>
    <w:rsid w:val="00591CD3"/>
    <w:rsid w:val="00597952"/>
    <w:rsid w:val="005A118A"/>
    <w:rsid w:val="005E2B4A"/>
    <w:rsid w:val="005F35DE"/>
    <w:rsid w:val="005F5D54"/>
    <w:rsid w:val="0060154B"/>
    <w:rsid w:val="006023D3"/>
    <w:rsid w:val="006133B0"/>
    <w:rsid w:val="00613C5F"/>
    <w:rsid w:val="00614D6B"/>
    <w:rsid w:val="00623D72"/>
    <w:rsid w:val="00651082"/>
    <w:rsid w:val="00655AEC"/>
    <w:rsid w:val="00671E77"/>
    <w:rsid w:val="0068420C"/>
    <w:rsid w:val="006B1ECD"/>
    <w:rsid w:val="006B281E"/>
    <w:rsid w:val="006B3DB4"/>
    <w:rsid w:val="006C5ADF"/>
    <w:rsid w:val="006C71FA"/>
    <w:rsid w:val="006E16BD"/>
    <w:rsid w:val="006E175D"/>
    <w:rsid w:val="006E1AFD"/>
    <w:rsid w:val="006E6912"/>
    <w:rsid w:val="006F3BF1"/>
    <w:rsid w:val="006F6A58"/>
    <w:rsid w:val="006F760E"/>
    <w:rsid w:val="00706BB3"/>
    <w:rsid w:val="007109C2"/>
    <w:rsid w:val="0071609C"/>
    <w:rsid w:val="00724752"/>
    <w:rsid w:val="007267E9"/>
    <w:rsid w:val="00727D96"/>
    <w:rsid w:val="007356AD"/>
    <w:rsid w:val="007429DE"/>
    <w:rsid w:val="007476D8"/>
    <w:rsid w:val="00756828"/>
    <w:rsid w:val="0076483C"/>
    <w:rsid w:val="00775BE2"/>
    <w:rsid w:val="00783A11"/>
    <w:rsid w:val="007925DB"/>
    <w:rsid w:val="00793FEF"/>
    <w:rsid w:val="00795F3F"/>
    <w:rsid w:val="007A07DB"/>
    <w:rsid w:val="007A2995"/>
    <w:rsid w:val="007A4CF9"/>
    <w:rsid w:val="007C0AA3"/>
    <w:rsid w:val="007C2203"/>
    <w:rsid w:val="007E11FD"/>
    <w:rsid w:val="007E1702"/>
    <w:rsid w:val="007F6800"/>
    <w:rsid w:val="00807A41"/>
    <w:rsid w:val="00823975"/>
    <w:rsid w:val="00833ED7"/>
    <w:rsid w:val="00836C7A"/>
    <w:rsid w:val="008468B1"/>
    <w:rsid w:val="008608C3"/>
    <w:rsid w:val="00866AB0"/>
    <w:rsid w:val="00874D9B"/>
    <w:rsid w:val="00881496"/>
    <w:rsid w:val="00886617"/>
    <w:rsid w:val="00894021"/>
    <w:rsid w:val="00895C7C"/>
    <w:rsid w:val="008A7730"/>
    <w:rsid w:val="008B4468"/>
    <w:rsid w:val="008C0F14"/>
    <w:rsid w:val="008C53AF"/>
    <w:rsid w:val="008D2AD8"/>
    <w:rsid w:val="008E284D"/>
    <w:rsid w:val="008E2AC2"/>
    <w:rsid w:val="008F0C03"/>
    <w:rsid w:val="008F61F4"/>
    <w:rsid w:val="00943410"/>
    <w:rsid w:val="0095180F"/>
    <w:rsid w:val="00965BFC"/>
    <w:rsid w:val="00966B09"/>
    <w:rsid w:val="00973DD0"/>
    <w:rsid w:val="0097709A"/>
    <w:rsid w:val="009806DF"/>
    <w:rsid w:val="00981267"/>
    <w:rsid w:val="00987600"/>
    <w:rsid w:val="009B0D92"/>
    <w:rsid w:val="009B1DD9"/>
    <w:rsid w:val="009C477B"/>
    <w:rsid w:val="009E1C59"/>
    <w:rsid w:val="009F5003"/>
    <w:rsid w:val="009F6F22"/>
    <w:rsid w:val="00A01789"/>
    <w:rsid w:val="00A12BD1"/>
    <w:rsid w:val="00A22106"/>
    <w:rsid w:val="00A30A9E"/>
    <w:rsid w:val="00A3507E"/>
    <w:rsid w:val="00A44AC3"/>
    <w:rsid w:val="00A66155"/>
    <w:rsid w:val="00A73D88"/>
    <w:rsid w:val="00A750AF"/>
    <w:rsid w:val="00A87657"/>
    <w:rsid w:val="00A91BCB"/>
    <w:rsid w:val="00AA6FA1"/>
    <w:rsid w:val="00AA7442"/>
    <w:rsid w:val="00AB5EE8"/>
    <w:rsid w:val="00AD3708"/>
    <w:rsid w:val="00AD42B3"/>
    <w:rsid w:val="00B07664"/>
    <w:rsid w:val="00B12340"/>
    <w:rsid w:val="00B14739"/>
    <w:rsid w:val="00B25523"/>
    <w:rsid w:val="00B351D4"/>
    <w:rsid w:val="00B42C44"/>
    <w:rsid w:val="00B5149B"/>
    <w:rsid w:val="00B763C1"/>
    <w:rsid w:val="00B8557B"/>
    <w:rsid w:val="00B90F47"/>
    <w:rsid w:val="00BA4414"/>
    <w:rsid w:val="00BA63D8"/>
    <w:rsid w:val="00BB14AF"/>
    <w:rsid w:val="00BB33EB"/>
    <w:rsid w:val="00BC1C4B"/>
    <w:rsid w:val="00BD46DF"/>
    <w:rsid w:val="00BE12EF"/>
    <w:rsid w:val="00BE67ED"/>
    <w:rsid w:val="00BF0ECC"/>
    <w:rsid w:val="00BF5C66"/>
    <w:rsid w:val="00C036C2"/>
    <w:rsid w:val="00C10A3E"/>
    <w:rsid w:val="00C171EF"/>
    <w:rsid w:val="00C23E9D"/>
    <w:rsid w:val="00C25C4D"/>
    <w:rsid w:val="00C35E73"/>
    <w:rsid w:val="00C56E12"/>
    <w:rsid w:val="00C608F9"/>
    <w:rsid w:val="00C61559"/>
    <w:rsid w:val="00C71E0D"/>
    <w:rsid w:val="00C739E2"/>
    <w:rsid w:val="00C82658"/>
    <w:rsid w:val="00C828A8"/>
    <w:rsid w:val="00C831BC"/>
    <w:rsid w:val="00C8732D"/>
    <w:rsid w:val="00C97B91"/>
    <w:rsid w:val="00CB32E6"/>
    <w:rsid w:val="00CB649B"/>
    <w:rsid w:val="00CC0411"/>
    <w:rsid w:val="00CC4C58"/>
    <w:rsid w:val="00CD0580"/>
    <w:rsid w:val="00CE1EFA"/>
    <w:rsid w:val="00CF3FD9"/>
    <w:rsid w:val="00D10B99"/>
    <w:rsid w:val="00D13AA6"/>
    <w:rsid w:val="00D1704D"/>
    <w:rsid w:val="00D2229A"/>
    <w:rsid w:val="00D26AB9"/>
    <w:rsid w:val="00D42AA7"/>
    <w:rsid w:val="00D46220"/>
    <w:rsid w:val="00D462E3"/>
    <w:rsid w:val="00D54ED6"/>
    <w:rsid w:val="00D60E5F"/>
    <w:rsid w:val="00D70725"/>
    <w:rsid w:val="00D74DC4"/>
    <w:rsid w:val="00D75A51"/>
    <w:rsid w:val="00D9181A"/>
    <w:rsid w:val="00DA3620"/>
    <w:rsid w:val="00DA441F"/>
    <w:rsid w:val="00DC16F4"/>
    <w:rsid w:val="00DF25D5"/>
    <w:rsid w:val="00DF68FE"/>
    <w:rsid w:val="00E11BCC"/>
    <w:rsid w:val="00E228BE"/>
    <w:rsid w:val="00E228E1"/>
    <w:rsid w:val="00E26749"/>
    <w:rsid w:val="00E3261A"/>
    <w:rsid w:val="00E4483E"/>
    <w:rsid w:val="00E44A40"/>
    <w:rsid w:val="00E46475"/>
    <w:rsid w:val="00E50377"/>
    <w:rsid w:val="00E51BEE"/>
    <w:rsid w:val="00E54339"/>
    <w:rsid w:val="00E551CE"/>
    <w:rsid w:val="00E648D0"/>
    <w:rsid w:val="00E74331"/>
    <w:rsid w:val="00E77956"/>
    <w:rsid w:val="00E77A7F"/>
    <w:rsid w:val="00E92CC7"/>
    <w:rsid w:val="00E97C09"/>
    <w:rsid w:val="00EA088A"/>
    <w:rsid w:val="00EA1A59"/>
    <w:rsid w:val="00EB2F31"/>
    <w:rsid w:val="00EB3B5C"/>
    <w:rsid w:val="00EC116C"/>
    <w:rsid w:val="00EC1514"/>
    <w:rsid w:val="00EC1FE5"/>
    <w:rsid w:val="00EC674E"/>
    <w:rsid w:val="00ED6F86"/>
    <w:rsid w:val="00EE0C03"/>
    <w:rsid w:val="00EE16A1"/>
    <w:rsid w:val="00EE1956"/>
    <w:rsid w:val="00EE6E56"/>
    <w:rsid w:val="00EE7BFE"/>
    <w:rsid w:val="00F1607B"/>
    <w:rsid w:val="00F16EA9"/>
    <w:rsid w:val="00F179CA"/>
    <w:rsid w:val="00F271A9"/>
    <w:rsid w:val="00F31FE5"/>
    <w:rsid w:val="00F4735B"/>
    <w:rsid w:val="00F60E24"/>
    <w:rsid w:val="00F63E00"/>
    <w:rsid w:val="00F66879"/>
    <w:rsid w:val="00F67E74"/>
    <w:rsid w:val="00F91B8F"/>
    <w:rsid w:val="00F9698C"/>
    <w:rsid w:val="00FB034E"/>
    <w:rsid w:val="00FB1C5F"/>
    <w:rsid w:val="00FB45EA"/>
    <w:rsid w:val="00FB4949"/>
    <w:rsid w:val="00FC03F4"/>
    <w:rsid w:val="00FC20C5"/>
    <w:rsid w:val="00FC3E74"/>
    <w:rsid w:val="00FC6239"/>
    <w:rsid w:val="00FC630F"/>
    <w:rsid w:val="00FD0548"/>
    <w:rsid w:val="00FD544B"/>
    <w:rsid w:val="00FD7E18"/>
    <w:rsid w:val="00FF42A5"/>
    <w:rsid w:val="00FF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AF7528-9BBE-4EDF-B56F-5887EADB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E67ED"/>
  </w:style>
  <w:style w:type="paragraph" w:styleId="Nadpis1">
    <w:name w:val="heading 1"/>
    <w:basedOn w:val="Normlny"/>
    <w:next w:val="Normlny"/>
    <w:link w:val="Nadpis1Char"/>
    <w:uiPriority w:val="9"/>
    <w:qFormat/>
    <w:rsid w:val="00C35E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35E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riadkovania">
    <w:name w:val="No Spacing"/>
    <w:link w:val="BezriadkovaniaChar"/>
    <w:uiPriority w:val="1"/>
    <w:qFormat/>
    <w:rsid w:val="00E44A40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E44A40"/>
    <w:rPr>
      <w:rFonts w:eastAsiaTheme="minorEastAsia"/>
      <w:lang w:eastAsia="sk-SK"/>
    </w:rPr>
  </w:style>
  <w:style w:type="paragraph" w:styleId="Odsekzoznamu">
    <w:name w:val="List Paragraph"/>
    <w:basedOn w:val="Normlny"/>
    <w:uiPriority w:val="34"/>
    <w:qFormat/>
    <w:rsid w:val="006C5ADF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65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57DF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B14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14739"/>
  </w:style>
  <w:style w:type="paragraph" w:styleId="Pta">
    <w:name w:val="footer"/>
    <w:basedOn w:val="Normlny"/>
    <w:link w:val="PtaChar"/>
    <w:uiPriority w:val="99"/>
    <w:unhideWhenUsed/>
    <w:rsid w:val="00B14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14739"/>
  </w:style>
  <w:style w:type="table" w:styleId="Mriekatabuky">
    <w:name w:val="Table Grid"/>
    <w:basedOn w:val="Normlnatabuka"/>
    <w:uiPriority w:val="59"/>
    <w:rsid w:val="00FB4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3DB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3DB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3DB4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4D02DF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82397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2397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2397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2397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23975"/>
    <w:rPr>
      <w:b/>
      <w:bCs/>
      <w:sz w:val="20"/>
      <w:szCs w:val="20"/>
    </w:rPr>
  </w:style>
  <w:style w:type="table" w:customStyle="1" w:styleId="Mriekatabuky1">
    <w:name w:val="Mriežka tabuľky1"/>
    <w:basedOn w:val="Normlnatabuka"/>
    <w:next w:val="Mriekatabuky"/>
    <w:uiPriority w:val="59"/>
    <w:rsid w:val="00823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3541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../customXml/item6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4_3_vlastný-materiál"/>
    <f:field ref="objsubject" par="" edit="true" text=""/>
    <f:field ref="objcreatedby" par="" text="Letenay, Zdenko, Ing."/>
    <f:field ref="objcreatedat" par="" text="2.6.2016 10:25:57"/>
    <f:field ref="objchangedby" par="" text="Administrator, System"/>
    <f:field ref="objmodifiedat" par="" text="2.6.2016 10:25:57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https://ovdmasv601/sites/DMS/_layouts/15/DocIdRedir.aspx?ID=WKX3UHSAJ2R6-2-851588</Url>
      <Description>WKX3UHSAJ2R6-2-851588</Description>
    </_dlc_DocIdUrl>
    <_dlc_DocId xmlns="e60a29af-d413-48d4-bd90-fe9d2a897e4b">WKX3UHSAJ2R6-2-851588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2E8584BE-75DE-4618-B6FA-04376B4A1E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B35B74-B961-49EA-9387-4E79FBA0053C}"/>
</file>

<file path=customXml/itemProps4.xml><?xml version="1.0" encoding="utf-8"?>
<ds:datastoreItem xmlns:ds="http://schemas.openxmlformats.org/officeDocument/2006/customXml" ds:itemID="{5E5CD306-5466-4897-9FE6-D3307B7E8436}"/>
</file>

<file path=customXml/itemProps5.xml><?xml version="1.0" encoding="utf-8"?>
<ds:datastoreItem xmlns:ds="http://schemas.openxmlformats.org/officeDocument/2006/customXml" ds:itemID="{E419B185-0EEF-4C5A-9CB5-D1AA7801855D}"/>
</file>

<file path=customXml/itemProps6.xml><?xml version="1.0" encoding="utf-8"?>
<ds:datastoreItem xmlns:ds="http://schemas.openxmlformats.org/officeDocument/2006/customXml" ds:itemID="{78BA7D2C-3003-4784-A450-B7E097C3C9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1960</Words>
  <Characters>11174</Characters>
  <Application>Microsoft Office Word</Application>
  <DocSecurity>0</DocSecurity>
  <Lines>93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MVRR</Company>
  <LinksUpToDate>false</LinksUpToDate>
  <CharactersWithSpaces>13108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Černák, Ján</cp:lastModifiedBy>
  <cp:revision>5</cp:revision>
  <cp:lastPrinted>2018-03-27T10:47:00Z</cp:lastPrinted>
  <dcterms:created xsi:type="dcterms:W3CDTF">2018-06-05T13:13:00Z</dcterms:created>
  <dcterms:modified xsi:type="dcterms:W3CDTF">2018-06-14T09:05:00Z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2016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Ing. Zdenko Letenay</vt:lpwstr>
  </property>
  <property fmtid="{D5CDD505-2E9C-101B-9397-08002B2CF9AE}" pid="12" name="FSC#SKEDITIONSLOVLEX@103.510:zodppredkladatel">
    <vt:lpwstr>Roman Brecely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Plán obnovy relevantných budov 2016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dopravy, výstavby a regionálneho rozvoja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Na základe § 10 zákona č. 321/2014 Z. z. o energetickej efektívnosti a o zmene a doplnení niektorých zákonov</vt:lpwstr>
  </property>
  <property fmtid="{D5CDD505-2E9C-101B-9397-08002B2CF9AE}" pid="23" name="FSC#SKEDITIONSLOVLEX@103.510:plnynazovpredpis">
    <vt:lpwstr> Plán obnovy relevantných budov 2016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14451/2016/B610-SV/34926-M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LP/2016/562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>24. 5. 2016</vt:lpwstr>
  </property>
  <property fmtid="{D5CDD505-2E9C-101B-9397-08002B2CF9AE}" pid="59" name="FSC#SKEDITIONSLOVLEX@103.510:AttrDateDocPropUkonceniePKK">
    <vt:lpwstr>7. 6. 2016</vt:lpwstr>
  </property>
  <property fmtid="{D5CDD505-2E9C-101B-9397-08002B2CF9AE}" pid="60" name="FSC#SKEDITIONSLOVLEX@103.510:AttrStrDocPropVplyvRozpocetVS">
    <vt:lpwstr>Negatívne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1. Negatívny vplyv na rozpočet verejnej správy sa týka požiadavky vyjadrenej v článkoch 4 a 5 smernice Európskeho parlamentu a Rady smernice 2012/27/EÚ z 25. októbra 2012 o energetickej efektívnosti, ktorou sa menia a dopĺňajú smernice 2009/125/ES a 2010/</vt:lpwstr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>Vláda Slovenskej republiky na svojom rokovaní dňa ....................... prerokovala a schválila materiál "Plán obnovy relevantných budov 2016".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ministri _x000d_
predsedovia ostatných ústredných orgánov štátnej správy_x000d_
vedúci ďalších orgánov štátnej správy</vt:lpwstr>
  </property>
  <property fmtid="{D5CDD505-2E9C-101B-9397-08002B2CF9AE}" pid="137" name="FSC#SKEDITIONSLOVLEX@103.510:AttrStrListDocPropUznesenieNaVedomie">
    <vt:lpwstr>predsedovia samosprávnych krajov_x000d_
predseda Združenia miest a obcí Slovenska</vt:lpwstr>
  </property>
  <property fmtid="{D5CDD505-2E9C-101B-9397-08002B2CF9AE}" pid="138" name="FSC#SKEDITIONSLOVLEX@103.510:funkciaPred">
    <vt:lpwstr>Štátny radca</vt:lpwstr>
  </property>
  <property fmtid="{D5CDD505-2E9C-101B-9397-08002B2CF9AE}" pid="139" name="FSC#SKEDITIONSLOVLEX@103.510:funkciaPredAkuzativ">
    <vt:lpwstr>Štátneho radcu</vt:lpwstr>
  </property>
  <property fmtid="{D5CDD505-2E9C-101B-9397-08002B2CF9AE}" pid="140" name="FSC#SKEDITIONSLOVLEX@103.510:funkciaPredDativ">
    <vt:lpwstr>Štátnemu radcovi</vt:lpwstr>
  </property>
  <property fmtid="{D5CDD505-2E9C-101B-9397-08002B2CF9AE}" pid="141" name="FSC#SKEDITIONSLOVLEX@103.510:funkciaZodpPred">
    <vt:lpwstr>minister dopravy, výstavby a regionálneho rozvoja Slovenskej republiky</vt:lpwstr>
  </property>
  <property fmtid="{D5CDD505-2E9C-101B-9397-08002B2CF9AE}" pid="142" name="FSC#SKEDITIONSLOVLEX@103.510:funkciaZodpPredAkuzativ">
    <vt:lpwstr>ministera dopravy, výstavby a regionálneho rozvoja Slovenskej republiky</vt:lpwstr>
  </property>
  <property fmtid="{D5CDD505-2E9C-101B-9397-08002B2CF9AE}" pid="143" name="FSC#SKEDITIONSLOVLEX@103.510:funkciaZodpPredDativ">
    <vt:lpwstr>ministerovi dopravy, výst6avby a regionálneho rozvoja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Roman Brecely_x000d_
minister dopravy, výstavby a regionálneho rozvoja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 margin-left: 43.2pt;"&gt;&amp;nbsp;&lt;/p&gt;&lt;p style="text-align: justify;"&gt;Ministerstvo dopravy, výstavby regionálneho rozvoja Slovenskej republiky (ďalej len „ministerstvo“) predkladá na rokovanie vlády Slovenskej republiky materiál „</vt:lpwstr>
  </property>
  <property fmtid="{D5CDD505-2E9C-101B-9397-08002B2CF9AE}" pid="150" name="FSC#COOSYSTEM@1.1:Container">
    <vt:lpwstr>COO.2145.1000.3.1438838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59c3a0e6-1527-4d5e-b838-4da873aba4b1</vt:lpwstr>
  </property>
</Properties>
</file>