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E2841" w14:textId="77777777" w:rsidR="00E66622" w:rsidRPr="00785E8D" w:rsidRDefault="00461B69" w:rsidP="00796EBE">
      <w:pPr>
        <w:spacing w:line="276" w:lineRule="auto"/>
        <w:jc w:val="center"/>
        <w:rPr>
          <w:rFonts w:ascii="Times New Roman" w:eastAsia="Times New Roman" w:hAnsi="Times New Roman" w:cs="Times New Roman"/>
          <w:bCs/>
          <w:sz w:val="24"/>
          <w:szCs w:val="24"/>
        </w:rPr>
      </w:pPr>
      <w:r>
        <w:rPr>
          <w:rFonts w:ascii="Times New Roman" w:eastAsia="Times New Roman" w:hAnsi="Times New Roman" w:cs="Times New Roman"/>
          <w:b/>
          <w:sz w:val="28"/>
          <w:lang w:val="en-US"/>
        </w:rPr>
        <w:t>VYHODNOTENIE PRIPOMIENKOVÉHO KONANIA</w:t>
      </w:r>
      <w:r w:rsidR="00785E8D" w:rsidRPr="00785E8D">
        <w:rPr>
          <w:rFonts w:ascii="Times New Roman" w:eastAsia="Times New Roman" w:hAnsi="Times New Roman" w:cs="Times New Roman"/>
          <w:b/>
          <w:sz w:val="28"/>
        </w:rPr>
        <w:br/>
      </w:r>
      <w:r w:rsidR="009D32B4" w:rsidRPr="00215E64">
        <w:rPr>
          <w:rFonts w:ascii="Times New Roman" w:eastAsia="Times New Roman" w:hAnsi="Times New Roman" w:cs="Times New Roman"/>
          <w:b/>
          <w:sz w:val="24"/>
          <w:szCs w:val="20"/>
        </w:rPr>
        <w:t>Návrh zákona, ktorým sa mení a dopĺňa zákon č. 431/2002 Z. z.  o účtovníctve v znení neskorších predpisov a ktorým sa mení a dopĺňa zákon č. 423/2015 Z. z. o štatutárnom audite a o zmene a doplnení zákona  č. 431/2002 Z. z. o účtovníctve v znení neskorších predpisov v znení neskorších predpisov</w:t>
      </w:r>
      <w:r w:rsidR="00917A99" w:rsidRPr="00785E8D">
        <w:rPr>
          <w:rFonts w:ascii="Times New Roman" w:eastAsia="Times New Roman" w:hAnsi="Times New Roman" w:cs="Times New Roman"/>
          <w:b/>
          <w:sz w:val="28"/>
        </w:rPr>
        <w:br/>
      </w:r>
      <w:r w:rsidR="003F1216" w:rsidRPr="00785E8D">
        <w:rPr>
          <w:rFonts w:ascii="Times New Roman" w:eastAsia="Times New Roman" w:hAnsi="Times New Roman" w:cs="Times New Roman"/>
          <w:bCs/>
          <w:sz w:val="24"/>
          <w:szCs w:val="24"/>
        </w:rPr>
        <w:t>LP/2026/361</w:t>
      </w:r>
    </w:p>
    <w:p w14:paraId="1DCB40DF" w14:textId="77777777" w:rsidR="00362D69" w:rsidRPr="00362D69" w:rsidRDefault="00785E8D" w:rsidP="00362D69">
      <w:pPr>
        <w:spacing w:line="276" w:lineRule="auto"/>
        <w:rPr>
          <w:rFonts w:ascii="Times New Roman" w:eastAsia="Times New Roman" w:hAnsi="Times New Roman" w:cs="Times New Roman"/>
          <w:sz w:val="24"/>
          <w:szCs w:val="24"/>
        </w:rPr>
        <w:sectPr w:rsidR="00362D69" w:rsidRPr="00362D69" w:rsidSect="00362D69">
          <w:footerReference w:type="even" r:id="rId7"/>
          <w:footerReference w:type="default" r:id="rId8"/>
          <w:footerReference w:type="first" r:id="rId9"/>
          <w:pgSz w:w="15840" w:h="12240" w:orient="landscape"/>
          <w:pgMar w:top="1440" w:right="1440" w:bottom="1440" w:left="1440" w:header="720" w:footer="720" w:gutter="0"/>
          <w:cols w:space="720"/>
          <w:titlePg/>
          <w:docGrid w:linePitch="360"/>
        </w:sectPr>
      </w:pPr>
      <w:r w:rsidRPr="00785E8D">
        <w:rPr>
          <w:rFonts w:ascii="Times New Roman" w:eastAsia="Times New Roman" w:hAnsi="Times New Roman" w:cs="Times New Roman"/>
          <w:b/>
          <w:bCs/>
          <w:sz w:val="24"/>
          <w:szCs w:val="24"/>
        </w:rPr>
        <w:t>Spôsob pripomienkového konania</w:t>
      </w:r>
      <w:r w:rsidRPr="00785E8D">
        <w:rPr>
          <w:rFonts w:ascii="Times New Roman" w:eastAsia="Times New Roman" w:hAnsi="Times New Roman" w:cs="Times New Roman"/>
          <w:sz w:val="24"/>
          <w:szCs w:val="24"/>
        </w:rPr>
        <w:br/>
      </w:r>
      <w:r>
        <w:rPr>
          <w:rFonts w:ascii="Times New Roman" w:eastAsia="Times New Roman" w:hAnsi="Times New Roman" w:cs="Times New Roman"/>
          <w:sz w:val="24"/>
          <w:szCs w:val="24"/>
        </w:rPr>
        <w:t>Počet vznesených pripomienok</w:t>
      </w:r>
      <w:r w:rsidR="009275DB">
        <w:rPr>
          <w:rFonts w:ascii="Times New Roman" w:eastAsia="Times New Roman" w:hAnsi="Times New Roman" w:cs="Times New Roman"/>
          <w:sz w:val="24"/>
          <w:szCs w:val="24"/>
        </w:rPr>
        <w:t xml:space="preserve">, </w:t>
      </w:r>
      <w:r w:rsidR="009275DB" w:rsidRPr="009275DB">
        <w:rPr>
          <w:rFonts w:ascii="Times New Roman" w:eastAsia="Times New Roman" w:hAnsi="Times New Roman" w:cs="Times New Roman"/>
          <w:sz w:val="24"/>
          <w:szCs w:val="24"/>
          <w:lang w:val="en-US"/>
        </w:rPr>
        <w:t>z toho z</w:t>
      </w:r>
      <w:r w:rsidR="009275DB">
        <w:rPr>
          <w:rFonts w:ascii="Times New Roman" w:eastAsia="Times New Roman" w:hAnsi="Times New Roman" w:cs="Times New Roman"/>
          <w:sz w:val="24"/>
          <w:szCs w:val="24"/>
          <w:lang w:val="en-US"/>
        </w:rPr>
        <w:t>á</w:t>
      </w:r>
      <w:r w:rsidR="009275DB" w:rsidRPr="009275DB">
        <w:rPr>
          <w:rFonts w:ascii="Times New Roman" w:eastAsia="Times New Roman" w:hAnsi="Times New Roman" w:cs="Times New Roman"/>
          <w:sz w:val="24"/>
          <w:szCs w:val="24"/>
          <w:lang w:val="en-US"/>
        </w:rPr>
        <w:t>sadn</w:t>
      </w:r>
      <w:r w:rsidR="009275DB">
        <w:rPr>
          <w:rFonts w:ascii="Times New Roman" w:eastAsia="Times New Roman" w:hAnsi="Times New Roman" w:cs="Times New Roman"/>
          <w:sz w:val="24"/>
          <w:szCs w:val="24"/>
          <w:lang w:val="en-US"/>
        </w:rPr>
        <w:t>ý</w:t>
      </w:r>
      <w:r w:rsidR="009275DB" w:rsidRPr="009275DB">
        <w:rPr>
          <w:rFonts w:ascii="Times New Roman" w:eastAsia="Times New Roman" w:hAnsi="Times New Roman" w:cs="Times New Roman"/>
          <w:sz w:val="24"/>
          <w:szCs w:val="24"/>
          <w:lang w:val="en-US"/>
        </w:rPr>
        <w:t>ch</w:t>
      </w:r>
      <w:r w:rsidR="009275DB">
        <w:rPr>
          <w:rFonts w:ascii="Times New Roman" w:eastAsia="Times New Roman" w:hAnsi="Times New Roman" w:cs="Times New Roman"/>
          <w:sz w:val="24"/>
          <w:szCs w:val="24"/>
          <w:lang w:val="en-US"/>
        </w:rPr>
        <w:t>:</w:t>
      </w:r>
      <w:r w:rsidR="00FC0831">
        <w:rPr>
          <w:rFonts w:ascii="Times New Roman" w:eastAsia="Times New Roman" w:hAnsi="Times New Roman" w:cs="Times New Roman"/>
          <w:sz w:val="24"/>
          <w:szCs w:val="24"/>
          <w:lang w:val="en-US"/>
        </w:rPr>
        <w:tab/>
      </w:r>
      <w:r w:rsidR="00FC0831">
        <w:rPr>
          <w:rFonts w:ascii="Times New Roman" w:eastAsia="Times New Roman" w:hAnsi="Times New Roman" w:cs="Times New Roman"/>
          <w:sz w:val="24"/>
          <w:szCs w:val="24"/>
          <w:lang w:val="en-US"/>
        </w:rPr>
        <w:tab/>
      </w:r>
      <w:r w:rsidR="00FC0831">
        <w:rPr>
          <w:rFonts w:ascii="Times New Roman" w:eastAsia="Times New Roman" w:hAnsi="Times New Roman" w:cs="Times New Roman"/>
          <w:sz w:val="24"/>
          <w:szCs w:val="24"/>
          <w:lang w:val="en-US"/>
        </w:rPr>
        <w:tab/>
      </w:r>
      <w:r w:rsidR="00AD6CAE">
        <w:rPr>
          <w:rFonts w:ascii="Times New Roman" w:eastAsia="Times New Roman" w:hAnsi="Times New Roman" w:cs="Times New Roman"/>
          <w:sz w:val="24"/>
          <w:szCs w:val="24"/>
          <w:lang w:val="en-US"/>
        </w:rPr>
        <w:t>82/42</w:t>
      </w:r>
      <w:r w:rsidRPr="00785E8D">
        <w:rPr>
          <w:rFonts w:ascii="Times New Roman" w:eastAsia="Times New Roman" w:hAnsi="Times New Roman" w:cs="Times New Roman"/>
          <w:sz w:val="24"/>
          <w:szCs w:val="24"/>
        </w:rPr>
        <w:br/>
      </w:r>
      <w:r w:rsidR="009275DB" w:rsidRPr="009275DB">
        <w:rPr>
          <w:rFonts w:ascii="Times New Roman" w:eastAsia="Times New Roman" w:hAnsi="Times New Roman" w:cs="Times New Roman"/>
          <w:sz w:val="24"/>
          <w:szCs w:val="24"/>
          <w:lang w:val="en-US"/>
        </w:rPr>
        <w:t>Po</w:t>
      </w:r>
      <w:r w:rsidR="00677591">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lang w:val="en-US"/>
        </w:rPr>
        <w:t>et vyhodnoten</w:t>
      </w:r>
      <w:r w:rsidR="009275DB">
        <w:rPr>
          <w:rFonts w:ascii="Times New Roman" w:eastAsia="Times New Roman" w:hAnsi="Times New Roman" w:cs="Times New Roman"/>
          <w:sz w:val="24"/>
          <w:szCs w:val="24"/>
          <w:lang w:val="en-US"/>
        </w:rPr>
        <w:t>ý</w:t>
      </w:r>
      <w:r w:rsidR="009275DB" w:rsidRPr="009275DB">
        <w:rPr>
          <w:rFonts w:ascii="Times New Roman" w:eastAsia="Times New Roman" w:hAnsi="Times New Roman" w:cs="Times New Roman"/>
          <w:sz w:val="24"/>
          <w:szCs w:val="24"/>
          <w:lang w:val="en-US"/>
        </w:rPr>
        <w:t>ch pripomienok</w:t>
      </w:r>
      <w:r w:rsidR="009275DB">
        <w:rPr>
          <w:rFonts w:ascii="Times New Roman" w:eastAsia="Times New Roman" w:hAnsi="Times New Roman" w:cs="Times New Roman"/>
          <w:sz w:val="24"/>
          <w:szCs w:val="24"/>
          <w:lang w:val="en-US"/>
        </w:rPr>
        <w:t>:</w:t>
      </w:r>
      <w:r w:rsidR="00B41FEA">
        <w:rPr>
          <w:rFonts w:ascii="Times New Roman" w:eastAsia="Times New Roman" w:hAnsi="Times New Roman" w:cs="Times New Roman"/>
          <w:sz w:val="24"/>
          <w:szCs w:val="24"/>
          <w:lang w:val="en-US"/>
        </w:rPr>
        <w:tab/>
      </w:r>
      <w:r w:rsidR="00B41FEA">
        <w:rPr>
          <w:rFonts w:ascii="Times New Roman" w:eastAsia="Times New Roman" w:hAnsi="Times New Roman" w:cs="Times New Roman"/>
          <w:sz w:val="24"/>
          <w:szCs w:val="24"/>
          <w:lang w:val="en-US"/>
        </w:rPr>
        <w:tab/>
      </w:r>
      <w:r w:rsidR="00B41FEA">
        <w:rPr>
          <w:rFonts w:ascii="Times New Roman" w:eastAsia="Times New Roman" w:hAnsi="Times New Roman" w:cs="Times New Roman"/>
          <w:sz w:val="24"/>
          <w:szCs w:val="24"/>
          <w:lang w:val="en-US"/>
        </w:rPr>
        <w:tab/>
      </w:r>
      <w:r w:rsidR="00B41FEA">
        <w:rPr>
          <w:rFonts w:ascii="Times New Roman" w:eastAsia="Times New Roman" w:hAnsi="Times New Roman" w:cs="Times New Roman"/>
          <w:sz w:val="24"/>
          <w:szCs w:val="24"/>
          <w:lang w:val="en-US"/>
        </w:rPr>
        <w:tab/>
      </w:r>
      <w:r w:rsidR="00B41FEA">
        <w:rPr>
          <w:rFonts w:ascii="Times New Roman" w:eastAsia="Times New Roman" w:hAnsi="Times New Roman" w:cs="Times New Roman"/>
          <w:sz w:val="24"/>
          <w:szCs w:val="24"/>
          <w:lang w:val="en-US"/>
        </w:rPr>
        <w:tab/>
      </w:r>
      <w:r w:rsidR="00754CB0">
        <w:rPr>
          <w:rFonts w:ascii="Times New Roman" w:eastAsia="Times New Roman" w:hAnsi="Times New Roman" w:cs="Times New Roman"/>
          <w:sz w:val="24"/>
          <w:szCs w:val="24"/>
        </w:rPr>
        <w:t>82</w:t>
      </w:r>
      <w:r w:rsidR="00677591">
        <w:rPr>
          <w:sz w:val="24"/>
          <w:szCs w:val="24"/>
        </w:rPr>
        <w:br/>
      </w:r>
      <w:r w:rsidR="00677591">
        <w:rPr>
          <w:sz w:val="24"/>
          <w:szCs w:val="24"/>
        </w:rPr>
        <w:br/>
      </w:r>
      <w:r w:rsidR="009275DB" w:rsidRPr="009275DB">
        <w:rPr>
          <w:rFonts w:ascii="Times New Roman" w:eastAsia="Times New Roman" w:hAnsi="Times New Roman" w:cs="Times New Roman"/>
          <w:sz w:val="24"/>
          <w:szCs w:val="24"/>
          <w:lang w:val="en-US"/>
        </w:rPr>
        <w:t>Po</w:t>
      </w:r>
      <w:r w:rsidR="00677591">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lang w:val="en-US"/>
        </w:rPr>
        <w:t>et akceptovan</w:t>
      </w:r>
      <w:r w:rsidR="009275DB">
        <w:rPr>
          <w:rFonts w:ascii="Times New Roman" w:eastAsia="Times New Roman" w:hAnsi="Times New Roman" w:cs="Times New Roman"/>
          <w:sz w:val="24"/>
          <w:szCs w:val="24"/>
          <w:lang w:val="en-US"/>
        </w:rPr>
        <w:t>ý</w:t>
      </w:r>
      <w:r w:rsidR="009275DB" w:rsidRPr="009275DB">
        <w:rPr>
          <w:rFonts w:ascii="Times New Roman" w:eastAsia="Times New Roman" w:hAnsi="Times New Roman" w:cs="Times New Roman"/>
          <w:sz w:val="24"/>
          <w:szCs w:val="24"/>
          <w:lang w:val="en-US"/>
        </w:rPr>
        <w:t>ch pripomienok, z toho z</w:t>
      </w:r>
      <w:r w:rsidR="009275DB">
        <w:rPr>
          <w:rFonts w:ascii="Times New Roman" w:eastAsia="Times New Roman" w:hAnsi="Times New Roman" w:cs="Times New Roman"/>
          <w:sz w:val="24"/>
          <w:szCs w:val="24"/>
          <w:lang w:val="en-US"/>
        </w:rPr>
        <w:t>á</w:t>
      </w:r>
      <w:r w:rsidR="009275DB" w:rsidRPr="009275DB">
        <w:rPr>
          <w:rFonts w:ascii="Times New Roman" w:eastAsia="Times New Roman" w:hAnsi="Times New Roman" w:cs="Times New Roman"/>
          <w:sz w:val="24"/>
          <w:szCs w:val="24"/>
          <w:lang w:val="en-US"/>
        </w:rPr>
        <w:t>sadn</w:t>
      </w:r>
      <w:r w:rsidR="009275DB">
        <w:rPr>
          <w:rFonts w:ascii="Times New Roman" w:eastAsia="Times New Roman" w:hAnsi="Times New Roman" w:cs="Times New Roman"/>
          <w:sz w:val="24"/>
          <w:szCs w:val="24"/>
          <w:lang w:val="en-US"/>
        </w:rPr>
        <w:t>ý</w:t>
      </w:r>
      <w:r w:rsidR="009275DB" w:rsidRPr="009275DB">
        <w:rPr>
          <w:rFonts w:ascii="Times New Roman" w:eastAsia="Times New Roman" w:hAnsi="Times New Roman" w:cs="Times New Roman"/>
          <w:sz w:val="24"/>
          <w:szCs w:val="24"/>
          <w:lang w:val="en-US"/>
        </w:rPr>
        <w:t>ch</w:t>
      </w:r>
      <w:r w:rsidRPr="00785E8D">
        <w:rPr>
          <w:rFonts w:ascii="Times New Roman" w:eastAsia="Times New Roman" w:hAnsi="Times New Roman" w:cs="Times New Roman"/>
          <w:sz w:val="24"/>
          <w:szCs w:val="24"/>
        </w:rPr>
        <w:t xml:space="preserve">: </w:t>
      </w:r>
      <w:r w:rsidRPr="00785E8D">
        <w:rPr>
          <w:rFonts w:ascii="Times New Roman" w:eastAsia="Times New Roman" w:hAnsi="Times New Roman" w:cs="Times New Roman"/>
          <w:sz w:val="18"/>
          <w:szCs w:val="18"/>
        </w:rPr>
        <w:tab/>
      </w:r>
      <w:r w:rsidR="009275DB">
        <w:rPr>
          <w:rFonts w:ascii="Times New Roman" w:eastAsia="Times New Roman" w:hAnsi="Times New Roman" w:cs="Times New Roman"/>
          <w:sz w:val="18"/>
          <w:szCs w:val="18"/>
        </w:rPr>
        <w:tab/>
      </w:r>
      <w:r w:rsidR="00273DAE">
        <w:rPr>
          <w:rFonts w:ascii="Times New Roman" w:eastAsia="Times New Roman" w:hAnsi="Times New Roman" w:cs="Times New Roman"/>
          <w:sz w:val="24"/>
          <w:szCs w:val="24"/>
        </w:rPr>
        <w:t>33</w:t>
      </w:r>
      <w:r w:rsidR="00754CB0">
        <w:rPr>
          <w:rFonts w:ascii="Times New Roman" w:eastAsia="Times New Roman" w:hAnsi="Times New Roman" w:cs="Times New Roman"/>
          <w:sz w:val="24"/>
          <w:szCs w:val="24"/>
        </w:rPr>
        <w:t>/19</w:t>
      </w:r>
      <w:r w:rsidR="009275DB">
        <w:rPr>
          <w:sz w:val="24"/>
          <w:szCs w:val="24"/>
        </w:rPr>
        <w:br/>
      </w:r>
      <w:r w:rsidR="009275DB" w:rsidRPr="009275DB">
        <w:rPr>
          <w:rFonts w:ascii="Times New Roman" w:eastAsia="Times New Roman" w:hAnsi="Times New Roman" w:cs="Times New Roman"/>
          <w:sz w:val="24"/>
          <w:szCs w:val="24"/>
        </w:rPr>
        <w:t>Po</w:t>
      </w:r>
      <w:r w:rsidR="00677591">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rPr>
        <w:t xml:space="preserve">et </w:t>
      </w:r>
      <w:r w:rsidR="009275DB">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rPr>
        <w:t>iasto</w:t>
      </w:r>
      <w:r w:rsidR="00677591">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rPr>
        <w:t>ne akceptovaných pripomienok, z toho zásadných</w:t>
      </w:r>
      <w:r w:rsidRPr="00785E8D">
        <w:rPr>
          <w:rFonts w:ascii="Times New Roman" w:eastAsia="Times New Roman" w:hAnsi="Times New Roman" w:cs="Times New Roman"/>
          <w:sz w:val="24"/>
          <w:szCs w:val="24"/>
        </w:rPr>
        <w:t xml:space="preserve">: </w:t>
      </w:r>
      <w:r w:rsidRPr="00785E8D">
        <w:rPr>
          <w:rFonts w:ascii="Times New Roman" w:eastAsia="Times New Roman" w:hAnsi="Times New Roman" w:cs="Times New Roman"/>
          <w:sz w:val="24"/>
          <w:szCs w:val="24"/>
        </w:rPr>
        <w:tab/>
      </w:r>
      <w:r w:rsidR="00AD6CAE">
        <w:rPr>
          <w:rFonts w:ascii="Times New Roman" w:eastAsia="Times New Roman" w:hAnsi="Times New Roman" w:cs="Times New Roman"/>
          <w:sz w:val="24"/>
          <w:szCs w:val="24"/>
        </w:rPr>
        <w:t>12/</w:t>
      </w:r>
      <w:r w:rsidR="008E0404">
        <w:rPr>
          <w:rFonts w:ascii="Times New Roman" w:eastAsia="Times New Roman" w:hAnsi="Times New Roman" w:cs="Times New Roman"/>
          <w:sz w:val="24"/>
          <w:szCs w:val="24"/>
        </w:rPr>
        <w:t xml:space="preserve">5 </w:t>
      </w:r>
      <w:r w:rsidR="009275DB">
        <w:rPr>
          <w:rFonts w:ascii="Times New Roman" w:eastAsia="Times New Roman" w:hAnsi="Times New Roman" w:cs="Times New Roman"/>
          <w:sz w:val="24"/>
          <w:szCs w:val="24"/>
        </w:rPr>
        <w:br/>
      </w:r>
      <w:r w:rsidR="009275DB" w:rsidRPr="009275DB">
        <w:rPr>
          <w:rFonts w:ascii="Times New Roman" w:hAnsi="Times New Roman" w:cs="Times New Roman"/>
          <w:sz w:val="24"/>
          <w:szCs w:val="24"/>
        </w:rPr>
        <w:t>Po</w:t>
      </w:r>
      <w:r w:rsidR="00677591">
        <w:rPr>
          <w:rFonts w:ascii="Times New Roman" w:eastAsia="Times New Roman" w:hAnsi="Times New Roman" w:cs="Times New Roman"/>
          <w:sz w:val="24"/>
          <w:szCs w:val="24"/>
        </w:rPr>
        <w:t>č</w:t>
      </w:r>
      <w:r w:rsidR="009275DB" w:rsidRPr="009275DB">
        <w:rPr>
          <w:rFonts w:ascii="Times New Roman" w:hAnsi="Times New Roman" w:cs="Times New Roman"/>
          <w:sz w:val="24"/>
          <w:szCs w:val="24"/>
        </w:rPr>
        <w:t>et neakceptovaných pripomienok, z toho zásadných</w:t>
      </w:r>
      <w:r w:rsidR="009275DB">
        <w:rPr>
          <w:rFonts w:ascii="Times New Roman" w:hAnsi="Times New Roman" w:cs="Times New Roman"/>
          <w:sz w:val="24"/>
          <w:szCs w:val="24"/>
        </w:rPr>
        <w:t>:</w:t>
      </w:r>
      <w:r w:rsidR="00AE09D4">
        <w:rPr>
          <w:rFonts w:ascii="Times New Roman" w:hAnsi="Times New Roman" w:cs="Times New Roman"/>
          <w:sz w:val="24"/>
          <w:szCs w:val="24"/>
        </w:rPr>
        <w:tab/>
      </w:r>
      <w:r w:rsidR="00AE09D4">
        <w:rPr>
          <w:rFonts w:ascii="Times New Roman" w:hAnsi="Times New Roman" w:cs="Times New Roman"/>
          <w:sz w:val="24"/>
          <w:szCs w:val="24"/>
        </w:rPr>
        <w:tab/>
      </w:r>
      <w:r w:rsidR="00AD6CAE">
        <w:rPr>
          <w:rFonts w:ascii="Times New Roman" w:eastAsia="Times New Roman" w:hAnsi="Times New Roman" w:cs="Times New Roman"/>
          <w:sz w:val="24"/>
          <w:szCs w:val="24"/>
        </w:rPr>
        <w:t>37</w:t>
      </w:r>
      <w:r w:rsidR="004A48F0">
        <w:rPr>
          <w:rFonts w:ascii="Times New Roman" w:eastAsia="Times New Roman" w:hAnsi="Times New Roman" w:cs="Times New Roman"/>
          <w:sz w:val="24"/>
          <w:szCs w:val="24"/>
        </w:rPr>
        <w:t>/18</w:t>
      </w:r>
      <w:r w:rsidR="00677591">
        <w:rPr>
          <w:sz w:val="24"/>
          <w:szCs w:val="24"/>
        </w:rPr>
        <w:br/>
      </w:r>
      <w:r w:rsidR="00677591">
        <w:rPr>
          <w:sz w:val="24"/>
          <w:szCs w:val="24"/>
        </w:rPr>
        <w:br/>
      </w:r>
      <w:r w:rsidR="009275DB" w:rsidRPr="009275DB">
        <w:rPr>
          <w:rFonts w:ascii="Times New Roman" w:eastAsia="Times New Roman" w:hAnsi="Times New Roman" w:cs="Times New Roman"/>
          <w:sz w:val="24"/>
          <w:szCs w:val="24"/>
        </w:rPr>
        <w:t>Po</w:t>
      </w:r>
      <w:r w:rsidR="00677591">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rPr>
        <w:t>et vznesených hromadných pripomienok</w:t>
      </w:r>
      <w:r w:rsidR="009275DB">
        <w:rPr>
          <w:rFonts w:ascii="Times New Roman" w:eastAsia="Times New Roman" w:hAnsi="Times New Roman" w:cs="Times New Roman"/>
          <w:sz w:val="24"/>
          <w:szCs w:val="24"/>
        </w:rPr>
        <w:t>:</w:t>
      </w:r>
      <w:r w:rsidR="00B41FEA">
        <w:rPr>
          <w:rFonts w:ascii="Times New Roman" w:eastAsia="Times New Roman" w:hAnsi="Times New Roman" w:cs="Times New Roman"/>
          <w:sz w:val="24"/>
          <w:szCs w:val="24"/>
        </w:rPr>
        <w:tab/>
      </w:r>
      <w:r w:rsidR="00B41FEA">
        <w:rPr>
          <w:rFonts w:ascii="Times New Roman" w:eastAsia="Times New Roman" w:hAnsi="Times New Roman" w:cs="Times New Roman"/>
          <w:sz w:val="24"/>
          <w:szCs w:val="24"/>
        </w:rPr>
        <w:tab/>
      </w:r>
      <w:r w:rsidR="00B41FEA">
        <w:rPr>
          <w:rFonts w:ascii="Times New Roman" w:eastAsia="Times New Roman" w:hAnsi="Times New Roman" w:cs="Times New Roman"/>
          <w:sz w:val="24"/>
          <w:szCs w:val="24"/>
        </w:rPr>
        <w:tab/>
      </w:r>
      <w:r w:rsidR="00011D51">
        <w:rPr>
          <w:rFonts w:ascii="Times New Roman" w:eastAsia="Times New Roman" w:hAnsi="Times New Roman" w:cs="Times New Roman"/>
          <w:sz w:val="24"/>
          <w:szCs w:val="24"/>
        </w:rPr>
        <w:t>0</w:t>
      </w:r>
      <w:r w:rsidR="009275DB">
        <w:rPr>
          <w:rFonts w:ascii="Times New Roman" w:eastAsia="Times New Roman" w:hAnsi="Times New Roman" w:cs="Times New Roman"/>
          <w:sz w:val="24"/>
          <w:szCs w:val="24"/>
        </w:rPr>
        <w:br/>
      </w:r>
      <w:r w:rsidR="009275DB" w:rsidRPr="009275DB">
        <w:rPr>
          <w:rFonts w:ascii="Times New Roman" w:eastAsia="Times New Roman" w:hAnsi="Times New Roman" w:cs="Times New Roman"/>
          <w:sz w:val="24"/>
          <w:szCs w:val="24"/>
        </w:rPr>
        <w:t>Po</w:t>
      </w:r>
      <w:r w:rsidR="00677591">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rPr>
        <w:t>et vyhodnotených hromadných pripomienok</w:t>
      </w:r>
      <w:r w:rsidR="009275DB">
        <w:rPr>
          <w:rFonts w:ascii="Times New Roman" w:eastAsia="Times New Roman" w:hAnsi="Times New Roman" w:cs="Times New Roman"/>
          <w:sz w:val="24"/>
          <w:szCs w:val="24"/>
        </w:rPr>
        <w:t>:</w:t>
      </w:r>
      <w:r w:rsidR="00B41FEA">
        <w:rPr>
          <w:rFonts w:ascii="Times New Roman" w:eastAsia="Times New Roman" w:hAnsi="Times New Roman" w:cs="Times New Roman"/>
          <w:sz w:val="24"/>
          <w:szCs w:val="24"/>
        </w:rPr>
        <w:tab/>
      </w:r>
      <w:r w:rsidR="00B41FEA">
        <w:rPr>
          <w:rFonts w:ascii="Times New Roman" w:eastAsia="Times New Roman" w:hAnsi="Times New Roman" w:cs="Times New Roman"/>
          <w:sz w:val="24"/>
          <w:szCs w:val="24"/>
        </w:rPr>
        <w:tab/>
      </w:r>
      <w:r w:rsidR="00B41FEA">
        <w:rPr>
          <w:rFonts w:ascii="Times New Roman" w:eastAsia="Times New Roman" w:hAnsi="Times New Roman" w:cs="Times New Roman"/>
          <w:sz w:val="24"/>
          <w:szCs w:val="24"/>
        </w:rPr>
        <w:tab/>
      </w:r>
      <w:r w:rsidR="00AD6CAE">
        <w:rPr>
          <w:rFonts w:ascii="Times New Roman" w:hAnsi="Times New Roman" w:cs="Times New Roman"/>
          <w:sz w:val="24"/>
          <w:szCs w:val="24"/>
        </w:rPr>
        <w:t>0</w:t>
      </w:r>
      <w:r w:rsidR="00677591">
        <w:rPr>
          <w:sz w:val="24"/>
          <w:szCs w:val="24"/>
        </w:rPr>
        <w:br/>
      </w:r>
      <w:r w:rsidR="00677591">
        <w:rPr>
          <w:sz w:val="24"/>
          <w:szCs w:val="24"/>
        </w:rPr>
        <w:br/>
      </w:r>
      <w:r w:rsidR="009275DB" w:rsidRPr="009275DB">
        <w:rPr>
          <w:rFonts w:ascii="Times New Roman" w:eastAsia="Times New Roman" w:hAnsi="Times New Roman" w:cs="Times New Roman"/>
          <w:sz w:val="24"/>
          <w:szCs w:val="24"/>
        </w:rPr>
        <w:t>Po</w:t>
      </w:r>
      <w:r w:rsidR="00677591">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rPr>
        <w:t>et akceptovaných hromadných pripomienok</w:t>
      </w:r>
      <w:r w:rsidR="009275DB">
        <w:rPr>
          <w:rFonts w:ascii="Times New Roman" w:eastAsia="Times New Roman" w:hAnsi="Times New Roman" w:cs="Times New Roman"/>
          <w:sz w:val="24"/>
          <w:szCs w:val="24"/>
        </w:rPr>
        <w:t>:</w:t>
      </w:r>
      <w:r w:rsidR="00B41FEA">
        <w:rPr>
          <w:rFonts w:ascii="Times New Roman" w:eastAsia="Times New Roman" w:hAnsi="Times New Roman" w:cs="Times New Roman"/>
          <w:sz w:val="24"/>
          <w:szCs w:val="24"/>
        </w:rPr>
        <w:tab/>
      </w:r>
      <w:r w:rsidR="00B41FEA">
        <w:rPr>
          <w:rFonts w:ascii="Times New Roman" w:eastAsia="Times New Roman" w:hAnsi="Times New Roman" w:cs="Times New Roman"/>
          <w:sz w:val="24"/>
          <w:szCs w:val="24"/>
        </w:rPr>
        <w:tab/>
      </w:r>
      <w:r w:rsidR="00B41FEA">
        <w:rPr>
          <w:rFonts w:ascii="Times New Roman" w:eastAsia="Times New Roman" w:hAnsi="Times New Roman" w:cs="Times New Roman"/>
          <w:sz w:val="24"/>
          <w:szCs w:val="24"/>
        </w:rPr>
        <w:tab/>
      </w:r>
      <w:r w:rsidR="00AD6CAE">
        <w:rPr>
          <w:rFonts w:ascii="Times New Roman" w:eastAsia="Times New Roman" w:hAnsi="Times New Roman" w:cs="Times New Roman"/>
          <w:sz w:val="24"/>
          <w:szCs w:val="24"/>
        </w:rPr>
        <w:t>0</w:t>
      </w:r>
      <w:r w:rsidR="009275DB">
        <w:rPr>
          <w:rFonts w:ascii="Times New Roman" w:hAnsi="Times New Roman" w:cs="Times New Roman"/>
          <w:sz w:val="24"/>
          <w:szCs w:val="24"/>
        </w:rPr>
        <w:br/>
      </w:r>
      <w:r w:rsidR="009275DB" w:rsidRPr="009275DB">
        <w:rPr>
          <w:rFonts w:ascii="Times New Roman" w:eastAsia="Times New Roman" w:hAnsi="Times New Roman" w:cs="Times New Roman"/>
          <w:sz w:val="24"/>
          <w:szCs w:val="24"/>
        </w:rPr>
        <w:t>Po</w:t>
      </w:r>
      <w:r w:rsidR="00677591">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rPr>
        <w:t xml:space="preserve">et </w:t>
      </w:r>
      <w:r w:rsidR="009275DB">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rPr>
        <w:t>iasto</w:t>
      </w:r>
      <w:r w:rsidR="00677591">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rPr>
        <w:t>ne akceptovaných hromadných pripomienok</w:t>
      </w:r>
      <w:r w:rsidR="009275DB">
        <w:rPr>
          <w:rFonts w:ascii="Times New Roman" w:eastAsia="Times New Roman" w:hAnsi="Times New Roman" w:cs="Times New Roman"/>
          <w:sz w:val="24"/>
          <w:szCs w:val="24"/>
        </w:rPr>
        <w:t>:</w:t>
      </w:r>
      <w:r w:rsidR="00B41FEA">
        <w:rPr>
          <w:rFonts w:ascii="Times New Roman" w:eastAsia="Times New Roman" w:hAnsi="Times New Roman" w:cs="Times New Roman"/>
          <w:sz w:val="24"/>
          <w:szCs w:val="24"/>
        </w:rPr>
        <w:tab/>
      </w:r>
      <w:r w:rsidR="00B41FEA">
        <w:rPr>
          <w:rFonts w:ascii="Times New Roman" w:eastAsia="Times New Roman" w:hAnsi="Times New Roman" w:cs="Times New Roman"/>
          <w:sz w:val="24"/>
          <w:szCs w:val="24"/>
        </w:rPr>
        <w:tab/>
      </w:r>
      <w:r w:rsidR="00AD6CAE">
        <w:rPr>
          <w:rFonts w:ascii="Times New Roman" w:eastAsia="Times New Roman" w:hAnsi="Times New Roman" w:cs="Times New Roman"/>
          <w:sz w:val="24"/>
          <w:szCs w:val="24"/>
        </w:rPr>
        <w:t>0</w:t>
      </w:r>
      <w:r w:rsidR="009275DB">
        <w:rPr>
          <w:rFonts w:ascii="Times New Roman" w:hAnsi="Times New Roman" w:cs="Times New Roman"/>
          <w:sz w:val="24"/>
          <w:szCs w:val="24"/>
        </w:rPr>
        <w:br/>
      </w:r>
      <w:r w:rsidR="009275DB" w:rsidRPr="009275DB">
        <w:rPr>
          <w:rFonts w:ascii="Times New Roman" w:eastAsia="Times New Roman" w:hAnsi="Times New Roman" w:cs="Times New Roman"/>
          <w:sz w:val="24"/>
          <w:szCs w:val="24"/>
        </w:rPr>
        <w:t>Po</w:t>
      </w:r>
      <w:r w:rsidR="00677591">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rPr>
        <w:t>et neakceptovaných hromadných pripomienok</w:t>
      </w:r>
      <w:r w:rsidR="009275DB">
        <w:rPr>
          <w:rFonts w:ascii="Times New Roman" w:eastAsia="Times New Roman" w:hAnsi="Times New Roman" w:cs="Times New Roman"/>
          <w:sz w:val="24"/>
          <w:szCs w:val="24"/>
        </w:rPr>
        <w:t>:</w:t>
      </w:r>
      <w:r w:rsidR="00B41FEA">
        <w:rPr>
          <w:rFonts w:ascii="Times New Roman" w:eastAsia="Times New Roman" w:hAnsi="Times New Roman" w:cs="Times New Roman"/>
          <w:sz w:val="24"/>
          <w:szCs w:val="24"/>
        </w:rPr>
        <w:tab/>
      </w:r>
      <w:r w:rsidR="00B41FEA">
        <w:rPr>
          <w:rFonts w:ascii="Times New Roman" w:eastAsia="Times New Roman" w:hAnsi="Times New Roman" w:cs="Times New Roman"/>
          <w:sz w:val="24"/>
          <w:szCs w:val="24"/>
        </w:rPr>
        <w:tab/>
      </w:r>
      <w:r w:rsidR="00B41FEA">
        <w:rPr>
          <w:rFonts w:ascii="Times New Roman" w:eastAsia="Times New Roman" w:hAnsi="Times New Roman" w:cs="Times New Roman"/>
          <w:sz w:val="24"/>
          <w:szCs w:val="24"/>
        </w:rPr>
        <w:tab/>
      </w:r>
      <w:r w:rsidR="00AD6CAE">
        <w:rPr>
          <w:rFonts w:ascii="Times New Roman" w:eastAsia="Times New Roman" w:hAnsi="Times New Roman" w:cs="Times New Roman"/>
          <w:sz w:val="24"/>
          <w:szCs w:val="24"/>
        </w:rPr>
        <w:t>0</w:t>
      </w:r>
      <w:r w:rsidR="00362D69">
        <w:rPr>
          <w:sz w:val="24"/>
          <w:szCs w:val="24"/>
        </w:rPr>
        <w:tab/>
      </w:r>
    </w:p>
    <w:p w14:paraId="19847D36" w14:textId="77777777" w:rsidR="00677591" w:rsidRPr="00677591" w:rsidRDefault="00677591" w:rsidP="00677591">
      <w:pPr>
        <w:spacing w:line="276" w:lineRule="auto"/>
        <w:rPr>
          <w:rFonts w:ascii="Times New Roman" w:eastAsia="Times New Roman" w:hAnsi="Times New Roman" w:cs="Times New Roman"/>
          <w:sz w:val="24"/>
          <w:szCs w:val="24"/>
        </w:rPr>
      </w:pPr>
      <w:r w:rsidRPr="00677591">
        <w:rPr>
          <w:rFonts w:ascii="Times New Roman" w:eastAsia="Times New Roman" w:hAnsi="Times New Roman" w:cs="Times New Roman"/>
          <w:sz w:val="24"/>
          <w:szCs w:val="24"/>
        </w:rPr>
        <w:lastRenderedPageBreak/>
        <w:t>Vysvetlivky k použitým skratkám v tabu</w:t>
      </w:r>
      <w:r w:rsidR="00A6034C">
        <w:rPr>
          <w:rFonts w:ascii="Times New Roman" w:eastAsia="Times New Roman" w:hAnsi="Times New Roman" w:cs="Times New Roman"/>
          <w:sz w:val="24"/>
          <w:szCs w:val="24"/>
        </w:rPr>
        <w:t>ľ</w:t>
      </w:r>
      <w:r w:rsidRPr="00677591">
        <w:rPr>
          <w:rFonts w:ascii="Times New Roman" w:eastAsia="Times New Roman" w:hAnsi="Times New Roman" w:cs="Times New Roman"/>
          <w:sz w:val="24"/>
          <w:szCs w:val="24"/>
        </w:rPr>
        <w:t>kách:</w:t>
      </w:r>
    </w:p>
    <w:p w14:paraId="0AC43E10" w14:textId="77777777" w:rsidR="00677591" w:rsidRDefault="00677591" w:rsidP="00677591">
      <w:pPr>
        <w:spacing w:line="276" w:lineRule="auto"/>
        <w:rPr>
          <w:rFonts w:ascii="Times New Roman" w:eastAsia="Times New Roman" w:hAnsi="Times New Roman" w:cs="Times New Roman"/>
          <w:sz w:val="24"/>
          <w:szCs w:val="24"/>
        </w:rPr>
      </w:pPr>
      <w:r w:rsidRPr="00677591">
        <w:rPr>
          <w:rFonts w:ascii="Times New Roman" w:eastAsia="Times New Roman" w:hAnsi="Times New Roman" w:cs="Times New Roman"/>
          <w:sz w:val="24"/>
          <w:szCs w:val="24"/>
        </w:rPr>
        <w:t>O – obyčajná</w:t>
      </w:r>
      <w:r w:rsidRPr="00677591">
        <w:rPr>
          <w:rFonts w:ascii="Times New Roman" w:eastAsia="Times New Roman" w:hAnsi="Times New Roman" w:cs="Times New Roman"/>
          <w:sz w:val="24"/>
          <w:szCs w:val="24"/>
        </w:rPr>
        <w:tab/>
        <w:t>A – akceptovaná</w:t>
      </w:r>
      <w:r w:rsidRPr="00677591">
        <w:rPr>
          <w:rFonts w:ascii="Times New Roman" w:eastAsia="Times New Roman" w:hAnsi="Times New Roman" w:cs="Times New Roman"/>
          <w:sz w:val="24"/>
          <w:szCs w:val="24"/>
        </w:rPr>
        <w:br/>
        <w:t>Z – zásadná</w:t>
      </w:r>
      <w:r w:rsidRPr="00677591">
        <w:rPr>
          <w:rFonts w:ascii="Times New Roman" w:eastAsia="Times New Roman" w:hAnsi="Times New Roman" w:cs="Times New Roman"/>
          <w:sz w:val="24"/>
          <w:szCs w:val="24"/>
        </w:rPr>
        <w:tab/>
        <w:t>N – neakceptovaná</w:t>
      </w:r>
      <w:r w:rsidRPr="00677591">
        <w:rPr>
          <w:rFonts w:ascii="Times New Roman" w:eastAsia="Times New Roman" w:hAnsi="Times New Roman" w:cs="Times New Roman"/>
          <w:sz w:val="24"/>
          <w:szCs w:val="24"/>
        </w:rPr>
        <w:br/>
        <w:t xml:space="preserve">                        ČA – čiastočne akceptovaná</w:t>
      </w:r>
      <w:r w:rsidRPr="00677591">
        <w:rPr>
          <w:rFonts w:ascii="Times New Roman" w:eastAsia="Times New Roman" w:hAnsi="Times New Roman" w:cs="Times New Roman"/>
          <w:sz w:val="24"/>
          <w:szCs w:val="24"/>
        </w:rPr>
        <w:br/>
        <w:t xml:space="preserve">                        NEP – neprihliada sa</w:t>
      </w:r>
    </w:p>
    <w:p w14:paraId="258D9D31" w14:textId="77777777" w:rsidR="00677591" w:rsidRDefault="00677591" w:rsidP="00677591">
      <w:pPr>
        <w:spacing w:line="276" w:lineRule="auto"/>
        <w:rPr>
          <w:rFonts w:ascii="Times New Roman" w:eastAsia="Times New Roman" w:hAnsi="Times New Roman" w:cs="Times New Roman"/>
          <w:sz w:val="20"/>
        </w:rPr>
      </w:pPr>
      <w:r>
        <w:rPr>
          <w:rFonts w:ascii="Times New Roman" w:eastAsia="Times New Roman" w:hAnsi="Times New Roman" w:cs="Times New Roman"/>
          <w:sz w:val="24"/>
          <w:szCs w:val="24"/>
        </w:rPr>
        <w:t>Vyhodnotenie vecných pripomienok</w:t>
      </w:r>
    </w:p>
    <w:p w14:paraId="44D42F2D" w14:textId="77777777" w:rsidR="007C1A93" w:rsidRPr="00677591" w:rsidRDefault="00E66622" w:rsidP="001E6254">
      <w:pPr>
        <w:keepLines/>
        <w:spacing w:line="276" w:lineRule="auto"/>
        <w:rPr>
          <w:rFonts w:ascii="Times New Roman" w:eastAsia="Times New Roman" w:hAnsi="Times New Roman" w:cs="Times New Roman"/>
          <w:sz w:val="24"/>
          <w:szCs w:val="24"/>
        </w:rPr>
      </w:pPr>
      <w:r w:rsidRPr="00785E8D">
        <w:rPr>
          <w:rFonts w:ascii="Times New Roman" w:eastAsia="Times New Roman" w:hAnsi="Times New Roman" w:cs="Times New Roman"/>
          <w:sz w:val="24"/>
          <w:szCs w:val="24"/>
        </w:rPr>
        <w:t>Vznesené pripomienky</w:t>
      </w:r>
    </w:p>
    <w:tbl>
      <w:tblPr>
        <w:tblW w:w="0" w:type="auto"/>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44"/>
        <w:gridCol w:w="1296"/>
        <w:gridCol w:w="6480"/>
        <w:gridCol w:w="778"/>
        <w:gridCol w:w="2462"/>
      </w:tblGrid>
      <w:tr w:rsidR="000B16EA" w:rsidRPr="00785E8D" w14:paraId="6BFF2AA0" w14:textId="77777777" w:rsidTr="00343965">
        <w:trPr>
          <w:trHeight w:val="648"/>
          <w:jc w:val="center"/>
        </w:trPr>
        <w:tc>
          <w:tcPr>
            <w:tcW w:w="1944" w:type="dxa"/>
            <w:vAlign w:val="center"/>
          </w:tcPr>
          <w:p w14:paraId="1B22AB0A" w14:textId="77777777" w:rsidR="000B16EA" w:rsidRPr="00785E8D" w:rsidRDefault="000B16EA" w:rsidP="001E6254">
            <w:pPr>
              <w:keepLines/>
              <w:spacing w:after="0" w:line="240" w:lineRule="auto"/>
              <w:jc w:val="center"/>
              <w:rPr>
                <w:rFonts w:ascii="Times New Roman" w:hAnsi="Times New Roman" w:cs="Times New Roman"/>
                <w:b/>
                <w:bCs/>
                <w:sz w:val="24"/>
                <w:szCs w:val="24"/>
              </w:rPr>
            </w:pPr>
            <w:r w:rsidRPr="00785E8D">
              <w:rPr>
                <w:rFonts w:ascii="Times New Roman" w:hAnsi="Times New Roman" w:cs="Times New Roman"/>
                <w:b/>
                <w:bCs/>
                <w:sz w:val="24"/>
                <w:szCs w:val="24"/>
              </w:rPr>
              <w:t>Subjekt</w:t>
            </w:r>
          </w:p>
        </w:tc>
        <w:tc>
          <w:tcPr>
            <w:tcW w:w="1296" w:type="dxa"/>
            <w:vAlign w:val="center"/>
          </w:tcPr>
          <w:p w14:paraId="1C08625F" w14:textId="77777777" w:rsidR="000B16EA" w:rsidRPr="00785E8D" w:rsidRDefault="000B16EA" w:rsidP="001E6254">
            <w:pPr>
              <w:keepLines/>
              <w:spacing w:after="0" w:line="240" w:lineRule="auto"/>
              <w:jc w:val="center"/>
              <w:rPr>
                <w:rFonts w:ascii="Times New Roman" w:hAnsi="Times New Roman" w:cs="Times New Roman"/>
                <w:b/>
                <w:bCs/>
                <w:sz w:val="24"/>
                <w:szCs w:val="24"/>
              </w:rPr>
            </w:pPr>
            <w:r w:rsidRPr="00785E8D">
              <w:rPr>
                <w:rFonts w:ascii="Times New Roman" w:hAnsi="Times New Roman" w:cs="Times New Roman"/>
                <w:b/>
                <w:bCs/>
                <w:sz w:val="24"/>
                <w:szCs w:val="24"/>
              </w:rPr>
              <w:t>Typ</w:t>
            </w:r>
          </w:p>
        </w:tc>
        <w:tc>
          <w:tcPr>
            <w:tcW w:w="6480" w:type="dxa"/>
            <w:vAlign w:val="center"/>
          </w:tcPr>
          <w:p w14:paraId="08B291C9" w14:textId="77777777" w:rsidR="000B16EA" w:rsidRPr="00785E8D" w:rsidRDefault="000B16EA" w:rsidP="001E6254">
            <w:pPr>
              <w:keepLines/>
              <w:spacing w:after="0" w:line="240" w:lineRule="auto"/>
              <w:ind w:left="-21" w:firstLine="21"/>
              <w:jc w:val="center"/>
              <w:rPr>
                <w:rFonts w:ascii="Times New Roman" w:hAnsi="Times New Roman" w:cs="Times New Roman"/>
                <w:b/>
                <w:bCs/>
                <w:sz w:val="24"/>
                <w:szCs w:val="24"/>
              </w:rPr>
            </w:pPr>
            <w:r w:rsidRPr="00785E8D">
              <w:rPr>
                <w:rFonts w:ascii="Times New Roman" w:hAnsi="Times New Roman" w:cs="Times New Roman"/>
                <w:b/>
                <w:bCs/>
                <w:sz w:val="24"/>
                <w:szCs w:val="24"/>
              </w:rPr>
              <w:t>Pripomienka</w:t>
            </w:r>
          </w:p>
        </w:tc>
        <w:tc>
          <w:tcPr>
            <w:tcW w:w="778" w:type="dxa"/>
            <w:vAlign w:val="center"/>
          </w:tcPr>
          <w:p w14:paraId="458F7322" w14:textId="77777777" w:rsidR="000B16EA" w:rsidRPr="00785E8D" w:rsidRDefault="000B16EA" w:rsidP="001E6254">
            <w:pPr>
              <w:keepLine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Vyh.</w:t>
            </w:r>
          </w:p>
        </w:tc>
        <w:tc>
          <w:tcPr>
            <w:tcW w:w="2462" w:type="dxa"/>
            <w:vAlign w:val="center"/>
          </w:tcPr>
          <w:p w14:paraId="2B40B226" w14:textId="77777777" w:rsidR="000B16EA" w:rsidRDefault="000B16EA" w:rsidP="001E6254">
            <w:pPr>
              <w:keepLine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Spôsob vyhodnotenia</w:t>
            </w:r>
          </w:p>
        </w:tc>
      </w:tr>
      <w:tr w:rsidR="00421B59" w14:paraId="2451A9CE" w14:textId="77777777">
        <w:trPr>
          <w:trHeight w:val="648"/>
          <w:jc w:val="center"/>
        </w:trPr>
        <w:tc>
          <w:tcPr>
            <w:tcW w:w="1944" w:type="dxa"/>
          </w:tcPr>
          <w:p w14:paraId="37133FA0" w14:textId="77777777" w:rsidR="00421B59" w:rsidRDefault="00000000">
            <w:pPr>
              <w:spacing w:after="0"/>
              <w:jc w:val="center"/>
            </w:pPr>
            <w:r>
              <w:rPr>
                <w:rFonts w:ascii="Times New Roman" w:eastAsia="Times New Roman" w:hAnsi="Times New Roman" w:cs="Times New Roman"/>
                <w:b/>
                <w:color w:val="000000"/>
                <w:sz w:val="24"/>
              </w:rPr>
              <w:t>APZD</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Asociácia priemyselných zväzov a dopravy</w:t>
            </w:r>
          </w:p>
        </w:tc>
        <w:tc>
          <w:tcPr>
            <w:tcW w:w="1296" w:type="dxa"/>
            <w:vAlign w:val="center"/>
          </w:tcPr>
          <w:p w14:paraId="787CAE92" w14:textId="77777777" w:rsidR="00421B59" w:rsidRDefault="00000000">
            <w:pPr>
              <w:spacing w:after="0"/>
              <w:jc w:val="center"/>
            </w:pPr>
            <w:r>
              <w:rPr>
                <w:rFonts w:ascii="Times New Roman" w:eastAsia="Times New Roman" w:hAnsi="Times New Roman" w:cs="Times New Roman"/>
                <w:b/>
                <w:color w:val="FF0000"/>
                <w:sz w:val="24"/>
              </w:rPr>
              <w:t>Z</w:t>
            </w:r>
          </w:p>
        </w:tc>
        <w:tc>
          <w:tcPr>
            <w:tcW w:w="6480" w:type="dxa"/>
          </w:tcPr>
          <w:p w14:paraId="624201E3" w14:textId="77777777" w:rsidR="00421B59" w:rsidRDefault="00000000">
            <w:pPr>
              <w:spacing w:after="0"/>
            </w:pPr>
            <w:r>
              <w:rPr>
                <w:rFonts w:ascii="Times New Roman" w:eastAsia="Times New Roman" w:hAnsi="Times New Roman" w:cs="Times New Roman"/>
                <w:b/>
                <w:color w:val="000000"/>
                <w:sz w:val="24"/>
              </w:rPr>
              <w:t>K Čl. I, novelizačný bod 7, § 20c ods. 12 až 14</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Navrhujeme legislatívne posilniť ochranu tzv. chránenej účtovnej jednotky </w:t>
            </w:r>
            <w:r>
              <w:rPr>
                <w:rFonts w:ascii="Times New Roman" w:eastAsia="Times New Roman" w:hAnsi="Times New Roman" w:cs="Times New Roman"/>
                <w:color w:val="000000"/>
                <w:sz w:val="24"/>
              </w:rPr>
              <w:br/>
              <w:t>a chráneného subjektu s menej ako 1 000 zamestnancami v hodnotovom reťazci tak, aby odmietnutie poskytnutia informácií nad rámec dobrovoľných štandardov vykazovania informácií o udržateľnosti nesmelo byť dôvodom na:</w:t>
            </w:r>
            <w:r>
              <w:rPr>
                <w:rFonts w:ascii="Times New Roman" w:eastAsia="Times New Roman" w:hAnsi="Times New Roman" w:cs="Times New Roman"/>
                <w:color w:val="000000"/>
                <w:sz w:val="24"/>
              </w:rPr>
              <w:br/>
              <w:t>• vylúčenie dodávateľa z dodávateľského reťazca,</w:t>
            </w:r>
            <w:r>
              <w:rPr>
                <w:rFonts w:ascii="Times New Roman" w:eastAsia="Times New Roman" w:hAnsi="Times New Roman" w:cs="Times New Roman"/>
                <w:color w:val="000000"/>
                <w:sz w:val="24"/>
              </w:rPr>
              <w:br/>
              <w:t>• zhoršenie obchodných podmienok,</w:t>
            </w:r>
            <w:r>
              <w:rPr>
                <w:rFonts w:ascii="Times New Roman" w:eastAsia="Times New Roman" w:hAnsi="Times New Roman" w:cs="Times New Roman"/>
                <w:color w:val="000000"/>
                <w:sz w:val="24"/>
              </w:rPr>
              <w:br/>
              <w:t>• uloženie zmluvnej pokuty alebo inej sankcie,</w:t>
            </w:r>
            <w:r>
              <w:rPr>
                <w:rFonts w:ascii="Times New Roman" w:eastAsia="Times New Roman" w:hAnsi="Times New Roman" w:cs="Times New Roman"/>
                <w:color w:val="000000"/>
                <w:sz w:val="24"/>
              </w:rPr>
              <w:br/>
              <w:t>• hodnotenie dodávateľa ako nevyhovujúceho len z dôvodu využitia zákonného práva odmietnuť poskytnutie informácií nad rámec dobrovoľného štandardu.</w:t>
            </w:r>
            <w:r>
              <w:rPr>
                <w:rFonts w:ascii="Times New Roman" w:eastAsia="Times New Roman" w:hAnsi="Times New Roman" w:cs="Times New Roman"/>
                <w:color w:val="000000"/>
                <w:sz w:val="24"/>
              </w:rPr>
              <w:br/>
              <w:t xml:space="preserve">Odôvodnenie: Zamestnávatelia a výrobné podniky, najmä malé a stredné podniky v dodávateľských reťazcoch veľkých odberateľov, sú v praxi často vystavené požiadavkám nadnárodných zákazníkov </w:t>
            </w:r>
            <w:r>
              <w:rPr>
                <w:rFonts w:ascii="Times New Roman" w:eastAsia="Times New Roman" w:hAnsi="Times New Roman" w:cs="Times New Roman"/>
                <w:color w:val="000000"/>
                <w:sz w:val="24"/>
              </w:rPr>
              <w:br/>
              <w:t xml:space="preserve">na rozsiahle ESG, environmentálne, sociálne, bezpečnostné a dodávateľské dotazníky. Tieto požiadavky často presahujú reálne </w:t>
            </w:r>
            <w:r>
              <w:rPr>
                <w:rFonts w:ascii="Times New Roman" w:eastAsia="Times New Roman" w:hAnsi="Times New Roman" w:cs="Times New Roman"/>
                <w:color w:val="000000"/>
                <w:sz w:val="24"/>
              </w:rPr>
              <w:lastRenderedPageBreak/>
              <w:t>zákonné povinnosti dodávateľa a vytvárajú neprimeranú administratívnu, personálnu a finančnú záťaž.</w:t>
            </w:r>
            <w:r>
              <w:rPr>
                <w:rFonts w:ascii="Times New Roman" w:eastAsia="Times New Roman" w:hAnsi="Times New Roman" w:cs="Times New Roman"/>
                <w:color w:val="000000"/>
                <w:sz w:val="24"/>
              </w:rPr>
              <w:br/>
              <w:t>Samotné zákonné právo odmietnuť poskytnutie informácií nad rámec dobrovoľných štandardov nemusí byť v praxi dostatočné, ak nebude zároveň výslovne zakázané obchodné znevýhodnenie dodávateľa. Bez takejto ochrany môže dôjsť k obchádzaniu účelu zákona cez zmluvné podmienky, hodnotenia dodávateľov, audity zákazníkov alebo interné korporátne pravidlá veľkých odberateľov.</w:t>
            </w:r>
            <w:r>
              <w:rPr>
                <w:rFonts w:ascii="Times New Roman" w:eastAsia="Times New Roman" w:hAnsi="Times New Roman" w:cs="Times New Roman"/>
                <w:color w:val="000000"/>
                <w:sz w:val="24"/>
              </w:rPr>
              <w:br/>
              <w:t>Cieľom pripomienky je, aby transpozícia smernice skutočne znižovala administratívnu záťaž podnikov a nepresúvala ju z veľkých vykazujúcich spoločností na ich menších dodávateľov.</w:t>
            </w:r>
          </w:p>
        </w:tc>
        <w:tc>
          <w:tcPr>
            <w:tcW w:w="778" w:type="dxa"/>
            <w:vAlign w:val="center"/>
          </w:tcPr>
          <w:p w14:paraId="194F3C35" w14:textId="77777777" w:rsidR="00421B59"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0FC56F76" w14:textId="77777777" w:rsidR="00421B59" w:rsidRDefault="00000000">
            <w:pPr>
              <w:spacing w:after="0"/>
            </w:pPr>
            <w:r>
              <w:rPr>
                <w:rFonts w:ascii="Times New Roman" w:eastAsia="Times New Roman" w:hAnsi="Times New Roman" w:cs="Times New Roman"/>
                <w:color w:val="000000"/>
                <w:sz w:val="24"/>
              </w:rPr>
              <w:t>V rámci rozporového konania bola pripomienka preklasifikovaná na obyčajnú a rozpor bol odstránený.</w:t>
            </w:r>
          </w:p>
        </w:tc>
      </w:tr>
      <w:tr w:rsidR="00421B59" w14:paraId="6AB3B5FF" w14:textId="77777777">
        <w:trPr>
          <w:trHeight w:val="648"/>
          <w:jc w:val="center"/>
        </w:trPr>
        <w:tc>
          <w:tcPr>
            <w:tcW w:w="1944" w:type="dxa"/>
          </w:tcPr>
          <w:p w14:paraId="6BEC168E" w14:textId="77777777" w:rsidR="00421B59" w:rsidRDefault="00000000">
            <w:pPr>
              <w:spacing w:after="0"/>
              <w:jc w:val="center"/>
            </w:pPr>
            <w:r>
              <w:rPr>
                <w:rFonts w:ascii="Times New Roman" w:eastAsia="Times New Roman" w:hAnsi="Times New Roman" w:cs="Times New Roman"/>
                <w:b/>
                <w:color w:val="000000"/>
                <w:sz w:val="24"/>
              </w:rPr>
              <w:t>APZD</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Asociácia priemyselných zväzov a dopravy</w:t>
            </w:r>
          </w:p>
        </w:tc>
        <w:tc>
          <w:tcPr>
            <w:tcW w:w="1296" w:type="dxa"/>
            <w:vAlign w:val="center"/>
          </w:tcPr>
          <w:p w14:paraId="5B2A33CE" w14:textId="77777777" w:rsidR="00421B59" w:rsidRDefault="00000000">
            <w:pPr>
              <w:spacing w:after="0"/>
              <w:jc w:val="center"/>
            </w:pPr>
            <w:r>
              <w:rPr>
                <w:rFonts w:ascii="Times New Roman" w:eastAsia="Times New Roman" w:hAnsi="Times New Roman" w:cs="Times New Roman"/>
                <w:b/>
                <w:color w:val="FF0000"/>
                <w:sz w:val="24"/>
              </w:rPr>
              <w:t>Z</w:t>
            </w:r>
          </w:p>
        </w:tc>
        <w:tc>
          <w:tcPr>
            <w:tcW w:w="6480" w:type="dxa"/>
          </w:tcPr>
          <w:p w14:paraId="7D12472A" w14:textId="77777777" w:rsidR="00421B59" w:rsidRDefault="00000000">
            <w:pPr>
              <w:spacing w:after="0"/>
            </w:pPr>
            <w:r>
              <w:rPr>
                <w:rFonts w:ascii="Times New Roman" w:eastAsia="Times New Roman" w:hAnsi="Times New Roman" w:cs="Times New Roman"/>
                <w:b/>
                <w:color w:val="000000"/>
                <w:sz w:val="24"/>
              </w:rPr>
              <w:t>K Čl. I, novelizačný bod 7, § 20c ods. 15</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Navrhujeme precizovať § 20c ods. 15 tak, aby sa ustanovenie nemohlo používať na obchádzanie ochrany chránenej účtovnej jednotky a chráneného subjektu. Z uvedeného dôvodu navrhujeme doplniť, že pri posudzovaní, či ide o žiadosť o informácie na iný účel podľa tohto ustanovenia, sa prihliada na jej skutočný obsah, hospodársky účel a okolností, za ktorých sa uplatňuje, nie len na jej formálne označenie. Ak je skutočným účelom žiadosti získanie informácií na účely vykazovania informácií o udržateľnosti podľa tohto zákona, uplatní sa obmedzenie podľa § 20c bez ohľadu na označenie žiadosti zo strany žiadajúcej účtovnej jednotky.</w:t>
            </w:r>
            <w:r>
              <w:rPr>
                <w:rFonts w:ascii="Times New Roman" w:eastAsia="Times New Roman" w:hAnsi="Times New Roman" w:cs="Times New Roman"/>
                <w:color w:val="000000"/>
                <w:sz w:val="24"/>
              </w:rPr>
              <w:br/>
              <w:t xml:space="preserve">Odôvodnenie: Navrhované znenie § 20c ods. 15 ustanovuje, že ochranné ustanovenia nemajú vplyv na žiadosť podanú za iným účelom. Takto formulovaná výnimka je podľa nášho názoru príliš široká </w:t>
            </w:r>
            <w:r>
              <w:rPr>
                <w:rFonts w:ascii="Times New Roman" w:eastAsia="Times New Roman" w:hAnsi="Times New Roman" w:cs="Times New Roman"/>
                <w:color w:val="000000"/>
                <w:sz w:val="24"/>
              </w:rPr>
              <w:br/>
              <w:t xml:space="preserve">a v aplikačnej praxi môže oslabiť ochranu poskytovanú chránenej účtovnej jednotke a chránenému subjektu. Veľké vykazujúce podniky alebo ich materské skupiny môžu </w:t>
            </w:r>
            <w:r>
              <w:rPr>
                <w:rFonts w:ascii="Times New Roman" w:eastAsia="Times New Roman" w:hAnsi="Times New Roman" w:cs="Times New Roman"/>
                <w:color w:val="000000"/>
                <w:sz w:val="24"/>
              </w:rPr>
              <w:lastRenderedPageBreak/>
              <w:t>požiadavky na dodávateľov formálne označiť ako požiadavky napríklad „na účely nákupu“ a i., hoci obsahovo pôjde o požiadavky súvisiace s vykazovaním udržateľnosti. Tým by sa vytvoril priestor na faktické obchádzanie zákona.</w:t>
            </w:r>
            <w:r>
              <w:rPr>
                <w:rFonts w:ascii="Times New Roman" w:eastAsia="Times New Roman" w:hAnsi="Times New Roman" w:cs="Times New Roman"/>
                <w:color w:val="000000"/>
                <w:sz w:val="24"/>
              </w:rPr>
              <w:br/>
              <w:t>Z pohľadu zamestnávateľov je potrebné, aby zákon chránil podniky podľa reálneho obsahu požiadavky, nie podľa formálneho označenia účelu zo strany odberateľa.</w:t>
            </w:r>
          </w:p>
        </w:tc>
        <w:tc>
          <w:tcPr>
            <w:tcW w:w="778" w:type="dxa"/>
            <w:vAlign w:val="center"/>
          </w:tcPr>
          <w:p w14:paraId="41411496" w14:textId="77777777" w:rsidR="00421B59"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78BFA1EB" w14:textId="77777777" w:rsidR="00421B59" w:rsidRDefault="00000000">
            <w:pPr>
              <w:spacing w:after="0"/>
            </w:pPr>
            <w:r>
              <w:rPr>
                <w:rFonts w:ascii="Times New Roman" w:eastAsia="Times New Roman" w:hAnsi="Times New Roman" w:cs="Times New Roman"/>
                <w:color w:val="000000"/>
                <w:sz w:val="24"/>
              </w:rPr>
              <w:t>V rámci rozporového konania bola pripomienka preklasifikovaná na obyčajnú a rozpor bol odstránený.</w:t>
            </w:r>
          </w:p>
        </w:tc>
      </w:tr>
      <w:tr w:rsidR="00421B59" w14:paraId="41CCE359" w14:textId="77777777">
        <w:trPr>
          <w:trHeight w:val="648"/>
          <w:jc w:val="center"/>
        </w:trPr>
        <w:tc>
          <w:tcPr>
            <w:tcW w:w="1944" w:type="dxa"/>
          </w:tcPr>
          <w:p w14:paraId="0B59DAC5" w14:textId="77777777" w:rsidR="00421B59" w:rsidRDefault="00000000">
            <w:pPr>
              <w:spacing w:after="0"/>
              <w:jc w:val="center"/>
            </w:pPr>
            <w:r>
              <w:rPr>
                <w:rFonts w:ascii="Times New Roman" w:eastAsia="Times New Roman" w:hAnsi="Times New Roman" w:cs="Times New Roman"/>
                <w:b/>
                <w:color w:val="000000"/>
                <w:sz w:val="24"/>
              </w:rPr>
              <w:t>APZD</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Asociácia priemyselných zväzov a dopravy</w:t>
            </w:r>
          </w:p>
        </w:tc>
        <w:tc>
          <w:tcPr>
            <w:tcW w:w="1296" w:type="dxa"/>
            <w:vAlign w:val="center"/>
          </w:tcPr>
          <w:p w14:paraId="112A76F5" w14:textId="77777777" w:rsidR="00421B59" w:rsidRDefault="00000000">
            <w:pPr>
              <w:spacing w:after="0"/>
              <w:jc w:val="center"/>
            </w:pPr>
            <w:r>
              <w:rPr>
                <w:rFonts w:ascii="Times New Roman" w:eastAsia="Times New Roman" w:hAnsi="Times New Roman" w:cs="Times New Roman"/>
                <w:b/>
                <w:color w:val="FF0000"/>
                <w:sz w:val="24"/>
              </w:rPr>
              <w:t>Z</w:t>
            </w:r>
          </w:p>
        </w:tc>
        <w:tc>
          <w:tcPr>
            <w:tcW w:w="6480" w:type="dxa"/>
          </w:tcPr>
          <w:p w14:paraId="2522621B" w14:textId="77777777" w:rsidR="00421B59" w:rsidRDefault="00000000">
            <w:pPr>
              <w:spacing w:after="0"/>
            </w:pPr>
            <w:r>
              <w:rPr>
                <w:rFonts w:ascii="Times New Roman" w:eastAsia="Times New Roman" w:hAnsi="Times New Roman" w:cs="Times New Roman"/>
                <w:b/>
                <w:color w:val="000000"/>
                <w:sz w:val="24"/>
              </w:rPr>
              <w:t>K Čl. I, novelizačný bod 7, § 20c ods. 12 až 14</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Navrhujeme doplniť do zákona ustanovenie, podľa ktorého vykazujúca účtovná jednotka môže od chránenej účtovnej jednotky alebo chráneného subjektu požadovať informácie len prostredníctvom štandardizovaného, primeraného a zrozumiteľného dotazníka zodpovedajúceho dobrovoľným štandardom v zmysle na európskej úrovni pripravovaného delegovaného nariadenie Komisie z 3. júla 2026, ktorým sa dopĺňa smernica 2013/34/EÚ stanovením štandardov vykazovania informácií o udržateľnosti na dobrovoľné používanie podnikmi chránenými stropom hodnotového reťazca (Jeho prijatie je predpokladané počas tohto roka). Zároveň odporúčame zvážiť, aby Ministerstvo financií SR v spolupráci s reprezentatívnymi zamestnávateľskými organizáciami a ďalšími dotknutými subjektmi vypracovalo a zverejnilo vzorový dotazník pre dodávateľov v hodnotovom reťazci, ktorý by vychádzal z požiadaviek právnych predpisov Európskej únie a predstavoval jednotný rámec pre poskytovanie informácií o udržateľnosti.</w:t>
            </w:r>
            <w:r>
              <w:rPr>
                <w:rFonts w:ascii="Times New Roman" w:eastAsia="Times New Roman" w:hAnsi="Times New Roman" w:cs="Times New Roman"/>
                <w:color w:val="000000"/>
                <w:sz w:val="24"/>
              </w:rPr>
              <w:br/>
              <w:t xml:space="preserve">Odôvodnenie: Jedným z najväčších praktických problémov pre zamestnávateľov nie je len existencia povinnosti poskytovať informácie, ale aj roztrieštenosť a nejednotnosť zákazníckych dotazníkov. Podniky často dostávajú od rôznych zákazníkov obsahovo podobné, ale formálne rozdielne ESG dotazníky, ktoré </w:t>
            </w:r>
            <w:r>
              <w:rPr>
                <w:rFonts w:ascii="Times New Roman" w:eastAsia="Times New Roman" w:hAnsi="Times New Roman" w:cs="Times New Roman"/>
                <w:color w:val="000000"/>
                <w:sz w:val="24"/>
              </w:rPr>
              <w:lastRenderedPageBreak/>
              <w:t>musia opakovane vypĺňať, prekladať, vysvetľovať a interne overovať.</w:t>
            </w:r>
            <w:r>
              <w:rPr>
                <w:rFonts w:ascii="Times New Roman" w:eastAsia="Times New Roman" w:hAnsi="Times New Roman" w:cs="Times New Roman"/>
                <w:color w:val="000000"/>
                <w:sz w:val="24"/>
              </w:rPr>
              <w:br/>
              <w:t>Štandardizovaný vzorový dotazník vychádzajúci z pripravovanej európskej legislatívy (delegovaného aktu) by výrazne znížil administratívnu záťaž, zvýšil právnu istotu a umožnil podnikom efektívnejšie pripravovať informácie bez potreby opakovaného individuálneho posudzovania požiadaviek každého odberateľa.</w:t>
            </w:r>
            <w:r>
              <w:rPr>
                <w:rFonts w:ascii="Times New Roman" w:eastAsia="Times New Roman" w:hAnsi="Times New Roman" w:cs="Times New Roman"/>
                <w:color w:val="000000"/>
                <w:sz w:val="24"/>
              </w:rPr>
              <w:br/>
              <w:t xml:space="preserve">Pre zamestnávateľov je dôležité, aby vykazovanie informácií o udržateľnosti bolo prakticky zvládnuteľné a aby neodčerpávalo kapacity z výroby, kvality, technológie, obchodu, personalistiky </w:t>
            </w:r>
            <w:r>
              <w:rPr>
                <w:rFonts w:ascii="Times New Roman" w:eastAsia="Times New Roman" w:hAnsi="Times New Roman" w:cs="Times New Roman"/>
                <w:color w:val="000000"/>
                <w:sz w:val="24"/>
              </w:rPr>
              <w:br/>
              <w:t>a riadenia podniku.</w:t>
            </w:r>
          </w:p>
        </w:tc>
        <w:tc>
          <w:tcPr>
            <w:tcW w:w="778" w:type="dxa"/>
            <w:vAlign w:val="center"/>
          </w:tcPr>
          <w:p w14:paraId="331A7C21" w14:textId="77777777" w:rsidR="00421B59"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1A18BB0F" w14:textId="77777777" w:rsidR="00421B59" w:rsidRDefault="00000000">
            <w:pPr>
              <w:spacing w:after="0"/>
            </w:pPr>
            <w:r>
              <w:rPr>
                <w:rFonts w:ascii="Times New Roman" w:eastAsia="Times New Roman" w:hAnsi="Times New Roman" w:cs="Times New Roman"/>
                <w:color w:val="000000"/>
                <w:sz w:val="24"/>
              </w:rPr>
              <w:t>V rámci rozporového konania bola pripomienka preklasifikovaná na obyčajnú a rozpor bol odstránený.</w:t>
            </w:r>
          </w:p>
        </w:tc>
      </w:tr>
      <w:tr w:rsidR="00421B59" w14:paraId="6F10EB52" w14:textId="77777777">
        <w:trPr>
          <w:trHeight w:val="648"/>
          <w:jc w:val="center"/>
        </w:trPr>
        <w:tc>
          <w:tcPr>
            <w:tcW w:w="1944" w:type="dxa"/>
          </w:tcPr>
          <w:p w14:paraId="6C3AB04F" w14:textId="77777777" w:rsidR="00421B59" w:rsidRDefault="00000000">
            <w:pPr>
              <w:spacing w:after="0"/>
              <w:jc w:val="center"/>
            </w:pPr>
            <w:r>
              <w:rPr>
                <w:rFonts w:ascii="Times New Roman" w:eastAsia="Times New Roman" w:hAnsi="Times New Roman" w:cs="Times New Roman"/>
                <w:b/>
                <w:color w:val="000000"/>
                <w:sz w:val="24"/>
              </w:rPr>
              <w:t>APZD</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Asociácia priemyselných zväzov a dopravy</w:t>
            </w:r>
          </w:p>
        </w:tc>
        <w:tc>
          <w:tcPr>
            <w:tcW w:w="1296" w:type="dxa"/>
            <w:vAlign w:val="center"/>
          </w:tcPr>
          <w:p w14:paraId="228AC4E1" w14:textId="77777777" w:rsidR="00421B59" w:rsidRDefault="00000000">
            <w:pPr>
              <w:spacing w:after="0"/>
              <w:jc w:val="center"/>
            </w:pPr>
            <w:r>
              <w:rPr>
                <w:rFonts w:ascii="Times New Roman" w:eastAsia="Times New Roman" w:hAnsi="Times New Roman" w:cs="Times New Roman"/>
                <w:b/>
                <w:color w:val="FF0000"/>
                <w:sz w:val="24"/>
              </w:rPr>
              <w:t>Z</w:t>
            </w:r>
          </w:p>
        </w:tc>
        <w:tc>
          <w:tcPr>
            <w:tcW w:w="6480" w:type="dxa"/>
          </w:tcPr>
          <w:p w14:paraId="40AFC115" w14:textId="77777777" w:rsidR="00421B59" w:rsidRDefault="00000000">
            <w:pPr>
              <w:spacing w:after="0"/>
            </w:pPr>
            <w:r>
              <w:rPr>
                <w:rFonts w:ascii="Times New Roman" w:eastAsia="Times New Roman" w:hAnsi="Times New Roman" w:cs="Times New Roman"/>
                <w:b/>
                <w:color w:val="000000"/>
                <w:sz w:val="24"/>
              </w:rPr>
              <w:t>K Čl. I, novelizačný bod 7, § 20c ods. 11</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Navrhujeme doplniť, aby počas prvých troch účtovných období v zmysle </w:t>
            </w:r>
            <w:r>
              <w:rPr>
                <w:rFonts w:ascii="Times New Roman" w:eastAsia="Times New Roman" w:hAnsi="Times New Roman" w:cs="Times New Roman"/>
                <w:color w:val="000000"/>
                <w:sz w:val="24"/>
              </w:rPr>
              <w:br/>
              <w:t>a za podmienok podľa ustanovenia § 20c ods. 11 nebolo možné ukladať sankcie za neúplné alebo kvalifikovane odhadnuté údaje, ak účtovná jednotka transparentne uvedie dôvody neúplnosti, použitú metodiku a plán zlepšenia kvality vykazovaných údajov.</w:t>
            </w:r>
            <w:r>
              <w:rPr>
                <w:rFonts w:ascii="Times New Roman" w:eastAsia="Times New Roman" w:hAnsi="Times New Roman" w:cs="Times New Roman"/>
                <w:color w:val="000000"/>
                <w:sz w:val="24"/>
              </w:rPr>
              <w:br/>
              <w:t xml:space="preserve">Odôvodnenie: Navrhované doplnenie zohľadňuje praktické obmedzenia pri získavaní údajov </w:t>
            </w:r>
            <w:r>
              <w:rPr>
                <w:rFonts w:ascii="Times New Roman" w:eastAsia="Times New Roman" w:hAnsi="Times New Roman" w:cs="Times New Roman"/>
                <w:color w:val="000000"/>
                <w:sz w:val="24"/>
              </w:rPr>
              <w:br/>
              <w:t>z viacúrovňových a medzinárodných hodnotových reťazcov, najmä v počiatočných rokoch vykazovania. Cieľom je zabezpečiť, aby sa pri posudzovaní plnenia povinností prihliadalo aj na primerané úsilie účtovnej jednotky, objektívnu dostupnosť údajov a transparentnosť jej postupu. Takéto riešenie podporuje postupné zvyšovanie kvality vykazovaných informácií a je v súlade s princípom proporcionality aj cieľom európskej právnej úpravy.</w:t>
            </w:r>
            <w:r>
              <w:rPr>
                <w:rFonts w:ascii="Times New Roman" w:eastAsia="Times New Roman" w:hAnsi="Times New Roman" w:cs="Times New Roman"/>
                <w:color w:val="000000"/>
                <w:sz w:val="24"/>
              </w:rPr>
              <w:br/>
              <w:t xml:space="preserve">Prechodné trojročné obdobie je potrebné nastaviť tak, aby podniky neboli sankcionované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za objektívne nedostupné údaje, ak vynaložili primerané úsilie na ich získanie. Právna úprava by mala podporovať postupné zlepšovanie kvality údajov, nie formálne sankcionovanie podnikov za počiatočné nedostatky systému.</w:t>
            </w:r>
          </w:p>
        </w:tc>
        <w:tc>
          <w:tcPr>
            <w:tcW w:w="778" w:type="dxa"/>
            <w:vAlign w:val="center"/>
          </w:tcPr>
          <w:p w14:paraId="318F1833" w14:textId="77777777" w:rsidR="00421B59"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59A020A3" w14:textId="77777777" w:rsidR="00421B59" w:rsidRDefault="00000000">
            <w:pPr>
              <w:spacing w:after="0"/>
            </w:pPr>
            <w:r>
              <w:rPr>
                <w:rFonts w:ascii="Times New Roman" w:eastAsia="Times New Roman" w:hAnsi="Times New Roman" w:cs="Times New Roman"/>
                <w:color w:val="000000"/>
                <w:sz w:val="24"/>
              </w:rPr>
              <w:t>V rámci rozporového konania bola pripomienka preklasifikovaná na obyčajnú a rozpor bol odstránený.</w:t>
            </w:r>
          </w:p>
        </w:tc>
      </w:tr>
      <w:tr w:rsidR="00421B59" w14:paraId="6406E8FD" w14:textId="77777777">
        <w:trPr>
          <w:trHeight w:val="648"/>
          <w:jc w:val="center"/>
        </w:trPr>
        <w:tc>
          <w:tcPr>
            <w:tcW w:w="1944" w:type="dxa"/>
          </w:tcPr>
          <w:p w14:paraId="7720AE62" w14:textId="77777777" w:rsidR="00421B59" w:rsidRDefault="00000000">
            <w:pPr>
              <w:spacing w:after="0"/>
              <w:jc w:val="center"/>
            </w:pPr>
            <w:r>
              <w:rPr>
                <w:rFonts w:ascii="Times New Roman" w:eastAsia="Times New Roman" w:hAnsi="Times New Roman" w:cs="Times New Roman"/>
                <w:b/>
                <w:color w:val="000000"/>
                <w:sz w:val="24"/>
              </w:rPr>
              <w:t>APZD</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Asociácia priemyselných zväzov a dopravy</w:t>
            </w:r>
          </w:p>
        </w:tc>
        <w:tc>
          <w:tcPr>
            <w:tcW w:w="1296" w:type="dxa"/>
            <w:vAlign w:val="center"/>
          </w:tcPr>
          <w:p w14:paraId="3BCEE0B6" w14:textId="77777777" w:rsidR="00421B59" w:rsidRDefault="00000000">
            <w:pPr>
              <w:spacing w:after="0"/>
              <w:jc w:val="center"/>
            </w:pPr>
            <w:r>
              <w:rPr>
                <w:rFonts w:ascii="Times New Roman" w:eastAsia="Times New Roman" w:hAnsi="Times New Roman" w:cs="Times New Roman"/>
                <w:b/>
                <w:color w:val="FF0000"/>
                <w:sz w:val="24"/>
              </w:rPr>
              <w:t>Z</w:t>
            </w:r>
          </w:p>
        </w:tc>
        <w:tc>
          <w:tcPr>
            <w:tcW w:w="6480" w:type="dxa"/>
          </w:tcPr>
          <w:p w14:paraId="0A8F6A61" w14:textId="77777777" w:rsidR="00421B59" w:rsidRDefault="00000000">
            <w:pPr>
              <w:spacing w:after="0"/>
            </w:pPr>
            <w:r>
              <w:rPr>
                <w:rFonts w:ascii="Times New Roman" w:eastAsia="Times New Roman" w:hAnsi="Times New Roman" w:cs="Times New Roman"/>
                <w:b/>
                <w:color w:val="000000"/>
                <w:sz w:val="24"/>
              </w:rPr>
              <w:t>K  Čl. I, § 20c ods. 12 až 14 a § 20g ods. 15</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Navrhujeme spresniť, že povinnosti vykazujúcej účtovnej jednotky podľa § 20c ods. 12 až 14 a § 20g ods. 15 sa vzťahujú aj na prípady, keď získavanie informácií od účtovných jednotiek alebo subjektov v hodnotovom reťazci zabezpečuje účtovná jednotka s povinnosťou vykazovania informácií o udržateľnosti podľa odseku 1 alebo odseku 2 prostredníctvom inej osoby alebo technickej platformy konajúcej v jej mene alebo na jej účet. </w:t>
            </w:r>
            <w:r>
              <w:rPr>
                <w:rFonts w:ascii="Times New Roman" w:eastAsia="Times New Roman" w:hAnsi="Times New Roman" w:cs="Times New Roman"/>
                <w:color w:val="000000"/>
                <w:sz w:val="24"/>
              </w:rPr>
              <w:br/>
              <w:t>Odôvodnenie: V praxi vykazujúce účtovné jednotky často zabezpečujú zber ESG údajov prostredníctvom skupinových portálov, externých platforiem alebo iných tretích osôb. Navrhované spresnenie má predísť obchádzaniu ochranných ustanovení zákona tým, že sa jednoznačne potvrdí, že vykazujúca účtovná jednotka je povinná dodržiavať zákonné obmedzenia aj v prípade, ak zber údajov zabezpečuje prostredníctvom osoby konajúcej v jej mene alebo na jej účet. Navrhovaná úprava nemení okruh povinných subjektov, ale spresňuje spôsob uplatňovania existujúcich povinností v súlade s účelom zákona.</w:t>
            </w:r>
          </w:p>
        </w:tc>
        <w:tc>
          <w:tcPr>
            <w:tcW w:w="778" w:type="dxa"/>
            <w:vAlign w:val="center"/>
          </w:tcPr>
          <w:p w14:paraId="3AF0D0EC" w14:textId="77777777" w:rsidR="00421B59" w:rsidRDefault="00000000">
            <w:pPr>
              <w:spacing w:after="0"/>
              <w:jc w:val="center"/>
            </w:pPr>
            <w:r>
              <w:rPr>
                <w:rFonts w:ascii="Times New Roman" w:eastAsia="Times New Roman" w:hAnsi="Times New Roman" w:cs="Times New Roman"/>
                <w:color w:val="000000"/>
                <w:sz w:val="24"/>
              </w:rPr>
              <w:t>N</w:t>
            </w:r>
          </w:p>
        </w:tc>
        <w:tc>
          <w:tcPr>
            <w:tcW w:w="2462" w:type="dxa"/>
          </w:tcPr>
          <w:p w14:paraId="438BC4BA" w14:textId="77777777" w:rsidR="00421B59" w:rsidRDefault="00000000">
            <w:pPr>
              <w:spacing w:after="0"/>
            </w:pPr>
            <w:r>
              <w:rPr>
                <w:rFonts w:ascii="Times New Roman" w:eastAsia="Times New Roman" w:hAnsi="Times New Roman" w:cs="Times New Roman"/>
                <w:color w:val="000000"/>
                <w:sz w:val="24"/>
              </w:rPr>
              <w:t>V rámci rozporového konania bola pripomienka preklasifikovaná na obyčajnú a rozpor bol odstránený.</w:t>
            </w:r>
          </w:p>
        </w:tc>
      </w:tr>
      <w:tr w:rsidR="00421B59" w14:paraId="3DC2DECB" w14:textId="77777777">
        <w:trPr>
          <w:trHeight w:val="648"/>
          <w:jc w:val="center"/>
        </w:trPr>
        <w:tc>
          <w:tcPr>
            <w:tcW w:w="1944" w:type="dxa"/>
          </w:tcPr>
          <w:p w14:paraId="78250E72" w14:textId="77777777" w:rsidR="00421B59" w:rsidRDefault="00000000">
            <w:pPr>
              <w:spacing w:after="0"/>
              <w:jc w:val="center"/>
            </w:pPr>
            <w:r>
              <w:rPr>
                <w:rFonts w:ascii="Times New Roman" w:eastAsia="Times New Roman" w:hAnsi="Times New Roman" w:cs="Times New Roman"/>
                <w:b/>
                <w:color w:val="000000"/>
                <w:sz w:val="24"/>
              </w:rPr>
              <w:t>APZD</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Asociácia priemyselných zväzov a dopravy</w:t>
            </w:r>
          </w:p>
        </w:tc>
        <w:tc>
          <w:tcPr>
            <w:tcW w:w="1296" w:type="dxa"/>
            <w:vAlign w:val="center"/>
          </w:tcPr>
          <w:p w14:paraId="40A811C4" w14:textId="77777777" w:rsidR="00421B59" w:rsidRDefault="00000000">
            <w:pPr>
              <w:spacing w:after="0"/>
              <w:jc w:val="center"/>
            </w:pPr>
            <w:r>
              <w:rPr>
                <w:rFonts w:ascii="Times New Roman" w:eastAsia="Times New Roman" w:hAnsi="Times New Roman" w:cs="Times New Roman"/>
                <w:b/>
                <w:color w:val="FF0000"/>
                <w:sz w:val="24"/>
              </w:rPr>
              <w:t>Z</w:t>
            </w:r>
          </w:p>
        </w:tc>
        <w:tc>
          <w:tcPr>
            <w:tcW w:w="6480" w:type="dxa"/>
          </w:tcPr>
          <w:p w14:paraId="0ABE6AD7" w14:textId="77777777" w:rsidR="00421B59" w:rsidRDefault="00000000">
            <w:pPr>
              <w:spacing w:after="0"/>
            </w:pPr>
            <w:r>
              <w:rPr>
                <w:rFonts w:ascii="Times New Roman" w:eastAsia="Times New Roman" w:hAnsi="Times New Roman" w:cs="Times New Roman"/>
                <w:b/>
                <w:color w:val="000000"/>
                <w:sz w:val="24"/>
              </w:rPr>
              <w:t>K Čl. II, novelizačné body 42 a 48</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Žiadame novelizačné body 42 a 48 z návrhu zákona vypustiť. </w:t>
            </w:r>
            <w:r>
              <w:rPr>
                <w:rFonts w:ascii="Times New Roman" w:eastAsia="Times New Roman" w:hAnsi="Times New Roman" w:cs="Times New Roman"/>
                <w:color w:val="000000"/>
                <w:sz w:val="24"/>
              </w:rPr>
              <w:br/>
              <w:t xml:space="preserve">Odôvodnenie: Nesúhlasíme s navrhovaným zvýšením ročných príspevkov regulovaných subjektov. Predložený návrh ukladá dotknutým subjektom dodatočné finančné zaťaženie bez toho, aby bolo preukázané zodpovedajúce rozšírenie rozsahu dohľadu alebo činností vykonávaných Úradom pre dohľad nad výkonom auditu. Hoci dôvodová správa poukazuje na rast prevádzkových </w:t>
            </w:r>
            <w:r>
              <w:rPr>
                <w:rFonts w:ascii="Times New Roman" w:eastAsia="Times New Roman" w:hAnsi="Times New Roman" w:cs="Times New Roman"/>
                <w:color w:val="000000"/>
                <w:sz w:val="24"/>
              </w:rPr>
              <w:lastRenderedPageBreak/>
              <w:t xml:space="preserve">nákladov a na skutočnosť, že výška príspevkov nebola upravovaná od roku 2015, neobsahuje dostatočné odôvodnenie nevyhnutnosti navrhovaného zvýšenia ani analýzu alternatívnych možností financovania činnosti úradu. Podľa nášho názoru by k zvyšovaniu povinných príspevkov malo dochádzať len </w:t>
            </w:r>
            <w:r>
              <w:rPr>
                <w:rFonts w:ascii="Times New Roman" w:eastAsia="Times New Roman" w:hAnsi="Times New Roman" w:cs="Times New Roman"/>
                <w:color w:val="000000"/>
                <w:sz w:val="24"/>
              </w:rPr>
              <w:br/>
              <w:t>v prípadoch, keď je objektívne odôvodnené rozšírením zákonných úloh alebo výkonu dohľadu zo strany úradu. Takéto odôvodnenie však z návrhu zákona ani z dôvodovej správy nevyplýva. Novou úpravou dochádza k prenosu určovania výšky povinných ročných príspevkov a registračných poplatkov zo zákona na úroveň vykonávacieho právneho predpisu – opatrenia ministerstva. Keďže ide o povinné finančné plnenia ukladané podnikateľským subjektom, ich výška predstavuje významný prvok regulačného prostredia a má priamy vplyv na náklady dotknutých subjektov. Z tohto dôvodu považujeme za vhodné, aby bola výška týchto plnení ustanovená priamo zákonom a aby každá jej zmena podliehala riadnemu legislatívnemu procesu vrátane posúdenia vplyvov a možnosti dotknutých subjektov uplatniť pripomienky v rámci medzirezortného pripomienkového konania. Takýto postup posilňuje právnu istotu, transparentnosť a predvídateľnosť podnikateľského prostredia.</w:t>
            </w:r>
            <w:r>
              <w:rPr>
                <w:rFonts w:ascii="Times New Roman" w:eastAsia="Times New Roman" w:hAnsi="Times New Roman" w:cs="Times New Roman"/>
                <w:color w:val="000000"/>
                <w:sz w:val="24"/>
              </w:rPr>
              <w:br/>
              <w:t>V čase rastúcich nákladov práce, energií, materiálov, financovania a regulačných povinností je potrebné, aby štát nevytváral ďalší tlak na zvyšovanie nákladov podnikateľského prostredia.</w:t>
            </w:r>
          </w:p>
        </w:tc>
        <w:tc>
          <w:tcPr>
            <w:tcW w:w="778" w:type="dxa"/>
            <w:vAlign w:val="center"/>
          </w:tcPr>
          <w:p w14:paraId="46157D64" w14:textId="77777777" w:rsidR="00421B59" w:rsidRDefault="00000000">
            <w:pPr>
              <w:spacing w:after="0"/>
              <w:jc w:val="center"/>
            </w:pPr>
            <w:r>
              <w:rPr>
                <w:rFonts w:ascii="Times New Roman" w:eastAsia="Times New Roman" w:hAnsi="Times New Roman" w:cs="Times New Roman"/>
                <w:color w:val="000000"/>
                <w:sz w:val="24"/>
              </w:rPr>
              <w:lastRenderedPageBreak/>
              <w:t>ČA</w:t>
            </w:r>
          </w:p>
        </w:tc>
        <w:tc>
          <w:tcPr>
            <w:tcW w:w="2462" w:type="dxa"/>
          </w:tcPr>
          <w:p w14:paraId="41784383" w14:textId="77777777" w:rsidR="00421B59" w:rsidRDefault="00000000">
            <w:pPr>
              <w:spacing w:after="0"/>
            </w:pPr>
            <w:r>
              <w:rPr>
                <w:rFonts w:ascii="Times New Roman" w:eastAsia="Times New Roman" w:hAnsi="Times New Roman" w:cs="Times New Roman"/>
                <w:color w:val="000000"/>
                <w:sz w:val="24"/>
              </w:rPr>
              <w:t>V rámci rozporového konania bola pripomienka preklasifikovaná na obyčajnú a rozpor bol odstránený s tým, že bol vypustený bod 48.</w:t>
            </w:r>
          </w:p>
        </w:tc>
      </w:tr>
      <w:tr w:rsidR="00421B59" w14:paraId="54F72E9E" w14:textId="77777777">
        <w:trPr>
          <w:trHeight w:val="648"/>
          <w:jc w:val="center"/>
        </w:trPr>
        <w:tc>
          <w:tcPr>
            <w:tcW w:w="1944" w:type="dxa"/>
          </w:tcPr>
          <w:p w14:paraId="77E9E24A" w14:textId="77777777" w:rsidR="00421B59" w:rsidRDefault="00000000">
            <w:pPr>
              <w:spacing w:after="0"/>
              <w:jc w:val="center"/>
            </w:pPr>
            <w:r>
              <w:rPr>
                <w:rFonts w:ascii="Times New Roman" w:eastAsia="Times New Roman" w:hAnsi="Times New Roman" w:cs="Times New Roman"/>
                <w:b/>
                <w:color w:val="000000"/>
                <w:sz w:val="24"/>
              </w:rPr>
              <w:t>APZD</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Asociácia priemyselných zväzov a dopravy</w:t>
            </w:r>
          </w:p>
        </w:tc>
        <w:tc>
          <w:tcPr>
            <w:tcW w:w="1296" w:type="dxa"/>
            <w:vAlign w:val="center"/>
          </w:tcPr>
          <w:p w14:paraId="629B3B33" w14:textId="77777777" w:rsidR="00421B59" w:rsidRDefault="00000000">
            <w:pPr>
              <w:spacing w:after="0"/>
              <w:jc w:val="center"/>
            </w:pPr>
            <w:r>
              <w:rPr>
                <w:rFonts w:ascii="Times New Roman" w:eastAsia="Times New Roman" w:hAnsi="Times New Roman" w:cs="Times New Roman"/>
                <w:color w:val="000000"/>
                <w:sz w:val="24"/>
              </w:rPr>
              <w:t>O</w:t>
            </w:r>
          </w:p>
        </w:tc>
        <w:tc>
          <w:tcPr>
            <w:tcW w:w="6480" w:type="dxa"/>
          </w:tcPr>
          <w:p w14:paraId="783AF95A" w14:textId="77777777" w:rsidR="00421B59" w:rsidRDefault="00000000">
            <w:pPr>
              <w:spacing w:after="0"/>
            </w:pPr>
            <w:r>
              <w:rPr>
                <w:rFonts w:ascii="Times New Roman" w:eastAsia="Times New Roman" w:hAnsi="Times New Roman" w:cs="Times New Roman"/>
                <w:b/>
                <w:color w:val="000000"/>
                <w:sz w:val="24"/>
              </w:rPr>
              <w:t>Čl. I</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Navrhujeme doplniť prechodné ustanovenie, podľa ktorého budú orgány verejnej moci, orgány dohľadu a príslušné inštitúcie počas prvého účtovného obdobia po nadobudnutí účinnosti </w:t>
            </w:r>
            <w:r>
              <w:rPr>
                <w:rFonts w:ascii="Times New Roman" w:eastAsia="Times New Roman" w:hAnsi="Times New Roman" w:cs="Times New Roman"/>
                <w:color w:val="000000"/>
                <w:sz w:val="24"/>
              </w:rPr>
              <w:lastRenderedPageBreak/>
              <w:t>zákona postupovať prioritne metodicky a preventívne, nie sankčne.</w:t>
            </w:r>
            <w:r>
              <w:rPr>
                <w:rFonts w:ascii="Times New Roman" w:eastAsia="Times New Roman" w:hAnsi="Times New Roman" w:cs="Times New Roman"/>
                <w:color w:val="000000"/>
                <w:sz w:val="24"/>
              </w:rPr>
              <w:br/>
              <w:t>Zároveň navrhujeme, aby Ministerstvo financií SR najneskôr do 6 mesiacov pred prvým povinným uplatnením nových pravidiel zverejnilo metodické usmernenie pre podniky, vrátane praktických príkladov, vzorových vyhlásení a odporúčaného rozsahu informácií požadovaných od dodávateľov.</w:t>
            </w:r>
            <w:r>
              <w:rPr>
                <w:rFonts w:ascii="Times New Roman" w:eastAsia="Times New Roman" w:hAnsi="Times New Roman" w:cs="Times New Roman"/>
                <w:color w:val="000000"/>
                <w:sz w:val="24"/>
              </w:rPr>
              <w:br/>
              <w:t xml:space="preserve">Odôvodnenie: Navrhovaná účinnosť od 1. januára 2027 ponecháva podnikom obmedzený čas na úpravu interných procesov, zmlúv, dodávateľských dotazníkov, informačných systémov </w:t>
            </w:r>
            <w:r>
              <w:rPr>
                <w:rFonts w:ascii="Times New Roman" w:eastAsia="Times New Roman" w:hAnsi="Times New Roman" w:cs="Times New Roman"/>
                <w:color w:val="000000"/>
                <w:sz w:val="24"/>
              </w:rPr>
              <w:br/>
              <w:t>a zodpovedností medzi útvarmi. Pre zamestnávateľov je kľúčové, aby legislatíva bola sprevádzaná jasnou metodikou, praktickými vzormi a jednotným výkladom.</w:t>
            </w:r>
            <w:r>
              <w:rPr>
                <w:rFonts w:ascii="Times New Roman" w:eastAsia="Times New Roman" w:hAnsi="Times New Roman" w:cs="Times New Roman"/>
                <w:color w:val="000000"/>
                <w:sz w:val="24"/>
              </w:rPr>
              <w:br/>
              <w:t>Bez metodického usmernenia hrozí, že podniky budú postupovať nejednotne, budú si vytvárať vlastné rozdielne požiadavky a administratívna záťaž sa v praxi nezníži, ale presunie na dodávateľov.</w:t>
            </w:r>
            <w:r>
              <w:rPr>
                <w:rFonts w:ascii="Times New Roman" w:eastAsia="Times New Roman" w:hAnsi="Times New Roman" w:cs="Times New Roman"/>
                <w:color w:val="000000"/>
                <w:sz w:val="24"/>
              </w:rPr>
              <w:br/>
              <w:t>Prvý rok účinnosti by mal byť zameraný na zavedenie pravidiel, vzdelávanie a metodickú podporu, nie na sankcionovanie nejasností vyplývajúcich z novej právnej úpravy.</w:t>
            </w:r>
          </w:p>
        </w:tc>
        <w:tc>
          <w:tcPr>
            <w:tcW w:w="778" w:type="dxa"/>
            <w:vAlign w:val="center"/>
          </w:tcPr>
          <w:p w14:paraId="097CEC22" w14:textId="77777777" w:rsidR="00421B59"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187B8056" w14:textId="77777777" w:rsidR="00421B59" w:rsidRDefault="00000000">
            <w:pPr>
              <w:spacing w:after="0"/>
            </w:pPr>
            <w:r>
              <w:rPr>
                <w:rFonts w:ascii="Times New Roman" w:eastAsia="Times New Roman" w:hAnsi="Times New Roman" w:cs="Times New Roman"/>
                <w:color w:val="000000"/>
                <w:sz w:val="24"/>
              </w:rPr>
              <w:t>Pripomienka je nad rámec návrhu a smernice (EÚ) 2026/470.</w:t>
            </w:r>
          </w:p>
        </w:tc>
      </w:tr>
      <w:tr w:rsidR="00421B59" w14:paraId="75267B3F" w14:textId="77777777">
        <w:trPr>
          <w:trHeight w:val="648"/>
          <w:jc w:val="center"/>
        </w:trPr>
        <w:tc>
          <w:tcPr>
            <w:tcW w:w="1944" w:type="dxa"/>
          </w:tcPr>
          <w:p w14:paraId="29C45943" w14:textId="77777777" w:rsidR="00421B59" w:rsidRDefault="00000000">
            <w:pPr>
              <w:spacing w:after="0"/>
              <w:jc w:val="center"/>
            </w:pPr>
            <w:r>
              <w:rPr>
                <w:rFonts w:ascii="Times New Roman" w:eastAsia="Times New Roman" w:hAnsi="Times New Roman" w:cs="Times New Roman"/>
                <w:b/>
                <w:color w:val="000000"/>
                <w:sz w:val="24"/>
              </w:rPr>
              <w:t>Klub 500</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Klub 500</w:t>
            </w:r>
          </w:p>
        </w:tc>
        <w:tc>
          <w:tcPr>
            <w:tcW w:w="1296" w:type="dxa"/>
            <w:vAlign w:val="center"/>
          </w:tcPr>
          <w:p w14:paraId="6CA12E76" w14:textId="77777777" w:rsidR="00421B59" w:rsidRDefault="00000000">
            <w:pPr>
              <w:spacing w:after="0"/>
              <w:jc w:val="center"/>
            </w:pPr>
            <w:r>
              <w:rPr>
                <w:rFonts w:ascii="Times New Roman" w:eastAsia="Times New Roman" w:hAnsi="Times New Roman" w:cs="Times New Roman"/>
                <w:b/>
                <w:color w:val="FF0000"/>
                <w:sz w:val="24"/>
              </w:rPr>
              <w:t>Z</w:t>
            </w:r>
          </w:p>
        </w:tc>
        <w:tc>
          <w:tcPr>
            <w:tcW w:w="6480" w:type="dxa"/>
          </w:tcPr>
          <w:p w14:paraId="7E805DDF" w14:textId="77777777" w:rsidR="00421B59" w:rsidRDefault="00000000">
            <w:pPr>
              <w:spacing w:after="0"/>
            </w:pPr>
            <w:r>
              <w:rPr>
                <w:rFonts w:ascii="Times New Roman" w:eastAsia="Times New Roman" w:hAnsi="Times New Roman" w:cs="Times New Roman"/>
                <w:b/>
                <w:color w:val="000000"/>
                <w:sz w:val="24"/>
              </w:rPr>
              <w:t>Čl. I bod 1 (§ 2 ods. 4 písm. p)</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Žiadame doplniť dôvodovú správu k novelizačnému bodu 1 (§ 2 ods. 4 písm. p)) o bližšie vysvetlenie, čo sa na účely zákona rozumie finančnou holdingovou spoločnosťou a uviesť ilustratívne príklady subjektov, na ktoré sa predmetná definícia vzťahuje.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 xml:space="preserve">Dôvodová správa bližšie nevysvetľuje, aké subjekty má v aplikačnej praxi zahŕňať pojem finančná holdingová spoločnosť </w:t>
            </w:r>
            <w:r>
              <w:rPr>
                <w:rFonts w:ascii="Times New Roman" w:eastAsia="Times New Roman" w:hAnsi="Times New Roman" w:cs="Times New Roman"/>
                <w:color w:val="000000"/>
                <w:sz w:val="24"/>
              </w:rPr>
              <w:lastRenderedPageBreak/>
              <w:t>podľa § 2 ods. 4 písm. p). Z jej znenia nie je zrejmé, aké typy spoločností možno považovať za finančné holdingové spoločnosti. Žiadame preto doplniť dôvodovú správu o bližšie vysvetlenie účelu predmetnej definície a aspoň ilustratívne príklady subjektov, na ktoré sa bude vzťahovať.</w:t>
            </w:r>
          </w:p>
        </w:tc>
        <w:tc>
          <w:tcPr>
            <w:tcW w:w="778" w:type="dxa"/>
            <w:vAlign w:val="center"/>
          </w:tcPr>
          <w:p w14:paraId="1D9E41B4" w14:textId="77777777" w:rsidR="00421B59" w:rsidRDefault="00000000">
            <w:pPr>
              <w:spacing w:after="0"/>
              <w:jc w:val="center"/>
            </w:pPr>
            <w:r>
              <w:rPr>
                <w:rFonts w:ascii="Times New Roman" w:eastAsia="Times New Roman" w:hAnsi="Times New Roman" w:cs="Times New Roman"/>
                <w:color w:val="000000"/>
                <w:sz w:val="24"/>
              </w:rPr>
              <w:lastRenderedPageBreak/>
              <w:t>A</w:t>
            </w:r>
          </w:p>
        </w:tc>
        <w:tc>
          <w:tcPr>
            <w:tcW w:w="2462" w:type="dxa"/>
          </w:tcPr>
          <w:p w14:paraId="5B4B5C72" w14:textId="77777777" w:rsidR="00421B59" w:rsidRDefault="00421B59">
            <w:pPr>
              <w:spacing w:after="0"/>
            </w:pPr>
          </w:p>
        </w:tc>
      </w:tr>
      <w:tr w:rsidR="00421B59" w14:paraId="4DB91AEA" w14:textId="77777777">
        <w:trPr>
          <w:trHeight w:val="648"/>
          <w:jc w:val="center"/>
        </w:trPr>
        <w:tc>
          <w:tcPr>
            <w:tcW w:w="1944" w:type="dxa"/>
          </w:tcPr>
          <w:p w14:paraId="60530710" w14:textId="77777777" w:rsidR="00421B59" w:rsidRDefault="00000000">
            <w:pPr>
              <w:spacing w:after="0"/>
              <w:jc w:val="center"/>
            </w:pPr>
            <w:r>
              <w:rPr>
                <w:rFonts w:ascii="Times New Roman" w:eastAsia="Times New Roman" w:hAnsi="Times New Roman" w:cs="Times New Roman"/>
                <w:b/>
                <w:color w:val="000000"/>
                <w:sz w:val="24"/>
              </w:rPr>
              <w:t>Klub 500</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Klub 500</w:t>
            </w:r>
          </w:p>
        </w:tc>
        <w:tc>
          <w:tcPr>
            <w:tcW w:w="1296" w:type="dxa"/>
            <w:vAlign w:val="center"/>
          </w:tcPr>
          <w:p w14:paraId="6C42CF4B" w14:textId="77777777" w:rsidR="00421B59" w:rsidRDefault="00000000">
            <w:pPr>
              <w:spacing w:after="0"/>
              <w:jc w:val="center"/>
            </w:pPr>
            <w:r>
              <w:rPr>
                <w:rFonts w:ascii="Times New Roman" w:eastAsia="Times New Roman" w:hAnsi="Times New Roman" w:cs="Times New Roman"/>
                <w:b/>
                <w:color w:val="FF0000"/>
                <w:sz w:val="24"/>
              </w:rPr>
              <w:t>Z</w:t>
            </w:r>
          </w:p>
        </w:tc>
        <w:tc>
          <w:tcPr>
            <w:tcW w:w="6480" w:type="dxa"/>
          </w:tcPr>
          <w:p w14:paraId="5A177252" w14:textId="77777777" w:rsidR="00421B59" w:rsidRDefault="00000000">
            <w:pPr>
              <w:spacing w:after="0"/>
            </w:pPr>
            <w:r>
              <w:rPr>
                <w:rFonts w:ascii="Times New Roman" w:eastAsia="Times New Roman" w:hAnsi="Times New Roman" w:cs="Times New Roman"/>
                <w:b/>
                <w:color w:val="000000"/>
                <w:sz w:val="24"/>
              </w:rPr>
              <w:t>Čl. I bod 6 (§ 20c ods. 1 písm. b))</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Žiadame v dôvodovej správe špecifikovať, čo sa na účely tohto zákona rozumie pod pojmom „priemerný prepočítaný počet zamestnancov" a podľa akej metodiky sa tento údaj určuje.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Priemerný prepočítaný počet zamestnancov predstavuje rozhodujúce kritérium pre vznik alebo zánik viacerých povinností podľa zákona. Vzhľadom na význam tohto kritéria pre určenie rozsahu povinností jednotlivých subjektov považujeme za potrebné, aby dôvodová správa výslovne uviedla metodiku, z ktorej sa má pri určovaní priemerného prepočítaného počtu zamestnancov vychádzať. Takéto spresnenie prispeje k jednotnej aplikačnej praxi pri posudzovaní splnenia jednotlivých zákonných prahových hodnôt a zvýši právnu istotu dotknutých subjektov.</w:t>
            </w:r>
          </w:p>
        </w:tc>
        <w:tc>
          <w:tcPr>
            <w:tcW w:w="778" w:type="dxa"/>
            <w:vAlign w:val="center"/>
          </w:tcPr>
          <w:p w14:paraId="50899A37" w14:textId="77777777" w:rsidR="00421B59" w:rsidRDefault="00000000">
            <w:pPr>
              <w:spacing w:after="0"/>
              <w:jc w:val="center"/>
            </w:pPr>
            <w:r>
              <w:rPr>
                <w:rFonts w:ascii="Times New Roman" w:eastAsia="Times New Roman" w:hAnsi="Times New Roman" w:cs="Times New Roman"/>
                <w:color w:val="000000"/>
                <w:sz w:val="24"/>
              </w:rPr>
              <w:t>A</w:t>
            </w:r>
          </w:p>
        </w:tc>
        <w:tc>
          <w:tcPr>
            <w:tcW w:w="2462" w:type="dxa"/>
          </w:tcPr>
          <w:p w14:paraId="49EE156F" w14:textId="77777777" w:rsidR="00421B59" w:rsidRDefault="00421B59">
            <w:pPr>
              <w:spacing w:after="0"/>
            </w:pPr>
          </w:p>
        </w:tc>
      </w:tr>
      <w:tr w:rsidR="00421B59" w14:paraId="5CFC7CB6" w14:textId="77777777">
        <w:trPr>
          <w:trHeight w:val="648"/>
          <w:jc w:val="center"/>
        </w:trPr>
        <w:tc>
          <w:tcPr>
            <w:tcW w:w="1944" w:type="dxa"/>
          </w:tcPr>
          <w:p w14:paraId="514A69CF" w14:textId="77777777" w:rsidR="00421B59" w:rsidRDefault="00000000">
            <w:pPr>
              <w:spacing w:after="0"/>
              <w:jc w:val="center"/>
            </w:pPr>
            <w:r>
              <w:rPr>
                <w:rFonts w:ascii="Times New Roman" w:eastAsia="Times New Roman" w:hAnsi="Times New Roman" w:cs="Times New Roman"/>
                <w:b/>
                <w:color w:val="000000"/>
                <w:sz w:val="24"/>
              </w:rPr>
              <w:t>Klub 500</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Klub 500</w:t>
            </w:r>
          </w:p>
        </w:tc>
        <w:tc>
          <w:tcPr>
            <w:tcW w:w="1296" w:type="dxa"/>
            <w:vAlign w:val="center"/>
          </w:tcPr>
          <w:p w14:paraId="2ECA0C22" w14:textId="77777777" w:rsidR="00421B59" w:rsidRDefault="00000000">
            <w:pPr>
              <w:spacing w:after="0"/>
              <w:jc w:val="center"/>
            </w:pPr>
            <w:r>
              <w:rPr>
                <w:rFonts w:ascii="Times New Roman" w:eastAsia="Times New Roman" w:hAnsi="Times New Roman" w:cs="Times New Roman"/>
                <w:b/>
                <w:color w:val="FF0000"/>
                <w:sz w:val="24"/>
              </w:rPr>
              <w:t>Z</w:t>
            </w:r>
          </w:p>
        </w:tc>
        <w:tc>
          <w:tcPr>
            <w:tcW w:w="6480" w:type="dxa"/>
          </w:tcPr>
          <w:p w14:paraId="18403757" w14:textId="77777777" w:rsidR="00421B59" w:rsidRDefault="00000000">
            <w:pPr>
              <w:spacing w:after="0"/>
            </w:pPr>
            <w:r>
              <w:rPr>
                <w:rFonts w:ascii="Times New Roman" w:eastAsia="Times New Roman" w:hAnsi="Times New Roman" w:cs="Times New Roman"/>
                <w:b/>
                <w:color w:val="000000"/>
                <w:sz w:val="24"/>
              </w:rPr>
              <w:t>Čl. I bod 7 (§ 20c ods. 11)</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Žiadame doplniť dôvodovú správu o vysvetlenie praktickej aplikácie § 20c ods. 11 po uplynutí trojročného prechodného obdobia.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 xml:space="preserve">Dôvodová správa neposkytuje odpoveď na praktické otázky súvisiace s uplatňovaním § 20c ods. 11 po uplynutí trojročného prechodného obdobia. Nie je zrejmé, čo sa od účtovnej jednotky po uplynutí tohto obdobia očakáva, napríklad v prípade, že jej </w:t>
            </w:r>
            <w:r>
              <w:rPr>
                <w:rFonts w:ascii="Times New Roman" w:eastAsia="Times New Roman" w:hAnsi="Times New Roman" w:cs="Times New Roman"/>
                <w:color w:val="000000"/>
                <w:sz w:val="24"/>
              </w:rPr>
              <w:lastRenderedPageBreak/>
              <w:t>subjekty z hodnotového reťazca požadované informácie neposkytujú alebo ich neposkytujú v potrebnom rozsahu. Nie je tiež úplne jednoznačné, v akých prípadoch možno po uplynutí trojročného obdobia naďalej využiť odhad informácií a aký je praktický význam formulácie „ak je to vhodné“. Žiadame preto dôvodovú správu doplniť o bližšie vysvetlenie praktickej aplikácie predmetného ustanovenia.</w:t>
            </w:r>
          </w:p>
        </w:tc>
        <w:tc>
          <w:tcPr>
            <w:tcW w:w="778" w:type="dxa"/>
            <w:vAlign w:val="center"/>
          </w:tcPr>
          <w:p w14:paraId="7297C6EA" w14:textId="77777777" w:rsidR="00421B59" w:rsidRDefault="00000000">
            <w:pPr>
              <w:spacing w:after="0"/>
              <w:jc w:val="center"/>
            </w:pPr>
            <w:r>
              <w:rPr>
                <w:rFonts w:ascii="Times New Roman" w:eastAsia="Times New Roman" w:hAnsi="Times New Roman" w:cs="Times New Roman"/>
                <w:color w:val="000000"/>
                <w:sz w:val="24"/>
              </w:rPr>
              <w:lastRenderedPageBreak/>
              <w:t>A</w:t>
            </w:r>
          </w:p>
        </w:tc>
        <w:tc>
          <w:tcPr>
            <w:tcW w:w="2462" w:type="dxa"/>
          </w:tcPr>
          <w:p w14:paraId="43B6F5B2" w14:textId="77777777" w:rsidR="00421B59" w:rsidRDefault="00421B59">
            <w:pPr>
              <w:spacing w:after="0"/>
            </w:pPr>
          </w:p>
        </w:tc>
      </w:tr>
      <w:tr w:rsidR="00421B59" w14:paraId="64EDFD99" w14:textId="77777777">
        <w:trPr>
          <w:trHeight w:val="648"/>
          <w:jc w:val="center"/>
        </w:trPr>
        <w:tc>
          <w:tcPr>
            <w:tcW w:w="1944" w:type="dxa"/>
          </w:tcPr>
          <w:p w14:paraId="5D494428" w14:textId="77777777" w:rsidR="00421B59" w:rsidRDefault="00000000">
            <w:pPr>
              <w:spacing w:after="0"/>
              <w:jc w:val="center"/>
            </w:pPr>
            <w:r>
              <w:rPr>
                <w:rFonts w:ascii="Times New Roman" w:eastAsia="Times New Roman" w:hAnsi="Times New Roman" w:cs="Times New Roman"/>
                <w:b/>
                <w:color w:val="000000"/>
                <w:sz w:val="24"/>
              </w:rPr>
              <w:t>Klub 500</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Klub 500</w:t>
            </w:r>
          </w:p>
        </w:tc>
        <w:tc>
          <w:tcPr>
            <w:tcW w:w="1296" w:type="dxa"/>
            <w:vAlign w:val="center"/>
          </w:tcPr>
          <w:p w14:paraId="5EC89DE7" w14:textId="77777777" w:rsidR="00421B59" w:rsidRDefault="00000000">
            <w:pPr>
              <w:spacing w:after="0"/>
              <w:jc w:val="center"/>
            </w:pPr>
            <w:r>
              <w:rPr>
                <w:rFonts w:ascii="Times New Roman" w:eastAsia="Times New Roman" w:hAnsi="Times New Roman" w:cs="Times New Roman"/>
                <w:b/>
                <w:color w:val="FF0000"/>
                <w:sz w:val="24"/>
              </w:rPr>
              <w:t>Z</w:t>
            </w:r>
          </w:p>
        </w:tc>
        <w:tc>
          <w:tcPr>
            <w:tcW w:w="6480" w:type="dxa"/>
          </w:tcPr>
          <w:p w14:paraId="515E8BEC" w14:textId="77777777" w:rsidR="00421B59" w:rsidRDefault="00000000">
            <w:pPr>
              <w:spacing w:after="0"/>
            </w:pPr>
            <w:r>
              <w:rPr>
                <w:rFonts w:ascii="Times New Roman" w:eastAsia="Times New Roman" w:hAnsi="Times New Roman" w:cs="Times New Roman"/>
                <w:b/>
                <w:color w:val="000000"/>
                <w:sz w:val="24"/>
              </w:rPr>
              <w:t>Čl. I bod 7  (§ 20c ods. 12 prvá veta)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Žiadame doplniť dôvodovú správu o vysvetlenie pojmov „chránená účtovná jednotka" a „chránený subjekt", najmä pokiaľ ide o okruh subjektov, na ktoré sa tieto pojmy vzťahujú, a o vysvetlenie rozdielu medzi nimi.</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Navrhované ustanovenie aj dôvodová správa pracujú s pojmami „chránená účtovná jednotka" a „chránený subjekt" ako so samostatnými kategóriami subjektov v hodnotovom reťazci, neobsahujú však bližšie vysvetlenie ich vzájomného rozdielu ani príklady subjektov, ktoré majú jednotlivé kategórie v aplikačnej praxi zahŕňať. Vzhľadom na to, že uvedené pojmy sú rozhodujúce pre určenie rozsahu informácií, ktoré môžu byť od subjektov v hodnotovom reťazci požadované, považujeme za vhodné doplniť dôvodovú správu o ich stručné vysvetlenie, prípadne o ilustratívne príklady subjektov patriacich do jednotlivých kategórií.</w:t>
            </w:r>
          </w:p>
        </w:tc>
        <w:tc>
          <w:tcPr>
            <w:tcW w:w="778" w:type="dxa"/>
            <w:vAlign w:val="center"/>
          </w:tcPr>
          <w:p w14:paraId="332AB0E1" w14:textId="77777777" w:rsidR="00421B59" w:rsidRDefault="00000000">
            <w:pPr>
              <w:spacing w:after="0"/>
              <w:jc w:val="center"/>
            </w:pPr>
            <w:r>
              <w:rPr>
                <w:rFonts w:ascii="Times New Roman" w:eastAsia="Times New Roman" w:hAnsi="Times New Roman" w:cs="Times New Roman"/>
                <w:color w:val="000000"/>
                <w:sz w:val="24"/>
              </w:rPr>
              <w:t>A</w:t>
            </w:r>
          </w:p>
        </w:tc>
        <w:tc>
          <w:tcPr>
            <w:tcW w:w="2462" w:type="dxa"/>
          </w:tcPr>
          <w:p w14:paraId="07D080E8" w14:textId="77777777" w:rsidR="00421B59" w:rsidRDefault="00421B59">
            <w:pPr>
              <w:spacing w:after="0"/>
            </w:pPr>
          </w:p>
        </w:tc>
      </w:tr>
      <w:tr w:rsidR="00421B59" w14:paraId="33EC8286" w14:textId="77777777">
        <w:trPr>
          <w:trHeight w:val="648"/>
          <w:jc w:val="center"/>
        </w:trPr>
        <w:tc>
          <w:tcPr>
            <w:tcW w:w="1944" w:type="dxa"/>
          </w:tcPr>
          <w:p w14:paraId="1926D510" w14:textId="77777777" w:rsidR="00421B59" w:rsidRDefault="00000000">
            <w:pPr>
              <w:spacing w:after="0"/>
              <w:jc w:val="center"/>
            </w:pPr>
            <w:r>
              <w:rPr>
                <w:rFonts w:ascii="Times New Roman" w:eastAsia="Times New Roman" w:hAnsi="Times New Roman" w:cs="Times New Roman"/>
                <w:b/>
                <w:color w:val="000000"/>
                <w:sz w:val="24"/>
              </w:rPr>
              <w:t>Klub 500</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Klub 500</w:t>
            </w:r>
          </w:p>
        </w:tc>
        <w:tc>
          <w:tcPr>
            <w:tcW w:w="1296" w:type="dxa"/>
            <w:vAlign w:val="center"/>
          </w:tcPr>
          <w:p w14:paraId="01C891AC" w14:textId="77777777" w:rsidR="00421B59" w:rsidRDefault="00000000">
            <w:pPr>
              <w:spacing w:after="0"/>
              <w:jc w:val="center"/>
            </w:pPr>
            <w:r>
              <w:rPr>
                <w:rFonts w:ascii="Times New Roman" w:eastAsia="Times New Roman" w:hAnsi="Times New Roman" w:cs="Times New Roman"/>
                <w:b/>
                <w:color w:val="FF0000"/>
                <w:sz w:val="24"/>
              </w:rPr>
              <w:t>Z</w:t>
            </w:r>
          </w:p>
        </w:tc>
        <w:tc>
          <w:tcPr>
            <w:tcW w:w="6480" w:type="dxa"/>
          </w:tcPr>
          <w:p w14:paraId="06891235" w14:textId="77777777" w:rsidR="00421B59" w:rsidRDefault="00000000">
            <w:pPr>
              <w:spacing w:after="0"/>
            </w:pPr>
            <w:r>
              <w:rPr>
                <w:rFonts w:ascii="Times New Roman" w:eastAsia="Times New Roman" w:hAnsi="Times New Roman" w:cs="Times New Roman"/>
                <w:b/>
                <w:color w:val="000000"/>
                <w:sz w:val="24"/>
              </w:rPr>
              <w:t>Čl. I bod 7 (§ 20c ods. 12)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Žiadame doplniť dôvodovú správu o stanovenie formy vyhlásenia podľa § 20c ods. 12.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 xml:space="preserve">Dôvodová správa neobjasňuje, akou formou má byť vyhlásenie </w:t>
            </w:r>
            <w:r>
              <w:rPr>
                <w:rFonts w:ascii="Times New Roman" w:eastAsia="Times New Roman" w:hAnsi="Times New Roman" w:cs="Times New Roman"/>
                <w:color w:val="000000"/>
                <w:sz w:val="24"/>
              </w:rPr>
              <w:lastRenderedPageBreak/>
              <w:t>subjektu vydané ani aké minimálne náležitosti má obsahovať. Nie je zrejmé, či postačuje jednoduché vyhlásenie, písomné čestné vyhlásenie alebo iná forma preukázania. Z dôvodu zabezpečenia jednotnej aplikačnej praxe žiadame dôvodovú správu v tomto smere doplniť.</w:t>
            </w:r>
          </w:p>
        </w:tc>
        <w:tc>
          <w:tcPr>
            <w:tcW w:w="778" w:type="dxa"/>
            <w:vAlign w:val="center"/>
          </w:tcPr>
          <w:p w14:paraId="538C40DD" w14:textId="77777777" w:rsidR="00421B59" w:rsidRDefault="00000000">
            <w:pPr>
              <w:spacing w:after="0"/>
              <w:jc w:val="center"/>
            </w:pPr>
            <w:r>
              <w:rPr>
                <w:rFonts w:ascii="Times New Roman" w:eastAsia="Times New Roman" w:hAnsi="Times New Roman" w:cs="Times New Roman"/>
                <w:color w:val="000000"/>
                <w:sz w:val="24"/>
              </w:rPr>
              <w:lastRenderedPageBreak/>
              <w:t>ČA</w:t>
            </w:r>
          </w:p>
        </w:tc>
        <w:tc>
          <w:tcPr>
            <w:tcW w:w="2462" w:type="dxa"/>
          </w:tcPr>
          <w:p w14:paraId="46A1454D" w14:textId="77777777" w:rsidR="00421B59" w:rsidRDefault="00000000">
            <w:pPr>
              <w:spacing w:after="0"/>
            </w:pPr>
            <w:r>
              <w:rPr>
                <w:rFonts w:ascii="Times New Roman" w:eastAsia="Times New Roman" w:hAnsi="Times New Roman" w:cs="Times New Roman"/>
                <w:color w:val="000000"/>
                <w:sz w:val="24"/>
              </w:rPr>
              <w:t xml:space="preserve">V rámci rozporového konania bol rozpor odstránený. Zámerom smernice (EÚ) 2026/470 nie je stanovenie formy </w:t>
            </w:r>
            <w:r>
              <w:rPr>
                <w:rFonts w:ascii="Times New Roman" w:eastAsia="Times New Roman" w:hAnsi="Times New Roman" w:cs="Times New Roman"/>
                <w:color w:val="000000"/>
                <w:sz w:val="24"/>
              </w:rPr>
              <w:lastRenderedPageBreak/>
              <w:t>vyhlásenia, čo bolo do dôvodovej správy doplnené.</w:t>
            </w:r>
          </w:p>
        </w:tc>
      </w:tr>
      <w:tr w:rsidR="00421B59" w14:paraId="48BE8C91" w14:textId="77777777">
        <w:trPr>
          <w:trHeight w:val="648"/>
          <w:jc w:val="center"/>
        </w:trPr>
        <w:tc>
          <w:tcPr>
            <w:tcW w:w="1944" w:type="dxa"/>
          </w:tcPr>
          <w:p w14:paraId="13582992" w14:textId="77777777" w:rsidR="00421B59" w:rsidRDefault="00000000">
            <w:pPr>
              <w:spacing w:after="0"/>
              <w:jc w:val="center"/>
            </w:pPr>
            <w:r>
              <w:rPr>
                <w:rFonts w:ascii="Times New Roman" w:eastAsia="Times New Roman" w:hAnsi="Times New Roman" w:cs="Times New Roman"/>
                <w:b/>
                <w:color w:val="000000"/>
                <w:sz w:val="24"/>
              </w:rPr>
              <w:lastRenderedPageBreak/>
              <w:t>Klub 500</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Klub 500</w:t>
            </w:r>
          </w:p>
        </w:tc>
        <w:tc>
          <w:tcPr>
            <w:tcW w:w="1296" w:type="dxa"/>
            <w:vAlign w:val="center"/>
          </w:tcPr>
          <w:p w14:paraId="383F862E" w14:textId="77777777" w:rsidR="00421B59" w:rsidRDefault="00000000">
            <w:pPr>
              <w:spacing w:after="0"/>
              <w:jc w:val="center"/>
            </w:pPr>
            <w:r>
              <w:rPr>
                <w:rFonts w:ascii="Times New Roman" w:eastAsia="Times New Roman" w:hAnsi="Times New Roman" w:cs="Times New Roman"/>
                <w:b/>
                <w:color w:val="FF0000"/>
                <w:sz w:val="24"/>
              </w:rPr>
              <w:t>Z</w:t>
            </w:r>
          </w:p>
        </w:tc>
        <w:tc>
          <w:tcPr>
            <w:tcW w:w="6480" w:type="dxa"/>
          </w:tcPr>
          <w:p w14:paraId="780B58C4" w14:textId="77777777" w:rsidR="00421B59" w:rsidRDefault="00000000">
            <w:pPr>
              <w:spacing w:after="0"/>
            </w:pPr>
            <w:r>
              <w:rPr>
                <w:rFonts w:ascii="Times New Roman" w:eastAsia="Times New Roman" w:hAnsi="Times New Roman" w:cs="Times New Roman"/>
                <w:b/>
                <w:color w:val="000000"/>
                <w:sz w:val="24"/>
              </w:rPr>
              <w:t>Čl. I bod 7 (§ 20c ods. 12)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Žiadame doplniť dôvodovú správu o bližšie vysvetlenie dôkazného režimu podľa § 20c ods. 12.</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Dôvodová správa nerieši, kto nesie dôkazné bremeno vo vzťahu k vyhláseniu chráneného subjektu ani akým spôsobom sa bude posudzovať splnenie podmienky, že vykazujúca účtovná jednotka „vedela alebo mohla vedieť“, že vyhlásenie je nesprávne. Nie je zrejmé, či pravdivosť vyhlásenia preukazuje subjekt, ktorý vyhlásenie vydáva, alebo vykazujúca účtovná jednotka, ani aké okolnosti budú rozhodujúce pri posudzovaní toho, či vykazujúca účtovná jednotka vedela alebo mohla vedieť o jeho nesprávnosti. Žiadame preto dôvodovú správu doplniť o bližšie vysvetlenie týchto praktických otázok.</w:t>
            </w:r>
          </w:p>
        </w:tc>
        <w:tc>
          <w:tcPr>
            <w:tcW w:w="778" w:type="dxa"/>
            <w:vAlign w:val="center"/>
          </w:tcPr>
          <w:p w14:paraId="66595109" w14:textId="77777777" w:rsidR="00421B59" w:rsidRDefault="00000000">
            <w:pPr>
              <w:spacing w:after="0"/>
              <w:jc w:val="center"/>
            </w:pPr>
            <w:r>
              <w:rPr>
                <w:rFonts w:ascii="Times New Roman" w:eastAsia="Times New Roman" w:hAnsi="Times New Roman" w:cs="Times New Roman"/>
                <w:color w:val="000000"/>
                <w:sz w:val="24"/>
              </w:rPr>
              <w:t>A</w:t>
            </w:r>
          </w:p>
        </w:tc>
        <w:tc>
          <w:tcPr>
            <w:tcW w:w="2462" w:type="dxa"/>
          </w:tcPr>
          <w:p w14:paraId="0B86AD99" w14:textId="77777777" w:rsidR="00421B59" w:rsidRDefault="00421B59">
            <w:pPr>
              <w:spacing w:after="0"/>
            </w:pPr>
          </w:p>
        </w:tc>
      </w:tr>
      <w:tr w:rsidR="00421B59" w14:paraId="286989DD" w14:textId="77777777">
        <w:trPr>
          <w:trHeight w:val="648"/>
          <w:jc w:val="center"/>
        </w:trPr>
        <w:tc>
          <w:tcPr>
            <w:tcW w:w="1944" w:type="dxa"/>
          </w:tcPr>
          <w:p w14:paraId="5123632D" w14:textId="77777777" w:rsidR="00421B59" w:rsidRDefault="00000000">
            <w:pPr>
              <w:spacing w:after="0"/>
              <w:jc w:val="center"/>
            </w:pPr>
            <w:r>
              <w:rPr>
                <w:rFonts w:ascii="Times New Roman" w:eastAsia="Times New Roman" w:hAnsi="Times New Roman" w:cs="Times New Roman"/>
                <w:b/>
                <w:color w:val="000000"/>
                <w:sz w:val="24"/>
              </w:rPr>
              <w:t>Klub 500</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Klub 500</w:t>
            </w:r>
          </w:p>
        </w:tc>
        <w:tc>
          <w:tcPr>
            <w:tcW w:w="1296" w:type="dxa"/>
            <w:vAlign w:val="center"/>
          </w:tcPr>
          <w:p w14:paraId="55A0A0A5" w14:textId="77777777" w:rsidR="00421B59" w:rsidRDefault="00000000">
            <w:pPr>
              <w:spacing w:after="0"/>
              <w:jc w:val="center"/>
            </w:pPr>
            <w:r>
              <w:rPr>
                <w:rFonts w:ascii="Times New Roman" w:eastAsia="Times New Roman" w:hAnsi="Times New Roman" w:cs="Times New Roman"/>
                <w:b/>
                <w:color w:val="FF0000"/>
                <w:sz w:val="24"/>
              </w:rPr>
              <w:t>Z</w:t>
            </w:r>
          </w:p>
        </w:tc>
        <w:tc>
          <w:tcPr>
            <w:tcW w:w="6480" w:type="dxa"/>
          </w:tcPr>
          <w:p w14:paraId="0E3FB7FB" w14:textId="77777777" w:rsidR="00421B59" w:rsidRDefault="00000000">
            <w:pPr>
              <w:spacing w:after="0"/>
            </w:pPr>
            <w:r>
              <w:rPr>
                <w:rFonts w:ascii="Times New Roman" w:eastAsia="Times New Roman" w:hAnsi="Times New Roman" w:cs="Times New Roman"/>
                <w:b/>
                <w:color w:val="000000"/>
                <w:sz w:val="24"/>
              </w:rPr>
              <w:t>Čl. I bod 7 (§ 20c ods. 12)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Žiadame doplniť dôvodovú správu tak, aby bolo jednoznačne uvedené, že postavenie chránenej účtovnej jednotky alebo chráneného subjektu sa posudzuje na úrovni konkrétnej účtovnej jednotky (samostatného právneho subjektu).</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 xml:space="preserve">Žiadame, aby dôvodová správa výslovne uviedla, že postavenie chránenej účtovnej jednotky alebo chráneného subjektu sa posudzuje vo vzťahu ku každej účtovnej jednotke samostatne (jedno IČO = jedna firma). Takéto spresnenie prispeje k </w:t>
            </w:r>
            <w:r>
              <w:rPr>
                <w:rFonts w:ascii="Times New Roman" w:eastAsia="Times New Roman" w:hAnsi="Times New Roman" w:cs="Times New Roman"/>
                <w:color w:val="000000"/>
                <w:sz w:val="24"/>
              </w:rPr>
              <w:lastRenderedPageBreak/>
              <w:t>jednotnej aplikačnej praxi pri určovaní rozsahu informácií, ktoré môžu byť od jednotlivých subjektov v hodnotovom reťazci požadované.</w:t>
            </w:r>
          </w:p>
        </w:tc>
        <w:tc>
          <w:tcPr>
            <w:tcW w:w="778" w:type="dxa"/>
            <w:vAlign w:val="center"/>
          </w:tcPr>
          <w:p w14:paraId="3D81CA16" w14:textId="77777777" w:rsidR="00421B59"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373286C8" w14:textId="77777777" w:rsidR="00421B59" w:rsidRDefault="00000000">
            <w:pPr>
              <w:spacing w:after="0"/>
            </w:pPr>
            <w:r>
              <w:rPr>
                <w:rFonts w:ascii="Times New Roman" w:eastAsia="Times New Roman" w:hAnsi="Times New Roman" w:cs="Times New Roman"/>
                <w:color w:val="000000"/>
                <w:sz w:val="24"/>
              </w:rPr>
              <w:t>V rámci rozporového konania bola pripomienka preklasifikovaná na obyčajnú a rozpor bol odstránený. Uvedené vyplýva z definície účtovnej jednotky.</w:t>
            </w:r>
          </w:p>
        </w:tc>
      </w:tr>
      <w:tr w:rsidR="00421B59" w14:paraId="6C3D385C" w14:textId="77777777">
        <w:trPr>
          <w:trHeight w:val="648"/>
          <w:jc w:val="center"/>
        </w:trPr>
        <w:tc>
          <w:tcPr>
            <w:tcW w:w="1944" w:type="dxa"/>
          </w:tcPr>
          <w:p w14:paraId="73DAA9A4" w14:textId="77777777" w:rsidR="00421B59" w:rsidRDefault="00000000">
            <w:pPr>
              <w:spacing w:after="0"/>
              <w:jc w:val="center"/>
            </w:pPr>
            <w:r>
              <w:rPr>
                <w:rFonts w:ascii="Times New Roman" w:eastAsia="Times New Roman" w:hAnsi="Times New Roman" w:cs="Times New Roman"/>
                <w:b/>
                <w:color w:val="000000"/>
                <w:sz w:val="24"/>
              </w:rPr>
              <w:t>Klub 500</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Klub 500</w:t>
            </w:r>
          </w:p>
        </w:tc>
        <w:tc>
          <w:tcPr>
            <w:tcW w:w="1296" w:type="dxa"/>
            <w:vAlign w:val="center"/>
          </w:tcPr>
          <w:p w14:paraId="26AAE7EC" w14:textId="77777777" w:rsidR="00421B59" w:rsidRDefault="00000000">
            <w:pPr>
              <w:spacing w:after="0"/>
              <w:jc w:val="center"/>
            </w:pPr>
            <w:r>
              <w:rPr>
                <w:rFonts w:ascii="Times New Roman" w:eastAsia="Times New Roman" w:hAnsi="Times New Roman" w:cs="Times New Roman"/>
                <w:b/>
                <w:color w:val="FF0000"/>
                <w:sz w:val="24"/>
              </w:rPr>
              <w:t>Z</w:t>
            </w:r>
          </w:p>
        </w:tc>
        <w:tc>
          <w:tcPr>
            <w:tcW w:w="6480" w:type="dxa"/>
          </w:tcPr>
          <w:p w14:paraId="05901F95" w14:textId="77777777" w:rsidR="00421B59" w:rsidRDefault="00000000">
            <w:pPr>
              <w:spacing w:after="0"/>
            </w:pPr>
            <w:r>
              <w:rPr>
                <w:rFonts w:ascii="Times New Roman" w:eastAsia="Times New Roman" w:hAnsi="Times New Roman" w:cs="Times New Roman"/>
                <w:b/>
                <w:color w:val="000000"/>
                <w:sz w:val="24"/>
              </w:rPr>
              <w:t>Čl. I bod 7 (§ 20c ods. 12)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čl. I bode 7 (§ 20c ods. 12 tretia veta) žiadame pred slovo „nesprávne" vložiť slovo „zjavne".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Navrhované ustanovenie transponuje čl. 19a ods. 3 smernice Európskeho parlamentu a Rady 2013/34/EÚ v znení smernice (EÚ) 2026/470, podľa ktorého sa účtovná jednotka môže spoľahnúť na vyhlásenie subjektu z hodnotového reťazca, ibaže vedela alebo mohla vedieť, že toto vyhlásenie je zjavne nesprávne. Predložený návrh zákona slovo „zjavne“ vypúšťa, čím sa mení štandard, po prekročení ktorého účtovná jednotka stráca možnosť spoľahnúť sa na vyhlásenie subjektu z hodnotového reťazca. Smernica pritom viaže túto výnimku na prípady, keď je nesprávnosť vyhlásenia zjavná, zatiaľ čo navrhované znenie túto kvalifikáciu neobsahuje. Vypustením slova „zjavne“ dochádza k rozšíreniu rozsahu starostlivosti, ktorú možno od účtovnej jednotky požadovať pri posudzovaní správnosti vyhlásení subjektov z hodnotového reťazca, a tým aj k rozšíreniu jej povinností nad rámec smernice.</w:t>
            </w:r>
          </w:p>
        </w:tc>
        <w:tc>
          <w:tcPr>
            <w:tcW w:w="778" w:type="dxa"/>
            <w:vAlign w:val="center"/>
          </w:tcPr>
          <w:p w14:paraId="05183840" w14:textId="77777777" w:rsidR="00421B59" w:rsidRDefault="00000000">
            <w:pPr>
              <w:spacing w:after="0"/>
              <w:jc w:val="center"/>
            </w:pPr>
            <w:r>
              <w:rPr>
                <w:rFonts w:ascii="Times New Roman" w:eastAsia="Times New Roman" w:hAnsi="Times New Roman" w:cs="Times New Roman"/>
                <w:color w:val="000000"/>
                <w:sz w:val="24"/>
              </w:rPr>
              <w:t>A</w:t>
            </w:r>
          </w:p>
        </w:tc>
        <w:tc>
          <w:tcPr>
            <w:tcW w:w="2462" w:type="dxa"/>
          </w:tcPr>
          <w:p w14:paraId="0D32ADAB" w14:textId="77777777" w:rsidR="00421B59" w:rsidRDefault="00421B59">
            <w:pPr>
              <w:spacing w:after="0"/>
            </w:pPr>
          </w:p>
        </w:tc>
      </w:tr>
      <w:tr w:rsidR="00421B59" w14:paraId="0BE062CF" w14:textId="77777777">
        <w:trPr>
          <w:trHeight w:val="648"/>
          <w:jc w:val="center"/>
        </w:trPr>
        <w:tc>
          <w:tcPr>
            <w:tcW w:w="1944" w:type="dxa"/>
          </w:tcPr>
          <w:p w14:paraId="03A806F4" w14:textId="77777777" w:rsidR="00421B59" w:rsidRDefault="00000000">
            <w:pPr>
              <w:spacing w:after="0"/>
              <w:jc w:val="center"/>
            </w:pPr>
            <w:r>
              <w:rPr>
                <w:rFonts w:ascii="Times New Roman" w:eastAsia="Times New Roman" w:hAnsi="Times New Roman" w:cs="Times New Roman"/>
                <w:b/>
                <w:color w:val="000000"/>
                <w:sz w:val="24"/>
              </w:rPr>
              <w:t>Klub 500</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Klub 500</w:t>
            </w:r>
          </w:p>
        </w:tc>
        <w:tc>
          <w:tcPr>
            <w:tcW w:w="1296" w:type="dxa"/>
            <w:vAlign w:val="center"/>
          </w:tcPr>
          <w:p w14:paraId="601F76E9" w14:textId="77777777" w:rsidR="00421B59" w:rsidRDefault="00000000">
            <w:pPr>
              <w:spacing w:after="0"/>
              <w:jc w:val="center"/>
            </w:pPr>
            <w:r>
              <w:rPr>
                <w:rFonts w:ascii="Times New Roman" w:eastAsia="Times New Roman" w:hAnsi="Times New Roman" w:cs="Times New Roman"/>
                <w:b/>
                <w:color w:val="FF0000"/>
                <w:sz w:val="24"/>
              </w:rPr>
              <w:t>Z</w:t>
            </w:r>
          </w:p>
        </w:tc>
        <w:tc>
          <w:tcPr>
            <w:tcW w:w="6480" w:type="dxa"/>
          </w:tcPr>
          <w:p w14:paraId="3221B24B" w14:textId="77777777" w:rsidR="00421B59" w:rsidRDefault="00000000">
            <w:pPr>
              <w:spacing w:after="0"/>
            </w:pPr>
            <w:r>
              <w:rPr>
                <w:rFonts w:ascii="Times New Roman" w:eastAsia="Times New Roman" w:hAnsi="Times New Roman" w:cs="Times New Roman"/>
                <w:b/>
                <w:color w:val="000000"/>
                <w:sz w:val="24"/>
              </w:rPr>
              <w:t>Čl. I bod 7 (§ 20c ods. 13)</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20c ods. 13 žiadame vo všetkých gramatických tvaroch nahradiť spojku „a“ medzi slovami „chránená účtovná jednotka“ a „chránený subjekt“ spojkou „alebo“, tak aby bolo znenie ustanovenia zosúladené s prvou vetou odseku 13.</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 xml:space="preserve">Prvá veta odseku 13 vychádza z alternatívneho postavenia </w:t>
            </w:r>
            <w:r>
              <w:rPr>
                <w:rFonts w:ascii="Times New Roman" w:eastAsia="Times New Roman" w:hAnsi="Times New Roman" w:cs="Times New Roman"/>
                <w:color w:val="000000"/>
                <w:sz w:val="24"/>
              </w:rPr>
              <w:lastRenderedPageBreak/>
              <w:t>chránenej účtovnej jednotky alebo chráneného subjektu. Použitie spojky „a“ v ďalšom texte ustanovenia preto nepovažujeme za systematicky konzistentné.</w:t>
            </w:r>
          </w:p>
        </w:tc>
        <w:tc>
          <w:tcPr>
            <w:tcW w:w="778" w:type="dxa"/>
            <w:vAlign w:val="center"/>
          </w:tcPr>
          <w:p w14:paraId="51C1C56E" w14:textId="77777777" w:rsidR="00421B59"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11BFF32B" w14:textId="77777777" w:rsidR="00421B59" w:rsidRDefault="00000000">
            <w:pPr>
              <w:spacing w:after="0"/>
            </w:pPr>
            <w:r>
              <w:rPr>
                <w:rFonts w:ascii="Times New Roman" w:eastAsia="Times New Roman" w:hAnsi="Times New Roman" w:cs="Times New Roman"/>
                <w:color w:val="000000"/>
                <w:sz w:val="24"/>
              </w:rPr>
              <w:t>V rámci rozporového konania bolo vysvetlenie ustanovenia akceptované a rozpor bol odstránený.</w:t>
            </w:r>
          </w:p>
        </w:tc>
      </w:tr>
      <w:tr w:rsidR="00421B59" w14:paraId="2381D389" w14:textId="77777777">
        <w:trPr>
          <w:trHeight w:val="648"/>
          <w:jc w:val="center"/>
        </w:trPr>
        <w:tc>
          <w:tcPr>
            <w:tcW w:w="1944" w:type="dxa"/>
          </w:tcPr>
          <w:p w14:paraId="3A3B5CCA" w14:textId="77777777" w:rsidR="00421B59" w:rsidRDefault="00000000">
            <w:pPr>
              <w:spacing w:after="0"/>
              <w:jc w:val="center"/>
            </w:pPr>
            <w:r>
              <w:rPr>
                <w:rFonts w:ascii="Times New Roman" w:eastAsia="Times New Roman" w:hAnsi="Times New Roman" w:cs="Times New Roman"/>
                <w:b/>
                <w:color w:val="000000"/>
                <w:sz w:val="24"/>
              </w:rPr>
              <w:t>Klub 500</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Klub 500</w:t>
            </w:r>
          </w:p>
        </w:tc>
        <w:tc>
          <w:tcPr>
            <w:tcW w:w="1296" w:type="dxa"/>
            <w:vAlign w:val="center"/>
          </w:tcPr>
          <w:p w14:paraId="12639710" w14:textId="77777777" w:rsidR="00421B59" w:rsidRDefault="00000000">
            <w:pPr>
              <w:spacing w:after="0"/>
              <w:jc w:val="center"/>
            </w:pPr>
            <w:r>
              <w:rPr>
                <w:rFonts w:ascii="Times New Roman" w:eastAsia="Times New Roman" w:hAnsi="Times New Roman" w:cs="Times New Roman"/>
                <w:b/>
                <w:color w:val="FF0000"/>
                <w:sz w:val="24"/>
              </w:rPr>
              <w:t>Z</w:t>
            </w:r>
          </w:p>
        </w:tc>
        <w:tc>
          <w:tcPr>
            <w:tcW w:w="6480" w:type="dxa"/>
          </w:tcPr>
          <w:p w14:paraId="11A706F3" w14:textId="77777777" w:rsidR="00421B59" w:rsidRDefault="00000000">
            <w:pPr>
              <w:spacing w:after="0"/>
            </w:pPr>
            <w:r>
              <w:rPr>
                <w:rFonts w:ascii="Times New Roman" w:eastAsia="Times New Roman" w:hAnsi="Times New Roman" w:cs="Times New Roman"/>
                <w:b/>
                <w:color w:val="000000"/>
                <w:sz w:val="24"/>
              </w:rPr>
              <w:t>Čl. I bod 7 (§ 20c ods. 14)</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20c ods. 14 žiadame za slová „Chránená účtovná jednotka" vložiť slová „alebo chránený subjekt".</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Ustanovenie § 20c ods. 13 priznáva ochranu a právo odmietnuť poskytnutie informácií nad rámec dobrovoľných štandardov chránenej účtovnej jednotke aj chránenému subjektu. V § 20c ods. 14 je však predmetné oprávnenie priznané výlučne chránenej účtovnej jednotke. Navrhujeme preto znenie ustanovenia zosúladiť s predchádzajúcimi odsekmi a rozšíriť predmetné oprávnenie aj na chránený subjekt.</w:t>
            </w:r>
          </w:p>
        </w:tc>
        <w:tc>
          <w:tcPr>
            <w:tcW w:w="778" w:type="dxa"/>
            <w:vAlign w:val="center"/>
          </w:tcPr>
          <w:p w14:paraId="4FC24C5A" w14:textId="77777777" w:rsidR="00421B59" w:rsidRDefault="00000000">
            <w:pPr>
              <w:spacing w:after="0"/>
              <w:jc w:val="center"/>
            </w:pPr>
            <w:r>
              <w:rPr>
                <w:rFonts w:ascii="Times New Roman" w:eastAsia="Times New Roman" w:hAnsi="Times New Roman" w:cs="Times New Roman"/>
                <w:color w:val="000000"/>
                <w:sz w:val="24"/>
              </w:rPr>
              <w:t>N</w:t>
            </w:r>
          </w:p>
        </w:tc>
        <w:tc>
          <w:tcPr>
            <w:tcW w:w="2462" w:type="dxa"/>
          </w:tcPr>
          <w:p w14:paraId="6BF7FBC0" w14:textId="77777777" w:rsidR="00421B59" w:rsidRDefault="00000000">
            <w:pPr>
              <w:spacing w:after="0"/>
            </w:pPr>
            <w:r>
              <w:rPr>
                <w:rFonts w:ascii="Times New Roman" w:eastAsia="Times New Roman" w:hAnsi="Times New Roman" w:cs="Times New Roman"/>
                <w:color w:val="000000"/>
                <w:sz w:val="24"/>
              </w:rPr>
              <w:t>V rámci rozporového konania bolo vysvetlenie ustanovenia akceptované a rozpor bol odstránený.</w:t>
            </w:r>
          </w:p>
        </w:tc>
      </w:tr>
      <w:tr w:rsidR="00421B59" w14:paraId="478DB218" w14:textId="77777777">
        <w:trPr>
          <w:trHeight w:val="648"/>
          <w:jc w:val="center"/>
        </w:trPr>
        <w:tc>
          <w:tcPr>
            <w:tcW w:w="1944" w:type="dxa"/>
          </w:tcPr>
          <w:p w14:paraId="469D0011" w14:textId="77777777" w:rsidR="00421B59" w:rsidRDefault="00000000">
            <w:pPr>
              <w:spacing w:after="0"/>
              <w:jc w:val="center"/>
            </w:pPr>
            <w:r>
              <w:rPr>
                <w:rFonts w:ascii="Times New Roman" w:eastAsia="Times New Roman" w:hAnsi="Times New Roman" w:cs="Times New Roman"/>
                <w:b/>
                <w:color w:val="000000"/>
                <w:sz w:val="24"/>
              </w:rPr>
              <w:t>Klub 500</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Klub 500</w:t>
            </w:r>
          </w:p>
        </w:tc>
        <w:tc>
          <w:tcPr>
            <w:tcW w:w="1296" w:type="dxa"/>
            <w:vAlign w:val="center"/>
          </w:tcPr>
          <w:p w14:paraId="10186917" w14:textId="77777777" w:rsidR="00421B59" w:rsidRDefault="00000000">
            <w:pPr>
              <w:spacing w:after="0"/>
              <w:jc w:val="center"/>
            </w:pPr>
            <w:r>
              <w:rPr>
                <w:rFonts w:ascii="Times New Roman" w:eastAsia="Times New Roman" w:hAnsi="Times New Roman" w:cs="Times New Roman"/>
                <w:b/>
                <w:color w:val="FF0000"/>
                <w:sz w:val="24"/>
              </w:rPr>
              <w:t>Z</w:t>
            </w:r>
          </w:p>
        </w:tc>
        <w:tc>
          <w:tcPr>
            <w:tcW w:w="6480" w:type="dxa"/>
          </w:tcPr>
          <w:p w14:paraId="138453D3" w14:textId="77777777" w:rsidR="00421B59" w:rsidRDefault="00000000">
            <w:pPr>
              <w:spacing w:after="0"/>
            </w:pPr>
            <w:r>
              <w:rPr>
                <w:rFonts w:ascii="Times New Roman" w:eastAsia="Times New Roman" w:hAnsi="Times New Roman" w:cs="Times New Roman"/>
                <w:b/>
                <w:color w:val="000000"/>
                <w:sz w:val="24"/>
              </w:rPr>
              <w:t>Čl. I bod 7 (§ 20c ods. 14 prvá veta)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Žiadame doplniť dôvodovú správu o vysvetlenie účelu formulácie „so sídlom na území niektorého členského štátu okrem Slovenskej republiky" v § 20c ods. 14 a jej praktickej aplikácie.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 xml:space="preserve">Ustanovenie § 20c ods. 14 priznáva chránenej účtovnej jednotke právo odmietnuť poskytnutie informácií nad rámec dobrovoľných štandardov voči vykazujúcej účtovnej jednotke alebo právnickej osobe so sídlom na území niektorého členského štátu okrem Slovenskej republiky. Z dôvodovej správy však nie je zrejmé, z akého dôvodu sa v predmetnom ustanovení osobitne uvádzajú právnické osoby so sídlom v inom členskom štáte Európskej únie ani aký je praktický význam tohto rozlíšenia. </w:t>
            </w:r>
            <w:r>
              <w:rPr>
                <w:rFonts w:ascii="Times New Roman" w:eastAsia="Times New Roman" w:hAnsi="Times New Roman" w:cs="Times New Roman"/>
                <w:color w:val="000000"/>
                <w:sz w:val="24"/>
              </w:rPr>
              <w:lastRenderedPageBreak/>
              <w:t>Žiadame preto dôvodovú správu doplniť o vysvetlenie účelu tejto formulácie a jej praktickej aplikácie.</w:t>
            </w:r>
          </w:p>
        </w:tc>
        <w:tc>
          <w:tcPr>
            <w:tcW w:w="778" w:type="dxa"/>
            <w:vAlign w:val="center"/>
          </w:tcPr>
          <w:p w14:paraId="56908F88" w14:textId="77777777" w:rsidR="00421B59" w:rsidRDefault="00000000">
            <w:pPr>
              <w:spacing w:after="0"/>
              <w:jc w:val="center"/>
            </w:pPr>
            <w:r>
              <w:rPr>
                <w:rFonts w:ascii="Times New Roman" w:eastAsia="Times New Roman" w:hAnsi="Times New Roman" w:cs="Times New Roman"/>
                <w:color w:val="000000"/>
                <w:sz w:val="24"/>
              </w:rPr>
              <w:lastRenderedPageBreak/>
              <w:t>A</w:t>
            </w:r>
          </w:p>
        </w:tc>
        <w:tc>
          <w:tcPr>
            <w:tcW w:w="2462" w:type="dxa"/>
          </w:tcPr>
          <w:p w14:paraId="02DF31FF" w14:textId="77777777" w:rsidR="00421B59" w:rsidRDefault="00421B59">
            <w:pPr>
              <w:spacing w:after="0"/>
            </w:pPr>
          </w:p>
        </w:tc>
      </w:tr>
      <w:tr w:rsidR="00421B59" w14:paraId="47F67603" w14:textId="77777777">
        <w:trPr>
          <w:trHeight w:val="648"/>
          <w:jc w:val="center"/>
        </w:trPr>
        <w:tc>
          <w:tcPr>
            <w:tcW w:w="1944" w:type="dxa"/>
          </w:tcPr>
          <w:p w14:paraId="21F60DE0" w14:textId="77777777" w:rsidR="00421B59" w:rsidRDefault="00000000">
            <w:pPr>
              <w:spacing w:after="0"/>
              <w:jc w:val="center"/>
            </w:pPr>
            <w:r>
              <w:rPr>
                <w:rFonts w:ascii="Times New Roman" w:eastAsia="Times New Roman" w:hAnsi="Times New Roman" w:cs="Times New Roman"/>
                <w:b/>
                <w:color w:val="000000"/>
                <w:sz w:val="24"/>
              </w:rPr>
              <w:t>Klub 500</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Klub 500</w:t>
            </w:r>
          </w:p>
        </w:tc>
        <w:tc>
          <w:tcPr>
            <w:tcW w:w="1296" w:type="dxa"/>
            <w:vAlign w:val="center"/>
          </w:tcPr>
          <w:p w14:paraId="777F1BF8" w14:textId="77777777" w:rsidR="00421B59" w:rsidRDefault="00000000">
            <w:pPr>
              <w:spacing w:after="0"/>
              <w:jc w:val="center"/>
            </w:pPr>
            <w:r>
              <w:rPr>
                <w:rFonts w:ascii="Times New Roman" w:eastAsia="Times New Roman" w:hAnsi="Times New Roman" w:cs="Times New Roman"/>
                <w:b/>
                <w:color w:val="FF0000"/>
                <w:sz w:val="24"/>
              </w:rPr>
              <w:t>Z</w:t>
            </w:r>
          </w:p>
        </w:tc>
        <w:tc>
          <w:tcPr>
            <w:tcW w:w="6480" w:type="dxa"/>
          </w:tcPr>
          <w:p w14:paraId="6260F1E0" w14:textId="77777777" w:rsidR="00421B59" w:rsidRDefault="00000000">
            <w:pPr>
              <w:spacing w:after="0"/>
            </w:pPr>
            <w:r>
              <w:rPr>
                <w:rFonts w:ascii="Times New Roman" w:eastAsia="Times New Roman" w:hAnsi="Times New Roman" w:cs="Times New Roman"/>
                <w:b/>
                <w:color w:val="000000"/>
                <w:sz w:val="24"/>
              </w:rPr>
              <w:t>Čl. I bod 15 (§ 20g ods. 1 písm. b))</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Žiadame v dôvodovej správe špecifikovať, čo sa na účely tohto zákona rozumie pojmom „priemerný prepočítaný počet zamestnancov" a podľa akej metodiky sa tento údaj určuje.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Priemerný prepočítaný počet zamestnancov predstavuje rozhodujúce kritérium pre vznik alebo zánik viacerých povinností podľa zákona. Vzhľadom na význam tohto kritéria pre určenie rozsahu povinností jednotlivých subjektov považujeme za potrebné, aby dôvodová správa výslovne uviedla metodiku, z ktorej sa má pri určovaní priemerného prepočítaného počtu zamestnancov vychádzať. Takéto spresnenie prispeje k jednotnej aplikačnej praxi pri posudzovaní splnenia jednotlivých zákonných prahových hodnôt a zvýši právnu istotu dotknutých subjektov.</w:t>
            </w:r>
          </w:p>
        </w:tc>
        <w:tc>
          <w:tcPr>
            <w:tcW w:w="778" w:type="dxa"/>
            <w:vAlign w:val="center"/>
          </w:tcPr>
          <w:p w14:paraId="3C2C1716" w14:textId="77777777" w:rsidR="00421B59" w:rsidRDefault="00000000">
            <w:pPr>
              <w:spacing w:after="0"/>
              <w:jc w:val="center"/>
            </w:pPr>
            <w:r>
              <w:rPr>
                <w:rFonts w:ascii="Times New Roman" w:eastAsia="Times New Roman" w:hAnsi="Times New Roman" w:cs="Times New Roman"/>
                <w:color w:val="000000"/>
                <w:sz w:val="24"/>
              </w:rPr>
              <w:t>A</w:t>
            </w:r>
          </w:p>
        </w:tc>
        <w:tc>
          <w:tcPr>
            <w:tcW w:w="2462" w:type="dxa"/>
          </w:tcPr>
          <w:p w14:paraId="027E7260" w14:textId="77777777" w:rsidR="00421B59" w:rsidRDefault="00421B59">
            <w:pPr>
              <w:spacing w:after="0"/>
            </w:pPr>
          </w:p>
        </w:tc>
      </w:tr>
      <w:tr w:rsidR="00421B59" w14:paraId="7BA361FF" w14:textId="77777777">
        <w:trPr>
          <w:trHeight w:val="648"/>
          <w:jc w:val="center"/>
        </w:trPr>
        <w:tc>
          <w:tcPr>
            <w:tcW w:w="1944" w:type="dxa"/>
          </w:tcPr>
          <w:p w14:paraId="551A2037" w14:textId="77777777" w:rsidR="00421B59" w:rsidRDefault="00000000">
            <w:pPr>
              <w:spacing w:after="0"/>
              <w:jc w:val="center"/>
            </w:pPr>
            <w:r>
              <w:rPr>
                <w:rFonts w:ascii="Times New Roman" w:eastAsia="Times New Roman" w:hAnsi="Times New Roman" w:cs="Times New Roman"/>
                <w:b/>
                <w:color w:val="000000"/>
                <w:sz w:val="24"/>
              </w:rPr>
              <w:t>Klub 500</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Klub 500</w:t>
            </w:r>
          </w:p>
        </w:tc>
        <w:tc>
          <w:tcPr>
            <w:tcW w:w="1296" w:type="dxa"/>
            <w:vAlign w:val="center"/>
          </w:tcPr>
          <w:p w14:paraId="6652C7A1" w14:textId="77777777" w:rsidR="00421B59" w:rsidRDefault="00000000">
            <w:pPr>
              <w:spacing w:after="0"/>
              <w:jc w:val="center"/>
            </w:pPr>
            <w:r>
              <w:rPr>
                <w:rFonts w:ascii="Times New Roman" w:eastAsia="Times New Roman" w:hAnsi="Times New Roman" w:cs="Times New Roman"/>
                <w:b/>
                <w:color w:val="FF0000"/>
                <w:sz w:val="24"/>
              </w:rPr>
              <w:t>Z</w:t>
            </w:r>
          </w:p>
        </w:tc>
        <w:tc>
          <w:tcPr>
            <w:tcW w:w="6480" w:type="dxa"/>
          </w:tcPr>
          <w:p w14:paraId="10C149AD" w14:textId="77777777" w:rsidR="00421B59" w:rsidRDefault="00000000">
            <w:pPr>
              <w:spacing w:after="0"/>
            </w:pPr>
            <w:r>
              <w:rPr>
                <w:rFonts w:ascii="Times New Roman" w:eastAsia="Times New Roman" w:hAnsi="Times New Roman" w:cs="Times New Roman"/>
                <w:b/>
                <w:color w:val="000000"/>
                <w:sz w:val="24"/>
              </w:rPr>
              <w:t>Čl. II bod 41 až 43</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Žiadame tieto novelizačné body vypustiť.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 xml:space="preserve">Zásadne nesúhlasíme so zvyšovaním ročných príspevkov regulovaných subjektov. Navrhované zvýšenie predstavuje dodatočné finančné zaťaženie subjektov, ktoré nie je sprevádzané rozšírením rozsahu verejného dohľadu ani zvýšením rozsahu činností vykonávaných Úradom pre dohľad nad výkonom auditu. Dôvodová správa síce odôvodňuje navrhované zvýšenie rastom nákladov a skutočnosťou, že výška príspevkov nebola upravovaná od roku 2015, nepreukazuje však, že prenesenie týchto nákladov na regulované subjekty je </w:t>
            </w:r>
            <w:r>
              <w:rPr>
                <w:rFonts w:ascii="Times New Roman" w:eastAsia="Times New Roman" w:hAnsi="Times New Roman" w:cs="Times New Roman"/>
                <w:color w:val="000000"/>
                <w:sz w:val="24"/>
              </w:rPr>
              <w:lastRenderedPageBreak/>
              <w:t>nevyhnutné, primerané alebo že neexistujú iné možnosti zabezpečenia financovania činnosti úradu. Sme toho názoru, že zvyšovanie povinných ročných príspevkov regulovaných subjektov by malo prichádzať do úvahy len vo výnimočných prípadoch, ak je objektívne odôvodnené rozšírením rozsahu dohľadu alebo zvýšením činností vykonávaných Úradom pre dohľad nad výkonom auditu. Takéto odôvodnenie však predložený návrh ani dôvodová správa neobsahujú. Navrhované zvýšenie sa zároveň dotýka aj subjektov, ktorým vnútroštátna právna úprava ukladá povinnosti nad rámec minimálnych požiadaviek smernice Európskeho parlamentu a Rady 2006/43/ES. Zvýšenie ročných príspevkov preto ďalej zvyšuje finančné zaťaženie týchto subjektov.</w:t>
            </w:r>
          </w:p>
        </w:tc>
        <w:tc>
          <w:tcPr>
            <w:tcW w:w="778" w:type="dxa"/>
            <w:vAlign w:val="center"/>
          </w:tcPr>
          <w:p w14:paraId="623431AF" w14:textId="77777777" w:rsidR="00421B59"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0762FD7D" w14:textId="77777777" w:rsidR="00421B59" w:rsidRDefault="00000000">
            <w:pPr>
              <w:spacing w:after="0"/>
            </w:pPr>
            <w:r>
              <w:rPr>
                <w:rFonts w:ascii="Times New Roman" w:eastAsia="Times New Roman" w:hAnsi="Times New Roman" w:cs="Times New Roman"/>
                <w:color w:val="000000"/>
                <w:sz w:val="24"/>
              </w:rPr>
              <w:t>V rámci rozporového konania bola pripomienka preklasifikovaná na obyčajnú a rozpor bol odstránený. V nadväznosti na túto pripomienku bola riešená aj pripomienka k bodu 48, ktorá bola akceptovaná a bod 48 bol vypustený.</w:t>
            </w:r>
          </w:p>
        </w:tc>
      </w:tr>
      <w:tr w:rsidR="00421B59" w14:paraId="71B039C8" w14:textId="77777777">
        <w:trPr>
          <w:trHeight w:val="648"/>
          <w:jc w:val="center"/>
        </w:trPr>
        <w:tc>
          <w:tcPr>
            <w:tcW w:w="1944" w:type="dxa"/>
          </w:tcPr>
          <w:p w14:paraId="45F37FAD" w14:textId="77777777" w:rsidR="00421B59" w:rsidRDefault="00000000">
            <w:pPr>
              <w:spacing w:after="0"/>
              <w:jc w:val="center"/>
            </w:pPr>
            <w:r>
              <w:rPr>
                <w:rFonts w:ascii="Times New Roman" w:eastAsia="Times New Roman" w:hAnsi="Times New Roman" w:cs="Times New Roman"/>
                <w:b/>
                <w:color w:val="000000"/>
                <w:sz w:val="24"/>
              </w:rPr>
              <w:t>Klub 500</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Klub 500</w:t>
            </w:r>
          </w:p>
        </w:tc>
        <w:tc>
          <w:tcPr>
            <w:tcW w:w="1296" w:type="dxa"/>
            <w:vAlign w:val="center"/>
          </w:tcPr>
          <w:p w14:paraId="2975FC6C" w14:textId="77777777" w:rsidR="00421B59" w:rsidRDefault="00000000">
            <w:pPr>
              <w:spacing w:after="0"/>
              <w:jc w:val="center"/>
            </w:pPr>
            <w:r>
              <w:rPr>
                <w:rFonts w:ascii="Times New Roman" w:eastAsia="Times New Roman" w:hAnsi="Times New Roman" w:cs="Times New Roman"/>
                <w:b/>
                <w:color w:val="FF0000"/>
                <w:sz w:val="24"/>
              </w:rPr>
              <w:t>Z</w:t>
            </w:r>
          </w:p>
        </w:tc>
        <w:tc>
          <w:tcPr>
            <w:tcW w:w="6480" w:type="dxa"/>
          </w:tcPr>
          <w:p w14:paraId="2E617647" w14:textId="77777777" w:rsidR="00421B59" w:rsidRDefault="00000000">
            <w:pPr>
              <w:spacing w:after="0"/>
            </w:pPr>
            <w:r>
              <w:rPr>
                <w:rFonts w:ascii="Times New Roman" w:eastAsia="Times New Roman" w:hAnsi="Times New Roman" w:cs="Times New Roman"/>
                <w:b/>
                <w:color w:val="000000"/>
                <w:sz w:val="24"/>
              </w:rPr>
              <w:t>Čl. II bod 48</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čl. II žiadame novelizačný bod 48 vypustiť.</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 xml:space="preserve">Navrhované splnomocnenie prenáša určovanie výšky povinných ročných príspevkov a registračných poplatkov zo zákona na úroveň vykonávacieho právneho predpisu. Výška týchto platieb priamo ovplyvňuje právne a ekonomické postavenie regulovaných subjektov, preto by mala byť upravená priamo zákonom. Takto koncipované splnomocnenie umožňuje Ministerstvu financií SR meniť finančné zaťaženie regulovaných subjektov prostredníctvom vykonávacieho právneho predpisu bez potreby prijatia novely zákona. Ide pritom o povinné finančné plnenia podnikateľských subjektov, ktorých úprava by mala podliehať riadnemu legislatívnemu procesu vrátane štandardného posudzovania ich vplyvov na podnikateľské prostredie a možnosti dotknutých subjektov uplatniť pripomienky v medzirezortnom pripomienkovom konaní. </w:t>
            </w:r>
            <w:r>
              <w:rPr>
                <w:rFonts w:ascii="Times New Roman" w:eastAsia="Times New Roman" w:hAnsi="Times New Roman" w:cs="Times New Roman"/>
                <w:color w:val="000000"/>
                <w:sz w:val="24"/>
              </w:rPr>
              <w:lastRenderedPageBreak/>
              <w:t>Upravenie výšky povinných finančných plnení podzákonným právnym predpisom znižuje mieru právnej istoty a predvídateľnosti podnikateľského prostredia. Žiadame preto ponechať úpravu výšky ročných príspevkov a registračných poplatkov priamo v zákone.</w:t>
            </w:r>
          </w:p>
        </w:tc>
        <w:tc>
          <w:tcPr>
            <w:tcW w:w="778" w:type="dxa"/>
            <w:vAlign w:val="center"/>
          </w:tcPr>
          <w:p w14:paraId="6C0360BA" w14:textId="77777777" w:rsidR="00421B59" w:rsidRDefault="00000000">
            <w:pPr>
              <w:spacing w:after="0"/>
              <w:jc w:val="center"/>
            </w:pPr>
            <w:r>
              <w:rPr>
                <w:rFonts w:ascii="Times New Roman" w:eastAsia="Times New Roman" w:hAnsi="Times New Roman" w:cs="Times New Roman"/>
                <w:color w:val="000000"/>
                <w:sz w:val="24"/>
              </w:rPr>
              <w:lastRenderedPageBreak/>
              <w:t>A</w:t>
            </w:r>
          </w:p>
        </w:tc>
        <w:tc>
          <w:tcPr>
            <w:tcW w:w="2462" w:type="dxa"/>
          </w:tcPr>
          <w:p w14:paraId="58A29EBA" w14:textId="77777777" w:rsidR="00421B59" w:rsidRDefault="00421B59">
            <w:pPr>
              <w:spacing w:after="0"/>
            </w:pPr>
          </w:p>
        </w:tc>
      </w:tr>
      <w:tr w:rsidR="00421B59" w14:paraId="26E52E7B" w14:textId="77777777">
        <w:trPr>
          <w:trHeight w:val="648"/>
          <w:jc w:val="center"/>
        </w:trPr>
        <w:tc>
          <w:tcPr>
            <w:tcW w:w="1944" w:type="dxa"/>
          </w:tcPr>
          <w:p w14:paraId="10A5A34C" w14:textId="77777777" w:rsidR="00421B59" w:rsidRDefault="00000000">
            <w:pPr>
              <w:spacing w:after="0"/>
              <w:jc w:val="center"/>
            </w:pPr>
            <w:r>
              <w:rPr>
                <w:rFonts w:ascii="Times New Roman" w:eastAsia="Times New Roman" w:hAnsi="Times New Roman" w:cs="Times New Roman"/>
                <w:b/>
                <w:color w:val="000000"/>
                <w:sz w:val="24"/>
              </w:rPr>
              <w:t>Klub 500</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Klub 500</w:t>
            </w:r>
          </w:p>
        </w:tc>
        <w:tc>
          <w:tcPr>
            <w:tcW w:w="1296" w:type="dxa"/>
            <w:vAlign w:val="center"/>
          </w:tcPr>
          <w:p w14:paraId="3D7654FB" w14:textId="77777777" w:rsidR="00421B59" w:rsidRDefault="00000000">
            <w:pPr>
              <w:spacing w:after="0"/>
              <w:jc w:val="center"/>
            </w:pPr>
            <w:r>
              <w:rPr>
                <w:rFonts w:ascii="Times New Roman" w:eastAsia="Times New Roman" w:hAnsi="Times New Roman" w:cs="Times New Roman"/>
                <w:b/>
                <w:color w:val="FF0000"/>
                <w:sz w:val="24"/>
              </w:rPr>
              <w:t>Z</w:t>
            </w:r>
          </w:p>
        </w:tc>
        <w:tc>
          <w:tcPr>
            <w:tcW w:w="6480" w:type="dxa"/>
          </w:tcPr>
          <w:p w14:paraId="7FA6E7C3" w14:textId="77777777" w:rsidR="00421B59" w:rsidRDefault="00000000">
            <w:pPr>
              <w:spacing w:after="0"/>
            </w:pPr>
            <w:r>
              <w:rPr>
                <w:rFonts w:ascii="Times New Roman" w:eastAsia="Times New Roman" w:hAnsi="Times New Roman" w:cs="Times New Roman"/>
                <w:b/>
                <w:color w:val="000000"/>
                <w:sz w:val="24"/>
              </w:rPr>
              <w:t>Čl. II Vloženie nového novelizačného bodu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Žiadame vložiť nový novelizačný bod 2, ktorý znie:</w:t>
            </w:r>
            <w:r>
              <w:rPr>
                <w:rFonts w:ascii="Times New Roman" w:eastAsia="Times New Roman" w:hAnsi="Times New Roman" w:cs="Times New Roman"/>
                <w:color w:val="000000"/>
                <w:sz w:val="24"/>
              </w:rPr>
              <w:br/>
              <w:t>„2. V § 2 ods. 15 písm. f) sa body 1 a 2 vypúšťajú. Doterajšie body 3 a 4 sa označujú ako body 1 a 2.“</w:t>
            </w:r>
            <w:r>
              <w:rPr>
                <w:rFonts w:ascii="Times New Roman" w:eastAsia="Times New Roman" w:hAnsi="Times New Roman" w:cs="Times New Roman"/>
                <w:color w:val="000000"/>
                <w:sz w:val="24"/>
              </w:rPr>
              <w:br/>
              <w:t>Doterajšie novelizačné body 2 až 50 sa primerane prečíslujú.</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 xml:space="preserve">Slovenská právna úprava rozširuje okruh subjektov podliehajúcich osobitnému režimu štatutárneho auditu nad rámec systému vychádzajúceho zo smernice Európskeho parlamentu a Rady 2006/43/ES. V rámci kategórie subjektov osobitného významu sa osobitný režim vzťahuje aj na veľké obchodné spoločnosti a vybrané obchodné spoločnosti s majetkovou účasťou štátu, ktorých zaradenie medzi regulované subjekty vyplýva predovšetkým zo splnenia kvantitatívnych kritérií, ako je výška obratu, hodnota majetku alebo počet zamestnancov. Zaradenie týchto subjektov medzi subjekty osobitného významu je spojené s viacerými dodatočnými povinnosťami vrátane prísnejšieho režimu výkonu štatutárneho auditu, dohľadu Úradu pre dohľad nad výkonom auditu a povinnosti uhrádzať ročné príspevky. Ide pritom o povinnosti, ktoré právo Európskej únie v tomto rozsahu nevyžaduje.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Z porovnania právnych úprav krajín V4 vyplýva, že obdobnú samostatnú kategóriu veľkých obchodných spoločností neuplatňuje ani Poľská republika, ani Maďarsko. Obe krajiny </w:t>
            </w:r>
            <w:r>
              <w:rPr>
                <w:rFonts w:ascii="Times New Roman" w:eastAsia="Times New Roman" w:hAnsi="Times New Roman" w:cs="Times New Roman"/>
                <w:color w:val="000000"/>
                <w:sz w:val="24"/>
              </w:rPr>
              <w:lastRenderedPageBreak/>
              <w:t xml:space="preserve">viažu osobitný režim na zákonom vymedzené subjekty verejného záujmu, pričom Poľská republika síce využila možnosť podľa smernice rozšíriť okruh subjektov verejného záujmu, avšak výlučne o ďalšie regulované subjekty finančného trhu. Česká republika rozšírila okruh subjektov len vo veľmi obmedzenom rozsahu vo vzťahu k systémovo významným obchodníkom s cennými papiermi, pri ktorých sú prahové hodnoty nastavené na úrovni zodpovedajúcej ich skutočnému systémovému významu.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Takéto nastavenie v Slovenskej republike zvyšuje regulačné a finančné zaťaženie dotknutých podnikateľských subjektov a oslabuje ich konkurencieschopnosť vo vzťahu k podnikom pôsobiacim v členských štátoch, ktoré smernicu transponovali bez vytvorenia obdobnej samostatnej vnútroštátnej kategórie. Minimalizácia „gold-platingu“ pritom patrí medzi deklarované ciele vlády SR uvedené v Programovom vyhlásení vlády SR na roky 2023 – 2027 v rámci opatrení smerujúcich k zvyšovaniu stability a predvídateľnosti podnikateľského prostredia. Predkladaná novela preto predstavuje vhodnú príležitosť na odstránenie existujúceho gold-platingu a zosúladenie vnútroštátnej právnej úpravy s princípom proporcionality a minimálnym rozsahom požadovaným smernicou 2006/43/ES.</w:t>
            </w:r>
          </w:p>
        </w:tc>
        <w:tc>
          <w:tcPr>
            <w:tcW w:w="778" w:type="dxa"/>
            <w:vAlign w:val="center"/>
          </w:tcPr>
          <w:p w14:paraId="41162817" w14:textId="77777777" w:rsidR="00421B59"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0A0CC4C3" w14:textId="77777777" w:rsidR="00421B59" w:rsidRDefault="00000000">
            <w:pPr>
              <w:spacing w:after="0"/>
            </w:pPr>
            <w:r>
              <w:rPr>
                <w:rFonts w:ascii="Times New Roman" w:eastAsia="Times New Roman" w:hAnsi="Times New Roman" w:cs="Times New Roman"/>
                <w:color w:val="000000"/>
                <w:sz w:val="24"/>
              </w:rPr>
              <w:t>V rámci rozporového konania bola pripomienka preklasifikovaná na obyčajnú s tým, že obsah pripomienky bude predmetom následnej diskusie MF SR s dotknutými subjektami.</w:t>
            </w:r>
          </w:p>
        </w:tc>
      </w:tr>
      <w:tr w:rsidR="00421B59" w14:paraId="56DBDD59" w14:textId="77777777">
        <w:trPr>
          <w:trHeight w:val="648"/>
          <w:jc w:val="center"/>
        </w:trPr>
        <w:tc>
          <w:tcPr>
            <w:tcW w:w="1944" w:type="dxa"/>
          </w:tcPr>
          <w:p w14:paraId="4134DCA8" w14:textId="77777777" w:rsidR="00421B59" w:rsidRDefault="00000000">
            <w:pPr>
              <w:spacing w:after="0"/>
              <w:jc w:val="center"/>
            </w:pPr>
            <w:r>
              <w:rPr>
                <w:rFonts w:ascii="Times New Roman" w:eastAsia="Times New Roman" w:hAnsi="Times New Roman" w:cs="Times New Roman"/>
                <w:b/>
                <w:color w:val="000000"/>
                <w:sz w:val="24"/>
              </w:rPr>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dopravy Slovenskej republiky</w:t>
            </w:r>
          </w:p>
        </w:tc>
        <w:tc>
          <w:tcPr>
            <w:tcW w:w="1296" w:type="dxa"/>
            <w:vAlign w:val="center"/>
          </w:tcPr>
          <w:p w14:paraId="2401E6CF" w14:textId="77777777" w:rsidR="00421B59" w:rsidRDefault="00000000">
            <w:pPr>
              <w:spacing w:after="0"/>
              <w:jc w:val="center"/>
            </w:pPr>
            <w:r>
              <w:rPr>
                <w:rFonts w:ascii="Times New Roman" w:eastAsia="Times New Roman" w:hAnsi="Times New Roman" w:cs="Times New Roman"/>
                <w:color w:val="000000"/>
                <w:sz w:val="24"/>
              </w:rPr>
              <w:t>O</w:t>
            </w:r>
          </w:p>
        </w:tc>
        <w:tc>
          <w:tcPr>
            <w:tcW w:w="6480" w:type="dxa"/>
          </w:tcPr>
          <w:p w14:paraId="78005B80" w14:textId="77777777" w:rsidR="00421B59" w:rsidRDefault="00000000">
            <w:pPr>
              <w:spacing w:after="0"/>
            </w:pPr>
            <w:r>
              <w:rPr>
                <w:rFonts w:ascii="Times New Roman" w:eastAsia="Times New Roman" w:hAnsi="Times New Roman" w:cs="Times New Roman"/>
                <w:b/>
                <w:color w:val="000000"/>
                <w:sz w:val="24"/>
              </w:rPr>
              <w:t>Celému materiálu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1. V čl. I bode 6  § 20c ods. 1 písm. a) a ods. 2 písm. a) navrhujeme čiarku na konci nahradiť slovom „a“; pripomienka primerane platí aj pre  čl. I bod 7 - § 20c ods. 10 písm. b) prvý bod bod 1a. a druhý bod bod 2a. a čl. I bod 15 - § 20g ods. 1 písm. a) a ods. 2 písm. a).</w:t>
            </w:r>
            <w:r>
              <w:rPr>
                <w:rFonts w:ascii="Times New Roman" w:eastAsia="Times New Roman" w:hAnsi="Times New Roman" w:cs="Times New Roman"/>
                <w:color w:val="000000"/>
                <w:sz w:val="24"/>
              </w:rPr>
              <w:br/>
              <w:t xml:space="preserve">2. V čl. I bode 6  § 20c ods. 3 navrhujeme slová „Ustanovenia odsekov“ nahradiť slovom „Odseky“; pripomienka platí aj pre </w:t>
            </w:r>
            <w:r>
              <w:rPr>
                <w:rFonts w:ascii="Times New Roman" w:eastAsia="Times New Roman" w:hAnsi="Times New Roman" w:cs="Times New Roman"/>
                <w:color w:val="000000"/>
                <w:sz w:val="24"/>
              </w:rPr>
              <w:lastRenderedPageBreak/>
              <w:t>čl. I bod 7 – 20c ods. 15.</w:t>
            </w:r>
            <w:r>
              <w:rPr>
                <w:rFonts w:ascii="Times New Roman" w:eastAsia="Times New Roman" w:hAnsi="Times New Roman" w:cs="Times New Roman"/>
                <w:color w:val="000000"/>
                <w:sz w:val="24"/>
              </w:rPr>
              <w:br/>
              <w:t>3. V čl. I navrhujeme bod  11. rozdeliť tak že  tá jeho časť ktorá novelizuje § 20d ods. 1 sa stane súčasťou bodu 10 a tá časť ktorá novelizuje § 20d ods. 2 sa stane súčasťou bodu 12, tak aby sa jedno ustanovenie nenovelizovalo viacerými bodmi.</w:t>
            </w:r>
            <w:r>
              <w:rPr>
                <w:rFonts w:ascii="Times New Roman" w:eastAsia="Times New Roman" w:hAnsi="Times New Roman" w:cs="Times New Roman"/>
                <w:color w:val="000000"/>
                <w:sz w:val="24"/>
              </w:rPr>
              <w:br/>
              <w:t>4. V čl. I bod 17 navrhujeme upraviť takto: „V § 20g ods. 7 sa na konci bodka nahrádza čiarkou a pripájajú sa tieto slová:...“.</w:t>
            </w:r>
            <w:r>
              <w:rPr>
                <w:rFonts w:ascii="Times New Roman" w:eastAsia="Times New Roman" w:hAnsi="Times New Roman" w:cs="Times New Roman"/>
                <w:color w:val="000000"/>
                <w:sz w:val="24"/>
              </w:rPr>
              <w:br/>
              <w:t>5. V čl. I bode 25 v § 39zh ods. 2 a 3 navrhujeme vypustiť symbol „§“ za slovom „a“.</w:t>
            </w:r>
            <w:r>
              <w:rPr>
                <w:rFonts w:ascii="Times New Roman" w:eastAsia="Times New Roman" w:hAnsi="Times New Roman" w:cs="Times New Roman"/>
                <w:color w:val="000000"/>
                <w:sz w:val="24"/>
              </w:rPr>
              <w:br/>
              <w:t>6. V čl. I bode 25 sa navrhuje prechodné ustanovenie § 39zi, ktorého formulácia neevokuje dočasnosť ako atribút prechodného ustanovenia, ako napríklad „ sa uplatňujú do...“.</w:t>
            </w:r>
            <w:r>
              <w:rPr>
                <w:rFonts w:ascii="Times New Roman" w:eastAsia="Times New Roman" w:hAnsi="Times New Roman" w:cs="Times New Roman"/>
                <w:color w:val="000000"/>
                <w:sz w:val="24"/>
              </w:rPr>
              <w:br/>
              <w:t>7. V čl. II navrhujeme vypustiť slová „prvej vety pre nadbytočnosť“; pripomienka platí primerane aj pre čl. II bod 21.</w:t>
            </w:r>
            <w:r>
              <w:rPr>
                <w:rFonts w:ascii="Times New Roman" w:eastAsia="Times New Roman" w:hAnsi="Times New Roman" w:cs="Times New Roman"/>
                <w:color w:val="000000"/>
                <w:sz w:val="24"/>
              </w:rPr>
              <w:br/>
              <w:t>8. V Čl. II bode 4 § 2 ods. 19 odporúčame vypustiť nadbytočnú zátvorku.</w:t>
            </w:r>
            <w:r>
              <w:rPr>
                <w:rFonts w:ascii="Times New Roman" w:eastAsia="Times New Roman" w:hAnsi="Times New Roman" w:cs="Times New Roman"/>
                <w:color w:val="000000"/>
                <w:sz w:val="24"/>
              </w:rPr>
              <w:br/>
              <w:t>9. V čl. II bode 21 navrhujeme vypustiť slovo „ustanovenia“ pre nadbytočnosť.</w:t>
            </w:r>
          </w:p>
        </w:tc>
        <w:tc>
          <w:tcPr>
            <w:tcW w:w="778" w:type="dxa"/>
            <w:vAlign w:val="center"/>
          </w:tcPr>
          <w:p w14:paraId="40C34891" w14:textId="77777777" w:rsidR="00421B59" w:rsidRDefault="00000000">
            <w:pPr>
              <w:spacing w:after="0"/>
              <w:jc w:val="center"/>
            </w:pPr>
            <w:r>
              <w:rPr>
                <w:rFonts w:ascii="Times New Roman" w:eastAsia="Times New Roman" w:hAnsi="Times New Roman" w:cs="Times New Roman"/>
                <w:color w:val="000000"/>
                <w:sz w:val="24"/>
              </w:rPr>
              <w:lastRenderedPageBreak/>
              <w:t>ČA</w:t>
            </w:r>
          </w:p>
        </w:tc>
        <w:tc>
          <w:tcPr>
            <w:tcW w:w="2462" w:type="dxa"/>
          </w:tcPr>
          <w:p w14:paraId="1EC3C150" w14:textId="77777777" w:rsidR="00421B59" w:rsidRDefault="00000000">
            <w:pPr>
              <w:spacing w:after="0"/>
            </w:pPr>
            <w:r>
              <w:rPr>
                <w:rFonts w:ascii="Times New Roman" w:eastAsia="Times New Roman" w:hAnsi="Times New Roman" w:cs="Times New Roman"/>
                <w:color w:val="000000"/>
                <w:sz w:val="24"/>
              </w:rPr>
              <w:t>K bodu 1: akceptované pre čl. I body 6 a 15 a neakceptované pre pre čl. I bod 7 z dôvodu zvolenej legislatívnej techniky.</w:t>
            </w:r>
            <w:r>
              <w:rPr>
                <w:rFonts w:ascii="Times New Roman" w:eastAsia="Times New Roman" w:hAnsi="Times New Roman" w:cs="Times New Roman"/>
                <w:color w:val="000000"/>
                <w:sz w:val="24"/>
              </w:rPr>
              <w:br/>
              <w:t xml:space="preserve">K bodom  2 až 4 a 6 až 9: neakceptované z </w:t>
            </w:r>
            <w:r>
              <w:rPr>
                <w:rFonts w:ascii="Times New Roman" w:eastAsia="Times New Roman" w:hAnsi="Times New Roman" w:cs="Times New Roman"/>
                <w:color w:val="000000"/>
                <w:sz w:val="24"/>
              </w:rPr>
              <w:lastRenderedPageBreak/>
              <w:t>dôvodu zvolenej legislatívnej techniky.</w:t>
            </w:r>
            <w:r>
              <w:rPr>
                <w:rFonts w:ascii="Times New Roman" w:eastAsia="Times New Roman" w:hAnsi="Times New Roman" w:cs="Times New Roman"/>
                <w:color w:val="000000"/>
                <w:sz w:val="24"/>
              </w:rPr>
              <w:br/>
              <w:t>K bodu 5: akceptované.</w:t>
            </w:r>
          </w:p>
        </w:tc>
      </w:tr>
      <w:tr w:rsidR="00421B59" w14:paraId="71169B4F" w14:textId="77777777">
        <w:trPr>
          <w:trHeight w:val="648"/>
          <w:jc w:val="center"/>
        </w:trPr>
        <w:tc>
          <w:tcPr>
            <w:tcW w:w="1944" w:type="dxa"/>
          </w:tcPr>
          <w:p w14:paraId="4BC77D84" w14:textId="77777777" w:rsidR="00421B59" w:rsidRDefault="00000000">
            <w:pPr>
              <w:spacing w:after="0"/>
              <w:jc w:val="center"/>
            </w:pPr>
            <w:r>
              <w:rPr>
                <w:rFonts w:ascii="Times New Roman" w:eastAsia="Times New Roman" w:hAnsi="Times New Roman" w:cs="Times New Roman"/>
                <w:b/>
                <w:color w:val="000000"/>
                <w:sz w:val="24"/>
              </w:rPr>
              <w:lastRenderedPageBreak/>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dopravy Slovenskej republiky</w:t>
            </w:r>
          </w:p>
        </w:tc>
        <w:tc>
          <w:tcPr>
            <w:tcW w:w="1296" w:type="dxa"/>
            <w:vAlign w:val="center"/>
          </w:tcPr>
          <w:p w14:paraId="3F271728" w14:textId="77777777" w:rsidR="00421B59" w:rsidRDefault="00000000">
            <w:pPr>
              <w:spacing w:after="0"/>
              <w:jc w:val="center"/>
            </w:pPr>
            <w:r>
              <w:rPr>
                <w:rFonts w:ascii="Times New Roman" w:eastAsia="Times New Roman" w:hAnsi="Times New Roman" w:cs="Times New Roman"/>
                <w:color w:val="000000"/>
                <w:sz w:val="24"/>
              </w:rPr>
              <w:t>O</w:t>
            </w:r>
          </w:p>
        </w:tc>
        <w:tc>
          <w:tcPr>
            <w:tcW w:w="6480" w:type="dxa"/>
          </w:tcPr>
          <w:p w14:paraId="59B02A14" w14:textId="77777777" w:rsidR="00421B59" w:rsidRDefault="00000000">
            <w:pPr>
              <w:spacing w:after="0"/>
            </w:pPr>
            <w:r>
              <w:rPr>
                <w:rFonts w:ascii="Times New Roman" w:eastAsia="Times New Roman" w:hAnsi="Times New Roman" w:cs="Times New Roman"/>
                <w:b/>
                <w:color w:val="000000"/>
                <w:sz w:val="24"/>
              </w:rPr>
              <w:t>Čl. II bode 48 v § 68a ods. 5</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čl. II bode 48 v § 68a ods. 5 navrhujeme zmeniť splnomocnenie tak, aby ministerstvo malo vydať vyhlášku alebo opatrenie, ktoré ho úplné znenie sa uverejní v Zbierke zákonov SR z dôvodu prístupnosti právne záväzného znenia čo najširšiemu okruhu osôb.</w:t>
            </w:r>
          </w:p>
        </w:tc>
        <w:tc>
          <w:tcPr>
            <w:tcW w:w="778" w:type="dxa"/>
            <w:vAlign w:val="center"/>
          </w:tcPr>
          <w:p w14:paraId="564B2538" w14:textId="77777777" w:rsidR="00421B59" w:rsidRDefault="00000000">
            <w:pPr>
              <w:spacing w:after="0"/>
              <w:jc w:val="center"/>
            </w:pPr>
            <w:r>
              <w:rPr>
                <w:rFonts w:ascii="Times New Roman" w:eastAsia="Times New Roman" w:hAnsi="Times New Roman" w:cs="Times New Roman"/>
                <w:color w:val="000000"/>
                <w:sz w:val="24"/>
              </w:rPr>
              <w:t>N</w:t>
            </w:r>
          </w:p>
        </w:tc>
        <w:tc>
          <w:tcPr>
            <w:tcW w:w="2462" w:type="dxa"/>
          </w:tcPr>
          <w:p w14:paraId="1BDFBB06" w14:textId="77777777" w:rsidR="00421B59" w:rsidRDefault="00000000">
            <w:pPr>
              <w:spacing w:after="0"/>
            </w:pPr>
            <w:r>
              <w:rPr>
                <w:rFonts w:ascii="Times New Roman" w:eastAsia="Times New Roman" w:hAnsi="Times New Roman" w:cs="Times New Roman"/>
                <w:color w:val="000000"/>
                <w:sz w:val="24"/>
              </w:rPr>
              <w:t>Bod 48 bol vypustený.</w:t>
            </w:r>
          </w:p>
        </w:tc>
      </w:tr>
      <w:tr w:rsidR="00421B59" w14:paraId="23269E7C" w14:textId="77777777">
        <w:trPr>
          <w:trHeight w:val="648"/>
          <w:jc w:val="center"/>
        </w:trPr>
        <w:tc>
          <w:tcPr>
            <w:tcW w:w="1944" w:type="dxa"/>
          </w:tcPr>
          <w:p w14:paraId="0B512681" w14:textId="77777777" w:rsidR="00421B59" w:rsidRDefault="00000000">
            <w:pPr>
              <w:spacing w:after="0"/>
              <w:jc w:val="center"/>
            </w:pPr>
            <w:r>
              <w:rPr>
                <w:rFonts w:ascii="Times New Roman" w:eastAsia="Times New Roman" w:hAnsi="Times New Roman" w:cs="Times New Roman"/>
                <w:b/>
                <w:color w:val="000000"/>
                <w:sz w:val="24"/>
              </w:rPr>
              <w:t>MKSR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kultúry Slovenskej republiky</w:t>
            </w:r>
          </w:p>
        </w:tc>
        <w:tc>
          <w:tcPr>
            <w:tcW w:w="1296" w:type="dxa"/>
            <w:vAlign w:val="center"/>
          </w:tcPr>
          <w:p w14:paraId="433EDFA1" w14:textId="77777777" w:rsidR="00421B59" w:rsidRDefault="00000000">
            <w:pPr>
              <w:spacing w:after="0"/>
              <w:jc w:val="center"/>
            </w:pPr>
            <w:r>
              <w:rPr>
                <w:rFonts w:ascii="Times New Roman" w:eastAsia="Times New Roman" w:hAnsi="Times New Roman" w:cs="Times New Roman"/>
                <w:color w:val="000000"/>
                <w:sz w:val="24"/>
              </w:rPr>
              <w:t>O</w:t>
            </w:r>
          </w:p>
        </w:tc>
        <w:tc>
          <w:tcPr>
            <w:tcW w:w="6480" w:type="dxa"/>
          </w:tcPr>
          <w:p w14:paraId="5E16093D" w14:textId="77777777" w:rsidR="00421B59" w:rsidRDefault="00000000">
            <w:pPr>
              <w:spacing w:after="0"/>
            </w:pPr>
            <w:r>
              <w:rPr>
                <w:rFonts w:ascii="Times New Roman" w:eastAsia="Times New Roman" w:hAnsi="Times New Roman" w:cs="Times New Roman"/>
                <w:b/>
                <w:color w:val="000000"/>
                <w:sz w:val="24"/>
              </w:rPr>
              <w:t>K vlastnému materiálu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K čl. II </w:t>
            </w:r>
            <w:r>
              <w:rPr>
                <w:rFonts w:ascii="Times New Roman" w:eastAsia="Times New Roman" w:hAnsi="Times New Roman" w:cs="Times New Roman"/>
                <w:color w:val="000000"/>
                <w:sz w:val="24"/>
              </w:rPr>
              <w:br/>
              <w:t>Upozorňujeme, že zákon č. 423/2015 Z. z. bol novelizovaný aj zákonom č. 385/2025 Z. z. a zákonom č. 85/2026 Z. z.</w:t>
            </w:r>
            <w:r>
              <w:rPr>
                <w:rFonts w:ascii="Times New Roman" w:eastAsia="Times New Roman" w:hAnsi="Times New Roman" w:cs="Times New Roman"/>
                <w:color w:val="000000"/>
                <w:sz w:val="24"/>
              </w:rPr>
              <w:br/>
              <w:t>Odporúčame upraviť znenie úvodnej vety.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Odôvodnenie:</w:t>
            </w:r>
            <w:r>
              <w:rPr>
                <w:rFonts w:ascii="Times New Roman" w:eastAsia="Times New Roman" w:hAnsi="Times New Roman" w:cs="Times New Roman"/>
                <w:color w:val="000000"/>
                <w:sz w:val="24"/>
              </w:rPr>
              <w:br/>
              <w:t>Legislatívna technika.</w:t>
            </w:r>
          </w:p>
        </w:tc>
        <w:tc>
          <w:tcPr>
            <w:tcW w:w="778" w:type="dxa"/>
            <w:vAlign w:val="center"/>
          </w:tcPr>
          <w:p w14:paraId="0E6D5CA1" w14:textId="77777777" w:rsidR="00421B59"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14873C72" w14:textId="77777777" w:rsidR="00421B59" w:rsidRDefault="00000000">
            <w:pPr>
              <w:spacing w:after="0"/>
            </w:pPr>
            <w:r>
              <w:rPr>
                <w:rFonts w:ascii="Times New Roman" w:eastAsia="Times New Roman" w:hAnsi="Times New Roman" w:cs="Times New Roman"/>
                <w:color w:val="000000"/>
                <w:sz w:val="24"/>
              </w:rPr>
              <w:t xml:space="preserve">Uvedené zákony nenovelizovali zákon č. 423/2015 Z. z. o štatutárnom audite a o zmene a doplnení zákona č. 431/2002 Z. z. o účtovníctve v </w:t>
            </w:r>
            <w:r>
              <w:rPr>
                <w:rFonts w:ascii="Times New Roman" w:eastAsia="Times New Roman" w:hAnsi="Times New Roman" w:cs="Times New Roman"/>
                <w:color w:val="000000"/>
                <w:sz w:val="24"/>
              </w:rPr>
              <w:lastRenderedPageBreak/>
              <w:t>znení neskorších predpisov.</w:t>
            </w:r>
          </w:p>
        </w:tc>
      </w:tr>
      <w:tr w:rsidR="00421B59" w14:paraId="0864E649" w14:textId="77777777">
        <w:trPr>
          <w:trHeight w:val="648"/>
          <w:jc w:val="center"/>
        </w:trPr>
        <w:tc>
          <w:tcPr>
            <w:tcW w:w="1944" w:type="dxa"/>
          </w:tcPr>
          <w:p w14:paraId="1B9AAFF3" w14:textId="77777777" w:rsidR="00421B59" w:rsidRDefault="00000000">
            <w:pPr>
              <w:spacing w:after="0"/>
              <w:jc w:val="center"/>
            </w:pPr>
            <w:r>
              <w:rPr>
                <w:rFonts w:ascii="Times New Roman" w:eastAsia="Times New Roman" w:hAnsi="Times New Roman" w:cs="Times New Roman"/>
                <w:b/>
                <w:color w:val="000000"/>
                <w:sz w:val="24"/>
              </w:rPr>
              <w:lastRenderedPageBreak/>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14:paraId="185CB9E6" w14:textId="77777777" w:rsidR="00421B59" w:rsidRDefault="00000000">
            <w:pPr>
              <w:spacing w:after="0"/>
              <w:jc w:val="center"/>
            </w:pPr>
            <w:r>
              <w:rPr>
                <w:rFonts w:ascii="Times New Roman" w:eastAsia="Times New Roman" w:hAnsi="Times New Roman" w:cs="Times New Roman"/>
                <w:color w:val="000000"/>
                <w:sz w:val="24"/>
              </w:rPr>
              <w:t>O</w:t>
            </w:r>
          </w:p>
        </w:tc>
        <w:tc>
          <w:tcPr>
            <w:tcW w:w="6480" w:type="dxa"/>
          </w:tcPr>
          <w:p w14:paraId="38545E02" w14:textId="77777777" w:rsidR="00421B59" w:rsidRDefault="00000000">
            <w:pPr>
              <w:spacing w:after="0"/>
            </w:pPr>
            <w:r>
              <w:rPr>
                <w:rFonts w:ascii="Times New Roman" w:eastAsia="Times New Roman" w:hAnsi="Times New Roman" w:cs="Times New Roman"/>
                <w:b/>
                <w:color w:val="000000"/>
                <w:sz w:val="24"/>
              </w:rPr>
              <w:t>K čl. I, body 1 a 13</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Dávame predkladateľovi na zváženie slová "jediným predmetom činnosti je nadobudnutie" nahradiť slovami "výlučnou činnosťou je nadobúdanie".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Vnímame cieľ úpravy, rovnako aj skutočnosť, že holding nie je predmetom podnikania (činnosti) obchodnej spoločnosti, ale štruktúrou a spôsobom riadenia spoločnosti.</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Slovné spojenie "predmet činnosti" však môže viesť k zámene s predmetom podnikania obchodnej spoločnosti, ktorý sa zapisuje do obchodného registra podľa zákona č. 29/2026 Z. z. Rovnako spojenie "predmet činnosti" na niektorých miestach používa aj Obchodný zákonník (§ 68a ods. 2 písm. b), § 110 ods. 1 písm. c).</w:t>
            </w:r>
          </w:p>
        </w:tc>
        <w:tc>
          <w:tcPr>
            <w:tcW w:w="778" w:type="dxa"/>
            <w:vAlign w:val="center"/>
          </w:tcPr>
          <w:p w14:paraId="17A74813" w14:textId="77777777" w:rsidR="00421B59" w:rsidRDefault="00000000">
            <w:pPr>
              <w:spacing w:after="0"/>
              <w:jc w:val="center"/>
            </w:pPr>
            <w:r>
              <w:rPr>
                <w:rFonts w:ascii="Times New Roman" w:eastAsia="Times New Roman" w:hAnsi="Times New Roman" w:cs="Times New Roman"/>
                <w:color w:val="000000"/>
                <w:sz w:val="24"/>
              </w:rPr>
              <w:t>A</w:t>
            </w:r>
          </w:p>
        </w:tc>
        <w:tc>
          <w:tcPr>
            <w:tcW w:w="2462" w:type="dxa"/>
          </w:tcPr>
          <w:p w14:paraId="0784B01C" w14:textId="77777777" w:rsidR="00421B59" w:rsidRDefault="00421B59">
            <w:pPr>
              <w:spacing w:after="0"/>
            </w:pPr>
          </w:p>
        </w:tc>
      </w:tr>
      <w:tr w:rsidR="00421B59" w14:paraId="6E7F7EBF" w14:textId="77777777">
        <w:trPr>
          <w:trHeight w:val="648"/>
          <w:jc w:val="center"/>
        </w:trPr>
        <w:tc>
          <w:tcPr>
            <w:tcW w:w="1944" w:type="dxa"/>
          </w:tcPr>
          <w:p w14:paraId="21E33645" w14:textId="77777777" w:rsidR="00421B59" w:rsidRDefault="00000000">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14:paraId="24A5ADF0" w14:textId="77777777" w:rsidR="00421B59" w:rsidRDefault="00000000">
            <w:pPr>
              <w:spacing w:after="0"/>
              <w:jc w:val="center"/>
            </w:pPr>
            <w:r>
              <w:rPr>
                <w:rFonts w:ascii="Times New Roman" w:eastAsia="Times New Roman" w:hAnsi="Times New Roman" w:cs="Times New Roman"/>
                <w:color w:val="000000"/>
                <w:sz w:val="24"/>
              </w:rPr>
              <w:t>O</w:t>
            </w:r>
          </w:p>
        </w:tc>
        <w:tc>
          <w:tcPr>
            <w:tcW w:w="6480" w:type="dxa"/>
          </w:tcPr>
          <w:p w14:paraId="030EA4DC" w14:textId="77777777" w:rsidR="00421B59" w:rsidRDefault="00000000">
            <w:pPr>
              <w:spacing w:after="0"/>
            </w:pPr>
            <w:r>
              <w:rPr>
                <w:rFonts w:ascii="Times New Roman" w:eastAsia="Times New Roman" w:hAnsi="Times New Roman" w:cs="Times New Roman"/>
                <w:b/>
                <w:color w:val="000000"/>
                <w:sz w:val="24"/>
              </w:rPr>
              <w:t>K čl. II body 5 a 7</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čl. II odporúčame predkladateľovi spojiť body 5 a 7, nakoľko obsahujú rovnakú úpravu.</w:t>
            </w:r>
          </w:p>
        </w:tc>
        <w:tc>
          <w:tcPr>
            <w:tcW w:w="778" w:type="dxa"/>
            <w:vAlign w:val="center"/>
          </w:tcPr>
          <w:p w14:paraId="63D74923" w14:textId="77777777" w:rsidR="00421B59" w:rsidRDefault="00000000">
            <w:pPr>
              <w:spacing w:after="0"/>
              <w:jc w:val="center"/>
            </w:pPr>
            <w:r>
              <w:rPr>
                <w:rFonts w:ascii="Times New Roman" w:eastAsia="Times New Roman" w:hAnsi="Times New Roman" w:cs="Times New Roman"/>
                <w:color w:val="000000"/>
                <w:sz w:val="24"/>
              </w:rPr>
              <w:t>N</w:t>
            </w:r>
          </w:p>
        </w:tc>
        <w:tc>
          <w:tcPr>
            <w:tcW w:w="2462" w:type="dxa"/>
          </w:tcPr>
          <w:p w14:paraId="551DACEA" w14:textId="77777777" w:rsidR="00421B59" w:rsidRDefault="00000000">
            <w:pPr>
              <w:spacing w:after="0"/>
            </w:pPr>
            <w:r>
              <w:rPr>
                <w:rFonts w:ascii="Times New Roman" w:eastAsia="Times New Roman" w:hAnsi="Times New Roman" w:cs="Times New Roman"/>
                <w:color w:val="000000"/>
                <w:sz w:val="24"/>
              </w:rPr>
              <w:t>Návrh je v súlade s Legislatívnymi pravidlami vlády SR.</w:t>
            </w:r>
          </w:p>
        </w:tc>
      </w:tr>
      <w:tr w:rsidR="00421B59" w14:paraId="3A0DAC14" w14:textId="77777777">
        <w:trPr>
          <w:trHeight w:val="648"/>
          <w:jc w:val="center"/>
        </w:trPr>
        <w:tc>
          <w:tcPr>
            <w:tcW w:w="1944" w:type="dxa"/>
          </w:tcPr>
          <w:p w14:paraId="2C2E5B40" w14:textId="77777777" w:rsidR="00421B59" w:rsidRDefault="00000000">
            <w:pPr>
              <w:spacing w:after="0"/>
              <w:jc w:val="center"/>
            </w:pPr>
            <w:r>
              <w:rPr>
                <w:rFonts w:ascii="Times New Roman" w:eastAsia="Times New Roman" w:hAnsi="Times New Roman" w:cs="Times New Roman"/>
                <w:b/>
                <w:color w:val="000000"/>
                <w:sz w:val="24"/>
              </w:rPr>
              <w:t>NBS</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Národná banka Slovenska</w:t>
            </w:r>
          </w:p>
        </w:tc>
        <w:tc>
          <w:tcPr>
            <w:tcW w:w="1296" w:type="dxa"/>
            <w:vAlign w:val="center"/>
          </w:tcPr>
          <w:p w14:paraId="096F7574" w14:textId="77777777" w:rsidR="00421B59" w:rsidRDefault="00000000">
            <w:pPr>
              <w:spacing w:after="0"/>
              <w:jc w:val="center"/>
            </w:pPr>
            <w:r>
              <w:rPr>
                <w:rFonts w:ascii="Times New Roman" w:eastAsia="Times New Roman" w:hAnsi="Times New Roman" w:cs="Times New Roman"/>
                <w:color w:val="000000"/>
                <w:sz w:val="24"/>
              </w:rPr>
              <w:t>O</w:t>
            </w:r>
          </w:p>
        </w:tc>
        <w:tc>
          <w:tcPr>
            <w:tcW w:w="6480" w:type="dxa"/>
          </w:tcPr>
          <w:p w14:paraId="13F99665" w14:textId="77777777" w:rsidR="00421B59" w:rsidRDefault="00000000">
            <w:pPr>
              <w:spacing w:after="0"/>
            </w:pPr>
            <w:r>
              <w:rPr>
                <w:rFonts w:ascii="Times New Roman" w:eastAsia="Times New Roman" w:hAnsi="Times New Roman" w:cs="Times New Roman"/>
                <w:b/>
                <w:color w:val="000000"/>
                <w:sz w:val="24"/>
              </w:rPr>
              <w:t>§ 24 ods. 2 zákona – nad rámec návrhu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V § 24 navrhujeme za odsek 2 doplniť odsek, ktorý by znel: </w:t>
            </w:r>
            <w:r>
              <w:rPr>
                <w:rFonts w:ascii="Times New Roman" w:eastAsia="Times New Roman" w:hAnsi="Times New Roman" w:cs="Times New Roman"/>
                <w:color w:val="000000"/>
                <w:sz w:val="24"/>
              </w:rPr>
              <w:br/>
              <w:t xml:space="preserve">„Správcovská spoločnosť, pobočka zahraničnej správcovskej spoločnosti a zahraničná správcovská spoločnosť, ktorá vykonáva na území Slovenskej republiky činnosť na základe práva slobodného poskytovania služieb, je oprávnená pri zostavovaní individuálnej účtovnej závierky subjektu kolektívneho investovania použiť iný výmenný kurz ako referenčný kurz, ak je jeho použitie v súlade s požiadavkou verného a pravdivého zobrazenia podľa § 7 ods. 1, a v súlade s </w:t>
            </w:r>
            <w:r>
              <w:rPr>
                <w:rFonts w:ascii="Times New Roman" w:eastAsia="Times New Roman" w:hAnsi="Times New Roman" w:cs="Times New Roman"/>
                <w:color w:val="000000"/>
                <w:sz w:val="24"/>
              </w:rPr>
              <w:lastRenderedPageBreak/>
              <w:t>osobitným predpisom.xx)“.</w:t>
            </w:r>
            <w:r>
              <w:rPr>
                <w:rFonts w:ascii="Times New Roman" w:eastAsia="Times New Roman" w:hAnsi="Times New Roman" w:cs="Times New Roman"/>
                <w:color w:val="000000"/>
                <w:sz w:val="24"/>
              </w:rPr>
              <w:br/>
              <w:t>Poznámka pod čiarou k odkazu xx znie:</w:t>
            </w:r>
            <w:r>
              <w:rPr>
                <w:rFonts w:ascii="Times New Roman" w:eastAsia="Times New Roman" w:hAnsi="Times New Roman" w:cs="Times New Roman"/>
                <w:color w:val="000000"/>
                <w:sz w:val="24"/>
              </w:rPr>
              <w:br/>
              <w:t>„xx) § 161 ods. 4 zákona č. 203/2011 Z. z. o kolektívnom investovaní v znení neskorších predpisov.".</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Zároveň navrhujeme upraviť znenie poznámky pod čiarou k odkazu 34 nasledovne:</w:t>
            </w:r>
            <w:r>
              <w:rPr>
                <w:rFonts w:ascii="Times New Roman" w:eastAsia="Times New Roman" w:hAnsi="Times New Roman" w:cs="Times New Roman"/>
                <w:color w:val="000000"/>
                <w:sz w:val="24"/>
              </w:rPr>
              <w:br/>
              <w:t>„34) Napríklad zákon č. 483/2001 Z. z., zákon č. 566/2001 Z. z., zákon č. 203/2011 Z. z. v znení neskorších predpisov.“.</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 24 ods. 2 predpisuje účtovným jednotkám, vrátane subjektov kolektívneho investovania, používať jeden konkrétny referenčný kurz bez akejkoľvek výnimky a nepripúšťa možnosť použiť napríklad spotový výmenný kurz na konci obchodného dňa.</w:t>
            </w:r>
            <w:r>
              <w:rPr>
                <w:rFonts w:ascii="Times New Roman" w:eastAsia="Times New Roman" w:hAnsi="Times New Roman" w:cs="Times New Roman"/>
                <w:color w:val="000000"/>
                <w:sz w:val="24"/>
              </w:rPr>
              <w:br/>
              <w:t>Pre porovnanie:</w:t>
            </w:r>
            <w:r>
              <w:rPr>
                <w:rFonts w:ascii="Times New Roman" w:eastAsia="Times New Roman" w:hAnsi="Times New Roman" w:cs="Times New Roman"/>
                <w:color w:val="000000"/>
                <w:sz w:val="24"/>
              </w:rPr>
              <w:br/>
              <w:t>1. § 18 ods. 2 opatrenia NBS z 8. novembra 2011 č. 13/2011 o spôsobe určenia hodnoty majetku v štandardnom podielovom fonde a vo verejnom špeciálnom podielovom fonde a spôsobe výpočtu hodnoty podielu emisie podielových listov v podielových fondoch, v ktorých sa vydávajú podielové listy viacerých emisií (oznámenie č. 428/2011 Z. z.) v znení opatrenia z 10. júna 2025 č. 5/2025 (oznámenie č. 169/2025 Z. z.) umožňuje určenie hodnoty finančného nástroja alebo iného majetku vyjadrenej v inej mene ako je denominačná mena fondu s možnosťou správcovskej spoločnosti vybrať si jeden z uvedených spotových výmenných kurzov,</w:t>
            </w:r>
            <w:r>
              <w:rPr>
                <w:rFonts w:ascii="Times New Roman" w:eastAsia="Times New Roman" w:hAnsi="Times New Roman" w:cs="Times New Roman"/>
                <w:color w:val="000000"/>
                <w:sz w:val="24"/>
              </w:rPr>
              <w:br/>
              <w:t xml:space="preserve">2. Medzinárodné účtovné štandardy IAS 21– Vplyvy zmien výmenných kurzov nepredpisujú jeden jediný možný výmenný kurz, ktorý môžu účtovné jednotky využiť, ale naopak na základe princípov umožňujú účtovnej jednotke použiť vhodnejší </w:t>
            </w:r>
            <w:r>
              <w:rPr>
                <w:rFonts w:ascii="Times New Roman" w:eastAsia="Times New Roman" w:hAnsi="Times New Roman" w:cs="Times New Roman"/>
                <w:color w:val="000000"/>
                <w:sz w:val="24"/>
              </w:rPr>
              <w:lastRenderedPageBreak/>
              <w:t>výmenný kurz (napríklad bod 26 IAS 21). Zároveň sa aplikuje osobitný režim pre účtovanie derivátov podľa IFRS 9 Finančné nástroje (napr. bod 27 IAS 21 „27 Ako sa uvádza v odseku 3 písm. a) a v odseku 5, štandard IFRS 9 sa uplatňuje na účtovanie zabezpečenia pri položkách v cudzích menách. Uplatňovanie účtovania zabezpečenia si vyžaduje, aby účtovná jednotka účtovala niektoré kurzové rozdiely odlišne od postupov pre kurzové rozdiely vyžadovaných v tomto štandarde. V štandarde IFRS 9 sa napríklad vyžaduje, aby kurzové rozdiely boli pri peňažných položkách, ktoré spĺňajú kritériá zabezpečovacích nástrojov pri zabezpečení peňažných tokov, prvotne zaúčtované v ostatných súčastiach komplexného výsledku v rozsahu, v akom je zabezpečenie efektívne.“).</w:t>
            </w:r>
            <w:r>
              <w:rPr>
                <w:rFonts w:ascii="Times New Roman" w:eastAsia="Times New Roman" w:hAnsi="Times New Roman" w:cs="Times New Roman"/>
                <w:color w:val="000000"/>
                <w:sz w:val="24"/>
              </w:rPr>
              <w:br/>
              <w:t>Sme toho názoru, že použitie iného výmenného kurzu môže viesť k presnejšiemu oceneniu hodnoty podielu pre podielnikov, najmä pri oceňovaní derivátov a zabezpečovacích nástrojov (t. j. hedžových pozícií) a takto je možné predísť situácii, kedy je hodnota majetku subjektu kolektívneho investovania v individuálnej účtovnej závierke odlišná od hodnoty majetku subjektu kolektívneho investovania vypočítanej správcovskou spoločnosťou pre účely výpočtu čistej hodnoty podielu.</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Zároveň navrhujeme v súvislosti s určením dňa prepočítavania referenčným výmenným kurzom subjektmi kolektívneho investovania doplniť v poznámke pod čiarou k odkazu 34 zákon o kolektívnom investovaním.</w:t>
            </w:r>
          </w:p>
        </w:tc>
        <w:tc>
          <w:tcPr>
            <w:tcW w:w="778" w:type="dxa"/>
            <w:vAlign w:val="center"/>
          </w:tcPr>
          <w:p w14:paraId="690B5D75" w14:textId="77777777" w:rsidR="00421B59"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740D3741" w14:textId="77777777" w:rsidR="00421B59" w:rsidRDefault="00000000">
            <w:pPr>
              <w:spacing w:after="0"/>
            </w:pPr>
            <w:r>
              <w:rPr>
                <w:rFonts w:ascii="Times New Roman" w:eastAsia="Times New Roman" w:hAnsi="Times New Roman" w:cs="Times New Roman"/>
                <w:color w:val="000000"/>
                <w:sz w:val="24"/>
              </w:rPr>
              <w:t xml:space="preserve">Pripomienka je nad rámec predkladaného návrhu, pričom navrhovaná úprava si vyžaduje širšiu diskusiu. Preto bude zostavená pracovná skupina zo zástupcov MF SR, NBS a dotknutých subjektov </w:t>
            </w:r>
            <w:r>
              <w:rPr>
                <w:rFonts w:ascii="Times New Roman" w:eastAsia="Times New Roman" w:hAnsi="Times New Roman" w:cs="Times New Roman"/>
                <w:color w:val="000000"/>
                <w:sz w:val="24"/>
              </w:rPr>
              <w:lastRenderedPageBreak/>
              <w:t>tzn. zástupcovia väčších aj menších správcovských spoločností. Predmetom pracovnej skupiny bude prediskutovať tému z viacerých uhlov pohľadu a posúdiť možnosti legislatívnych úprav a ich praktické dopady.</w:t>
            </w:r>
          </w:p>
        </w:tc>
      </w:tr>
      <w:tr w:rsidR="00421B59" w14:paraId="1A878D4F" w14:textId="77777777">
        <w:trPr>
          <w:trHeight w:val="648"/>
          <w:jc w:val="center"/>
        </w:trPr>
        <w:tc>
          <w:tcPr>
            <w:tcW w:w="1944" w:type="dxa"/>
          </w:tcPr>
          <w:p w14:paraId="398F51A9" w14:textId="77777777" w:rsidR="00421B59" w:rsidRDefault="00000000">
            <w:pPr>
              <w:spacing w:after="0"/>
              <w:jc w:val="center"/>
            </w:pPr>
            <w:r>
              <w:rPr>
                <w:rFonts w:ascii="Times New Roman" w:eastAsia="Times New Roman" w:hAnsi="Times New Roman" w:cs="Times New Roman"/>
                <w:b/>
                <w:color w:val="000000"/>
                <w:sz w:val="24"/>
              </w:rPr>
              <w:lastRenderedPageBreak/>
              <w:t>NBS</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Národná banka Slovenska</w:t>
            </w:r>
          </w:p>
        </w:tc>
        <w:tc>
          <w:tcPr>
            <w:tcW w:w="1296" w:type="dxa"/>
            <w:vAlign w:val="center"/>
          </w:tcPr>
          <w:p w14:paraId="4A3C846E" w14:textId="77777777" w:rsidR="00421B59" w:rsidRDefault="00000000">
            <w:pPr>
              <w:spacing w:after="0"/>
              <w:jc w:val="center"/>
            </w:pPr>
            <w:r>
              <w:rPr>
                <w:rFonts w:ascii="Times New Roman" w:eastAsia="Times New Roman" w:hAnsi="Times New Roman" w:cs="Times New Roman"/>
                <w:color w:val="000000"/>
                <w:sz w:val="24"/>
              </w:rPr>
              <w:t>O</w:t>
            </w:r>
          </w:p>
        </w:tc>
        <w:tc>
          <w:tcPr>
            <w:tcW w:w="6480" w:type="dxa"/>
          </w:tcPr>
          <w:p w14:paraId="0EB1471B" w14:textId="77777777" w:rsidR="00421B59" w:rsidRDefault="00000000">
            <w:pPr>
              <w:spacing w:after="0"/>
            </w:pPr>
            <w:r>
              <w:rPr>
                <w:rFonts w:ascii="Times New Roman" w:eastAsia="Times New Roman" w:hAnsi="Times New Roman" w:cs="Times New Roman"/>
                <w:b/>
                <w:color w:val="000000"/>
                <w:sz w:val="24"/>
              </w:rPr>
              <w:t>čl. I bodu 7</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 20c ods. 14 navrhujeme zosúladiť s čl. 2 ods. 4 písm. b) bodu i) smernice 2016/470, ktorý mení článok 19a odsek 3 smernice o účtovníctve tak, aby právo odmietnuť žiadosť o informácie bolo možné uplatniť bez ohľadu na to, ktorý subjekt o informácie </w:t>
            </w:r>
            <w:r>
              <w:rPr>
                <w:rFonts w:ascii="Times New Roman" w:eastAsia="Times New Roman" w:hAnsi="Times New Roman" w:cs="Times New Roman"/>
                <w:color w:val="000000"/>
                <w:sz w:val="24"/>
              </w:rPr>
              <w:lastRenderedPageBreak/>
              <w:t>požiada.</w:t>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V navrhovanom znení nie je zohľadnené, že chránená účtovná jednotka alebo chránený subjekt nemusia poskytnúť informácie napr. pobočke právnickej osoby so sídlom v tretej krajine (mimo EÚ), na ktorú sa vzťahuje povinnosť vykazovania informácií o udržateľnosti podľa právne záväzného aktu Európskej únie (čl. 40a smernice o účtovníctve). V návrhu sa právo odmietnuť žiadosť o informácie zúžilo len na vykazujúcu účtovnú jednotku a právnickú osobu so sídlom v EÚ. Čl. 2 ods. 4 písm. b) bod i) smernice 2016/470 je formulovaný tak, že chránená účtovná jednotka a chránený subjekt sú oprávnené všeobecne odmietnuť poskytovanie informácií nad rámec informácií uvedených v dobrovoľných štandardoch.</w:t>
            </w:r>
          </w:p>
        </w:tc>
        <w:tc>
          <w:tcPr>
            <w:tcW w:w="778" w:type="dxa"/>
            <w:vAlign w:val="center"/>
          </w:tcPr>
          <w:p w14:paraId="420193CD" w14:textId="77777777" w:rsidR="00421B59"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518FF3C4" w14:textId="77777777" w:rsidR="00421B59" w:rsidRDefault="00000000">
            <w:pPr>
              <w:spacing w:after="0"/>
            </w:pPr>
            <w:r>
              <w:rPr>
                <w:rFonts w:ascii="Times New Roman" w:eastAsia="Times New Roman" w:hAnsi="Times New Roman" w:cs="Times New Roman"/>
                <w:color w:val="000000"/>
                <w:sz w:val="24"/>
              </w:rPr>
              <w:t xml:space="preserve">Ochranné opatrenie, ktorým sa uvádzanie informácií v rozsahu podľa dobrovoľných štandardov  považuje  </w:t>
            </w:r>
            <w:r>
              <w:rPr>
                <w:rFonts w:ascii="Times New Roman" w:eastAsia="Times New Roman" w:hAnsi="Times New Roman" w:cs="Times New Roman"/>
                <w:color w:val="000000"/>
                <w:sz w:val="24"/>
              </w:rPr>
              <w:lastRenderedPageBreak/>
              <w:t xml:space="preserve">za súladné s požiadavkami smernice (EÚ) 2026/470),  je poskytované vykazujúcemu podniku (vykazujúca účtovná jednotka a zahraničný vykazujúci subjekt so sídlom v EÚ). </w:t>
            </w:r>
          </w:p>
        </w:tc>
      </w:tr>
      <w:tr w:rsidR="00421B59" w14:paraId="3E2754BC" w14:textId="77777777">
        <w:trPr>
          <w:trHeight w:val="648"/>
          <w:jc w:val="center"/>
        </w:trPr>
        <w:tc>
          <w:tcPr>
            <w:tcW w:w="1944" w:type="dxa"/>
          </w:tcPr>
          <w:p w14:paraId="5D44C0C7" w14:textId="77777777" w:rsidR="00421B59" w:rsidRDefault="00000000">
            <w:pPr>
              <w:spacing w:after="0"/>
              <w:jc w:val="center"/>
            </w:pPr>
            <w:r>
              <w:rPr>
                <w:rFonts w:ascii="Times New Roman" w:eastAsia="Times New Roman" w:hAnsi="Times New Roman" w:cs="Times New Roman"/>
                <w:b/>
                <w:color w:val="000000"/>
                <w:sz w:val="24"/>
              </w:rPr>
              <w:lastRenderedPageBreak/>
              <w:t>NBS</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Národná banka Slovenska</w:t>
            </w:r>
          </w:p>
        </w:tc>
        <w:tc>
          <w:tcPr>
            <w:tcW w:w="1296" w:type="dxa"/>
            <w:vAlign w:val="center"/>
          </w:tcPr>
          <w:p w14:paraId="31A46B29" w14:textId="77777777" w:rsidR="00421B59" w:rsidRDefault="00000000">
            <w:pPr>
              <w:spacing w:after="0"/>
              <w:jc w:val="center"/>
            </w:pPr>
            <w:r>
              <w:rPr>
                <w:rFonts w:ascii="Times New Roman" w:eastAsia="Times New Roman" w:hAnsi="Times New Roman" w:cs="Times New Roman"/>
                <w:color w:val="000000"/>
                <w:sz w:val="24"/>
              </w:rPr>
              <w:t>O</w:t>
            </w:r>
          </w:p>
        </w:tc>
        <w:tc>
          <w:tcPr>
            <w:tcW w:w="6480" w:type="dxa"/>
          </w:tcPr>
          <w:p w14:paraId="0BAFC7B5" w14:textId="77777777" w:rsidR="00421B59" w:rsidRDefault="00000000">
            <w:pPr>
              <w:spacing w:after="0"/>
            </w:pPr>
            <w:r>
              <w:rPr>
                <w:rFonts w:ascii="Times New Roman" w:eastAsia="Times New Roman" w:hAnsi="Times New Roman" w:cs="Times New Roman"/>
                <w:b/>
                <w:color w:val="000000"/>
                <w:sz w:val="24"/>
              </w:rPr>
              <w:t>čl. I bodu 7</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20c ods. 12 tretej vete navrhujeme slová „preukazovania jeho pravdivosti“ nahradiť slovami „overenia jeho pravdivosti vykazujúcou účtovnou jednotkou podľa odseku 1 alebo odseku 2“.</w:t>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 xml:space="preserve">Z čl. 2 ods. 4 písm. b) bodu i) smernice 2016/470 vyplýva, že od vykazujúcich podnikov sa nevyžaduje, aby podnikli kroky na overenie informácií uvedených vo vlastnom vyhlásení chránenej účtovnej jednotky (alebo chráneného subjektu) v ich hodnotovom reťazci. Navrhované ustanovenie je však naformulované takým spôsobom, akoby ani chránená účtovná jednotka (alebo chránený subjekt) nemusela preukazovať pravdivosť vyhlásenia o tom, že má chránená účtovná jednotka (alebo chránený subjekt) menej ako 1000 zamestnancov. Má byť však zodpovedná za vyhlásenie (a jeho pravdivosť), ktoré robí o počte svojich zamestnancov, a teda zákonom by nemalo byť </w:t>
            </w:r>
            <w:r>
              <w:rPr>
                <w:rFonts w:ascii="Times New Roman" w:eastAsia="Times New Roman" w:hAnsi="Times New Roman" w:cs="Times New Roman"/>
                <w:color w:val="000000"/>
                <w:sz w:val="24"/>
              </w:rPr>
              <w:lastRenderedPageBreak/>
              <w:t>umožnené, aby chránená účtovná jednotka nemusela overiť pravdivosť svojho tvrdenia.</w:t>
            </w:r>
          </w:p>
        </w:tc>
        <w:tc>
          <w:tcPr>
            <w:tcW w:w="778" w:type="dxa"/>
            <w:vAlign w:val="center"/>
          </w:tcPr>
          <w:p w14:paraId="718D2CFD" w14:textId="77777777" w:rsidR="00421B59" w:rsidRDefault="00000000">
            <w:pPr>
              <w:spacing w:after="0"/>
              <w:jc w:val="center"/>
            </w:pPr>
            <w:r>
              <w:rPr>
                <w:rFonts w:ascii="Times New Roman" w:eastAsia="Times New Roman" w:hAnsi="Times New Roman" w:cs="Times New Roman"/>
                <w:color w:val="000000"/>
                <w:sz w:val="24"/>
              </w:rPr>
              <w:lastRenderedPageBreak/>
              <w:t>A</w:t>
            </w:r>
          </w:p>
        </w:tc>
        <w:tc>
          <w:tcPr>
            <w:tcW w:w="2462" w:type="dxa"/>
          </w:tcPr>
          <w:p w14:paraId="5003D5A1" w14:textId="77777777" w:rsidR="00421B59" w:rsidRDefault="00421B59">
            <w:pPr>
              <w:spacing w:after="0"/>
            </w:pPr>
          </w:p>
        </w:tc>
      </w:tr>
      <w:tr w:rsidR="00421B59" w14:paraId="4B6125DB" w14:textId="77777777">
        <w:trPr>
          <w:trHeight w:val="648"/>
          <w:jc w:val="center"/>
        </w:trPr>
        <w:tc>
          <w:tcPr>
            <w:tcW w:w="1944" w:type="dxa"/>
          </w:tcPr>
          <w:p w14:paraId="05EA8292" w14:textId="77777777" w:rsidR="00421B59" w:rsidRDefault="00000000">
            <w:pPr>
              <w:spacing w:after="0"/>
              <w:jc w:val="center"/>
            </w:pPr>
            <w:r>
              <w:rPr>
                <w:rFonts w:ascii="Times New Roman" w:eastAsia="Times New Roman" w:hAnsi="Times New Roman" w:cs="Times New Roman"/>
                <w:b/>
                <w:color w:val="000000"/>
                <w:sz w:val="24"/>
              </w:rPr>
              <w:t>NBS</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Národná banka Slovenska</w:t>
            </w:r>
          </w:p>
        </w:tc>
        <w:tc>
          <w:tcPr>
            <w:tcW w:w="1296" w:type="dxa"/>
            <w:vAlign w:val="center"/>
          </w:tcPr>
          <w:p w14:paraId="109FDF74" w14:textId="77777777" w:rsidR="00421B59" w:rsidRDefault="00000000">
            <w:pPr>
              <w:spacing w:after="0"/>
              <w:jc w:val="center"/>
            </w:pPr>
            <w:r>
              <w:rPr>
                <w:rFonts w:ascii="Times New Roman" w:eastAsia="Times New Roman" w:hAnsi="Times New Roman" w:cs="Times New Roman"/>
                <w:color w:val="000000"/>
                <w:sz w:val="24"/>
              </w:rPr>
              <w:t>O</w:t>
            </w:r>
          </w:p>
        </w:tc>
        <w:tc>
          <w:tcPr>
            <w:tcW w:w="6480" w:type="dxa"/>
          </w:tcPr>
          <w:p w14:paraId="604C1265" w14:textId="77777777" w:rsidR="00421B59" w:rsidRDefault="00000000">
            <w:pPr>
              <w:spacing w:after="0"/>
            </w:pPr>
            <w:r>
              <w:rPr>
                <w:rFonts w:ascii="Times New Roman" w:eastAsia="Times New Roman" w:hAnsi="Times New Roman" w:cs="Times New Roman"/>
                <w:b/>
                <w:color w:val="000000"/>
                <w:sz w:val="24"/>
              </w:rPr>
              <w:t>čl. I bodu 7</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20c ods. 11 prvej vete navrhujeme slovo „uvádza“ nahradiť slovom „vykazuje“.</w:t>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Na základe pripomienky k § 20c ods. 10 a z dôvodu zachovania jednotnej terminológie naprieč celým zákonom odporúčame použiť slovné spojenie „vykazovať informácie“.</w:t>
            </w:r>
          </w:p>
        </w:tc>
        <w:tc>
          <w:tcPr>
            <w:tcW w:w="778" w:type="dxa"/>
            <w:vAlign w:val="center"/>
          </w:tcPr>
          <w:p w14:paraId="616AA1CD" w14:textId="77777777" w:rsidR="00421B59" w:rsidRDefault="00000000">
            <w:pPr>
              <w:spacing w:after="0"/>
              <w:jc w:val="center"/>
            </w:pPr>
            <w:r>
              <w:rPr>
                <w:rFonts w:ascii="Times New Roman" w:eastAsia="Times New Roman" w:hAnsi="Times New Roman" w:cs="Times New Roman"/>
                <w:color w:val="000000"/>
                <w:sz w:val="24"/>
              </w:rPr>
              <w:t>N</w:t>
            </w:r>
          </w:p>
        </w:tc>
        <w:tc>
          <w:tcPr>
            <w:tcW w:w="2462" w:type="dxa"/>
          </w:tcPr>
          <w:p w14:paraId="52CE3201" w14:textId="77777777" w:rsidR="00421B59" w:rsidRDefault="00000000">
            <w:pPr>
              <w:spacing w:after="0"/>
            </w:pPr>
            <w:r>
              <w:rPr>
                <w:rFonts w:ascii="Times New Roman" w:eastAsia="Times New Roman" w:hAnsi="Times New Roman" w:cs="Times New Roman"/>
                <w:color w:val="000000"/>
                <w:sz w:val="24"/>
              </w:rPr>
              <w:t xml:space="preserve">Vzhľadom na charakter uvedených informácií, ktoré sú nielen kvantitatívne, ale najmä popisné a na skutočnosť, že je potrebné rozlišovať krátkodobé, strednodobé a dlhodobé hľadisko, považujeme pojem „uvádza“ za vhodnejší. Pojem „vykazuje“ sa viaže skôr na číselné údaje vykazované v rámci výkazov účtovnej závierky. Z uvedeného dôvodu sa pre vykazovanie informácií o udržateľnosti v rámci výročnej správy v celom zákone používa pojem „uvádzať“. </w:t>
            </w:r>
          </w:p>
        </w:tc>
      </w:tr>
      <w:tr w:rsidR="00421B59" w14:paraId="74EADE5D" w14:textId="77777777">
        <w:trPr>
          <w:trHeight w:val="648"/>
          <w:jc w:val="center"/>
        </w:trPr>
        <w:tc>
          <w:tcPr>
            <w:tcW w:w="1944" w:type="dxa"/>
          </w:tcPr>
          <w:p w14:paraId="68F62610" w14:textId="77777777" w:rsidR="00421B59" w:rsidRDefault="00000000">
            <w:pPr>
              <w:spacing w:after="0"/>
              <w:jc w:val="center"/>
            </w:pPr>
            <w:r>
              <w:rPr>
                <w:rFonts w:ascii="Times New Roman" w:eastAsia="Times New Roman" w:hAnsi="Times New Roman" w:cs="Times New Roman"/>
                <w:b/>
                <w:color w:val="000000"/>
                <w:sz w:val="24"/>
              </w:rPr>
              <w:t>NBS</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Národná banka Slovenska</w:t>
            </w:r>
          </w:p>
        </w:tc>
        <w:tc>
          <w:tcPr>
            <w:tcW w:w="1296" w:type="dxa"/>
            <w:vAlign w:val="center"/>
          </w:tcPr>
          <w:p w14:paraId="461F160B" w14:textId="77777777" w:rsidR="00421B59" w:rsidRDefault="00000000">
            <w:pPr>
              <w:spacing w:after="0"/>
              <w:jc w:val="center"/>
            </w:pPr>
            <w:r>
              <w:rPr>
                <w:rFonts w:ascii="Times New Roman" w:eastAsia="Times New Roman" w:hAnsi="Times New Roman" w:cs="Times New Roman"/>
                <w:color w:val="000000"/>
                <w:sz w:val="24"/>
              </w:rPr>
              <w:t>O</w:t>
            </w:r>
          </w:p>
        </w:tc>
        <w:tc>
          <w:tcPr>
            <w:tcW w:w="6480" w:type="dxa"/>
          </w:tcPr>
          <w:p w14:paraId="319D82DB" w14:textId="77777777" w:rsidR="00421B59" w:rsidRDefault="00000000">
            <w:pPr>
              <w:spacing w:after="0"/>
            </w:pPr>
            <w:r>
              <w:rPr>
                <w:rFonts w:ascii="Times New Roman" w:eastAsia="Times New Roman" w:hAnsi="Times New Roman" w:cs="Times New Roman"/>
                <w:b/>
                <w:color w:val="000000"/>
                <w:sz w:val="24"/>
              </w:rPr>
              <w:t>čl. I bodu 7</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20c ods. 10 písm. a) treťom bode, písm. b) bode 1b. a písm. c) bode 2b. navrhujeme slovo „uvádzajú“ nahradiť slovom: „vykazujú“.</w:t>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Vykazované informácie o udržateľnosti sa vykazujú k určitému dátumu raz ročne. Navrhovaná formulácia môže byť interpretovaná tak, že by vykazujúca účtovná jednotka musela každý ďalší deň po zverejnení výročnej správy s vykazovanými informáciami o udržateľnosti opätovne prehodnocovať splnenie podmienok pre neuvedenie informácie. Účelom ustanovenia čl. 2 ods. 4 písm. b) bodu iii) smernice 2026/470 je posudzovať vynechanie danej informácie „ku každému dátumu vykazovania“.</w:t>
            </w:r>
          </w:p>
        </w:tc>
        <w:tc>
          <w:tcPr>
            <w:tcW w:w="778" w:type="dxa"/>
            <w:vAlign w:val="center"/>
          </w:tcPr>
          <w:p w14:paraId="02B1E3C1" w14:textId="77777777" w:rsidR="00421B59"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7D7B0E91" w14:textId="77777777" w:rsidR="00421B59" w:rsidRDefault="00000000">
            <w:pPr>
              <w:spacing w:after="0"/>
            </w:pPr>
            <w:r>
              <w:rPr>
                <w:rFonts w:ascii="Times New Roman" w:eastAsia="Times New Roman" w:hAnsi="Times New Roman" w:cs="Times New Roman"/>
                <w:color w:val="000000"/>
                <w:sz w:val="24"/>
              </w:rPr>
              <w:t xml:space="preserve">Uvedené vyplýva priamo z formulácie § 20c ods. 10 písm. a) tretí bod, písm. b) bod 1b. a bod 2b., v rámci </w:t>
            </w:r>
            <w:r>
              <w:rPr>
                <w:rFonts w:ascii="Times New Roman" w:eastAsia="Times New Roman" w:hAnsi="Times New Roman" w:cs="Times New Roman"/>
                <w:color w:val="000000"/>
                <w:sz w:val="24"/>
              </w:rPr>
              <w:lastRenderedPageBreak/>
              <w:t>ktorých je explicitne uvedená požiadavka testovania ku dňu, ku ktorému vzniká povinnosť vykazovania informácií o udržateľnosti, ktoré sú súčasťou výročnej správy.</w:t>
            </w:r>
          </w:p>
        </w:tc>
      </w:tr>
      <w:tr w:rsidR="00421B59" w14:paraId="1883BDDF" w14:textId="77777777">
        <w:trPr>
          <w:trHeight w:val="648"/>
          <w:jc w:val="center"/>
        </w:trPr>
        <w:tc>
          <w:tcPr>
            <w:tcW w:w="1944" w:type="dxa"/>
          </w:tcPr>
          <w:p w14:paraId="71619922" w14:textId="77777777" w:rsidR="00421B59" w:rsidRDefault="00000000">
            <w:pPr>
              <w:spacing w:after="0"/>
              <w:jc w:val="center"/>
            </w:pPr>
            <w:r>
              <w:rPr>
                <w:rFonts w:ascii="Times New Roman" w:eastAsia="Times New Roman" w:hAnsi="Times New Roman" w:cs="Times New Roman"/>
                <w:b/>
                <w:color w:val="000000"/>
                <w:sz w:val="24"/>
              </w:rPr>
              <w:lastRenderedPageBreak/>
              <w:t>NBÚ</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Národný bezpečnostný úrad</w:t>
            </w:r>
          </w:p>
        </w:tc>
        <w:tc>
          <w:tcPr>
            <w:tcW w:w="1296" w:type="dxa"/>
            <w:vAlign w:val="center"/>
          </w:tcPr>
          <w:p w14:paraId="483C973A" w14:textId="77777777" w:rsidR="00421B59" w:rsidRDefault="00000000">
            <w:pPr>
              <w:spacing w:after="0"/>
              <w:jc w:val="center"/>
            </w:pPr>
            <w:r>
              <w:rPr>
                <w:rFonts w:ascii="Times New Roman" w:eastAsia="Times New Roman" w:hAnsi="Times New Roman" w:cs="Times New Roman"/>
                <w:color w:val="000000"/>
                <w:sz w:val="24"/>
              </w:rPr>
              <w:t>O</w:t>
            </w:r>
          </w:p>
        </w:tc>
        <w:tc>
          <w:tcPr>
            <w:tcW w:w="6480" w:type="dxa"/>
          </w:tcPr>
          <w:p w14:paraId="578258DF" w14:textId="77777777" w:rsidR="00421B59" w:rsidRDefault="00000000">
            <w:pPr>
              <w:spacing w:after="0"/>
            </w:pPr>
            <w:r>
              <w:rPr>
                <w:rFonts w:ascii="Times New Roman" w:eastAsia="Times New Roman" w:hAnsi="Times New Roman" w:cs="Times New Roman"/>
                <w:b/>
                <w:color w:val="000000"/>
                <w:sz w:val="24"/>
              </w:rPr>
              <w:t>K vlastnému materiálu – K Čl. I bodu 7. [§ 20c ods. 10 písm. b) druhý bod]</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Vo vlastnom materiáli čl. I siedmom novelizačnom bode odporúčame za slová „utajované skutočnosti“ vložiť slová „a limitované informácie“.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Do poznámky pod čiarou k odkazu 28efa v zmysle uvedeného odporúčame následne doplniť odkaz aj na zákon č. 215/2004 Z. z. o ochrane utajovaných skutočností a o zmene a doplnení niektorých zákonov v znení neskorších predpisov.</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Slovenská republika priznáva zákonnú ochranu okrem utajovaných skutočností aj limitovaným informáciám, preto je odôvodnené ich doplnenie do textu zákona. Zároveň pre zamedzenie nejasností v aplikačnej praxi je nevyhnutné doplniť do dotknutej poznámky pod čiarou aj zákon č. 215/2004 Z. z. o ochrane utajovaných skutočností a o zmene a doplnení niektorých zákonov v znení neskorších predpisov.</w:t>
            </w:r>
          </w:p>
        </w:tc>
        <w:tc>
          <w:tcPr>
            <w:tcW w:w="778" w:type="dxa"/>
            <w:vAlign w:val="center"/>
          </w:tcPr>
          <w:p w14:paraId="3E9843D2" w14:textId="77777777" w:rsidR="00421B59" w:rsidRDefault="00000000">
            <w:pPr>
              <w:spacing w:after="0"/>
              <w:jc w:val="center"/>
            </w:pPr>
            <w:r>
              <w:rPr>
                <w:rFonts w:ascii="Times New Roman" w:eastAsia="Times New Roman" w:hAnsi="Times New Roman" w:cs="Times New Roman"/>
                <w:color w:val="000000"/>
                <w:sz w:val="24"/>
              </w:rPr>
              <w:t>ČA</w:t>
            </w:r>
          </w:p>
        </w:tc>
        <w:tc>
          <w:tcPr>
            <w:tcW w:w="2462" w:type="dxa"/>
          </w:tcPr>
          <w:p w14:paraId="726E9CD6" w14:textId="77777777" w:rsidR="00421B59" w:rsidRDefault="00000000">
            <w:pPr>
              <w:spacing w:after="0"/>
            </w:pPr>
            <w:r>
              <w:rPr>
                <w:rFonts w:ascii="Times New Roman" w:eastAsia="Times New Roman" w:hAnsi="Times New Roman" w:cs="Times New Roman"/>
                <w:color w:val="000000"/>
                <w:sz w:val="24"/>
              </w:rPr>
              <w:t>Poznámka pod čiarou k odkazu 28eg bola doplnená o odkaz na zákon č. 215/2004 Z. z. o ochrane utajovaných skutočností a o zmene a doplnení niektorých zákonov v znení neskorších predpisov. Odkaz sa vzťahuje na iné informácie  podľa osobitných predpisov.</w:t>
            </w:r>
          </w:p>
        </w:tc>
      </w:tr>
      <w:tr w:rsidR="00421B59" w14:paraId="3776FA8A" w14:textId="77777777">
        <w:trPr>
          <w:trHeight w:val="648"/>
          <w:jc w:val="center"/>
        </w:trPr>
        <w:tc>
          <w:tcPr>
            <w:tcW w:w="1944" w:type="dxa"/>
          </w:tcPr>
          <w:p w14:paraId="1117DEDE" w14:textId="77777777" w:rsidR="00421B59" w:rsidRDefault="00000000">
            <w:pPr>
              <w:spacing w:after="0"/>
              <w:jc w:val="center"/>
            </w:pPr>
            <w:r>
              <w:rPr>
                <w:rFonts w:ascii="Times New Roman" w:eastAsia="Times New Roman" w:hAnsi="Times New Roman" w:cs="Times New Roman"/>
                <w:b/>
                <w:color w:val="000000"/>
                <w:sz w:val="24"/>
              </w:rPr>
              <w:lastRenderedPageBreak/>
              <w:t>NBÚ</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Národný bezpečnostný úrad</w:t>
            </w:r>
          </w:p>
        </w:tc>
        <w:tc>
          <w:tcPr>
            <w:tcW w:w="1296" w:type="dxa"/>
            <w:vAlign w:val="center"/>
          </w:tcPr>
          <w:p w14:paraId="5BCDAFBB" w14:textId="77777777" w:rsidR="00421B59" w:rsidRDefault="00000000">
            <w:pPr>
              <w:spacing w:after="0"/>
              <w:jc w:val="center"/>
            </w:pPr>
            <w:r>
              <w:rPr>
                <w:rFonts w:ascii="Times New Roman" w:eastAsia="Times New Roman" w:hAnsi="Times New Roman" w:cs="Times New Roman"/>
                <w:color w:val="000000"/>
                <w:sz w:val="24"/>
              </w:rPr>
              <w:t>O</w:t>
            </w:r>
          </w:p>
        </w:tc>
        <w:tc>
          <w:tcPr>
            <w:tcW w:w="6480" w:type="dxa"/>
          </w:tcPr>
          <w:p w14:paraId="7CDB84E7" w14:textId="77777777" w:rsidR="00421B59" w:rsidRDefault="00000000">
            <w:pPr>
              <w:spacing w:after="0"/>
            </w:pPr>
            <w:r>
              <w:rPr>
                <w:rFonts w:ascii="Times New Roman" w:eastAsia="Times New Roman" w:hAnsi="Times New Roman" w:cs="Times New Roman"/>
                <w:b/>
                <w:color w:val="000000"/>
                <w:sz w:val="24"/>
              </w:rPr>
              <w:t>K zákonu č. 431/2002 Z. z. o účtovníctve v znení neskorších predpisov – K § 22a ods. 5 – nad rámec návrhu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22a ods. 5 zákona č. 431/2002 Z. z. v znení zákona č. 352/2013 Z. z. odporúčame za slová „utajované skutočnosti“ vložiť slová „alebo limitované informácie“.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Poznámku pod čiarou k odkazu 29c odporúčame upraviť nasledujúco:</w:t>
            </w:r>
            <w:r>
              <w:rPr>
                <w:rFonts w:ascii="Times New Roman" w:eastAsia="Times New Roman" w:hAnsi="Times New Roman" w:cs="Times New Roman"/>
                <w:color w:val="000000"/>
                <w:sz w:val="24"/>
              </w:rPr>
              <w:br/>
              <w:t>„29c) Zákon č. 215/2004 Z. z. v znení neskorších predpisov.“.</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V nadväznosti na pripomienku k čl. I bodu 7. a skutočnosť, že Slovenská republika priznáva zákonnú ochranu okrem utajovaných skutočností aj limitovaným informáciám, je odôvodnené ich doplnenie do textu zákona. Zároveň, s prihliadnutím na vyššie uvedenú pripomienku je potrebné legislatívno-technicky upraviť poznámku pod čiarou k odkazu 29c.</w:t>
            </w:r>
          </w:p>
        </w:tc>
        <w:tc>
          <w:tcPr>
            <w:tcW w:w="778" w:type="dxa"/>
            <w:vAlign w:val="center"/>
          </w:tcPr>
          <w:p w14:paraId="0C86884F" w14:textId="77777777" w:rsidR="00421B59" w:rsidRDefault="00000000">
            <w:pPr>
              <w:spacing w:after="0"/>
              <w:jc w:val="center"/>
            </w:pPr>
            <w:r>
              <w:rPr>
                <w:rFonts w:ascii="Times New Roman" w:eastAsia="Times New Roman" w:hAnsi="Times New Roman" w:cs="Times New Roman"/>
                <w:color w:val="000000"/>
                <w:sz w:val="24"/>
              </w:rPr>
              <w:t>A</w:t>
            </w:r>
          </w:p>
        </w:tc>
        <w:tc>
          <w:tcPr>
            <w:tcW w:w="2462" w:type="dxa"/>
          </w:tcPr>
          <w:p w14:paraId="2027F1E1" w14:textId="77777777" w:rsidR="00421B59" w:rsidRDefault="00421B59">
            <w:pPr>
              <w:spacing w:after="0"/>
            </w:pPr>
          </w:p>
        </w:tc>
      </w:tr>
      <w:tr w:rsidR="00421B59" w14:paraId="7039FA25" w14:textId="77777777">
        <w:trPr>
          <w:trHeight w:val="648"/>
          <w:jc w:val="center"/>
        </w:trPr>
        <w:tc>
          <w:tcPr>
            <w:tcW w:w="1944" w:type="dxa"/>
          </w:tcPr>
          <w:p w14:paraId="6A7643A4" w14:textId="77777777" w:rsidR="00421B59" w:rsidRDefault="00000000">
            <w:pPr>
              <w:spacing w:after="0"/>
              <w:jc w:val="center"/>
            </w:pPr>
            <w:r>
              <w:rPr>
                <w:rFonts w:ascii="Times New Roman" w:eastAsia="Times New Roman" w:hAnsi="Times New Roman" w:cs="Times New Roman"/>
                <w:b/>
                <w:color w:val="000000"/>
                <w:sz w:val="24"/>
              </w:rPr>
              <w:t>NKÚSR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Najvyšší kontrolný úrad Slovenskej republiky</w:t>
            </w:r>
          </w:p>
        </w:tc>
        <w:tc>
          <w:tcPr>
            <w:tcW w:w="1296" w:type="dxa"/>
            <w:vAlign w:val="center"/>
          </w:tcPr>
          <w:p w14:paraId="560DDDAB" w14:textId="77777777" w:rsidR="00421B59" w:rsidRDefault="00000000">
            <w:pPr>
              <w:spacing w:after="0"/>
              <w:jc w:val="center"/>
            </w:pPr>
            <w:r>
              <w:rPr>
                <w:rFonts w:ascii="Times New Roman" w:eastAsia="Times New Roman" w:hAnsi="Times New Roman" w:cs="Times New Roman"/>
                <w:color w:val="000000"/>
                <w:sz w:val="24"/>
              </w:rPr>
              <w:t>O</w:t>
            </w:r>
          </w:p>
        </w:tc>
        <w:tc>
          <w:tcPr>
            <w:tcW w:w="6480" w:type="dxa"/>
          </w:tcPr>
          <w:p w14:paraId="6CFDC2F5" w14:textId="77777777" w:rsidR="00421B59" w:rsidRDefault="00000000">
            <w:pPr>
              <w:spacing w:after="0"/>
            </w:pPr>
            <w:r>
              <w:rPr>
                <w:rFonts w:ascii="Times New Roman" w:eastAsia="Times New Roman" w:hAnsi="Times New Roman" w:cs="Times New Roman"/>
                <w:b/>
                <w:color w:val="000000"/>
                <w:sz w:val="24"/>
              </w:rPr>
              <w:t>Čl. I § 2 ods. 4 písm.p</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Navrhujeme spresniť obsah pojmu „bez priameho zasahovania alebo nepriameho zasahovania do riadenia“</w:t>
            </w:r>
            <w:r>
              <w:rPr>
                <w:rFonts w:ascii="Times New Roman" w:eastAsia="Times New Roman" w:hAnsi="Times New Roman" w:cs="Times New Roman"/>
                <w:color w:val="000000"/>
                <w:sz w:val="24"/>
              </w:rPr>
              <w:br/>
              <w:t>Odôvodnenie: Pojem „priame zasahovanie alebo nepriame zasahovanie do riadenia“ nie je bližšie definovaný, čo môže spôsobovať rozdielny výklad pri aplikácii zákona.</w:t>
            </w:r>
          </w:p>
        </w:tc>
        <w:tc>
          <w:tcPr>
            <w:tcW w:w="778" w:type="dxa"/>
            <w:vAlign w:val="center"/>
          </w:tcPr>
          <w:p w14:paraId="5E2D290A" w14:textId="77777777" w:rsidR="00421B59" w:rsidRDefault="00000000">
            <w:pPr>
              <w:spacing w:after="0"/>
              <w:jc w:val="center"/>
            </w:pPr>
            <w:r>
              <w:rPr>
                <w:rFonts w:ascii="Times New Roman" w:eastAsia="Times New Roman" w:hAnsi="Times New Roman" w:cs="Times New Roman"/>
                <w:color w:val="000000"/>
                <w:sz w:val="24"/>
              </w:rPr>
              <w:t>ČA</w:t>
            </w:r>
          </w:p>
        </w:tc>
        <w:tc>
          <w:tcPr>
            <w:tcW w:w="2462" w:type="dxa"/>
          </w:tcPr>
          <w:p w14:paraId="058C3E2D" w14:textId="77777777" w:rsidR="00421B59" w:rsidRDefault="00000000">
            <w:pPr>
              <w:spacing w:after="0"/>
            </w:pPr>
            <w:r>
              <w:rPr>
                <w:rFonts w:ascii="Times New Roman" w:eastAsia="Times New Roman" w:hAnsi="Times New Roman" w:cs="Times New Roman"/>
                <w:color w:val="000000"/>
                <w:sz w:val="24"/>
              </w:rPr>
              <w:t xml:space="preserve">Pojem vychádza zo znenia smernice 2013/34/EÚ. Spresnenie bolo zapracované do osobitnej časti  dôvodovej správy. </w:t>
            </w:r>
          </w:p>
        </w:tc>
      </w:tr>
      <w:tr w:rsidR="00421B59" w14:paraId="10E7184A" w14:textId="77777777">
        <w:trPr>
          <w:trHeight w:val="648"/>
          <w:jc w:val="center"/>
        </w:trPr>
        <w:tc>
          <w:tcPr>
            <w:tcW w:w="1944" w:type="dxa"/>
          </w:tcPr>
          <w:p w14:paraId="7B3E4750" w14:textId="77777777" w:rsidR="00421B59" w:rsidRDefault="00000000">
            <w:pPr>
              <w:spacing w:after="0"/>
              <w:jc w:val="center"/>
            </w:pPr>
            <w:r>
              <w:rPr>
                <w:rFonts w:ascii="Times New Roman" w:eastAsia="Times New Roman" w:hAnsi="Times New Roman" w:cs="Times New Roman"/>
                <w:b/>
                <w:color w:val="000000"/>
                <w:sz w:val="24"/>
              </w:rPr>
              <w:t>NKÚSR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Najvyšší kontrolný úrad Slovenskej republiky</w:t>
            </w:r>
          </w:p>
        </w:tc>
        <w:tc>
          <w:tcPr>
            <w:tcW w:w="1296" w:type="dxa"/>
            <w:vAlign w:val="center"/>
          </w:tcPr>
          <w:p w14:paraId="1F42BB3B" w14:textId="77777777" w:rsidR="00421B59" w:rsidRDefault="00000000">
            <w:pPr>
              <w:spacing w:after="0"/>
              <w:jc w:val="center"/>
            </w:pPr>
            <w:r>
              <w:rPr>
                <w:rFonts w:ascii="Times New Roman" w:eastAsia="Times New Roman" w:hAnsi="Times New Roman" w:cs="Times New Roman"/>
                <w:color w:val="000000"/>
                <w:sz w:val="24"/>
              </w:rPr>
              <w:t>O</w:t>
            </w:r>
          </w:p>
        </w:tc>
        <w:tc>
          <w:tcPr>
            <w:tcW w:w="6480" w:type="dxa"/>
          </w:tcPr>
          <w:p w14:paraId="5E1580F3" w14:textId="77777777" w:rsidR="00421B59" w:rsidRDefault="00000000">
            <w:pPr>
              <w:spacing w:after="0"/>
            </w:pPr>
            <w:r>
              <w:rPr>
                <w:rFonts w:ascii="Times New Roman" w:eastAsia="Times New Roman" w:hAnsi="Times New Roman" w:cs="Times New Roman"/>
                <w:b/>
                <w:color w:val="000000"/>
                <w:sz w:val="24"/>
              </w:rPr>
              <w:t>Celému materiálu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Navrhujeme vyhodnotiť primeranosť existujúcich mechanizmov nezávislého overovania účtovných informácií pri účtovných jednotkách nakladajúcich s významným objemom verejných prostriedkov. </w:t>
            </w:r>
            <w:r>
              <w:rPr>
                <w:rFonts w:ascii="Times New Roman" w:eastAsia="Times New Roman" w:hAnsi="Times New Roman" w:cs="Times New Roman"/>
                <w:color w:val="000000"/>
                <w:sz w:val="24"/>
              </w:rPr>
              <w:br/>
              <w:t xml:space="preserve">Odôvodnenie: Odporúčame Ministerstvu financií SR </w:t>
            </w:r>
            <w:r>
              <w:rPr>
                <w:rFonts w:ascii="Times New Roman" w:eastAsia="Times New Roman" w:hAnsi="Times New Roman" w:cs="Times New Roman"/>
                <w:color w:val="000000"/>
                <w:sz w:val="24"/>
              </w:rPr>
              <w:lastRenderedPageBreak/>
              <w:t>vyhodnotiť, či súčasná právna úprava poskytuje dostatočné mechanizmy na overovanie účtovných informácií týchto subjektov, a v prípade potreby zvážiť jej doplnenie.</w:t>
            </w:r>
          </w:p>
        </w:tc>
        <w:tc>
          <w:tcPr>
            <w:tcW w:w="778" w:type="dxa"/>
            <w:vAlign w:val="center"/>
          </w:tcPr>
          <w:p w14:paraId="7A00E528" w14:textId="77777777" w:rsidR="00421B59"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0F642B8A" w14:textId="77777777" w:rsidR="00421B59" w:rsidRDefault="00000000">
            <w:pPr>
              <w:spacing w:after="0"/>
            </w:pPr>
            <w:r>
              <w:rPr>
                <w:rFonts w:ascii="Times New Roman" w:eastAsia="Times New Roman" w:hAnsi="Times New Roman" w:cs="Times New Roman"/>
                <w:color w:val="000000"/>
                <w:sz w:val="24"/>
              </w:rPr>
              <w:t>Pripomienka je nad rámec predkladaného návrhu. Uvedené spadá do gescie všetkých rezortov poskytujúcich verejné prostriedky.</w:t>
            </w:r>
          </w:p>
        </w:tc>
      </w:tr>
      <w:tr w:rsidR="00421B59" w14:paraId="118A084B" w14:textId="77777777">
        <w:trPr>
          <w:trHeight w:val="648"/>
          <w:jc w:val="center"/>
        </w:trPr>
        <w:tc>
          <w:tcPr>
            <w:tcW w:w="1944" w:type="dxa"/>
          </w:tcPr>
          <w:p w14:paraId="0C9B897B" w14:textId="77777777" w:rsidR="00421B59" w:rsidRDefault="00000000">
            <w:pPr>
              <w:spacing w:after="0"/>
              <w:jc w:val="center"/>
            </w:pPr>
            <w:r>
              <w:rPr>
                <w:rFonts w:ascii="Times New Roman" w:eastAsia="Times New Roman" w:hAnsi="Times New Roman" w:cs="Times New Roman"/>
                <w:b/>
                <w:color w:val="000000"/>
                <w:sz w:val="24"/>
              </w:rPr>
              <w:t>NKÚSR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Najvyšší kontrolný úrad Slovenskej republiky</w:t>
            </w:r>
          </w:p>
        </w:tc>
        <w:tc>
          <w:tcPr>
            <w:tcW w:w="1296" w:type="dxa"/>
            <w:vAlign w:val="center"/>
          </w:tcPr>
          <w:p w14:paraId="45F5E8CF" w14:textId="77777777" w:rsidR="00421B59" w:rsidRDefault="00000000">
            <w:pPr>
              <w:spacing w:after="0"/>
              <w:jc w:val="center"/>
            </w:pPr>
            <w:r>
              <w:rPr>
                <w:rFonts w:ascii="Times New Roman" w:eastAsia="Times New Roman" w:hAnsi="Times New Roman" w:cs="Times New Roman"/>
                <w:color w:val="000000"/>
                <w:sz w:val="24"/>
              </w:rPr>
              <w:t>O</w:t>
            </w:r>
          </w:p>
        </w:tc>
        <w:tc>
          <w:tcPr>
            <w:tcW w:w="6480" w:type="dxa"/>
          </w:tcPr>
          <w:p w14:paraId="05F11EBA" w14:textId="77777777" w:rsidR="00421B59" w:rsidRDefault="00000000">
            <w:pPr>
              <w:spacing w:after="0"/>
            </w:pPr>
            <w:r>
              <w:rPr>
                <w:rFonts w:ascii="Times New Roman" w:eastAsia="Times New Roman" w:hAnsi="Times New Roman" w:cs="Times New Roman"/>
                <w:b/>
                <w:color w:val="000000"/>
                <w:sz w:val="24"/>
              </w:rPr>
              <w:t>Čl. II § 31</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Navrhujeme spresniť rozdelenie kompetencií medzi Úradom pre dohľad nad výkonom auditu a Slovenskou komorou audítorov pri kontrole sústavného vzdelávania.</w:t>
            </w:r>
            <w:r>
              <w:rPr>
                <w:rFonts w:ascii="Times New Roman" w:eastAsia="Times New Roman" w:hAnsi="Times New Roman" w:cs="Times New Roman"/>
                <w:color w:val="000000"/>
                <w:sz w:val="24"/>
              </w:rPr>
              <w:br/>
              <w:t>Odôvodnenie: Vymedzenie kompetencií medzi úradom a komorou audítorov prispeje k efektívnemu výkonu kontroly sústavného vzdelávania a k predchádzaniu aplikačných nejasností.</w:t>
            </w:r>
          </w:p>
        </w:tc>
        <w:tc>
          <w:tcPr>
            <w:tcW w:w="778" w:type="dxa"/>
            <w:vAlign w:val="center"/>
          </w:tcPr>
          <w:p w14:paraId="0E346AAA" w14:textId="77777777" w:rsidR="00421B59" w:rsidRDefault="00000000">
            <w:pPr>
              <w:spacing w:after="0"/>
              <w:jc w:val="center"/>
            </w:pPr>
            <w:r>
              <w:rPr>
                <w:rFonts w:ascii="Times New Roman" w:eastAsia="Times New Roman" w:hAnsi="Times New Roman" w:cs="Times New Roman"/>
                <w:color w:val="000000"/>
                <w:sz w:val="24"/>
              </w:rPr>
              <w:t>ČA</w:t>
            </w:r>
          </w:p>
        </w:tc>
        <w:tc>
          <w:tcPr>
            <w:tcW w:w="2462" w:type="dxa"/>
          </w:tcPr>
          <w:p w14:paraId="0BECABDE" w14:textId="77777777" w:rsidR="00421B59" w:rsidRDefault="00000000">
            <w:pPr>
              <w:spacing w:after="0"/>
            </w:pPr>
            <w:r>
              <w:rPr>
                <w:rFonts w:ascii="Times New Roman" w:eastAsia="Times New Roman" w:hAnsi="Times New Roman" w:cs="Times New Roman"/>
                <w:color w:val="000000"/>
                <w:sz w:val="24"/>
              </w:rPr>
              <w:t>Uvedené bolo diskutované so zástupcami Slovenskej komory audítorov (SKAU) a Úradu pre dohľad nad výkonom auditu (UDVA). Výsledky diskusie boli zapracované do návrhu.</w:t>
            </w:r>
          </w:p>
        </w:tc>
      </w:tr>
      <w:tr w:rsidR="00421B59" w14:paraId="69F8FBFD" w14:textId="77777777">
        <w:trPr>
          <w:trHeight w:val="648"/>
          <w:jc w:val="center"/>
        </w:trPr>
        <w:tc>
          <w:tcPr>
            <w:tcW w:w="1944" w:type="dxa"/>
          </w:tcPr>
          <w:p w14:paraId="776CD1E6" w14:textId="77777777" w:rsidR="00421B59" w:rsidRDefault="00000000">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14:paraId="24BD6EA6" w14:textId="77777777" w:rsidR="00421B59" w:rsidRDefault="00000000">
            <w:pPr>
              <w:spacing w:after="0"/>
              <w:jc w:val="center"/>
            </w:pPr>
            <w:r>
              <w:rPr>
                <w:rFonts w:ascii="Times New Roman" w:eastAsia="Times New Roman" w:hAnsi="Times New Roman" w:cs="Times New Roman"/>
                <w:color w:val="000000"/>
                <w:sz w:val="24"/>
              </w:rPr>
              <w:t>O</w:t>
            </w:r>
          </w:p>
        </w:tc>
        <w:tc>
          <w:tcPr>
            <w:tcW w:w="6480" w:type="dxa"/>
          </w:tcPr>
          <w:p w14:paraId="124AA728" w14:textId="77777777" w:rsidR="00421B59" w:rsidRDefault="00000000">
            <w:pPr>
              <w:spacing w:after="0"/>
            </w:pPr>
            <w:r>
              <w:rPr>
                <w:rFonts w:ascii="Times New Roman" w:eastAsia="Times New Roman" w:hAnsi="Times New Roman" w:cs="Times New Roman"/>
                <w:b/>
                <w:color w:val="000000"/>
                <w:sz w:val="24"/>
              </w:rPr>
              <w:t>K 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1. K čl. I bod 13: Žiadame slová ,,subjektom, ktorého jediným predmetom činnosti je nadobudnutie podielov v iných subjektoch a ich spravovanie a zhodnocovanie bez priameho zasahovania alebo nepriameho zasahovania do riadenia týchto subjektov, pričom tým nie sú dotknuté jeho práva ako akcionára alebo spoločníka“ nahradiť slovami ,,finančnou holdingovou účtovnou jednotkou“, ktorá bola zadefinovaná v navrhovanom § 2 ods. 4 písm. p).</w:t>
            </w:r>
          </w:p>
        </w:tc>
        <w:tc>
          <w:tcPr>
            <w:tcW w:w="778" w:type="dxa"/>
            <w:vAlign w:val="center"/>
          </w:tcPr>
          <w:p w14:paraId="54FB5CA2" w14:textId="77777777" w:rsidR="00421B59" w:rsidRDefault="00000000">
            <w:pPr>
              <w:spacing w:after="0"/>
              <w:jc w:val="center"/>
            </w:pPr>
            <w:r>
              <w:rPr>
                <w:rFonts w:ascii="Times New Roman" w:eastAsia="Times New Roman" w:hAnsi="Times New Roman" w:cs="Times New Roman"/>
                <w:color w:val="000000"/>
                <w:sz w:val="24"/>
              </w:rPr>
              <w:t>N</w:t>
            </w:r>
          </w:p>
        </w:tc>
        <w:tc>
          <w:tcPr>
            <w:tcW w:w="2462" w:type="dxa"/>
          </w:tcPr>
          <w:p w14:paraId="4A1D880B" w14:textId="77777777" w:rsidR="00421B59" w:rsidRDefault="00000000">
            <w:pPr>
              <w:spacing w:after="0"/>
            </w:pPr>
            <w:r>
              <w:rPr>
                <w:rFonts w:ascii="Times New Roman" w:eastAsia="Times New Roman" w:hAnsi="Times New Roman" w:cs="Times New Roman"/>
                <w:color w:val="000000"/>
                <w:sz w:val="24"/>
              </w:rPr>
              <w:t>Navrhovaná definícia „finančná holdingová účtovná jednotka“ sa vzťahuje na účtovné jednotky.  Bod 13 návrhu upravuje podmienky vo vzťahu k právnickej osobe so sídlom mimo územia EÚ (zahraničný konečný materský subjekt).</w:t>
            </w:r>
          </w:p>
        </w:tc>
      </w:tr>
      <w:tr w:rsidR="00421B59" w14:paraId="107B75B2" w14:textId="77777777">
        <w:trPr>
          <w:trHeight w:val="648"/>
          <w:jc w:val="center"/>
        </w:trPr>
        <w:tc>
          <w:tcPr>
            <w:tcW w:w="1944" w:type="dxa"/>
          </w:tcPr>
          <w:p w14:paraId="0FE80BA1" w14:textId="77777777" w:rsidR="00421B59" w:rsidRDefault="00000000">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Odbor aproximácie práva sekcie vládnej </w:t>
            </w:r>
            <w:r>
              <w:rPr>
                <w:rFonts w:ascii="Times New Roman" w:eastAsia="Times New Roman" w:hAnsi="Times New Roman" w:cs="Times New Roman"/>
                <w:color w:val="000000"/>
                <w:sz w:val="24"/>
              </w:rPr>
              <w:lastRenderedPageBreak/>
              <w:t>legislatívy Úradu vlády SR</w:t>
            </w:r>
          </w:p>
        </w:tc>
        <w:tc>
          <w:tcPr>
            <w:tcW w:w="1296" w:type="dxa"/>
            <w:vAlign w:val="center"/>
          </w:tcPr>
          <w:p w14:paraId="5412D67C" w14:textId="77777777" w:rsidR="00421B59" w:rsidRDefault="00000000">
            <w:pPr>
              <w:spacing w:after="0"/>
              <w:jc w:val="center"/>
            </w:pPr>
            <w:r>
              <w:rPr>
                <w:rFonts w:ascii="Times New Roman" w:eastAsia="Times New Roman" w:hAnsi="Times New Roman" w:cs="Times New Roman"/>
                <w:color w:val="000000"/>
                <w:sz w:val="24"/>
              </w:rPr>
              <w:lastRenderedPageBreak/>
              <w:t>O</w:t>
            </w:r>
          </w:p>
        </w:tc>
        <w:tc>
          <w:tcPr>
            <w:tcW w:w="6480" w:type="dxa"/>
          </w:tcPr>
          <w:p w14:paraId="71BB3952" w14:textId="77777777" w:rsidR="00421B59" w:rsidRDefault="00000000">
            <w:pPr>
              <w:spacing w:after="0"/>
            </w:pPr>
            <w:r>
              <w:rPr>
                <w:rFonts w:ascii="Times New Roman" w:eastAsia="Times New Roman" w:hAnsi="Times New Roman" w:cs="Times New Roman"/>
                <w:b/>
                <w:color w:val="000000"/>
                <w:sz w:val="24"/>
              </w:rPr>
              <w:t>K 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2. K čl. II bod 14: Žiadame v navrhovanom § 7a ods. 1 písm. e) nahradiť slová ,,tretej krajiny“ slovami ,,tretieho štátu“.</w:t>
            </w:r>
          </w:p>
        </w:tc>
        <w:tc>
          <w:tcPr>
            <w:tcW w:w="778" w:type="dxa"/>
            <w:vAlign w:val="center"/>
          </w:tcPr>
          <w:p w14:paraId="3692FCAB" w14:textId="77777777" w:rsidR="00421B59" w:rsidRDefault="00000000">
            <w:pPr>
              <w:spacing w:after="0"/>
              <w:jc w:val="center"/>
            </w:pPr>
            <w:r>
              <w:rPr>
                <w:rFonts w:ascii="Times New Roman" w:eastAsia="Times New Roman" w:hAnsi="Times New Roman" w:cs="Times New Roman"/>
                <w:color w:val="000000"/>
                <w:sz w:val="24"/>
              </w:rPr>
              <w:t>A</w:t>
            </w:r>
          </w:p>
        </w:tc>
        <w:tc>
          <w:tcPr>
            <w:tcW w:w="2462" w:type="dxa"/>
          </w:tcPr>
          <w:p w14:paraId="3FF40BF4" w14:textId="77777777" w:rsidR="00421B59" w:rsidRDefault="00421B59">
            <w:pPr>
              <w:spacing w:after="0"/>
            </w:pPr>
          </w:p>
        </w:tc>
      </w:tr>
      <w:tr w:rsidR="00421B59" w14:paraId="3CB19E6F" w14:textId="77777777">
        <w:trPr>
          <w:trHeight w:val="648"/>
          <w:jc w:val="center"/>
        </w:trPr>
        <w:tc>
          <w:tcPr>
            <w:tcW w:w="1944" w:type="dxa"/>
          </w:tcPr>
          <w:p w14:paraId="6B5EF046" w14:textId="77777777" w:rsidR="00421B59" w:rsidRDefault="00000000">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14:paraId="343499A1" w14:textId="77777777" w:rsidR="00421B59" w:rsidRDefault="00000000">
            <w:pPr>
              <w:spacing w:after="0"/>
              <w:jc w:val="center"/>
            </w:pPr>
            <w:r>
              <w:rPr>
                <w:rFonts w:ascii="Times New Roman" w:eastAsia="Times New Roman" w:hAnsi="Times New Roman" w:cs="Times New Roman"/>
                <w:color w:val="000000"/>
                <w:sz w:val="24"/>
              </w:rPr>
              <w:t>O</w:t>
            </w:r>
          </w:p>
        </w:tc>
        <w:tc>
          <w:tcPr>
            <w:tcW w:w="6480" w:type="dxa"/>
          </w:tcPr>
          <w:p w14:paraId="60F6740D" w14:textId="77777777" w:rsidR="00421B59" w:rsidRDefault="00000000">
            <w:pPr>
              <w:spacing w:after="0"/>
            </w:pPr>
            <w:r>
              <w:rPr>
                <w:rFonts w:ascii="Times New Roman" w:eastAsia="Times New Roman" w:hAnsi="Times New Roman" w:cs="Times New Roman"/>
                <w:b/>
                <w:color w:val="000000"/>
                <w:sz w:val="24"/>
              </w:rPr>
              <w:t>K 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3. K čl. II bod 28:  Žiadame novelizačný bod vypustiť a ponechať poznámku pod čiarou k odkazu 49h v účinnom znení. Podľa čl. 5 ods. 4 nariadenia (EÚ) č. 537/2014 v platnom znení môže štatutárny audítor alebo audítorská spoločnosť poskytovať neaudítorské služby za určitých podmienok, okrem zakázaných neaudítorských služieb uvedených v odseku 1 a 2 čl. 5 nariadenia (EÚ) č. 537/2014 v platnom znení. Navrhovanou úpravou by prišlo k zúženiu zakázaných neaudítorských služieb pre účely § 34g ods. 2 zákona č. 423/2015 Z. z. v znení neskorších predpisov, čo nariadenie (EÚ) č. 537/2014 v platnom znení neumožňuje.</w:t>
            </w:r>
          </w:p>
        </w:tc>
        <w:tc>
          <w:tcPr>
            <w:tcW w:w="778" w:type="dxa"/>
            <w:vAlign w:val="center"/>
          </w:tcPr>
          <w:p w14:paraId="69CF0A43" w14:textId="77777777" w:rsidR="00421B59" w:rsidRDefault="00000000">
            <w:pPr>
              <w:spacing w:after="0"/>
              <w:jc w:val="center"/>
            </w:pPr>
            <w:r>
              <w:rPr>
                <w:rFonts w:ascii="Times New Roman" w:eastAsia="Times New Roman" w:hAnsi="Times New Roman" w:cs="Times New Roman"/>
                <w:color w:val="000000"/>
                <w:sz w:val="24"/>
              </w:rPr>
              <w:t>N</w:t>
            </w:r>
          </w:p>
        </w:tc>
        <w:tc>
          <w:tcPr>
            <w:tcW w:w="2462" w:type="dxa"/>
          </w:tcPr>
          <w:p w14:paraId="46C989A0" w14:textId="77777777" w:rsidR="00421B59" w:rsidRDefault="00000000">
            <w:pPr>
              <w:spacing w:after="0"/>
            </w:pPr>
            <w:r>
              <w:rPr>
                <w:rFonts w:ascii="Times New Roman" w:eastAsia="Times New Roman" w:hAnsi="Times New Roman" w:cs="Times New Roman"/>
                <w:color w:val="000000"/>
                <w:sz w:val="24"/>
              </w:rPr>
              <w:t>Navrhovanou úpravou sa upresňujú zakázané neaudítorské služby vo vzťahu k uisteniu v oblasti vykazovania informácií o udržateľnosti. Ak je súčasne tomu istému subjektu tým istým štatutárnym audítorom resp. audítorskou spoločnosťou poskytovaný aj štatutárny audit, uplatňuje sa na zakázané neaudítorské služby aj § 34g ods. 1 (poznámka pod čiarou k odkazu 49f).</w:t>
            </w:r>
          </w:p>
        </w:tc>
      </w:tr>
      <w:tr w:rsidR="00421B59" w14:paraId="4C693FDB" w14:textId="77777777">
        <w:trPr>
          <w:trHeight w:val="648"/>
          <w:jc w:val="center"/>
        </w:trPr>
        <w:tc>
          <w:tcPr>
            <w:tcW w:w="1944" w:type="dxa"/>
          </w:tcPr>
          <w:p w14:paraId="0517E3F7" w14:textId="77777777" w:rsidR="00421B59" w:rsidRDefault="00000000">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14:paraId="009133D4" w14:textId="77777777" w:rsidR="00421B59" w:rsidRDefault="00000000">
            <w:pPr>
              <w:spacing w:after="0"/>
              <w:jc w:val="center"/>
            </w:pPr>
            <w:r>
              <w:rPr>
                <w:rFonts w:ascii="Times New Roman" w:eastAsia="Times New Roman" w:hAnsi="Times New Roman" w:cs="Times New Roman"/>
                <w:color w:val="000000"/>
                <w:sz w:val="24"/>
              </w:rPr>
              <w:t>O</w:t>
            </w:r>
          </w:p>
        </w:tc>
        <w:tc>
          <w:tcPr>
            <w:tcW w:w="6480" w:type="dxa"/>
          </w:tcPr>
          <w:p w14:paraId="5D7E0F3A" w14:textId="77777777" w:rsidR="00421B59" w:rsidRDefault="00000000">
            <w:pPr>
              <w:spacing w:after="0"/>
            </w:pPr>
            <w:r>
              <w:rPr>
                <w:rFonts w:ascii="Times New Roman" w:eastAsia="Times New Roman" w:hAnsi="Times New Roman" w:cs="Times New Roman"/>
                <w:b/>
                <w:color w:val="000000"/>
                <w:sz w:val="24"/>
              </w:rPr>
              <w:t>K transpozícii a tabuľke zhody k smernici (EÚ) 2026/470:</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1. Pri preukazovaní transpozície čl. 1 ods. 1 smernice (EÚ) 2026/470 žiadame pri transpozícii čl. 3 ods. 4 písm. b) smernice 2006/43/ES v platnom znení preukázať transpozíciu druhej a tretej vety písm. b) oddelene, keďže predstavujú dobrovoľnú transpozíciu.</w:t>
            </w:r>
          </w:p>
        </w:tc>
        <w:tc>
          <w:tcPr>
            <w:tcW w:w="778" w:type="dxa"/>
            <w:vAlign w:val="center"/>
          </w:tcPr>
          <w:p w14:paraId="481AFB4A" w14:textId="77777777" w:rsidR="00421B59" w:rsidRDefault="00000000">
            <w:pPr>
              <w:spacing w:after="0"/>
              <w:jc w:val="center"/>
            </w:pPr>
            <w:r>
              <w:rPr>
                <w:rFonts w:ascii="Times New Roman" w:eastAsia="Times New Roman" w:hAnsi="Times New Roman" w:cs="Times New Roman"/>
                <w:color w:val="000000"/>
                <w:sz w:val="24"/>
              </w:rPr>
              <w:t>A</w:t>
            </w:r>
          </w:p>
        </w:tc>
        <w:tc>
          <w:tcPr>
            <w:tcW w:w="2462" w:type="dxa"/>
          </w:tcPr>
          <w:p w14:paraId="4E27154E" w14:textId="77777777" w:rsidR="00421B59" w:rsidRDefault="00421B59">
            <w:pPr>
              <w:spacing w:after="0"/>
            </w:pPr>
          </w:p>
        </w:tc>
      </w:tr>
      <w:tr w:rsidR="00421B59" w14:paraId="037FB45E" w14:textId="77777777">
        <w:trPr>
          <w:trHeight w:val="648"/>
          <w:jc w:val="center"/>
        </w:trPr>
        <w:tc>
          <w:tcPr>
            <w:tcW w:w="1944" w:type="dxa"/>
          </w:tcPr>
          <w:p w14:paraId="7CC38B52" w14:textId="77777777" w:rsidR="00421B59" w:rsidRDefault="00000000">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Odbor aproximácie </w:t>
            </w:r>
            <w:r>
              <w:rPr>
                <w:rFonts w:ascii="Times New Roman" w:eastAsia="Times New Roman" w:hAnsi="Times New Roman" w:cs="Times New Roman"/>
                <w:color w:val="000000"/>
                <w:sz w:val="24"/>
              </w:rPr>
              <w:lastRenderedPageBreak/>
              <w:t>práva sekcie vládnej legislatívy Úradu vlády SR</w:t>
            </w:r>
          </w:p>
        </w:tc>
        <w:tc>
          <w:tcPr>
            <w:tcW w:w="1296" w:type="dxa"/>
            <w:vAlign w:val="center"/>
          </w:tcPr>
          <w:p w14:paraId="74C4D607" w14:textId="77777777" w:rsidR="00421B59" w:rsidRDefault="00000000">
            <w:pPr>
              <w:spacing w:after="0"/>
              <w:jc w:val="center"/>
            </w:pPr>
            <w:r>
              <w:rPr>
                <w:rFonts w:ascii="Times New Roman" w:eastAsia="Times New Roman" w:hAnsi="Times New Roman" w:cs="Times New Roman"/>
                <w:color w:val="000000"/>
                <w:sz w:val="24"/>
              </w:rPr>
              <w:lastRenderedPageBreak/>
              <w:t>O</w:t>
            </w:r>
          </w:p>
        </w:tc>
        <w:tc>
          <w:tcPr>
            <w:tcW w:w="6480" w:type="dxa"/>
          </w:tcPr>
          <w:p w14:paraId="3E53B385" w14:textId="77777777" w:rsidR="00421B59" w:rsidRDefault="00000000">
            <w:pPr>
              <w:spacing w:after="0"/>
            </w:pPr>
            <w:r>
              <w:rPr>
                <w:rFonts w:ascii="Times New Roman" w:eastAsia="Times New Roman" w:hAnsi="Times New Roman" w:cs="Times New Roman"/>
                <w:b/>
                <w:color w:val="000000"/>
                <w:sz w:val="24"/>
              </w:rPr>
              <w:t>K transpozícii a tabuľke zhody k smernici (EÚ) 2026/470:</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2. Pri preukazovaní transpozície čl. 1 ods. 1 smernice (EÚ) 2026/470, ktorým sa mení čl. 3 ods. 4 písm. c) smernice </w:t>
            </w:r>
            <w:r>
              <w:rPr>
                <w:rFonts w:ascii="Times New Roman" w:eastAsia="Times New Roman" w:hAnsi="Times New Roman" w:cs="Times New Roman"/>
                <w:color w:val="000000"/>
                <w:sz w:val="24"/>
              </w:rPr>
              <w:lastRenderedPageBreak/>
              <w:t>2006/43/ES v platnom znení žiadame preukázať zabezpečenie, že maximálne 75 % členov správneho alebo radiaceho orgánu môžu byť audítorské spoločnosti schválené v ktoromkoľvek členskom štáte alebo fyzické osoby, ktoré spĺňajú aspoň podmienky pre štatutárny audit stanovené v smernici 2006/43/ES v platnom znení.</w:t>
            </w:r>
          </w:p>
        </w:tc>
        <w:tc>
          <w:tcPr>
            <w:tcW w:w="778" w:type="dxa"/>
            <w:vAlign w:val="center"/>
          </w:tcPr>
          <w:p w14:paraId="2C1ABB3A" w14:textId="77777777" w:rsidR="00421B59"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188D659B" w14:textId="77777777" w:rsidR="00421B59" w:rsidRDefault="00000000">
            <w:pPr>
              <w:spacing w:after="0"/>
            </w:pPr>
            <w:r>
              <w:rPr>
                <w:rFonts w:ascii="Times New Roman" w:eastAsia="Times New Roman" w:hAnsi="Times New Roman" w:cs="Times New Roman"/>
                <w:color w:val="000000"/>
                <w:sz w:val="24"/>
              </w:rPr>
              <w:t xml:space="preserve">Súčasné znenie "väčšina" zodpovedá požiadavke smernice </w:t>
            </w:r>
            <w:r>
              <w:rPr>
                <w:rFonts w:ascii="Times New Roman" w:eastAsia="Times New Roman" w:hAnsi="Times New Roman" w:cs="Times New Roman"/>
                <w:color w:val="000000"/>
                <w:sz w:val="24"/>
              </w:rPr>
              <w:lastRenderedPageBreak/>
              <w:t>2006/43/ES, pričom v rámci posudzovania správnosti transpozície Európskou komisiou neboli k zneniu vznesené výhrady.</w:t>
            </w:r>
          </w:p>
        </w:tc>
      </w:tr>
      <w:tr w:rsidR="00421B59" w14:paraId="5612065B" w14:textId="77777777">
        <w:trPr>
          <w:trHeight w:val="648"/>
          <w:jc w:val="center"/>
        </w:trPr>
        <w:tc>
          <w:tcPr>
            <w:tcW w:w="1944" w:type="dxa"/>
          </w:tcPr>
          <w:p w14:paraId="55373172" w14:textId="77777777" w:rsidR="00421B59" w:rsidRDefault="00000000">
            <w:pPr>
              <w:spacing w:after="0"/>
              <w:jc w:val="center"/>
            </w:pPr>
            <w:r>
              <w:rPr>
                <w:rFonts w:ascii="Times New Roman" w:eastAsia="Times New Roman" w:hAnsi="Times New Roman" w:cs="Times New Roman"/>
                <w:b/>
                <w:color w:val="000000"/>
                <w:sz w:val="24"/>
              </w:rPr>
              <w:lastRenderedPageBreak/>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14:paraId="4170BE34" w14:textId="77777777" w:rsidR="00421B59" w:rsidRDefault="00000000">
            <w:pPr>
              <w:spacing w:after="0"/>
              <w:jc w:val="center"/>
            </w:pPr>
            <w:r>
              <w:rPr>
                <w:rFonts w:ascii="Times New Roman" w:eastAsia="Times New Roman" w:hAnsi="Times New Roman" w:cs="Times New Roman"/>
                <w:color w:val="000000"/>
                <w:sz w:val="24"/>
              </w:rPr>
              <w:t>O</w:t>
            </w:r>
          </w:p>
        </w:tc>
        <w:tc>
          <w:tcPr>
            <w:tcW w:w="6480" w:type="dxa"/>
          </w:tcPr>
          <w:p w14:paraId="1D3D97ED" w14:textId="77777777" w:rsidR="00421B59" w:rsidRDefault="00000000">
            <w:pPr>
              <w:spacing w:after="0"/>
            </w:pPr>
            <w:r>
              <w:rPr>
                <w:rFonts w:ascii="Times New Roman" w:eastAsia="Times New Roman" w:hAnsi="Times New Roman" w:cs="Times New Roman"/>
                <w:b/>
                <w:color w:val="000000"/>
                <w:sz w:val="24"/>
              </w:rPr>
              <w:t>K transpozícii a tabuľke zhody k smernici (EÚ) 2026/470:</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3. Transpozíciu čl. 1 ods. 2 smernice (EÚ) 2026/470 žiadame preukázať aj navrhovaným § 2 ods. 17 zákona č. 423/2015 Z. z. v znení neskorších predpisov.</w:t>
            </w:r>
          </w:p>
        </w:tc>
        <w:tc>
          <w:tcPr>
            <w:tcW w:w="778" w:type="dxa"/>
            <w:vAlign w:val="center"/>
          </w:tcPr>
          <w:p w14:paraId="5EFA1A11" w14:textId="77777777" w:rsidR="00421B59" w:rsidRDefault="00000000">
            <w:pPr>
              <w:spacing w:after="0"/>
              <w:jc w:val="center"/>
            </w:pPr>
            <w:r>
              <w:rPr>
                <w:rFonts w:ascii="Times New Roman" w:eastAsia="Times New Roman" w:hAnsi="Times New Roman" w:cs="Times New Roman"/>
                <w:color w:val="000000"/>
                <w:sz w:val="24"/>
              </w:rPr>
              <w:t>A</w:t>
            </w:r>
          </w:p>
        </w:tc>
        <w:tc>
          <w:tcPr>
            <w:tcW w:w="2462" w:type="dxa"/>
          </w:tcPr>
          <w:p w14:paraId="3BC6D624" w14:textId="77777777" w:rsidR="00421B59" w:rsidRDefault="00421B59">
            <w:pPr>
              <w:spacing w:after="0"/>
            </w:pPr>
          </w:p>
        </w:tc>
      </w:tr>
      <w:tr w:rsidR="00421B59" w14:paraId="6F613EA7" w14:textId="77777777">
        <w:trPr>
          <w:trHeight w:val="648"/>
          <w:jc w:val="center"/>
        </w:trPr>
        <w:tc>
          <w:tcPr>
            <w:tcW w:w="1944" w:type="dxa"/>
          </w:tcPr>
          <w:p w14:paraId="0C8AC4C0" w14:textId="77777777" w:rsidR="00421B59" w:rsidRDefault="00000000">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14:paraId="42AABE9C" w14:textId="77777777" w:rsidR="00421B59" w:rsidRDefault="00000000">
            <w:pPr>
              <w:spacing w:after="0"/>
              <w:jc w:val="center"/>
            </w:pPr>
            <w:r>
              <w:rPr>
                <w:rFonts w:ascii="Times New Roman" w:eastAsia="Times New Roman" w:hAnsi="Times New Roman" w:cs="Times New Roman"/>
                <w:color w:val="000000"/>
                <w:sz w:val="24"/>
              </w:rPr>
              <w:t>O</w:t>
            </w:r>
          </w:p>
        </w:tc>
        <w:tc>
          <w:tcPr>
            <w:tcW w:w="6480" w:type="dxa"/>
          </w:tcPr>
          <w:p w14:paraId="2B5F3DBD" w14:textId="77777777" w:rsidR="00421B59" w:rsidRDefault="00000000">
            <w:pPr>
              <w:spacing w:after="0"/>
            </w:pPr>
            <w:r>
              <w:rPr>
                <w:rFonts w:ascii="Times New Roman" w:eastAsia="Times New Roman" w:hAnsi="Times New Roman" w:cs="Times New Roman"/>
                <w:b/>
                <w:color w:val="000000"/>
                <w:sz w:val="24"/>
              </w:rPr>
              <w:t>K transpozícii a tabuľke zhody k smernici (EÚ) 2026/470:</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4. Transpozíciu čl. 2 ods. 1 písm. a) smernice (EÚ) 2026/470 žiadame preukázať navrhovaným § 20c ods. 1 a ods. 2 zákona č. 431/2002 Z. z. v znení neskorších predpisov.</w:t>
            </w:r>
          </w:p>
        </w:tc>
        <w:tc>
          <w:tcPr>
            <w:tcW w:w="778" w:type="dxa"/>
            <w:vAlign w:val="center"/>
          </w:tcPr>
          <w:p w14:paraId="7FD0580B" w14:textId="77777777" w:rsidR="00421B59" w:rsidRDefault="00000000">
            <w:pPr>
              <w:spacing w:after="0"/>
              <w:jc w:val="center"/>
            </w:pPr>
            <w:r>
              <w:rPr>
                <w:rFonts w:ascii="Times New Roman" w:eastAsia="Times New Roman" w:hAnsi="Times New Roman" w:cs="Times New Roman"/>
                <w:color w:val="000000"/>
                <w:sz w:val="24"/>
              </w:rPr>
              <w:t>A</w:t>
            </w:r>
          </w:p>
        </w:tc>
        <w:tc>
          <w:tcPr>
            <w:tcW w:w="2462" w:type="dxa"/>
          </w:tcPr>
          <w:p w14:paraId="76CE9CC6" w14:textId="77777777" w:rsidR="00421B59" w:rsidRDefault="00421B59">
            <w:pPr>
              <w:spacing w:after="0"/>
            </w:pPr>
          </w:p>
        </w:tc>
      </w:tr>
      <w:tr w:rsidR="00421B59" w14:paraId="7C4C177A" w14:textId="77777777">
        <w:trPr>
          <w:trHeight w:val="648"/>
          <w:jc w:val="center"/>
        </w:trPr>
        <w:tc>
          <w:tcPr>
            <w:tcW w:w="1944" w:type="dxa"/>
          </w:tcPr>
          <w:p w14:paraId="00AD8E13" w14:textId="77777777" w:rsidR="00421B59" w:rsidRDefault="00000000">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14:paraId="1D3016B1" w14:textId="77777777" w:rsidR="00421B59" w:rsidRDefault="00000000">
            <w:pPr>
              <w:spacing w:after="0"/>
              <w:jc w:val="center"/>
            </w:pPr>
            <w:r>
              <w:rPr>
                <w:rFonts w:ascii="Times New Roman" w:eastAsia="Times New Roman" w:hAnsi="Times New Roman" w:cs="Times New Roman"/>
                <w:color w:val="000000"/>
                <w:sz w:val="24"/>
              </w:rPr>
              <w:t>O</w:t>
            </w:r>
          </w:p>
        </w:tc>
        <w:tc>
          <w:tcPr>
            <w:tcW w:w="6480" w:type="dxa"/>
          </w:tcPr>
          <w:p w14:paraId="58E34916" w14:textId="77777777" w:rsidR="00421B59" w:rsidRDefault="00000000">
            <w:pPr>
              <w:spacing w:after="0"/>
            </w:pPr>
            <w:r>
              <w:rPr>
                <w:rFonts w:ascii="Times New Roman" w:eastAsia="Times New Roman" w:hAnsi="Times New Roman" w:cs="Times New Roman"/>
                <w:b/>
                <w:color w:val="000000"/>
                <w:sz w:val="24"/>
              </w:rPr>
              <w:t>K transpozícii a tabuľke zhody k smernici (EÚ) 2026/470:</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5. Pri preukazovaní transpozície čl. 4 smernice (EÚ) 2026/470 žiadame v stĺpci 2 tabuľky zhody uviesť text, ktorý sa nachádza v čl. 4 smernice (EÚ) 2026/470, v stĺpci 3 uviesť relevantnú poznámku v zmysle prílohy č. 3 k Legislatívnym pravidlám vlády SR a v stĺpci 7 uviesť poznámku ,,Ž“. Poznámka ,,n.a.“ sa uvádza keď je ustanovenie neaplikovateľné, resp. nie je potrebné ho prebrať.</w:t>
            </w:r>
          </w:p>
        </w:tc>
        <w:tc>
          <w:tcPr>
            <w:tcW w:w="778" w:type="dxa"/>
            <w:vAlign w:val="center"/>
          </w:tcPr>
          <w:p w14:paraId="2277AC98" w14:textId="77777777" w:rsidR="00421B59" w:rsidRDefault="00000000">
            <w:pPr>
              <w:spacing w:after="0"/>
              <w:jc w:val="center"/>
            </w:pPr>
            <w:r>
              <w:rPr>
                <w:rFonts w:ascii="Times New Roman" w:eastAsia="Times New Roman" w:hAnsi="Times New Roman" w:cs="Times New Roman"/>
                <w:color w:val="000000"/>
                <w:sz w:val="24"/>
              </w:rPr>
              <w:t>ČA</w:t>
            </w:r>
          </w:p>
        </w:tc>
        <w:tc>
          <w:tcPr>
            <w:tcW w:w="2462" w:type="dxa"/>
          </w:tcPr>
          <w:p w14:paraId="64250C0C" w14:textId="77777777" w:rsidR="00421B59" w:rsidRDefault="00000000">
            <w:pPr>
              <w:spacing w:after="0"/>
            </w:pPr>
            <w:r>
              <w:rPr>
                <w:rFonts w:ascii="Times New Roman" w:eastAsia="Times New Roman" w:hAnsi="Times New Roman" w:cs="Times New Roman"/>
                <w:color w:val="000000"/>
                <w:sz w:val="24"/>
              </w:rPr>
              <w:t>K čl. 4 smernice (EÚ) 2026/470 stĺpcu 2 tabuľky zhody: neakceptované z dôvodu transpozície, ktorá bude ešte len vykonávaná gestorom, ktorým je  MH SR.</w:t>
            </w:r>
            <w:r>
              <w:rPr>
                <w:rFonts w:ascii="Times New Roman" w:eastAsia="Times New Roman" w:hAnsi="Times New Roman" w:cs="Times New Roman"/>
                <w:color w:val="000000"/>
                <w:sz w:val="24"/>
              </w:rPr>
              <w:br/>
              <w:t>K stĺpcom 3 a 7 tabuľky zhody: akceptované.</w:t>
            </w:r>
          </w:p>
        </w:tc>
      </w:tr>
      <w:tr w:rsidR="00421B59" w14:paraId="71CEA0D5" w14:textId="77777777">
        <w:trPr>
          <w:trHeight w:val="648"/>
          <w:jc w:val="center"/>
        </w:trPr>
        <w:tc>
          <w:tcPr>
            <w:tcW w:w="1944" w:type="dxa"/>
          </w:tcPr>
          <w:p w14:paraId="0E2D8B79" w14:textId="77777777" w:rsidR="00421B59" w:rsidRDefault="00000000">
            <w:pPr>
              <w:spacing w:after="0"/>
              <w:jc w:val="center"/>
            </w:pPr>
            <w:r>
              <w:rPr>
                <w:rFonts w:ascii="Times New Roman" w:eastAsia="Times New Roman" w:hAnsi="Times New Roman" w:cs="Times New Roman"/>
                <w:b/>
                <w:color w:val="000000"/>
                <w:sz w:val="24"/>
              </w:rPr>
              <w:lastRenderedPageBreak/>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14:paraId="044C6705" w14:textId="77777777" w:rsidR="00421B59" w:rsidRDefault="00000000">
            <w:pPr>
              <w:spacing w:after="0"/>
              <w:jc w:val="center"/>
            </w:pPr>
            <w:r>
              <w:rPr>
                <w:rFonts w:ascii="Times New Roman" w:eastAsia="Times New Roman" w:hAnsi="Times New Roman" w:cs="Times New Roman"/>
                <w:color w:val="000000"/>
                <w:sz w:val="24"/>
              </w:rPr>
              <w:t>O</w:t>
            </w:r>
          </w:p>
        </w:tc>
        <w:tc>
          <w:tcPr>
            <w:tcW w:w="6480" w:type="dxa"/>
          </w:tcPr>
          <w:p w14:paraId="0218D7ED" w14:textId="77777777" w:rsidR="00421B59" w:rsidRDefault="00000000">
            <w:pPr>
              <w:spacing w:after="0"/>
            </w:pPr>
            <w:r>
              <w:rPr>
                <w:rFonts w:ascii="Times New Roman" w:eastAsia="Times New Roman" w:hAnsi="Times New Roman" w:cs="Times New Roman"/>
                <w:b/>
                <w:color w:val="000000"/>
                <w:sz w:val="24"/>
              </w:rPr>
              <w:t>K transpozícii a tabuľke zhody k smernici (EÚ) 2026/470:</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6. Pri preukazovaní transpozície čl. 5 ods. 1 smernice (EÚ) 2026/470 žiadame druhý pododsek preukazovať samostatne, vzhľadom na to, že k jeho transpozícii zatiaľ nedochádza.</w:t>
            </w:r>
          </w:p>
        </w:tc>
        <w:tc>
          <w:tcPr>
            <w:tcW w:w="778" w:type="dxa"/>
            <w:vAlign w:val="center"/>
          </w:tcPr>
          <w:p w14:paraId="0E205FEA" w14:textId="77777777" w:rsidR="00421B59" w:rsidRDefault="00000000">
            <w:pPr>
              <w:spacing w:after="0"/>
              <w:jc w:val="center"/>
            </w:pPr>
            <w:r>
              <w:rPr>
                <w:rFonts w:ascii="Times New Roman" w:eastAsia="Times New Roman" w:hAnsi="Times New Roman" w:cs="Times New Roman"/>
                <w:color w:val="000000"/>
                <w:sz w:val="24"/>
              </w:rPr>
              <w:t>A</w:t>
            </w:r>
          </w:p>
        </w:tc>
        <w:tc>
          <w:tcPr>
            <w:tcW w:w="2462" w:type="dxa"/>
          </w:tcPr>
          <w:p w14:paraId="0B0C4C0F" w14:textId="77777777" w:rsidR="00421B59" w:rsidRDefault="00421B59">
            <w:pPr>
              <w:spacing w:after="0"/>
            </w:pPr>
          </w:p>
        </w:tc>
      </w:tr>
      <w:tr w:rsidR="00421B59" w14:paraId="2943A98C" w14:textId="77777777">
        <w:trPr>
          <w:trHeight w:val="648"/>
          <w:jc w:val="center"/>
        </w:trPr>
        <w:tc>
          <w:tcPr>
            <w:tcW w:w="1944" w:type="dxa"/>
          </w:tcPr>
          <w:p w14:paraId="1EFCECDD" w14:textId="77777777" w:rsidR="00421B59" w:rsidRDefault="00000000">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14:paraId="681799E6" w14:textId="77777777" w:rsidR="00421B59" w:rsidRDefault="00000000">
            <w:pPr>
              <w:spacing w:after="0"/>
              <w:jc w:val="center"/>
            </w:pPr>
            <w:r>
              <w:rPr>
                <w:rFonts w:ascii="Times New Roman" w:eastAsia="Times New Roman" w:hAnsi="Times New Roman" w:cs="Times New Roman"/>
                <w:color w:val="000000"/>
                <w:sz w:val="24"/>
              </w:rPr>
              <w:t>O</w:t>
            </w:r>
          </w:p>
        </w:tc>
        <w:tc>
          <w:tcPr>
            <w:tcW w:w="6480" w:type="dxa"/>
          </w:tcPr>
          <w:p w14:paraId="6C77EE8F" w14:textId="77777777" w:rsidR="00421B59" w:rsidRDefault="00000000">
            <w:pPr>
              <w:spacing w:after="0"/>
            </w:pPr>
            <w:r>
              <w:rPr>
                <w:rFonts w:ascii="Times New Roman" w:eastAsia="Times New Roman" w:hAnsi="Times New Roman" w:cs="Times New Roman"/>
                <w:b/>
                <w:color w:val="000000"/>
                <w:sz w:val="24"/>
              </w:rPr>
              <w:t>K transpozícii a tabuľke zhody k smernici (EÚ) 2022/2464 v platnom znení:</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Žiadame tabuľku zhody k smernici (EÚ) 2022/2464 v platnom znení vypracovať len k tým ustanoveniam smernice, ktorých znenie nebolo zmenené smernicou (EÚ) 2026/470, ktorá sa predkladaným návrhom zákona transponuje a zabezpečenie jej transpozície sa preukazuje samostatnou tabuľkou zhody.</w:t>
            </w:r>
          </w:p>
        </w:tc>
        <w:tc>
          <w:tcPr>
            <w:tcW w:w="778" w:type="dxa"/>
            <w:vAlign w:val="center"/>
          </w:tcPr>
          <w:p w14:paraId="5007D444" w14:textId="77777777" w:rsidR="00421B59" w:rsidRDefault="00000000">
            <w:pPr>
              <w:spacing w:after="0"/>
              <w:jc w:val="center"/>
            </w:pPr>
            <w:r>
              <w:rPr>
                <w:rFonts w:ascii="Times New Roman" w:eastAsia="Times New Roman" w:hAnsi="Times New Roman" w:cs="Times New Roman"/>
                <w:color w:val="000000"/>
                <w:sz w:val="24"/>
              </w:rPr>
              <w:t>A</w:t>
            </w:r>
          </w:p>
        </w:tc>
        <w:tc>
          <w:tcPr>
            <w:tcW w:w="2462" w:type="dxa"/>
          </w:tcPr>
          <w:p w14:paraId="57671955" w14:textId="77777777" w:rsidR="00421B59" w:rsidRDefault="00421B59">
            <w:pPr>
              <w:spacing w:after="0"/>
            </w:pPr>
          </w:p>
        </w:tc>
      </w:tr>
      <w:tr w:rsidR="00421B59" w14:paraId="143288BD" w14:textId="77777777">
        <w:trPr>
          <w:trHeight w:val="648"/>
          <w:jc w:val="center"/>
        </w:trPr>
        <w:tc>
          <w:tcPr>
            <w:tcW w:w="1944" w:type="dxa"/>
          </w:tcPr>
          <w:p w14:paraId="23CC2745" w14:textId="77777777" w:rsidR="00421B59" w:rsidRDefault="00000000">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14:paraId="6A0B3983" w14:textId="77777777" w:rsidR="00421B59" w:rsidRDefault="00000000">
            <w:pPr>
              <w:spacing w:after="0"/>
              <w:jc w:val="center"/>
            </w:pPr>
            <w:r>
              <w:rPr>
                <w:rFonts w:ascii="Times New Roman" w:eastAsia="Times New Roman" w:hAnsi="Times New Roman" w:cs="Times New Roman"/>
                <w:color w:val="000000"/>
                <w:sz w:val="24"/>
              </w:rPr>
              <w:t>O</w:t>
            </w:r>
          </w:p>
        </w:tc>
        <w:tc>
          <w:tcPr>
            <w:tcW w:w="6480" w:type="dxa"/>
          </w:tcPr>
          <w:p w14:paraId="4BAA4050" w14:textId="77777777" w:rsidR="00421B59" w:rsidRDefault="00000000">
            <w:pPr>
              <w:spacing w:after="0"/>
            </w:pPr>
            <w:r>
              <w:rPr>
                <w:rFonts w:ascii="Times New Roman" w:eastAsia="Times New Roman" w:hAnsi="Times New Roman" w:cs="Times New Roman"/>
                <w:b/>
                <w:color w:val="000000"/>
                <w:sz w:val="24"/>
              </w:rPr>
              <w:t>K transpozícii a tabuľke zhody k smernici 2013/34/EÚ v platnom znení:</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Transpozíciu čl. 3 ods. 10 smernice 2013/34/EÚ v platnom znení žiadame preukazovať aj § 2 ods. 10 zákona č. 431/2002 Z. z. v znení neskorších predpisov.</w:t>
            </w:r>
          </w:p>
        </w:tc>
        <w:tc>
          <w:tcPr>
            <w:tcW w:w="778" w:type="dxa"/>
            <w:vAlign w:val="center"/>
          </w:tcPr>
          <w:p w14:paraId="5D722237" w14:textId="77777777" w:rsidR="00421B59" w:rsidRDefault="00000000">
            <w:pPr>
              <w:spacing w:after="0"/>
              <w:jc w:val="center"/>
            </w:pPr>
            <w:r>
              <w:rPr>
                <w:rFonts w:ascii="Times New Roman" w:eastAsia="Times New Roman" w:hAnsi="Times New Roman" w:cs="Times New Roman"/>
                <w:color w:val="000000"/>
                <w:sz w:val="24"/>
              </w:rPr>
              <w:t>A</w:t>
            </w:r>
          </w:p>
        </w:tc>
        <w:tc>
          <w:tcPr>
            <w:tcW w:w="2462" w:type="dxa"/>
          </w:tcPr>
          <w:p w14:paraId="7E977A0F" w14:textId="77777777" w:rsidR="00421B59" w:rsidRDefault="00421B59">
            <w:pPr>
              <w:spacing w:after="0"/>
            </w:pPr>
          </w:p>
        </w:tc>
      </w:tr>
      <w:tr w:rsidR="00421B59" w14:paraId="4AD13F94" w14:textId="77777777">
        <w:trPr>
          <w:trHeight w:val="648"/>
          <w:jc w:val="center"/>
        </w:trPr>
        <w:tc>
          <w:tcPr>
            <w:tcW w:w="1944" w:type="dxa"/>
          </w:tcPr>
          <w:p w14:paraId="71B474BA" w14:textId="77777777" w:rsidR="00421B59" w:rsidRDefault="00000000">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14:paraId="32EEFB02" w14:textId="77777777" w:rsidR="00421B59" w:rsidRDefault="00000000">
            <w:pPr>
              <w:spacing w:after="0"/>
              <w:jc w:val="center"/>
            </w:pPr>
            <w:r>
              <w:rPr>
                <w:rFonts w:ascii="Times New Roman" w:eastAsia="Times New Roman" w:hAnsi="Times New Roman" w:cs="Times New Roman"/>
                <w:color w:val="000000"/>
                <w:sz w:val="24"/>
              </w:rPr>
              <w:t>O</w:t>
            </w:r>
          </w:p>
        </w:tc>
        <w:tc>
          <w:tcPr>
            <w:tcW w:w="6480" w:type="dxa"/>
          </w:tcPr>
          <w:p w14:paraId="152043E3" w14:textId="77777777" w:rsidR="00421B59" w:rsidRDefault="00000000">
            <w:pPr>
              <w:spacing w:after="0"/>
            </w:pPr>
            <w:r>
              <w:rPr>
                <w:rFonts w:ascii="Times New Roman" w:eastAsia="Times New Roman" w:hAnsi="Times New Roman" w:cs="Times New Roman"/>
                <w:b/>
                <w:color w:val="000000"/>
                <w:sz w:val="24"/>
              </w:rPr>
              <w:t>K doložke zlučiteľnosti:</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1. V bode 3 písm. b) doložky zlučiteľnosti žiadame citovať smernicu (EÚ) 2023/2864 bez dodatku ,,v platnom znení“, vzhľadom na to, že nebola novelizovaná.</w:t>
            </w:r>
          </w:p>
        </w:tc>
        <w:tc>
          <w:tcPr>
            <w:tcW w:w="778" w:type="dxa"/>
            <w:vAlign w:val="center"/>
          </w:tcPr>
          <w:p w14:paraId="11D90BDF" w14:textId="77777777" w:rsidR="00421B59" w:rsidRDefault="00000000">
            <w:pPr>
              <w:spacing w:after="0"/>
              <w:jc w:val="center"/>
            </w:pPr>
            <w:r>
              <w:rPr>
                <w:rFonts w:ascii="Times New Roman" w:eastAsia="Times New Roman" w:hAnsi="Times New Roman" w:cs="Times New Roman"/>
                <w:color w:val="000000"/>
                <w:sz w:val="24"/>
              </w:rPr>
              <w:t>A</w:t>
            </w:r>
          </w:p>
        </w:tc>
        <w:tc>
          <w:tcPr>
            <w:tcW w:w="2462" w:type="dxa"/>
          </w:tcPr>
          <w:p w14:paraId="4EA92A86" w14:textId="77777777" w:rsidR="00421B59" w:rsidRDefault="00421B59">
            <w:pPr>
              <w:spacing w:after="0"/>
            </w:pPr>
          </w:p>
        </w:tc>
      </w:tr>
      <w:tr w:rsidR="00421B59" w14:paraId="4610B448" w14:textId="77777777">
        <w:trPr>
          <w:trHeight w:val="648"/>
          <w:jc w:val="center"/>
        </w:trPr>
        <w:tc>
          <w:tcPr>
            <w:tcW w:w="1944" w:type="dxa"/>
          </w:tcPr>
          <w:p w14:paraId="5880F5FE" w14:textId="77777777" w:rsidR="00421B59" w:rsidRDefault="00000000">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Odbor aproximácie </w:t>
            </w:r>
            <w:r>
              <w:rPr>
                <w:rFonts w:ascii="Times New Roman" w:eastAsia="Times New Roman" w:hAnsi="Times New Roman" w:cs="Times New Roman"/>
                <w:color w:val="000000"/>
                <w:sz w:val="24"/>
              </w:rPr>
              <w:lastRenderedPageBreak/>
              <w:t>práva sekcie vládnej legislatívy Úradu vlády SR</w:t>
            </w:r>
          </w:p>
        </w:tc>
        <w:tc>
          <w:tcPr>
            <w:tcW w:w="1296" w:type="dxa"/>
            <w:vAlign w:val="center"/>
          </w:tcPr>
          <w:p w14:paraId="6669FA52" w14:textId="77777777" w:rsidR="00421B59" w:rsidRDefault="00000000">
            <w:pPr>
              <w:spacing w:after="0"/>
              <w:jc w:val="center"/>
            </w:pPr>
            <w:r>
              <w:rPr>
                <w:rFonts w:ascii="Times New Roman" w:eastAsia="Times New Roman" w:hAnsi="Times New Roman" w:cs="Times New Roman"/>
                <w:color w:val="000000"/>
                <w:sz w:val="24"/>
              </w:rPr>
              <w:lastRenderedPageBreak/>
              <w:t>O</w:t>
            </w:r>
          </w:p>
        </w:tc>
        <w:tc>
          <w:tcPr>
            <w:tcW w:w="6480" w:type="dxa"/>
          </w:tcPr>
          <w:p w14:paraId="0AB50EF5" w14:textId="77777777" w:rsidR="00421B59" w:rsidRDefault="00000000">
            <w:pPr>
              <w:spacing w:after="0"/>
            </w:pPr>
            <w:r>
              <w:rPr>
                <w:rFonts w:ascii="Times New Roman" w:eastAsia="Times New Roman" w:hAnsi="Times New Roman" w:cs="Times New Roman"/>
                <w:b/>
                <w:color w:val="000000"/>
                <w:sz w:val="24"/>
              </w:rPr>
              <w:t>K doložke zlučiteľnosti:</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2. V bode 3 písm. b) doložky zlučiteľnosti žiadame citovať </w:t>
            </w:r>
            <w:r>
              <w:rPr>
                <w:rFonts w:ascii="Times New Roman" w:eastAsia="Times New Roman" w:hAnsi="Times New Roman" w:cs="Times New Roman"/>
                <w:color w:val="000000"/>
                <w:sz w:val="24"/>
              </w:rPr>
              <w:lastRenderedPageBreak/>
              <w:t>vykonávacie nariadenie (EÚ) 2024/2952 bez dodatku ,,v platnom znení“, vzhľadom na to, že nebolo novelizované.</w:t>
            </w:r>
          </w:p>
        </w:tc>
        <w:tc>
          <w:tcPr>
            <w:tcW w:w="778" w:type="dxa"/>
            <w:vAlign w:val="center"/>
          </w:tcPr>
          <w:p w14:paraId="5F0B8772" w14:textId="77777777" w:rsidR="00421B59" w:rsidRDefault="00000000">
            <w:pPr>
              <w:spacing w:after="0"/>
              <w:jc w:val="center"/>
            </w:pPr>
            <w:r>
              <w:rPr>
                <w:rFonts w:ascii="Times New Roman" w:eastAsia="Times New Roman" w:hAnsi="Times New Roman" w:cs="Times New Roman"/>
                <w:color w:val="000000"/>
                <w:sz w:val="24"/>
              </w:rPr>
              <w:lastRenderedPageBreak/>
              <w:t>A</w:t>
            </w:r>
          </w:p>
        </w:tc>
        <w:tc>
          <w:tcPr>
            <w:tcW w:w="2462" w:type="dxa"/>
          </w:tcPr>
          <w:p w14:paraId="58581454" w14:textId="77777777" w:rsidR="00421B59" w:rsidRDefault="00421B59">
            <w:pPr>
              <w:spacing w:after="0"/>
            </w:pPr>
          </w:p>
        </w:tc>
      </w:tr>
      <w:tr w:rsidR="00421B59" w14:paraId="5230D4FA" w14:textId="77777777">
        <w:trPr>
          <w:trHeight w:val="648"/>
          <w:jc w:val="center"/>
        </w:trPr>
        <w:tc>
          <w:tcPr>
            <w:tcW w:w="1944" w:type="dxa"/>
          </w:tcPr>
          <w:p w14:paraId="09E0F8DD" w14:textId="77777777" w:rsidR="00421B59" w:rsidRDefault="00000000">
            <w:pPr>
              <w:spacing w:after="0"/>
              <w:jc w:val="center"/>
            </w:pPr>
            <w:r>
              <w:rPr>
                <w:rFonts w:ascii="Times New Roman" w:eastAsia="Times New Roman" w:hAnsi="Times New Roman" w:cs="Times New Roman"/>
                <w:b/>
                <w:color w:val="000000"/>
                <w:sz w:val="24"/>
              </w:rPr>
              <w:t>OAPSVLÚVSR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Odbor aproximácie práva sekcie vládnej legislatívy Úradu vlády SR</w:t>
            </w:r>
          </w:p>
        </w:tc>
        <w:tc>
          <w:tcPr>
            <w:tcW w:w="1296" w:type="dxa"/>
            <w:vAlign w:val="center"/>
          </w:tcPr>
          <w:p w14:paraId="16B7ED6F" w14:textId="77777777" w:rsidR="00421B59" w:rsidRDefault="00000000">
            <w:pPr>
              <w:spacing w:after="0"/>
              <w:jc w:val="center"/>
            </w:pPr>
            <w:r>
              <w:rPr>
                <w:rFonts w:ascii="Times New Roman" w:eastAsia="Times New Roman" w:hAnsi="Times New Roman" w:cs="Times New Roman"/>
                <w:color w:val="000000"/>
                <w:sz w:val="24"/>
              </w:rPr>
              <w:t>O</w:t>
            </w:r>
          </w:p>
        </w:tc>
        <w:tc>
          <w:tcPr>
            <w:tcW w:w="6480" w:type="dxa"/>
          </w:tcPr>
          <w:p w14:paraId="291C892D" w14:textId="77777777" w:rsidR="00421B59" w:rsidRDefault="00000000">
            <w:pPr>
              <w:spacing w:after="0"/>
            </w:pPr>
            <w:r>
              <w:rPr>
                <w:rFonts w:ascii="Times New Roman" w:eastAsia="Times New Roman" w:hAnsi="Times New Roman" w:cs="Times New Roman"/>
                <w:b/>
                <w:color w:val="000000"/>
                <w:sz w:val="24"/>
              </w:rPr>
              <w:t>K doložke zlučiteľnosti:</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3. V bode 3 písm. b) doložky zlučiteľnosti žiadame citovať nariadenie (EÚ) 2023/1803 v zmysle bodu 62.11. Legislatívnych pravidiel vlády SR s dodatkom ,,v platnom znení“ a zároveň žiadame ako gestora nariadenia uviesť Ministerstvo financií SR.</w:t>
            </w:r>
          </w:p>
        </w:tc>
        <w:tc>
          <w:tcPr>
            <w:tcW w:w="778" w:type="dxa"/>
            <w:vAlign w:val="center"/>
          </w:tcPr>
          <w:p w14:paraId="46C7529F" w14:textId="77777777" w:rsidR="00421B59" w:rsidRDefault="00000000">
            <w:pPr>
              <w:spacing w:after="0"/>
              <w:jc w:val="center"/>
            </w:pPr>
            <w:r>
              <w:rPr>
                <w:rFonts w:ascii="Times New Roman" w:eastAsia="Times New Roman" w:hAnsi="Times New Roman" w:cs="Times New Roman"/>
                <w:color w:val="000000"/>
                <w:sz w:val="24"/>
              </w:rPr>
              <w:t>A</w:t>
            </w:r>
          </w:p>
        </w:tc>
        <w:tc>
          <w:tcPr>
            <w:tcW w:w="2462" w:type="dxa"/>
          </w:tcPr>
          <w:p w14:paraId="67B97E58" w14:textId="77777777" w:rsidR="00421B59" w:rsidRDefault="00421B59">
            <w:pPr>
              <w:spacing w:after="0"/>
            </w:pPr>
          </w:p>
        </w:tc>
      </w:tr>
      <w:tr w:rsidR="00421B59" w14:paraId="72924E31" w14:textId="77777777">
        <w:trPr>
          <w:trHeight w:val="648"/>
          <w:jc w:val="center"/>
        </w:trPr>
        <w:tc>
          <w:tcPr>
            <w:tcW w:w="1944" w:type="dxa"/>
          </w:tcPr>
          <w:p w14:paraId="366760F3" w14:textId="77777777" w:rsidR="00421B59" w:rsidRDefault="00000000">
            <w:pPr>
              <w:spacing w:after="0"/>
              <w:jc w:val="center"/>
            </w:pPr>
            <w:r>
              <w:rPr>
                <w:rFonts w:ascii="Times New Roman" w:eastAsia="Times New Roman" w:hAnsi="Times New Roman" w:cs="Times New Roman"/>
                <w:b/>
                <w:color w:val="000000"/>
                <w:sz w:val="24"/>
              </w:rPr>
              <w:t>PMÚSR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Protimonopolný úrad Slovenskej republiky</w:t>
            </w:r>
          </w:p>
        </w:tc>
        <w:tc>
          <w:tcPr>
            <w:tcW w:w="1296" w:type="dxa"/>
            <w:vAlign w:val="center"/>
          </w:tcPr>
          <w:p w14:paraId="36FF13DC" w14:textId="77777777" w:rsidR="00421B59" w:rsidRDefault="00000000">
            <w:pPr>
              <w:spacing w:after="0"/>
              <w:jc w:val="center"/>
            </w:pPr>
            <w:r>
              <w:rPr>
                <w:rFonts w:ascii="Times New Roman" w:eastAsia="Times New Roman" w:hAnsi="Times New Roman" w:cs="Times New Roman"/>
                <w:color w:val="000000"/>
                <w:sz w:val="24"/>
              </w:rPr>
              <w:t>O</w:t>
            </w:r>
          </w:p>
        </w:tc>
        <w:tc>
          <w:tcPr>
            <w:tcW w:w="6480" w:type="dxa"/>
          </w:tcPr>
          <w:p w14:paraId="72A9A0A2" w14:textId="77777777" w:rsidR="00421B59" w:rsidRDefault="00000000">
            <w:pPr>
              <w:spacing w:after="0"/>
            </w:pPr>
            <w:r>
              <w:rPr>
                <w:rFonts w:ascii="Times New Roman" w:eastAsia="Times New Roman" w:hAnsi="Times New Roman" w:cs="Times New Roman"/>
                <w:b/>
                <w:color w:val="000000"/>
                <w:sz w:val="24"/>
              </w:rPr>
              <w:t>K analýze vplyvov na podnikateľské prostredie</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Odporúčame dopracovať bod 3.3 Analýzy vplyvov na podnikateľské prostredie tak, aby bol v súlade s Metodickým postupom pre analýzu vplyvov na podnikateľské prostredie.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Podľa bodu 4.6 Jednotnej metodiky sa jednotlivé analýzy vplyvov spracovávajú podľa vzoru a na základe pokynov uvedených v prílohách č. 2 až 8 Jednotnej metodiky. V zmysle Metodického postupu pre analýzu vplyvov na podnikateľské prostredie (Príloha č. 3a Jednotnej metodiky) v bode 3.3 Analýzy vplyvov na podnikateľské prostredie predkladateľ na základe odpovedí na uvedené otázky vyberie, aký vplyv má predkladaný materiál na konkurencieschopnosť (zvyšuje, nemení, znižuje konkurencieschopnosť) a napíše zdôvodnenie obsahujúce zároveň aj odpovede na otázky uvedené v texte. Predkladateľ však odpovedá len na jednu z ôsmich otázok.</w:t>
            </w:r>
          </w:p>
        </w:tc>
        <w:tc>
          <w:tcPr>
            <w:tcW w:w="778" w:type="dxa"/>
            <w:vAlign w:val="center"/>
          </w:tcPr>
          <w:p w14:paraId="70844C27" w14:textId="77777777" w:rsidR="00421B59" w:rsidRDefault="00000000">
            <w:pPr>
              <w:spacing w:after="0"/>
              <w:jc w:val="center"/>
            </w:pPr>
            <w:r>
              <w:rPr>
                <w:rFonts w:ascii="Times New Roman" w:eastAsia="Times New Roman" w:hAnsi="Times New Roman" w:cs="Times New Roman"/>
                <w:color w:val="000000"/>
                <w:sz w:val="24"/>
              </w:rPr>
              <w:t>A</w:t>
            </w:r>
          </w:p>
        </w:tc>
        <w:tc>
          <w:tcPr>
            <w:tcW w:w="2462" w:type="dxa"/>
          </w:tcPr>
          <w:p w14:paraId="1E6A6430" w14:textId="77777777" w:rsidR="00421B59" w:rsidRDefault="00421B59">
            <w:pPr>
              <w:spacing w:after="0"/>
            </w:pPr>
          </w:p>
        </w:tc>
      </w:tr>
      <w:tr w:rsidR="00421B59" w14:paraId="4F7DE1E7" w14:textId="77777777">
        <w:trPr>
          <w:trHeight w:val="648"/>
          <w:jc w:val="center"/>
        </w:trPr>
        <w:tc>
          <w:tcPr>
            <w:tcW w:w="1944" w:type="dxa"/>
          </w:tcPr>
          <w:p w14:paraId="71CE95F3" w14:textId="77777777" w:rsidR="00421B59" w:rsidRDefault="00000000">
            <w:pPr>
              <w:spacing w:after="0"/>
              <w:jc w:val="center"/>
            </w:pPr>
            <w:r>
              <w:rPr>
                <w:rFonts w:ascii="Times New Roman" w:eastAsia="Times New Roman" w:hAnsi="Times New Roman" w:cs="Times New Roman"/>
                <w:b/>
                <w:color w:val="000000"/>
                <w:sz w:val="24"/>
              </w:rPr>
              <w:lastRenderedPageBreak/>
              <w:t>RÚZSR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Republiková únia zamestnávateľov</w:t>
            </w:r>
          </w:p>
        </w:tc>
        <w:tc>
          <w:tcPr>
            <w:tcW w:w="1296" w:type="dxa"/>
            <w:vAlign w:val="center"/>
          </w:tcPr>
          <w:p w14:paraId="1D5B77B3" w14:textId="77777777" w:rsidR="00421B59" w:rsidRDefault="00000000">
            <w:pPr>
              <w:spacing w:after="0"/>
              <w:jc w:val="center"/>
            </w:pPr>
            <w:r>
              <w:rPr>
                <w:rFonts w:ascii="Times New Roman" w:eastAsia="Times New Roman" w:hAnsi="Times New Roman" w:cs="Times New Roman"/>
                <w:b/>
                <w:color w:val="FF0000"/>
                <w:sz w:val="24"/>
              </w:rPr>
              <w:t>Z</w:t>
            </w:r>
          </w:p>
        </w:tc>
        <w:tc>
          <w:tcPr>
            <w:tcW w:w="6480" w:type="dxa"/>
          </w:tcPr>
          <w:p w14:paraId="590BE192" w14:textId="77777777" w:rsidR="00421B59" w:rsidRDefault="00000000">
            <w:pPr>
              <w:spacing w:after="0"/>
            </w:pPr>
            <w:r>
              <w:rPr>
                <w:rFonts w:ascii="Times New Roman" w:eastAsia="Times New Roman" w:hAnsi="Times New Roman" w:cs="Times New Roman"/>
                <w:b/>
                <w:color w:val="000000"/>
                <w:sz w:val="24"/>
              </w:rPr>
              <w:t>Čl. I. novelizačný bod 1</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Žiadame doplniť dôvodovú správu k novelizačnému bodu 1 (§ 2 ods. 4 písm. p)) o bližšie vysvetlenie, čo sa na účely zákona rozumie finančnou holdingovou spoločnosťou a uviesť ilustratívne príklady subjektov, na ktoré sa predmetná definícia vzťahuje.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Dôvodová správa bližšie nevysvetľuje, aké subjekty má v aplikačnej praxi zahŕňať pojem finančná holdingová spoločnosť podľa § 2 ods. 4 písm. p). Z jej znenia nie je zrejmé, aké typy spoločností možno považovať za finančné holdingové spoločnosti. Žiadame preto doplniť dôvodovú správu o bližšie vysvetlenie účelu predmetnej definície a aspoň ilustratívne príklady subjektov, na ktoré sa bude vzťahovať.</w:t>
            </w:r>
          </w:p>
        </w:tc>
        <w:tc>
          <w:tcPr>
            <w:tcW w:w="778" w:type="dxa"/>
            <w:vAlign w:val="center"/>
          </w:tcPr>
          <w:p w14:paraId="37D98C2F" w14:textId="77777777" w:rsidR="00421B59" w:rsidRDefault="00000000">
            <w:pPr>
              <w:spacing w:after="0"/>
              <w:jc w:val="center"/>
            </w:pPr>
            <w:r>
              <w:rPr>
                <w:rFonts w:ascii="Times New Roman" w:eastAsia="Times New Roman" w:hAnsi="Times New Roman" w:cs="Times New Roman"/>
                <w:color w:val="000000"/>
                <w:sz w:val="24"/>
              </w:rPr>
              <w:t>A</w:t>
            </w:r>
          </w:p>
        </w:tc>
        <w:tc>
          <w:tcPr>
            <w:tcW w:w="2462" w:type="dxa"/>
          </w:tcPr>
          <w:p w14:paraId="2FE3C15D" w14:textId="77777777" w:rsidR="00421B59" w:rsidRDefault="00421B59">
            <w:pPr>
              <w:spacing w:after="0"/>
            </w:pPr>
          </w:p>
        </w:tc>
      </w:tr>
      <w:tr w:rsidR="00421B59" w14:paraId="41854424" w14:textId="77777777">
        <w:trPr>
          <w:trHeight w:val="648"/>
          <w:jc w:val="center"/>
        </w:trPr>
        <w:tc>
          <w:tcPr>
            <w:tcW w:w="1944" w:type="dxa"/>
          </w:tcPr>
          <w:p w14:paraId="2B5041F2" w14:textId="77777777" w:rsidR="00421B59" w:rsidRDefault="00000000">
            <w:pPr>
              <w:spacing w:after="0"/>
              <w:jc w:val="center"/>
            </w:pPr>
            <w:r>
              <w:rPr>
                <w:rFonts w:ascii="Times New Roman" w:eastAsia="Times New Roman" w:hAnsi="Times New Roman" w:cs="Times New Roman"/>
                <w:b/>
                <w:color w:val="000000"/>
                <w:sz w:val="24"/>
              </w:rPr>
              <w:t>RÚZSR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Republiková únia zamestnávateľov</w:t>
            </w:r>
          </w:p>
        </w:tc>
        <w:tc>
          <w:tcPr>
            <w:tcW w:w="1296" w:type="dxa"/>
            <w:vAlign w:val="center"/>
          </w:tcPr>
          <w:p w14:paraId="40FEB163" w14:textId="77777777" w:rsidR="00421B59" w:rsidRDefault="00000000">
            <w:pPr>
              <w:spacing w:after="0"/>
              <w:jc w:val="center"/>
            </w:pPr>
            <w:r>
              <w:rPr>
                <w:rFonts w:ascii="Times New Roman" w:eastAsia="Times New Roman" w:hAnsi="Times New Roman" w:cs="Times New Roman"/>
                <w:b/>
                <w:color w:val="FF0000"/>
                <w:sz w:val="24"/>
              </w:rPr>
              <w:t>Z</w:t>
            </w:r>
          </w:p>
        </w:tc>
        <w:tc>
          <w:tcPr>
            <w:tcW w:w="6480" w:type="dxa"/>
          </w:tcPr>
          <w:p w14:paraId="05E7FFF4" w14:textId="77777777" w:rsidR="00421B59" w:rsidRDefault="00000000">
            <w:pPr>
              <w:spacing w:after="0"/>
            </w:pPr>
            <w:r>
              <w:rPr>
                <w:rFonts w:ascii="Times New Roman" w:eastAsia="Times New Roman" w:hAnsi="Times New Roman" w:cs="Times New Roman"/>
                <w:b/>
                <w:color w:val="000000"/>
                <w:sz w:val="24"/>
              </w:rPr>
              <w:t>Čl. I. novelizačný bod 6, v časti § 20c ods. 1 písm. b)</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Žiadame v dôvodovej správe špecifikovať, čo sa na účely tohto zákona rozumie pod pojmom „priemerný prepočítaný počet zamestnancov" a podľa akej metodiky sa tento údaj určuje.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Priemerný prepočítaný počet zamestnancov predstavuje rozhodujúce kritérium pre vznik alebo zánik viacerých povinností podľa zákona. Vzhľadom na význam tohto kritéria pre určenie rozsahu povinností jednotlivých subjektov považujeme za potrebné, aby dôvodová správa výslovne uviedla metodiku, z ktorej sa má pri určovaní priemerného prepočítaného počtu zamestnancov vychádzať. Takéto spresnenie prispeje k jednotnej aplikačnej praxi pri posudzovaní splnenia jednotlivých zákonných prahových hodnôt a zvýši právnu istotu dotknutých subjektov.</w:t>
            </w:r>
          </w:p>
        </w:tc>
        <w:tc>
          <w:tcPr>
            <w:tcW w:w="778" w:type="dxa"/>
            <w:vAlign w:val="center"/>
          </w:tcPr>
          <w:p w14:paraId="3052F714" w14:textId="77777777" w:rsidR="00421B59" w:rsidRDefault="00000000">
            <w:pPr>
              <w:spacing w:after="0"/>
              <w:jc w:val="center"/>
            </w:pPr>
            <w:r>
              <w:rPr>
                <w:rFonts w:ascii="Times New Roman" w:eastAsia="Times New Roman" w:hAnsi="Times New Roman" w:cs="Times New Roman"/>
                <w:color w:val="000000"/>
                <w:sz w:val="24"/>
              </w:rPr>
              <w:t>A</w:t>
            </w:r>
          </w:p>
        </w:tc>
        <w:tc>
          <w:tcPr>
            <w:tcW w:w="2462" w:type="dxa"/>
          </w:tcPr>
          <w:p w14:paraId="79DD8005" w14:textId="77777777" w:rsidR="00421B59" w:rsidRDefault="00421B59">
            <w:pPr>
              <w:spacing w:after="0"/>
            </w:pPr>
          </w:p>
        </w:tc>
      </w:tr>
      <w:tr w:rsidR="00421B59" w14:paraId="16B5270B" w14:textId="77777777">
        <w:trPr>
          <w:trHeight w:val="648"/>
          <w:jc w:val="center"/>
        </w:trPr>
        <w:tc>
          <w:tcPr>
            <w:tcW w:w="1944" w:type="dxa"/>
          </w:tcPr>
          <w:p w14:paraId="3093EA87" w14:textId="77777777" w:rsidR="00421B59" w:rsidRDefault="00000000">
            <w:pPr>
              <w:spacing w:after="0"/>
              <w:jc w:val="center"/>
            </w:pPr>
            <w:r>
              <w:rPr>
                <w:rFonts w:ascii="Times New Roman" w:eastAsia="Times New Roman" w:hAnsi="Times New Roman" w:cs="Times New Roman"/>
                <w:b/>
                <w:color w:val="000000"/>
                <w:sz w:val="24"/>
              </w:rPr>
              <w:lastRenderedPageBreak/>
              <w:t>RÚZSR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Republiková únia zamestnávateľov</w:t>
            </w:r>
          </w:p>
        </w:tc>
        <w:tc>
          <w:tcPr>
            <w:tcW w:w="1296" w:type="dxa"/>
            <w:vAlign w:val="center"/>
          </w:tcPr>
          <w:p w14:paraId="35990187" w14:textId="77777777" w:rsidR="00421B59" w:rsidRDefault="00000000">
            <w:pPr>
              <w:spacing w:after="0"/>
              <w:jc w:val="center"/>
            </w:pPr>
            <w:r>
              <w:rPr>
                <w:rFonts w:ascii="Times New Roman" w:eastAsia="Times New Roman" w:hAnsi="Times New Roman" w:cs="Times New Roman"/>
                <w:b/>
                <w:color w:val="FF0000"/>
                <w:sz w:val="24"/>
              </w:rPr>
              <w:t>Z</w:t>
            </w:r>
          </w:p>
        </w:tc>
        <w:tc>
          <w:tcPr>
            <w:tcW w:w="6480" w:type="dxa"/>
          </w:tcPr>
          <w:p w14:paraId="49DC72A2" w14:textId="77777777" w:rsidR="00421B59" w:rsidRDefault="00000000">
            <w:pPr>
              <w:spacing w:after="0"/>
            </w:pPr>
            <w:r>
              <w:rPr>
                <w:rFonts w:ascii="Times New Roman" w:eastAsia="Times New Roman" w:hAnsi="Times New Roman" w:cs="Times New Roman"/>
                <w:b/>
                <w:color w:val="000000"/>
                <w:sz w:val="24"/>
              </w:rPr>
              <w:t>Čl. I. novelizačný bod 7, v časti § 20c ods. 11</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Žiadame doplniť dôvodovú správu o vysvetlenie praktickej aplikácie § 20c ods. 11 po uplynutí trojročného prechodného obdobia.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Dôvodová správa neposkytuje odpoveď na praktické otázky súvisiace s uplatňovaním § 20c ods. 11 po uplynutí trojročného prechodného obdobia. Nie je zrejmé, čo sa od účtovnej jednotky po uplynutí tohto obdobia očakáva, napríklad v prípade, že jej subjekty z hodnotového reťazca požadované informácie neposkytujú alebo ich neposkytujú v potrebnom rozsahu. Nie je tiež úplne jednoznačné, v akých prípadoch možno po uplynutí trojročného obdobia naďalej využiť odhad informácií a aký je praktický význam formulácie „ak je to vhodné“. Žiadame preto dôvodovú správu doplniť o bližšie vysvetlenie praktickej aplikácie predmetného ustanovenia.</w:t>
            </w:r>
          </w:p>
        </w:tc>
        <w:tc>
          <w:tcPr>
            <w:tcW w:w="778" w:type="dxa"/>
            <w:vAlign w:val="center"/>
          </w:tcPr>
          <w:p w14:paraId="29267B7B" w14:textId="77777777" w:rsidR="00421B59" w:rsidRDefault="00000000">
            <w:pPr>
              <w:spacing w:after="0"/>
              <w:jc w:val="center"/>
            </w:pPr>
            <w:r>
              <w:rPr>
                <w:rFonts w:ascii="Times New Roman" w:eastAsia="Times New Roman" w:hAnsi="Times New Roman" w:cs="Times New Roman"/>
                <w:color w:val="000000"/>
                <w:sz w:val="24"/>
              </w:rPr>
              <w:t>A</w:t>
            </w:r>
          </w:p>
        </w:tc>
        <w:tc>
          <w:tcPr>
            <w:tcW w:w="2462" w:type="dxa"/>
          </w:tcPr>
          <w:p w14:paraId="445BF43A" w14:textId="77777777" w:rsidR="00421B59" w:rsidRDefault="00421B59">
            <w:pPr>
              <w:spacing w:after="0"/>
            </w:pPr>
          </w:p>
        </w:tc>
      </w:tr>
      <w:tr w:rsidR="00421B59" w14:paraId="292C1CC9" w14:textId="77777777">
        <w:trPr>
          <w:trHeight w:val="648"/>
          <w:jc w:val="center"/>
        </w:trPr>
        <w:tc>
          <w:tcPr>
            <w:tcW w:w="1944" w:type="dxa"/>
          </w:tcPr>
          <w:p w14:paraId="3EA79FE5" w14:textId="77777777" w:rsidR="00421B59" w:rsidRDefault="00000000">
            <w:pPr>
              <w:spacing w:after="0"/>
              <w:jc w:val="center"/>
            </w:pPr>
            <w:r>
              <w:rPr>
                <w:rFonts w:ascii="Times New Roman" w:eastAsia="Times New Roman" w:hAnsi="Times New Roman" w:cs="Times New Roman"/>
                <w:b/>
                <w:color w:val="000000"/>
                <w:sz w:val="24"/>
              </w:rPr>
              <w:t>RÚZSR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Republiková únia zamestnávateľov</w:t>
            </w:r>
          </w:p>
        </w:tc>
        <w:tc>
          <w:tcPr>
            <w:tcW w:w="1296" w:type="dxa"/>
            <w:vAlign w:val="center"/>
          </w:tcPr>
          <w:p w14:paraId="3FADF84C" w14:textId="77777777" w:rsidR="00421B59" w:rsidRDefault="00000000">
            <w:pPr>
              <w:spacing w:after="0"/>
              <w:jc w:val="center"/>
            </w:pPr>
            <w:r>
              <w:rPr>
                <w:rFonts w:ascii="Times New Roman" w:eastAsia="Times New Roman" w:hAnsi="Times New Roman" w:cs="Times New Roman"/>
                <w:b/>
                <w:color w:val="FF0000"/>
                <w:sz w:val="24"/>
              </w:rPr>
              <w:t>Z</w:t>
            </w:r>
          </w:p>
        </w:tc>
        <w:tc>
          <w:tcPr>
            <w:tcW w:w="6480" w:type="dxa"/>
          </w:tcPr>
          <w:p w14:paraId="101B48DD" w14:textId="77777777" w:rsidR="00421B59" w:rsidRDefault="00000000">
            <w:pPr>
              <w:spacing w:after="0"/>
            </w:pPr>
            <w:r>
              <w:rPr>
                <w:rFonts w:ascii="Times New Roman" w:eastAsia="Times New Roman" w:hAnsi="Times New Roman" w:cs="Times New Roman"/>
                <w:b/>
                <w:color w:val="000000"/>
                <w:sz w:val="24"/>
              </w:rPr>
              <w:t>Čl. I. novelizačný bod 7, v časti § 20c ods. 12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Vo vzťahu k  20c ods. 12 prvá veta žiadame doplniť dôvodovú správu o vysvetlenie pojmov „chránená účtovná jednotka" a „chránený subjekt", najmä pokiaľ ide o okruh subjektov, na ktoré sa tieto pojmy vzťahujú, a o vysvetlenie rozdielu medzi nimi.</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 xml:space="preserve">Navrhované ustanovenie aj dôvodová správa pracujú s pojmami „chránená účtovná jednotka" a „chránený subjekt" ako so samostatnými kategóriami subjektov v hodnotovom reťazci, neobsahujú však bližšie vysvetlenie ich vzájomného rozdielu ani príklady subjektov, ktoré majú jednotlivé kategórie v aplikačnej praxi zahŕňať. Vzhľadom na to, že uvedené pojmy sú </w:t>
            </w:r>
            <w:r>
              <w:rPr>
                <w:rFonts w:ascii="Times New Roman" w:eastAsia="Times New Roman" w:hAnsi="Times New Roman" w:cs="Times New Roman"/>
                <w:color w:val="000000"/>
                <w:sz w:val="24"/>
              </w:rPr>
              <w:lastRenderedPageBreak/>
              <w:t>rozhodujúce pre určenie rozsahu informácií, ktoré môžu byť od subjektov v hodnotovom reťazci požadované, považujeme za vhodné doplniť dôvodovú správu o ich stručné vysvetlenie, prípadne o ilustratívne príklady subjektov patriacich do jednotlivých kategórií.</w:t>
            </w:r>
          </w:p>
        </w:tc>
        <w:tc>
          <w:tcPr>
            <w:tcW w:w="778" w:type="dxa"/>
            <w:vAlign w:val="center"/>
          </w:tcPr>
          <w:p w14:paraId="01C7042E" w14:textId="77777777" w:rsidR="00421B59" w:rsidRDefault="00000000">
            <w:pPr>
              <w:spacing w:after="0"/>
              <w:jc w:val="center"/>
            </w:pPr>
            <w:r>
              <w:rPr>
                <w:rFonts w:ascii="Times New Roman" w:eastAsia="Times New Roman" w:hAnsi="Times New Roman" w:cs="Times New Roman"/>
                <w:color w:val="000000"/>
                <w:sz w:val="24"/>
              </w:rPr>
              <w:lastRenderedPageBreak/>
              <w:t>A</w:t>
            </w:r>
          </w:p>
        </w:tc>
        <w:tc>
          <w:tcPr>
            <w:tcW w:w="2462" w:type="dxa"/>
          </w:tcPr>
          <w:p w14:paraId="4AF80D89" w14:textId="77777777" w:rsidR="00421B59" w:rsidRDefault="00421B59">
            <w:pPr>
              <w:spacing w:after="0"/>
            </w:pPr>
          </w:p>
        </w:tc>
      </w:tr>
      <w:tr w:rsidR="00421B59" w14:paraId="6DCB422E" w14:textId="77777777">
        <w:trPr>
          <w:trHeight w:val="648"/>
          <w:jc w:val="center"/>
        </w:trPr>
        <w:tc>
          <w:tcPr>
            <w:tcW w:w="1944" w:type="dxa"/>
          </w:tcPr>
          <w:p w14:paraId="1C591799" w14:textId="77777777" w:rsidR="00421B59" w:rsidRDefault="00000000">
            <w:pPr>
              <w:spacing w:after="0"/>
              <w:jc w:val="center"/>
            </w:pPr>
            <w:r>
              <w:rPr>
                <w:rFonts w:ascii="Times New Roman" w:eastAsia="Times New Roman" w:hAnsi="Times New Roman" w:cs="Times New Roman"/>
                <w:b/>
                <w:color w:val="000000"/>
                <w:sz w:val="24"/>
              </w:rPr>
              <w:t>RÚZSR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Republiková únia zamestnávateľov</w:t>
            </w:r>
          </w:p>
        </w:tc>
        <w:tc>
          <w:tcPr>
            <w:tcW w:w="1296" w:type="dxa"/>
            <w:vAlign w:val="center"/>
          </w:tcPr>
          <w:p w14:paraId="20EB147D" w14:textId="77777777" w:rsidR="00421B59" w:rsidRDefault="00000000">
            <w:pPr>
              <w:spacing w:after="0"/>
              <w:jc w:val="center"/>
            </w:pPr>
            <w:r>
              <w:rPr>
                <w:rFonts w:ascii="Times New Roman" w:eastAsia="Times New Roman" w:hAnsi="Times New Roman" w:cs="Times New Roman"/>
                <w:b/>
                <w:color w:val="FF0000"/>
                <w:sz w:val="24"/>
              </w:rPr>
              <w:t>Z</w:t>
            </w:r>
          </w:p>
        </w:tc>
        <w:tc>
          <w:tcPr>
            <w:tcW w:w="6480" w:type="dxa"/>
          </w:tcPr>
          <w:p w14:paraId="757DB2F5" w14:textId="77777777" w:rsidR="00421B59" w:rsidRDefault="00000000">
            <w:pPr>
              <w:spacing w:after="0"/>
            </w:pPr>
            <w:r>
              <w:rPr>
                <w:rFonts w:ascii="Times New Roman" w:eastAsia="Times New Roman" w:hAnsi="Times New Roman" w:cs="Times New Roman"/>
                <w:b/>
                <w:color w:val="000000"/>
                <w:sz w:val="24"/>
              </w:rPr>
              <w:t>Čl. I. novelizačný bod 7, v časti § 20c ods. 12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Žiadame doplniť dôvodovú správu o stanovenie formy vyhlásenia podľa § 20c ods. 12.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Dôvodová správa neobjasňuje, akou formou má byť vyhlásenie subjektu vydané ani aké minimálne náležitosti má obsahovať. Nie je zrejmé, či postačuje jednoduché vyhlásenie, písomné čestné vyhlásenie alebo iná forma preukázania. Z dôvodu zabezpečenia jednotnej aplikačnej praxe žiadame dôvodovú správu v tomto smere doplniť.</w:t>
            </w:r>
          </w:p>
        </w:tc>
        <w:tc>
          <w:tcPr>
            <w:tcW w:w="778" w:type="dxa"/>
            <w:vAlign w:val="center"/>
          </w:tcPr>
          <w:p w14:paraId="72476001" w14:textId="77777777" w:rsidR="00421B59" w:rsidRDefault="00000000">
            <w:pPr>
              <w:spacing w:after="0"/>
              <w:jc w:val="center"/>
            </w:pPr>
            <w:r>
              <w:rPr>
                <w:rFonts w:ascii="Times New Roman" w:eastAsia="Times New Roman" w:hAnsi="Times New Roman" w:cs="Times New Roman"/>
                <w:color w:val="000000"/>
                <w:sz w:val="24"/>
              </w:rPr>
              <w:t>ČA</w:t>
            </w:r>
          </w:p>
        </w:tc>
        <w:tc>
          <w:tcPr>
            <w:tcW w:w="2462" w:type="dxa"/>
          </w:tcPr>
          <w:p w14:paraId="373B0212" w14:textId="77777777" w:rsidR="00421B59" w:rsidRDefault="00000000">
            <w:pPr>
              <w:spacing w:after="0"/>
            </w:pPr>
            <w:r>
              <w:rPr>
                <w:rFonts w:ascii="Times New Roman" w:eastAsia="Times New Roman" w:hAnsi="Times New Roman" w:cs="Times New Roman"/>
                <w:color w:val="000000"/>
                <w:sz w:val="24"/>
              </w:rPr>
              <w:t>V rámci rozporového konania bol rozpor odstránený. Zámerom smernice (EÚ) 2026/470 nie je stanovenie formy vyhlásenia, čo bolo do dôvodovej správy doplnené.</w:t>
            </w:r>
          </w:p>
        </w:tc>
      </w:tr>
      <w:tr w:rsidR="00421B59" w14:paraId="0AF85DCF" w14:textId="77777777">
        <w:trPr>
          <w:trHeight w:val="648"/>
          <w:jc w:val="center"/>
        </w:trPr>
        <w:tc>
          <w:tcPr>
            <w:tcW w:w="1944" w:type="dxa"/>
          </w:tcPr>
          <w:p w14:paraId="29B6D027" w14:textId="77777777" w:rsidR="00421B59" w:rsidRDefault="00000000">
            <w:pPr>
              <w:spacing w:after="0"/>
              <w:jc w:val="center"/>
            </w:pPr>
            <w:r>
              <w:rPr>
                <w:rFonts w:ascii="Times New Roman" w:eastAsia="Times New Roman" w:hAnsi="Times New Roman" w:cs="Times New Roman"/>
                <w:b/>
                <w:color w:val="000000"/>
                <w:sz w:val="24"/>
              </w:rPr>
              <w:t>RÚZSR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Republiková únia zamestnávateľov</w:t>
            </w:r>
          </w:p>
        </w:tc>
        <w:tc>
          <w:tcPr>
            <w:tcW w:w="1296" w:type="dxa"/>
            <w:vAlign w:val="center"/>
          </w:tcPr>
          <w:p w14:paraId="655C424E" w14:textId="77777777" w:rsidR="00421B59" w:rsidRDefault="00000000">
            <w:pPr>
              <w:spacing w:after="0"/>
              <w:jc w:val="center"/>
            </w:pPr>
            <w:r>
              <w:rPr>
                <w:rFonts w:ascii="Times New Roman" w:eastAsia="Times New Roman" w:hAnsi="Times New Roman" w:cs="Times New Roman"/>
                <w:b/>
                <w:color w:val="FF0000"/>
                <w:sz w:val="24"/>
              </w:rPr>
              <w:t>Z</w:t>
            </w:r>
          </w:p>
        </w:tc>
        <w:tc>
          <w:tcPr>
            <w:tcW w:w="6480" w:type="dxa"/>
          </w:tcPr>
          <w:p w14:paraId="1F6897E2" w14:textId="77777777" w:rsidR="00421B59" w:rsidRDefault="00000000">
            <w:pPr>
              <w:spacing w:after="0"/>
            </w:pPr>
            <w:r>
              <w:rPr>
                <w:rFonts w:ascii="Times New Roman" w:eastAsia="Times New Roman" w:hAnsi="Times New Roman" w:cs="Times New Roman"/>
                <w:b/>
                <w:color w:val="000000"/>
                <w:sz w:val="24"/>
              </w:rPr>
              <w:t>Čl. I. novelizačný bod 7, v časti § 20c ods. 12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Žiadame doplniť dôvodovú správu o bližšie vysvetlenie dôkazného režimu podľa § 20c ods. 12.</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Dôvodová správa nerieši, kto nesie dôkazné bremeno vo vzťahu k vyhláseniu chráneného subjektu ani akým spôsobom sa bude posudzovať splnenie podmienky, že vykazujúca účtovná jednotka „vedela alebo mohla vedieť“, že vyhlásenie je nesprávne. Nie je zrejmé, či pravdivosť vyhlásenia preukazuje subjekt, ktorý vyhlásenie vydáva, alebo vykazujúca účtovná jednotka, ani aké okolnosti budú rozhodujúce pri posudzovaní toho, či vykazujúca účtovná jednotka vedela alebo mohla vedieť o jeho nesprávnosti. Žiadame preto dôvodovú správu doplniť o bližšie vysvetlenie týchto praktických otázok.</w:t>
            </w:r>
          </w:p>
        </w:tc>
        <w:tc>
          <w:tcPr>
            <w:tcW w:w="778" w:type="dxa"/>
            <w:vAlign w:val="center"/>
          </w:tcPr>
          <w:p w14:paraId="0A978203" w14:textId="77777777" w:rsidR="00421B59" w:rsidRDefault="00000000">
            <w:pPr>
              <w:spacing w:after="0"/>
              <w:jc w:val="center"/>
            </w:pPr>
            <w:r>
              <w:rPr>
                <w:rFonts w:ascii="Times New Roman" w:eastAsia="Times New Roman" w:hAnsi="Times New Roman" w:cs="Times New Roman"/>
                <w:color w:val="000000"/>
                <w:sz w:val="24"/>
              </w:rPr>
              <w:t>A</w:t>
            </w:r>
          </w:p>
        </w:tc>
        <w:tc>
          <w:tcPr>
            <w:tcW w:w="2462" w:type="dxa"/>
          </w:tcPr>
          <w:p w14:paraId="71635673" w14:textId="77777777" w:rsidR="00421B59" w:rsidRDefault="00421B59">
            <w:pPr>
              <w:spacing w:after="0"/>
            </w:pPr>
          </w:p>
        </w:tc>
      </w:tr>
      <w:tr w:rsidR="00421B59" w14:paraId="0D1E8AFF" w14:textId="77777777">
        <w:trPr>
          <w:trHeight w:val="648"/>
          <w:jc w:val="center"/>
        </w:trPr>
        <w:tc>
          <w:tcPr>
            <w:tcW w:w="1944" w:type="dxa"/>
          </w:tcPr>
          <w:p w14:paraId="7533948E" w14:textId="77777777" w:rsidR="00421B59" w:rsidRDefault="00000000">
            <w:pPr>
              <w:spacing w:after="0"/>
              <w:jc w:val="center"/>
            </w:pPr>
            <w:r>
              <w:rPr>
                <w:rFonts w:ascii="Times New Roman" w:eastAsia="Times New Roman" w:hAnsi="Times New Roman" w:cs="Times New Roman"/>
                <w:b/>
                <w:color w:val="000000"/>
                <w:sz w:val="24"/>
              </w:rPr>
              <w:lastRenderedPageBreak/>
              <w:t>RÚZSR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Republiková únia zamestnávateľov</w:t>
            </w:r>
          </w:p>
        </w:tc>
        <w:tc>
          <w:tcPr>
            <w:tcW w:w="1296" w:type="dxa"/>
            <w:vAlign w:val="center"/>
          </w:tcPr>
          <w:p w14:paraId="56D6FAEE" w14:textId="77777777" w:rsidR="00421B59" w:rsidRDefault="00000000">
            <w:pPr>
              <w:spacing w:after="0"/>
              <w:jc w:val="center"/>
            </w:pPr>
            <w:r>
              <w:rPr>
                <w:rFonts w:ascii="Times New Roman" w:eastAsia="Times New Roman" w:hAnsi="Times New Roman" w:cs="Times New Roman"/>
                <w:b/>
                <w:color w:val="FF0000"/>
                <w:sz w:val="24"/>
              </w:rPr>
              <w:t>Z</w:t>
            </w:r>
          </w:p>
        </w:tc>
        <w:tc>
          <w:tcPr>
            <w:tcW w:w="6480" w:type="dxa"/>
          </w:tcPr>
          <w:p w14:paraId="1065534E" w14:textId="77777777" w:rsidR="00421B59" w:rsidRDefault="00000000">
            <w:pPr>
              <w:spacing w:after="0"/>
            </w:pPr>
            <w:r>
              <w:rPr>
                <w:rFonts w:ascii="Times New Roman" w:eastAsia="Times New Roman" w:hAnsi="Times New Roman" w:cs="Times New Roman"/>
                <w:b/>
                <w:color w:val="000000"/>
                <w:sz w:val="24"/>
              </w:rPr>
              <w:t>Čl. I. novelizačný bod 7, v časti § 20c ods. 12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Žiadame doplniť dôvodovú správu tak, aby bolo jednoznačne uvedené, že postavenie chránenej účtovnej jednotky alebo chráneného subjektu sa posudzuje na úrovni konkrétnej účtovnej jednotky (samostatného právneho subjektu).</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Žiadame, aby dôvodová správa výslovne uviedla, že postavenie chránenej účtovnej jednotky alebo chráneného subjektu sa posudzuje vo vzťahu ku každej účtovnej jednotke samostatne (jedno IČO = jedna firma). Takéto spresnenie prispeje k jednotnej aplikačnej praxi pri určovaní rozsahu informácií, ktoré môžu byť od jednotlivých subjektov v hodnotovom reťazci požadované.</w:t>
            </w:r>
          </w:p>
        </w:tc>
        <w:tc>
          <w:tcPr>
            <w:tcW w:w="778" w:type="dxa"/>
            <w:vAlign w:val="center"/>
          </w:tcPr>
          <w:p w14:paraId="1A399ED2" w14:textId="77777777" w:rsidR="00421B59" w:rsidRDefault="00000000">
            <w:pPr>
              <w:spacing w:after="0"/>
              <w:jc w:val="center"/>
            </w:pPr>
            <w:r>
              <w:rPr>
                <w:rFonts w:ascii="Times New Roman" w:eastAsia="Times New Roman" w:hAnsi="Times New Roman" w:cs="Times New Roman"/>
                <w:color w:val="000000"/>
                <w:sz w:val="24"/>
              </w:rPr>
              <w:t>N</w:t>
            </w:r>
          </w:p>
        </w:tc>
        <w:tc>
          <w:tcPr>
            <w:tcW w:w="2462" w:type="dxa"/>
          </w:tcPr>
          <w:p w14:paraId="2F8E9CB5" w14:textId="77777777" w:rsidR="00421B59" w:rsidRDefault="00000000">
            <w:pPr>
              <w:spacing w:after="0"/>
            </w:pPr>
            <w:r>
              <w:rPr>
                <w:rFonts w:ascii="Times New Roman" w:eastAsia="Times New Roman" w:hAnsi="Times New Roman" w:cs="Times New Roman"/>
                <w:color w:val="000000"/>
                <w:sz w:val="24"/>
              </w:rPr>
              <w:t>V rámci rozporového konania bola pripomienka preklasifikovaná na obyčajnú a rozpor bol odstránený. Uvedené vyplýva z definície účtovnej jednotky.</w:t>
            </w:r>
          </w:p>
        </w:tc>
      </w:tr>
      <w:tr w:rsidR="00421B59" w14:paraId="548E3D42" w14:textId="77777777">
        <w:trPr>
          <w:trHeight w:val="648"/>
          <w:jc w:val="center"/>
        </w:trPr>
        <w:tc>
          <w:tcPr>
            <w:tcW w:w="1944" w:type="dxa"/>
          </w:tcPr>
          <w:p w14:paraId="67C717CD" w14:textId="77777777" w:rsidR="00421B59" w:rsidRDefault="00000000">
            <w:pPr>
              <w:spacing w:after="0"/>
              <w:jc w:val="center"/>
            </w:pPr>
            <w:r>
              <w:rPr>
                <w:rFonts w:ascii="Times New Roman" w:eastAsia="Times New Roman" w:hAnsi="Times New Roman" w:cs="Times New Roman"/>
                <w:b/>
                <w:color w:val="000000"/>
                <w:sz w:val="24"/>
              </w:rPr>
              <w:t>RÚZSR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Republiková únia zamestnávateľov</w:t>
            </w:r>
          </w:p>
        </w:tc>
        <w:tc>
          <w:tcPr>
            <w:tcW w:w="1296" w:type="dxa"/>
            <w:vAlign w:val="center"/>
          </w:tcPr>
          <w:p w14:paraId="5BE8F208" w14:textId="77777777" w:rsidR="00421B59" w:rsidRDefault="00000000">
            <w:pPr>
              <w:spacing w:after="0"/>
              <w:jc w:val="center"/>
            </w:pPr>
            <w:r>
              <w:rPr>
                <w:rFonts w:ascii="Times New Roman" w:eastAsia="Times New Roman" w:hAnsi="Times New Roman" w:cs="Times New Roman"/>
                <w:b/>
                <w:color w:val="FF0000"/>
                <w:sz w:val="24"/>
              </w:rPr>
              <w:t>Z</w:t>
            </w:r>
          </w:p>
        </w:tc>
        <w:tc>
          <w:tcPr>
            <w:tcW w:w="6480" w:type="dxa"/>
          </w:tcPr>
          <w:p w14:paraId="1299FF97" w14:textId="77777777" w:rsidR="00421B59" w:rsidRDefault="00000000">
            <w:pPr>
              <w:spacing w:after="0"/>
            </w:pPr>
            <w:r>
              <w:rPr>
                <w:rFonts w:ascii="Times New Roman" w:eastAsia="Times New Roman" w:hAnsi="Times New Roman" w:cs="Times New Roman"/>
                <w:b/>
                <w:color w:val="000000"/>
                <w:sz w:val="24"/>
              </w:rPr>
              <w:t>Čl. I. novelizačný bod 7, v časti § 20c ods. 12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čl. I bode 7 (§ 20c ods. 12 tretia veta) žiadame pred slovo „nesprávne" vložiť slovo „zjavne".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 xml:space="preserve">Navrhované ustanovenie transponuje čl. 19a ods. 3 smernice Európskeho parlamentu a Rady 2013/34/EÚ v znení smernice (EÚ) 2026/470, podľa ktorého sa účtovná jednotka môže spoľahnúť na vyhlásenie subjektu z hodnotového reťazca, ibaže vedela alebo mohla vedieť, že toto vyhlásenie je zjavne nesprávne. Predložený návrh zákona slovo „zjavne“ vypúšťa, čím sa mení štandard, po prekročení ktorého účtovná jednotka stráca možnosť spoľahnúť sa na vyhlásenie subjektu z hodnotového reťazca. Smernica pritom viaže túto výnimku na prípady, keď je nesprávnosť vyhlásenia zjavná, zatiaľ čo navrhované znenie túto kvalifikáciu neobsahuje. Vypustením slova „zjavne“ dochádza k rozšíreniu rozsahu starostlivosti, </w:t>
            </w:r>
            <w:r>
              <w:rPr>
                <w:rFonts w:ascii="Times New Roman" w:eastAsia="Times New Roman" w:hAnsi="Times New Roman" w:cs="Times New Roman"/>
                <w:color w:val="000000"/>
                <w:sz w:val="24"/>
              </w:rPr>
              <w:lastRenderedPageBreak/>
              <w:t>ktorú možno od účtovnej jednotky požadovať pri posudzovaní správnosti vyhlásení subjektov z hodnotového reťazca, a tým aj k rozšíreniu jej povinností nad rámec smernice.</w:t>
            </w:r>
          </w:p>
        </w:tc>
        <w:tc>
          <w:tcPr>
            <w:tcW w:w="778" w:type="dxa"/>
            <w:vAlign w:val="center"/>
          </w:tcPr>
          <w:p w14:paraId="38EEFFCD" w14:textId="77777777" w:rsidR="00421B59" w:rsidRDefault="00000000">
            <w:pPr>
              <w:spacing w:after="0"/>
              <w:jc w:val="center"/>
            </w:pPr>
            <w:r>
              <w:rPr>
                <w:rFonts w:ascii="Times New Roman" w:eastAsia="Times New Roman" w:hAnsi="Times New Roman" w:cs="Times New Roman"/>
                <w:color w:val="000000"/>
                <w:sz w:val="24"/>
              </w:rPr>
              <w:lastRenderedPageBreak/>
              <w:t>A</w:t>
            </w:r>
          </w:p>
        </w:tc>
        <w:tc>
          <w:tcPr>
            <w:tcW w:w="2462" w:type="dxa"/>
          </w:tcPr>
          <w:p w14:paraId="43D81AF0" w14:textId="77777777" w:rsidR="00421B59" w:rsidRDefault="00421B59">
            <w:pPr>
              <w:spacing w:after="0"/>
            </w:pPr>
          </w:p>
        </w:tc>
      </w:tr>
      <w:tr w:rsidR="00421B59" w14:paraId="6592781C" w14:textId="77777777">
        <w:trPr>
          <w:trHeight w:val="648"/>
          <w:jc w:val="center"/>
        </w:trPr>
        <w:tc>
          <w:tcPr>
            <w:tcW w:w="1944" w:type="dxa"/>
          </w:tcPr>
          <w:p w14:paraId="6FD0DF2C" w14:textId="77777777" w:rsidR="00421B59" w:rsidRDefault="00000000">
            <w:pPr>
              <w:spacing w:after="0"/>
              <w:jc w:val="center"/>
            </w:pPr>
            <w:r>
              <w:rPr>
                <w:rFonts w:ascii="Times New Roman" w:eastAsia="Times New Roman" w:hAnsi="Times New Roman" w:cs="Times New Roman"/>
                <w:b/>
                <w:color w:val="000000"/>
                <w:sz w:val="24"/>
              </w:rPr>
              <w:t>RÚZSR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Republiková únia zamestnávateľov</w:t>
            </w:r>
          </w:p>
        </w:tc>
        <w:tc>
          <w:tcPr>
            <w:tcW w:w="1296" w:type="dxa"/>
            <w:vAlign w:val="center"/>
          </w:tcPr>
          <w:p w14:paraId="3B0E7ECA" w14:textId="77777777" w:rsidR="00421B59" w:rsidRDefault="00000000">
            <w:pPr>
              <w:spacing w:after="0"/>
              <w:jc w:val="center"/>
            </w:pPr>
            <w:r>
              <w:rPr>
                <w:rFonts w:ascii="Times New Roman" w:eastAsia="Times New Roman" w:hAnsi="Times New Roman" w:cs="Times New Roman"/>
                <w:b/>
                <w:color w:val="FF0000"/>
                <w:sz w:val="24"/>
              </w:rPr>
              <w:t>Z</w:t>
            </w:r>
          </w:p>
        </w:tc>
        <w:tc>
          <w:tcPr>
            <w:tcW w:w="6480" w:type="dxa"/>
          </w:tcPr>
          <w:p w14:paraId="3622E320" w14:textId="77777777" w:rsidR="00421B59" w:rsidRDefault="00000000">
            <w:pPr>
              <w:spacing w:after="0"/>
            </w:pPr>
            <w:r>
              <w:rPr>
                <w:rFonts w:ascii="Times New Roman" w:eastAsia="Times New Roman" w:hAnsi="Times New Roman" w:cs="Times New Roman"/>
                <w:b/>
                <w:color w:val="000000"/>
                <w:sz w:val="24"/>
              </w:rPr>
              <w:t>Čl. I. novelizačný bod 7, v časti § 20c ods. 13</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20c ods. 13 žiadame vo všetkých gramatických tvaroch nahradiť spojku „a“ medzi slovami „chránená účtovná jednotka“ a „chránený subjekt“ spojkou „alebo“, tak aby bolo znenie ustanovenia zosúladené s prvou vetou odseku 13.</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Prvá veta odseku 13 vychádza z alternatívneho postavenia chránenej účtovnej jednotky alebo chráneného subjektu. Použitie spojky „a“ v ďalšom texte ustanovenia preto nepovažujeme za systematicky konzistentné.</w:t>
            </w:r>
          </w:p>
        </w:tc>
        <w:tc>
          <w:tcPr>
            <w:tcW w:w="778" w:type="dxa"/>
            <w:vAlign w:val="center"/>
          </w:tcPr>
          <w:p w14:paraId="737010FF" w14:textId="77777777" w:rsidR="00421B59" w:rsidRDefault="00000000">
            <w:pPr>
              <w:spacing w:after="0"/>
              <w:jc w:val="center"/>
            </w:pPr>
            <w:r>
              <w:rPr>
                <w:rFonts w:ascii="Times New Roman" w:eastAsia="Times New Roman" w:hAnsi="Times New Roman" w:cs="Times New Roman"/>
                <w:color w:val="000000"/>
                <w:sz w:val="24"/>
              </w:rPr>
              <w:t>N</w:t>
            </w:r>
          </w:p>
        </w:tc>
        <w:tc>
          <w:tcPr>
            <w:tcW w:w="2462" w:type="dxa"/>
          </w:tcPr>
          <w:p w14:paraId="2D4906B1" w14:textId="77777777" w:rsidR="00421B59" w:rsidRDefault="00000000">
            <w:pPr>
              <w:spacing w:after="0"/>
            </w:pPr>
            <w:r>
              <w:rPr>
                <w:rFonts w:ascii="Times New Roman" w:eastAsia="Times New Roman" w:hAnsi="Times New Roman" w:cs="Times New Roman"/>
                <w:color w:val="000000"/>
                <w:sz w:val="24"/>
              </w:rPr>
              <w:t>V rámci rozporového konania bolo vysvetlenie ustanovenia akceptované a rozpor bol odstránený.</w:t>
            </w:r>
          </w:p>
        </w:tc>
      </w:tr>
      <w:tr w:rsidR="00421B59" w14:paraId="597F7C59" w14:textId="77777777">
        <w:trPr>
          <w:trHeight w:val="648"/>
          <w:jc w:val="center"/>
        </w:trPr>
        <w:tc>
          <w:tcPr>
            <w:tcW w:w="1944" w:type="dxa"/>
          </w:tcPr>
          <w:p w14:paraId="3F16B2C6" w14:textId="77777777" w:rsidR="00421B59" w:rsidRDefault="00000000">
            <w:pPr>
              <w:spacing w:after="0"/>
              <w:jc w:val="center"/>
            </w:pPr>
            <w:r>
              <w:rPr>
                <w:rFonts w:ascii="Times New Roman" w:eastAsia="Times New Roman" w:hAnsi="Times New Roman" w:cs="Times New Roman"/>
                <w:b/>
                <w:color w:val="000000"/>
                <w:sz w:val="24"/>
              </w:rPr>
              <w:t>RÚZSR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Republiková únia zamestnávateľov</w:t>
            </w:r>
          </w:p>
        </w:tc>
        <w:tc>
          <w:tcPr>
            <w:tcW w:w="1296" w:type="dxa"/>
            <w:vAlign w:val="center"/>
          </w:tcPr>
          <w:p w14:paraId="64D51F48" w14:textId="77777777" w:rsidR="00421B59" w:rsidRDefault="00000000">
            <w:pPr>
              <w:spacing w:after="0"/>
              <w:jc w:val="center"/>
            </w:pPr>
            <w:r>
              <w:rPr>
                <w:rFonts w:ascii="Times New Roman" w:eastAsia="Times New Roman" w:hAnsi="Times New Roman" w:cs="Times New Roman"/>
                <w:b/>
                <w:color w:val="FF0000"/>
                <w:sz w:val="24"/>
              </w:rPr>
              <w:t>Z</w:t>
            </w:r>
          </w:p>
        </w:tc>
        <w:tc>
          <w:tcPr>
            <w:tcW w:w="6480" w:type="dxa"/>
          </w:tcPr>
          <w:p w14:paraId="5F1E06B0" w14:textId="77777777" w:rsidR="00421B59" w:rsidRDefault="00000000">
            <w:pPr>
              <w:spacing w:after="0"/>
            </w:pPr>
            <w:r>
              <w:rPr>
                <w:rFonts w:ascii="Times New Roman" w:eastAsia="Times New Roman" w:hAnsi="Times New Roman" w:cs="Times New Roman"/>
                <w:b/>
                <w:color w:val="000000"/>
                <w:sz w:val="24"/>
              </w:rPr>
              <w:t>Čl. I. novelizačný bod 7, v časti § 20c ods. 14</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20c ods. 14 žiadame za slová „Chránená účtovná jednotka" vložiť slová „alebo chránený subjekt".</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Ustanovenie § 20c ods. 13 priznáva ochranu a právo odmietnuť poskytnutie informácií nad rámec dobrovoľných štandardov chránenej účtovnej jednotke aj chránenému subjektu. V § 20c ods. 14 je však predmetné oprávnenie priznané výlučne chránenej účtovnej jednotke. Navrhujeme preto znenie ustanovenia zosúladiť s predchádzajúcimi odsekmi a rozšíriť predmetné oprávnenie aj na chránený subjekt.</w:t>
            </w:r>
          </w:p>
        </w:tc>
        <w:tc>
          <w:tcPr>
            <w:tcW w:w="778" w:type="dxa"/>
            <w:vAlign w:val="center"/>
          </w:tcPr>
          <w:p w14:paraId="1DF37F9B" w14:textId="77777777" w:rsidR="00421B59" w:rsidRDefault="00000000">
            <w:pPr>
              <w:spacing w:after="0"/>
              <w:jc w:val="center"/>
            </w:pPr>
            <w:r>
              <w:rPr>
                <w:rFonts w:ascii="Times New Roman" w:eastAsia="Times New Roman" w:hAnsi="Times New Roman" w:cs="Times New Roman"/>
                <w:color w:val="000000"/>
                <w:sz w:val="24"/>
              </w:rPr>
              <w:t>N</w:t>
            </w:r>
          </w:p>
        </w:tc>
        <w:tc>
          <w:tcPr>
            <w:tcW w:w="2462" w:type="dxa"/>
          </w:tcPr>
          <w:p w14:paraId="217325D7" w14:textId="77777777" w:rsidR="00421B59" w:rsidRDefault="00000000">
            <w:pPr>
              <w:spacing w:after="0"/>
            </w:pPr>
            <w:r>
              <w:rPr>
                <w:rFonts w:ascii="Times New Roman" w:eastAsia="Times New Roman" w:hAnsi="Times New Roman" w:cs="Times New Roman"/>
                <w:color w:val="000000"/>
                <w:sz w:val="24"/>
              </w:rPr>
              <w:t>V rámci rozporového konania bolo vysvetlenie ustanovenia akceptované a rozpor bol odstránený.</w:t>
            </w:r>
          </w:p>
        </w:tc>
      </w:tr>
      <w:tr w:rsidR="00421B59" w14:paraId="1443644A" w14:textId="77777777">
        <w:trPr>
          <w:trHeight w:val="648"/>
          <w:jc w:val="center"/>
        </w:trPr>
        <w:tc>
          <w:tcPr>
            <w:tcW w:w="1944" w:type="dxa"/>
          </w:tcPr>
          <w:p w14:paraId="0AD25AF8" w14:textId="77777777" w:rsidR="00421B59" w:rsidRDefault="00000000">
            <w:pPr>
              <w:spacing w:after="0"/>
              <w:jc w:val="center"/>
            </w:pPr>
            <w:r>
              <w:rPr>
                <w:rFonts w:ascii="Times New Roman" w:eastAsia="Times New Roman" w:hAnsi="Times New Roman" w:cs="Times New Roman"/>
                <w:b/>
                <w:color w:val="000000"/>
                <w:sz w:val="24"/>
              </w:rPr>
              <w:t>RÚZSR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Republiková únia zamestnávateľov</w:t>
            </w:r>
          </w:p>
        </w:tc>
        <w:tc>
          <w:tcPr>
            <w:tcW w:w="1296" w:type="dxa"/>
            <w:vAlign w:val="center"/>
          </w:tcPr>
          <w:p w14:paraId="42F8A081" w14:textId="77777777" w:rsidR="00421B59" w:rsidRDefault="00000000">
            <w:pPr>
              <w:spacing w:after="0"/>
              <w:jc w:val="center"/>
            </w:pPr>
            <w:r>
              <w:rPr>
                <w:rFonts w:ascii="Times New Roman" w:eastAsia="Times New Roman" w:hAnsi="Times New Roman" w:cs="Times New Roman"/>
                <w:b/>
                <w:color w:val="FF0000"/>
                <w:sz w:val="24"/>
              </w:rPr>
              <w:t>Z</w:t>
            </w:r>
          </w:p>
        </w:tc>
        <w:tc>
          <w:tcPr>
            <w:tcW w:w="6480" w:type="dxa"/>
          </w:tcPr>
          <w:p w14:paraId="5732487B" w14:textId="77777777" w:rsidR="00421B59" w:rsidRDefault="00000000">
            <w:pPr>
              <w:spacing w:after="0"/>
            </w:pPr>
            <w:r>
              <w:rPr>
                <w:rFonts w:ascii="Times New Roman" w:eastAsia="Times New Roman" w:hAnsi="Times New Roman" w:cs="Times New Roman"/>
                <w:b/>
                <w:color w:val="000000"/>
                <w:sz w:val="24"/>
              </w:rPr>
              <w:t>Čl. I. novelizačný bod 7, v časti § 20c ods. 14</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Žiadame doplniť dôvodovú správu o vysvetlenie účelu formulácie „so sídlom na území niektorého členského štátu okrem Slovenskej republiky" v § 20c ods. 14 a jej praktickej aplikácie.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br/>
              <w:t>Odôvodnenie:</w:t>
            </w:r>
            <w:r>
              <w:rPr>
                <w:rFonts w:ascii="Times New Roman" w:eastAsia="Times New Roman" w:hAnsi="Times New Roman" w:cs="Times New Roman"/>
                <w:color w:val="000000"/>
                <w:sz w:val="24"/>
              </w:rPr>
              <w:br/>
              <w:t>Ustanovenie § 20c ods. 14 priznáva chránenej účtovnej jednotke právo odmietnuť poskytnutie informácií nad rámec dobrovoľných štandardov voči vykazujúcej účtovnej jednotke alebo právnickej osobe so sídlom na území niektorého členského štátu okrem Slovenskej republiky. Z dôvodovej správy však nie je zrejmé, z akého dôvodu sa v predmetnom ustanovení osobitne uvádzajú právnické osoby so sídlom v inom členskom štáte Európskej únie ani aký je praktický význam tohto rozlíšenia. Žiadame preto dôvodovú správu doplniť o vysvetlenie účelu tejto formulácie a jej praktickej aplikácie.</w:t>
            </w:r>
          </w:p>
        </w:tc>
        <w:tc>
          <w:tcPr>
            <w:tcW w:w="778" w:type="dxa"/>
            <w:vAlign w:val="center"/>
          </w:tcPr>
          <w:p w14:paraId="3F138BCC" w14:textId="77777777" w:rsidR="00421B59" w:rsidRDefault="00000000">
            <w:pPr>
              <w:spacing w:after="0"/>
              <w:jc w:val="center"/>
            </w:pPr>
            <w:r>
              <w:rPr>
                <w:rFonts w:ascii="Times New Roman" w:eastAsia="Times New Roman" w:hAnsi="Times New Roman" w:cs="Times New Roman"/>
                <w:color w:val="000000"/>
                <w:sz w:val="24"/>
              </w:rPr>
              <w:lastRenderedPageBreak/>
              <w:t>A</w:t>
            </w:r>
          </w:p>
        </w:tc>
        <w:tc>
          <w:tcPr>
            <w:tcW w:w="2462" w:type="dxa"/>
          </w:tcPr>
          <w:p w14:paraId="6BE6E746" w14:textId="77777777" w:rsidR="00421B59" w:rsidRDefault="00421B59">
            <w:pPr>
              <w:spacing w:after="0"/>
            </w:pPr>
          </w:p>
        </w:tc>
      </w:tr>
      <w:tr w:rsidR="00421B59" w14:paraId="45489A04" w14:textId="77777777">
        <w:trPr>
          <w:trHeight w:val="648"/>
          <w:jc w:val="center"/>
        </w:trPr>
        <w:tc>
          <w:tcPr>
            <w:tcW w:w="1944" w:type="dxa"/>
          </w:tcPr>
          <w:p w14:paraId="786B2819" w14:textId="77777777" w:rsidR="00421B59" w:rsidRDefault="00000000">
            <w:pPr>
              <w:spacing w:after="0"/>
              <w:jc w:val="center"/>
            </w:pPr>
            <w:r>
              <w:rPr>
                <w:rFonts w:ascii="Times New Roman" w:eastAsia="Times New Roman" w:hAnsi="Times New Roman" w:cs="Times New Roman"/>
                <w:b/>
                <w:color w:val="000000"/>
                <w:sz w:val="24"/>
              </w:rPr>
              <w:t>RÚZSR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Republiková únia zamestnávateľov</w:t>
            </w:r>
          </w:p>
        </w:tc>
        <w:tc>
          <w:tcPr>
            <w:tcW w:w="1296" w:type="dxa"/>
            <w:vAlign w:val="center"/>
          </w:tcPr>
          <w:p w14:paraId="41EE3048" w14:textId="77777777" w:rsidR="00421B59" w:rsidRDefault="00000000">
            <w:pPr>
              <w:spacing w:after="0"/>
              <w:jc w:val="center"/>
            </w:pPr>
            <w:r>
              <w:rPr>
                <w:rFonts w:ascii="Times New Roman" w:eastAsia="Times New Roman" w:hAnsi="Times New Roman" w:cs="Times New Roman"/>
                <w:b/>
                <w:color w:val="FF0000"/>
                <w:sz w:val="24"/>
              </w:rPr>
              <w:t>Z</w:t>
            </w:r>
          </w:p>
        </w:tc>
        <w:tc>
          <w:tcPr>
            <w:tcW w:w="6480" w:type="dxa"/>
          </w:tcPr>
          <w:p w14:paraId="69BF14E4" w14:textId="77777777" w:rsidR="00421B59" w:rsidRDefault="00000000">
            <w:pPr>
              <w:spacing w:after="0"/>
            </w:pPr>
            <w:r>
              <w:rPr>
                <w:rFonts w:ascii="Times New Roman" w:eastAsia="Times New Roman" w:hAnsi="Times New Roman" w:cs="Times New Roman"/>
                <w:b/>
                <w:color w:val="000000"/>
                <w:sz w:val="24"/>
              </w:rPr>
              <w:t>Čl. I. novelizačný bod 15,</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Žiadame v dôvodovej správe špecifikovať, čo sa na účely tohto zákona rozumie pojmom „priemerný prepočítaný počet zamestnancov" a podľa akej metodiky sa tento údaj určuje.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Priemerný prepočítaný počet zamestnancov predstavuje rozhodujúce kritérium pre vznik alebo zánik viacerých povinností podľa zákona. Vzhľadom na význam tohto kritéria pre určenie rozsahu povinností jednotlivých subjektov považujeme za potrebné, aby dôvodová správa výslovne uviedla metodiku, z ktorej sa má pri určovaní priemerného prepočítaného počtu zamestnancov vychádzať. Takéto spresnenie prispeje k jednotnej aplikačnej praxi pri posudzovaní splnenia jednotlivých zákonných prahových hodnôt a zvýši právnu istotu dotknutých subjektov.</w:t>
            </w:r>
          </w:p>
        </w:tc>
        <w:tc>
          <w:tcPr>
            <w:tcW w:w="778" w:type="dxa"/>
            <w:vAlign w:val="center"/>
          </w:tcPr>
          <w:p w14:paraId="62916DC1" w14:textId="77777777" w:rsidR="00421B59" w:rsidRDefault="00000000">
            <w:pPr>
              <w:spacing w:after="0"/>
              <w:jc w:val="center"/>
            </w:pPr>
            <w:r>
              <w:rPr>
                <w:rFonts w:ascii="Times New Roman" w:eastAsia="Times New Roman" w:hAnsi="Times New Roman" w:cs="Times New Roman"/>
                <w:color w:val="000000"/>
                <w:sz w:val="24"/>
              </w:rPr>
              <w:t>A</w:t>
            </w:r>
          </w:p>
        </w:tc>
        <w:tc>
          <w:tcPr>
            <w:tcW w:w="2462" w:type="dxa"/>
          </w:tcPr>
          <w:p w14:paraId="002C79C8" w14:textId="77777777" w:rsidR="00421B59" w:rsidRDefault="00421B59">
            <w:pPr>
              <w:spacing w:after="0"/>
            </w:pPr>
          </w:p>
        </w:tc>
      </w:tr>
      <w:tr w:rsidR="00421B59" w14:paraId="0D6E9CBE" w14:textId="77777777">
        <w:trPr>
          <w:trHeight w:val="648"/>
          <w:jc w:val="center"/>
        </w:trPr>
        <w:tc>
          <w:tcPr>
            <w:tcW w:w="1944" w:type="dxa"/>
          </w:tcPr>
          <w:p w14:paraId="0D495350" w14:textId="77777777" w:rsidR="00421B59" w:rsidRDefault="00000000">
            <w:pPr>
              <w:spacing w:after="0"/>
              <w:jc w:val="center"/>
            </w:pPr>
            <w:r>
              <w:rPr>
                <w:rFonts w:ascii="Times New Roman" w:eastAsia="Times New Roman" w:hAnsi="Times New Roman" w:cs="Times New Roman"/>
                <w:b/>
                <w:color w:val="000000"/>
                <w:sz w:val="24"/>
              </w:rPr>
              <w:t>RÚZSR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Republiková únia zamestnávateľov</w:t>
            </w:r>
          </w:p>
        </w:tc>
        <w:tc>
          <w:tcPr>
            <w:tcW w:w="1296" w:type="dxa"/>
            <w:vAlign w:val="center"/>
          </w:tcPr>
          <w:p w14:paraId="510DED57" w14:textId="77777777" w:rsidR="00421B59" w:rsidRDefault="00000000">
            <w:pPr>
              <w:spacing w:after="0"/>
              <w:jc w:val="center"/>
            </w:pPr>
            <w:r>
              <w:rPr>
                <w:rFonts w:ascii="Times New Roman" w:eastAsia="Times New Roman" w:hAnsi="Times New Roman" w:cs="Times New Roman"/>
                <w:b/>
                <w:color w:val="FF0000"/>
                <w:sz w:val="24"/>
              </w:rPr>
              <w:t>Z</w:t>
            </w:r>
          </w:p>
        </w:tc>
        <w:tc>
          <w:tcPr>
            <w:tcW w:w="6480" w:type="dxa"/>
          </w:tcPr>
          <w:p w14:paraId="1E57152C" w14:textId="77777777" w:rsidR="00421B59" w:rsidRDefault="00000000">
            <w:pPr>
              <w:spacing w:after="0"/>
            </w:pPr>
            <w:r>
              <w:rPr>
                <w:rFonts w:ascii="Times New Roman" w:eastAsia="Times New Roman" w:hAnsi="Times New Roman" w:cs="Times New Roman"/>
                <w:b/>
                <w:color w:val="000000"/>
                <w:sz w:val="24"/>
              </w:rPr>
              <w:t>Čl. I. vloženie nového novelizačného bodu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čl. I., navrhujeme vložiť nový novelizačný bod v nasledovnom znení:</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br/>
              <w:t>„V §24 sa vkladá nový odsek 11, ktorý znie: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„(11) V prípade ak je účtovnou jednotkou subjekt kolektívneho investovania, majetok a záväzky vyjadrené v cudzej mene sa prepočítavajú spôsobom definovaným osobitným predpisom. xx. V prípade, ak je účtovnou jednotkou dôchodkový fond alebo doplnkový dôchodkový fond, majetok a záväzky vyjadrené v cudzej mene sa prepočítavajú spôsobom definovaným osobitným predpisom. XY“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Odkazy: </w:t>
            </w:r>
            <w:r>
              <w:rPr>
                <w:rFonts w:ascii="Times New Roman" w:eastAsia="Times New Roman" w:hAnsi="Times New Roman" w:cs="Times New Roman"/>
                <w:color w:val="000000"/>
                <w:sz w:val="24"/>
              </w:rPr>
              <w:br/>
              <w:t xml:space="preserve">xx Opatrenie Národnej banky Slovenska č. 13/2011 z 8. novembra 2011 o spôsobe určenia hodnoty majetku v štandardnom podielovom fonde a vo verejnom špeciálnom podielovom fonde a spôsobe výpočtu hodnoty podielu emisie podielových listov v podielových fondoch, v ktorých sa vydávajú podielové listy viacerých emisií </w:t>
            </w:r>
            <w:r>
              <w:rPr>
                <w:rFonts w:ascii="Times New Roman" w:eastAsia="Times New Roman" w:hAnsi="Times New Roman" w:cs="Times New Roman"/>
                <w:color w:val="000000"/>
                <w:sz w:val="24"/>
              </w:rPr>
              <w:br/>
              <w:t xml:space="preserve">xy Opatrenie Národnej banky Slovenska č. 180/2012  z 12. júna 2012 o metódach a postupoch určenia hodnoty majetku v dôchodkovom fonde a doplnkovom dôchodkovom fonde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 xml:space="preserve">Navrhovaná legislatívna úprava reaguje na aplikačný problém vznikajúci pri používaní rozdielnych referenčných výmenných kurzov na účely vedenia účtovníctva podielových fondov a na účely výpočtu čistej hodnoty majetku vo fondoch. Súčasná právna úprava zákona č. 431/2002 Z. z. o účtovníctve vyžaduje pri prepočte majetku a záväzkov vyjadrených v cudzej mene použitie referenčného výmenného kurzu určeného a vyhláseného Európskou centrálnou bankou alebo Národnou bankou </w:t>
            </w:r>
            <w:r>
              <w:rPr>
                <w:rFonts w:ascii="Times New Roman" w:eastAsia="Times New Roman" w:hAnsi="Times New Roman" w:cs="Times New Roman"/>
                <w:color w:val="000000"/>
                <w:sz w:val="24"/>
              </w:rPr>
              <w:lastRenderedPageBreak/>
              <w:t>Slovenska. Osobitná regulácia Národnej banky Slovenska pre oceňovanie majetku fondov však umožňuje použitie spotového výmenného kurzu ku koncu obchodného dňa, ktorý lepšie zohľadňuje ekonomickú realitu oceňovania finančných nástrojov a zabezpečovacích derivátov.</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Rozdielnosť kurzov spôsobuje v praxi nesúlad medzi účtovníctvom fondu a výpočtom čistej hodnoty majetku, zvyšuje administratívnu a technickú náročnosť procesov a môže viesť k neefektívnemu nastavovaniu informačných systémov správcovských spoločností. Uvedený stav zároveň komplikuje jednotnú a transparentnú aplikáciu pravidiel v oblasti oceňovania a vykazovania majetku fondov.</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Cieľ návrhu</w:t>
            </w:r>
            <w:r>
              <w:rPr>
                <w:rFonts w:ascii="Times New Roman" w:eastAsia="Times New Roman" w:hAnsi="Times New Roman" w:cs="Times New Roman"/>
                <w:color w:val="000000"/>
                <w:sz w:val="24"/>
              </w:rPr>
              <w:br/>
              <w:t>Cieľom návrhu je zosúladiť zákon o účtovníctve s osobitnými pravidlami oceňovania majetku fondov ustanovenými opatreniami Národnej banky Slovenska tak, aby správcovské spoločnosti mohli pri vedení účtovníctva fondov v tejto oblasti vychádzať z rovnakého spôsobu určenia výmenného kurzu, aký sa používa pri výpočte čistej hodnoty majetku. Navrhuje sa, aby zákon o účtovníctve v tejto oblasti umožnil odkaz na príslušné opatrenia Národnej banky Slovenska, a to aj vo vzťahu k dôchodkovým fondom a doplnkovým dôchodkovým fondom.</w:t>
            </w:r>
            <w:r>
              <w:rPr>
                <w:rFonts w:ascii="Times New Roman" w:eastAsia="Times New Roman" w:hAnsi="Times New Roman" w:cs="Times New Roman"/>
                <w:color w:val="000000"/>
                <w:sz w:val="24"/>
              </w:rPr>
              <w:br/>
              <w:t>Očakávané prínosy</w:t>
            </w:r>
            <w:r>
              <w:rPr>
                <w:rFonts w:ascii="Times New Roman" w:eastAsia="Times New Roman" w:hAnsi="Times New Roman" w:cs="Times New Roman"/>
                <w:color w:val="000000"/>
                <w:sz w:val="24"/>
              </w:rPr>
              <w:br/>
              <w:t xml:space="preserve">Navrhovaná zmena prispeje k odstráneniu rozdielov medzi účtovným vykazovaním a výpočtom čistej hodnoty majetku fondov, zníži administratívnu a technologickú záťaž správcovských spoločností a zvýši právnu istotu pri aplikácii pravidiel oceňovania. Zároveň podporí presnejšie a ekonomicky relevantnejšie určenie hodnoty podielu pre investorov a prispeje </w:t>
            </w:r>
            <w:r>
              <w:rPr>
                <w:rFonts w:ascii="Times New Roman" w:eastAsia="Times New Roman" w:hAnsi="Times New Roman" w:cs="Times New Roman"/>
                <w:color w:val="000000"/>
                <w:sz w:val="24"/>
              </w:rPr>
              <w:lastRenderedPageBreak/>
              <w:t>k transparentnejšiemu fungovaniu správy kolektívneho investovania, dôchodkového sporenia a doplnkového dôchodkového sporenia.</w:t>
            </w:r>
            <w:r>
              <w:rPr>
                <w:rFonts w:ascii="Times New Roman" w:eastAsia="Times New Roman" w:hAnsi="Times New Roman" w:cs="Times New Roman"/>
                <w:color w:val="000000"/>
                <w:sz w:val="24"/>
              </w:rPr>
              <w:br/>
              <w:t>Návrh nemá predpokladaný negatívny vplyv na rozpočet verejnej správy, sociálne vplyvy, vplyvy na životné prostredie ani na informatizáciu spoločnosti. Vplyv na podnikateľské prostredie sa predpokladá pozitívny, keďže návrh smeruje k zníženiu prevádzkovej, administratívnej a technologickej náročnosti dotknutých subjektov.</w:t>
            </w:r>
          </w:p>
        </w:tc>
        <w:tc>
          <w:tcPr>
            <w:tcW w:w="778" w:type="dxa"/>
            <w:vAlign w:val="center"/>
          </w:tcPr>
          <w:p w14:paraId="0DD40869" w14:textId="77777777" w:rsidR="00421B59"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1A536C4E" w14:textId="77777777" w:rsidR="00421B59" w:rsidRDefault="00000000">
            <w:pPr>
              <w:spacing w:after="0"/>
            </w:pPr>
            <w:r>
              <w:rPr>
                <w:rFonts w:ascii="Times New Roman" w:eastAsia="Times New Roman" w:hAnsi="Times New Roman" w:cs="Times New Roman"/>
                <w:color w:val="000000"/>
                <w:sz w:val="24"/>
              </w:rPr>
              <w:t xml:space="preserve">Pripomienka je nad rámec predkladaného návrhu. V rámci </w:t>
            </w:r>
            <w:r>
              <w:rPr>
                <w:rFonts w:ascii="Times New Roman" w:eastAsia="Times New Roman" w:hAnsi="Times New Roman" w:cs="Times New Roman"/>
                <w:color w:val="000000"/>
                <w:sz w:val="24"/>
              </w:rPr>
              <w:lastRenderedPageBreak/>
              <w:t>rozporového konania bol rozpor odstránený s tým, že bude zostavená pracovná skupina zo zástupcov MF SR, NBS a dotknutých subjektov tzn. zástupcovia väčších aj menších správcovských spoločností. Predmetom pracovnej skupiny bude prediskutovať tému z viacerých uhlov pohľadu a posúdiť možnosti legislatívnych úprav a ich praktické dopady.</w:t>
            </w:r>
          </w:p>
        </w:tc>
      </w:tr>
      <w:tr w:rsidR="00421B59" w14:paraId="6E3C9D0A" w14:textId="77777777">
        <w:trPr>
          <w:trHeight w:val="648"/>
          <w:jc w:val="center"/>
        </w:trPr>
        <w:tc>
          <w:tcPr>
            <w:tcW w:w="1944" w:type="dxa"/>
          </w:tcPr>
          <w:p w14:paraId="677FE589" w14:textId="77777777" w:rsidR="00421B59" w:rsidRDefault="00000000">
            <w:pPr>
              <w:spacing w:after="0"/>
              <w:jc w:val="center"/>
            </w:pPr>
            <w:r>
              <w:rPr>
                <w:rFonts w:ascii="Times New Roman" w:eastAsia="Times New Roman" w:hAnsi="Times New Roman" w:cs="Times New Roman"/>
                <w:b/>
                <w:color w:val="000000"/>
                <w:sz w:val="24"/>
              </w:rPr>
              <w:lastRenderedPageBreak/>
              <w:t>RÚZSR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Republiková únia zamestnávateľov</w:t>
            </w:r>
          </w:p>
        </w:tc>
        <w:tc>
          <w:tcPr>
            <w:tcW w:w="1296" w:type="dxa"/>
            <w:vAlign w:val="center"/>
          </w:tcPr>
          <w:p w14:paraId="3095A1AC" w14:textId="77777777" w:rsidR="00421B59" w:rsidRDefault="00000000">
            <w:pPr>
              <w:spacing w:after="0"/>
              <w:jc w:val="center"/>
            </w:pPr>
            <w:r>
              <w:rPr>
                <w:rFonts w:ascii="Times New Roman" w:eastAsia="Times New Roman" w:hAnsi="Times New Roman" w:cs="Times New Roman"/>
                <w:b/>
                <w:color w:val="FF0000"/>
                <w:sz w:val="24"/>
              </w:rPr>
              <w:t>Z</w:t>
            </w:r>
          </w:p>
        </w:tc>
        <w:tc>
          <w:tcPr>
            <w:tcW w:w="6480" w:type="dxa"/>
          </w:tcPr>
          <w:p w14:paraId="77680259" w14:textId="77777777" w:rsidR="00421B59" w:rsidRDefault="00000000">
            <w:pPr>
              <w:spacing w:after="0"/>
            </w:pPr>
            <w:r>
              <w:rPr>
                <w:rFonts w:ascii="Times New Roman" w:eastAsia="Times New Roman" w:hAnsi="Times New Roman" w:cs="Times New Roman"/>
                <w:b/>
                <w:color w:val="000000"/>
                <w:sz w:val="24"/>
              </w:rPr>
              <w:t>Čl. II. novelizačný bod 41 a 43</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Žiadame tieto novelizačné body vypustiť.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 xml:space="preserve">Zásadne nesúhlasíme so zvyšovaním ročných príspevkov regulovaných subjektov. Navrhované zvýšenie predstavuje dodatočné finančné zaťaženie subjektov, ktoré nie je sprevádzané rozšírením rozsahu verejného dohľadu ani zvýšením rozsahu činností vykonávaných Úradom pre dohľad nad výkonom auditu. Dôvodová správa síce odôvodňuje navrhované zvýšenie rastom nákladov a skutočnosťou, že výška príspevkov nebola upravovaná od roku 2015, nepreukazuje však, že prenesenie týchto nákladov na regulované subjekty je nevyhnutné, primerané alebo že neexistujú iné možnosti zabezpečenia financovania činnosti úradu. Sme toho názoru, že zvyšovanie povinných ročných príspevkov regulovaných subjektov by malo prichádzať do úvahy len vo výnimočných prípadoch, ak je objektívne odôvodnené rozšírením rozsahu dohľadu alebo zvýšením činností vykonávaných Úradom pre dohľad nad výkonom auditu. Takéto odôvodnenie však predložený návrh ani dôvodová správa neobsahujú. Navrhované zvýšenie sa zároveň dotýka aj subjektov, ktorým vnútroštátna </w:t>
            </w:r>
            <w:r>
              <w:rPr>
                <w:rFonts w:ascii="Times New Roman" w:eastAsia="Times New Roman" w:hAnsi="Times New Roman" w:cs="Times New Roman"/>
                <w:color w:val="000000"/>
                <w:sz w:val="24"/>
              </w:rPr>
              <w:lastRenderedPageBreak/>
              <w:t>právna úprava ukladá povinnosti nad rámec minimálnych požiadaviek smernice Európskeho parlamentu a Rady 2006/43/ES. Zvýšenie ročných príspevkov preto ďalej zvyšuje finančné zaťaženie týchto subjektov.</w:t>
            </w:r>
          </w:p>
        </w:tc>
        <w:tc>
          <w:tcPr>
            <w:tcW w:w="778" w:type="dxa"/>
            <w:vAlign w:val="center"/>
          </w:tcPr>
          <w:p w14:paraId="6C2EF961" w14:textId="77777777" w:rsidR="00421B59"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6121F18D" w14:textId="77777777" w:rsidR="00421B59" w:rsidRDefault="00000000">
            <w:pPr>
              <w:spacing w:after="0"/>
            </w:pPr>
            <w:r>
              <w:rPr>
                <w:rFonts w:ascii="Times New Roman" w:eastAsia="Times New Roman" w:hAnsi="Times New Roman" w:cs="Times New Roman"/>
                <w:color w:val="000000"/>
                <w:sz w:val="24"/>
              </w:rPr>
              <w:t>V rámci rozporového konania bola pripomienka preklasifikovaná na obyčajnú a rozpor bol odstránený. V nadväznosti na túto pripomienku bola riešená aj pripomienka k bodu 48, ktorá bola akceptovaná a bod 48 bol vypustený.</w:t>
            </w:r>
          </w:p>
        </w:tc>
      </w:tr>
      <w:tr w:rsidR="00421B59" w14:paraId="3A8D2BCB" w14:textId="77777777">
        <w:trPr>
          <w:trHeight w:val="648"/>
          <w:jc w:val="center"/>
        </w:trPr>
        <w:tc>
          <w:tcPr>
            <w:tcW w:w="1944" w:type="dxa"/>
          </w:tcPr>
          <w:p w14:paraId="26617B46" w14:textId="77777777" w:rsidR="00421B59" w:rsidRDefault="00000000">
            <w:pPr>
              <w:spacing w:after="0"/>
              <w:jc w:val="center"/>
            </w:pPr>
            <w:r>
              <w:rPr>
                <w:rFonts w:ascii="Times New Roman" w:eastAsia="Times New Roman" w:hAnsi="Times New Roman" w:cs="Times New Roman"/>
                <w:b/>
                <w:color w:val="000000"/>
                <w:sz w:val="24"/>
              </w:rPr>
              <w:t>RÚZSR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Republiková únia zamestnávateľov</w:t>
            </w:r>
          </w:p>
        </w:tc>
        <w:tc>
          <w:tcPr>
            <w:tcW w:w="1296" w:type="dxa"/>
            <w:vAlign w:val="center"/>
          </w:tcPr>
          <w:p w14:paraId="04C302FA" w14:textId="77777777" w:rsidR="00421B59" w:rsidRDefault="00000000">
            <w:pPr>
              <w:spacing w:after="0"/>
              <w:jc w:val="center"/>
            </w:pPr>
            <w:r>
              <w:rPr>
                <w:rFonts w:ascii="Times New Roman" w:eastAsia="Times New Roman" w:hAnsi="Times New Roman" w:cs="Times New Roman"/>
                <w:b/>
                <w:color w:val="FF0000"/>
                <w:sz w:val="24"/>
              </w:rPr>
              <w:t>Z</w:t>
            </w:r>
          </w:p>
        </w:tc>
        <w:tc>
          <w:tcPr>
            <w:tcW w:w="6480" w:type="dxa"/>
          </w:tcPr>
          <w:p w14:paraId="4855DC6E" w14:textId="77777777" w:rsidR="00421B59" w:rsidRDefault="00000000">
            <w:pPr>
              <w:spacing w:after="0"/>
            </w:pPr>
            <w:r>
              <w:rPr>
                <w:rFonts w:ascii="Times New Roman" w:eastAsia="Times New Roman" w:hAnsi="Times New Roman" w:cs="Times New Roman"/>
                <w:b/>
                <w:color w:val="000000"/>
                <w:sz w:val="24"/>
              </w:rPr>
              <w:t>Čl. II. novelizačný bod 48</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čl. II žiadame novelizačný bod 48 vypustiť.</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Navrhované splnomocnenie prenáša určovanie výšky povinných ročných príspevkov a registračných poplatkov zo zákona na úroveň vykonávacieho právneho predpisu. Výška týchto platieb priamo ovplyvňuje právne a ekonomické postavenie regulovaných subjektov, preto by mala byť upravená priamo zákonom. Takto koncipované splnomocnenie umožňuje Ministerstvu financií SR meniť finančné zaťaženie regulovaných subjektov prostredníctvom vykonávacieho právneho predpisu bez potreby prijatia novely zákona. Ide pritom o povinné finančné plnenia podnikateľských subjektov, ktorých úprava by mala podliehať riadnemu legislatívnemu procesu vrátane štandardného posudzovania ich vplyvov na podnikateľské prostredie a možnosti dotknutých subjektov uplatniť pripomienky v medzirezortnom pripomienkovom konaní. Upravenie výšky povinných finančných plnení podzákonným právnym predpisom znižuje mieru právnej istoty a predvídateľnosti podnikateľského prostredia. Žiadame preto ponechať úpravu výšky ročných príspevkov a registračných poplatkov priamo v zákone.</w:t>
            </w:r>
          </w:p>
        </w:tc>
        <w:tc>
          <w:tcPr>
            <w:tcW w:w="778" w:type="dxa"/>
            <w:vAlign w:val="center"/>
          </w:tcPr>
          <w:p w14:paraId="20F636DD" w14:textId="77777777" w:rsidR="00421B59" w:rsidRDefault="00000000">
            <w:pPr>
              <w:spacing w:after="0"/>
              <w:jc w:val="center"/>
            </w:pPr>
            <w:r>
              <w:rPr>
                <w:rFonts w:ascii="Times New Roman" w:eastAsia="Times New Roman" w:hAnsi="Times New Roman" w:cs="Times New Roman"/>
                <w:color w:val="000000"/>
                <w:sz w:val="24"/>
              </w:rPr>
              <w:t>A</w:t>
            </w:r>
          </w:p>
        </w:tc>
        <w:tc>
          <w:tcPr>
            <w:tcW w:w="2462" w:type="dxa"/>
          </w:tcPr>
          <w:p w14:paraId="20A37A07" w14:textId="77777777" w:rsidR="00421B59" w:rsidRDefault="00421B59">
            <w:pPr>
              <w:spacing w:after="0"/>
            </w:pPr>
          </w:p>
        </w:tc>
      </w:tr>
      <w:tr w:rsidR="00421B59" w14:paraId="3EB90FDE" w14:textId="77777777">
        <w:trPr>
          <w:trHeight w:val="648"/>
          <w:jc w:val="center"/>
        </w:trPr>
        <w:tc>
          <w:tcPr>
            <w:tcW w:w="1944" w:type="dxa"/>
          </w:tcPr>
          <w:p w14:paraId="54D5EF00" w14:textId="77777777" w:rsidR="00421B59" w:rsidRDefault="00000000">
            <w:pPr>
              <w:spacing w:after="0"/>
              <w:jc w:val="center"/>
            </w:pPr>
            <w:r>
              <w:rPr>
                <w:rFonts w:ascii="Times New Roman" w:eastAsia="Times New Roman" w:hAnsi="Times New Roman" w:cs="Times New Roman"/>
                <w:b/>
                <w:color w:val="000000"/>
                <w:sz w:val="24"/>
              </w:rPr>
              <w:t>RÚZSR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Republiková únia zamestnávateľov</w:t>
            </w:r>
          </w:p>
        </w:tc>
        <w:tc>
          <w:tcPr>
            <w:tcW w:w="1296" w:type="dxa"/>
            <w:vAlign w:val="center"/>
          </w:tcPr>
          <w:p w14:paraId="2E3EAE30" w14:textId="77777777" w:rsidR="00421B59" w:rsidRDefault="00000000">
            <w:pPr>
              <w:spacing w:after="0"/>
              <w:jc w:val="center"/>
            </w:pPr>
            <w:r>
              <w:rPr>
                <w:rFonts w:ascii="Times New Roman" w:eastAsia="Times New Roman" w:hAnsi="Times New Roman" w:cs="Times New Roman"/>
                <w:b/>
                <w:color w:val="FF0000"/>
                <w:sz w:val="24"/>
              </w:rPr>
              <w:t>Z</w:t>
            </w:r>
          </w:p>
        </w:tc>
        <w:tc>
          <w:tcPr>
            <w:tcW w:w="6480" w:type="dxa"/>
          </w:tcPr>
          <w:p w14:paraId="35AD4373" w14:textId="77777777" w:rsidR="00421B59" w:rsidRDefault="00000000">
            <w:pPr>
              <w:spacing w:after="0"/>
            </w:pPr>
            <w:r>
              <w:rPr>
                <w:rFonts w:ascii="Times New Roman" w:eastAsia="Times New Roman" w:hAnsi="Times New Roman" w:cs="Times New Roman"/>
                <w:b/>
                <w:color w:val="000000"/>
                <w:sz w:val="24"/>
              </w:rPr>
              <w:t>Čl. II. vloženie nového novelizačného bodu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Žiadame vložiť nový novelizačný bod 2, ktorý znie: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„2. V § 2 ods. 15 písm. f) sa body 1 a 2 vypúšťajú. Doterajšie </w:t>
            </w:r>
            <w:r>
              <w:rPr>
                <w:rFonts w:ascii="Times New Roman" w:eastAsia="Times New Roman" w:hAnsi="Times New Roman" w:cs="Times New Roman"/>
                <w:color w:val="000000"/>
                <w:sz w:val="24"/>
              </w:rPr>
              <w:lastRenderedPageBreak/>
              <w:t>body 3 a 4 sa označujú ako body 1 a 2.“</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Doterajšie novelizačné body 2 až 50 sa primerane prečíslujú.</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 xml:space="preserve">Slovenská právna úprava rozširuje okruh subjektov podliehajúcich osobitnému režimu štatutárneho auditu nad rámec systému vychádzajúceho zo smernice Európskeho parlamentu a Rady 2006/43/ES. V rámci kategórie subjektov osobitného významu sa osobitný režim vzťahuje aj na veľké obchodné spoločnosti a vybrané obchodné spoločnosti s majetkovou účasťou štátu, ktorých zaradenie medzi regulované subjekty vyplýva predovšetkým zo splnenia kvantitatívnych kritérií, ako je výška obratu, hodnota majetku alebo počet zamestnancov. Zaradenie týchto subjektov medzi subjekty osobitného významu je spojené s viacerými dodatočnými povinnosťami vrátane prísnejšieho režimu výkonu štatutárneho auditu, dohľadu Úradu pre dohľad nad výkonom auditu a povinnosti uhrádzať ročné príspevky. Ide pritom o povinnosti, ktoré právo Európskej únie v tomto rozsahu nevyžaduje. Z porovnania právnych úprav krajín V4 vyplýva, že obdobnú samostatnú kategóriu veľkých obchodných spoločností neuplatňuje ani Poľská republika, ani Maďarsko. Obe krajiny viažu osobitný režim na zákonom vymedzené subjekty verejného záujmu, pričom Poľská republika síce využila možnosť podľa smernice rozšíriť okruh subjektov verejného záujmu, avšak výlučne o ďalšie regulované subjekty finančného trhu. Česká republika rozšírila okruh subjektov len vo veľmi obmedzenom rozsahu vo vzťahu k systémovo významným obchodníkom s cennými papiermi, pri ktorých sú prahové hodnoty nastavené na úrovni zodpovedajúcej ich skutočnému </w:t>
            </w:r>
            <w:r>
              <w:rPr>
                <w:rFonts w:ascii="Times New Roman" w:eastAsia="Times New Roman" w:hAnsi="Times New Roman" w:cs="Times New Roman"/>
                <w:color w:val="000000"/>
                <w:sz w:val="24"/>
              </w:rPr>
              <w:lastRenderedPageBreak/>
              <w:t>systémovému významu. Takéto nastavenie v Slovenskej republike zvyšuje regulačné a finančné zaťaženie dotknutých podnikateľských subjektov a oslabuje ich konkurencieschopnosť vo vzťahu k podnikom pôsobiacim v členských štátoch, ktoré smernicu transponovali bez vytvorenia obdobnej samostatnej vnútroštátnej kategórie. Minimalizácia „gold-platingu“ pritom patrí medzi deklarované ciele vlády SR uvedené v Programovom vyhlásení vlády SR na roky 2023 – 2027 v rámci opatrení smerujúcich k zvyšovaniu stability a predvídateľnosti podnikateľského prostredia. Predkladaná novela preto predstavuje vhodnú príležitosť na odstránenie existujúceho gold-platingu a zosúladenie vnútroštátnej právnej úpravy s princípom proporcionality a minimálnym rozsahom požadovaným smernicou 2006/43/ES.</w:t>
            </w:r>
          </w:p>
        </w:tc>
        <w:tc>
          <w:tcPr>
            <w:tcW w:w="778" w:type="dxa"/>
            <w:vAlign w:val="center"/>
          </w:tcPr>
          <w:p w14:paraId="53016EB7" w14:textId="77777777" w:rsidR="00421B59"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79013772" w14:textId="77777777" w:rsidR="00421B59" w:rsidRDefault="00000000">
            <w:pPr>
              <w:spacing w:after="0"/>
            </w:pPr>
            <w:r>
              <w:rPr>
                <w:rFonts w:ascii="Times New Roman" w:eastAsia="Times New Roman" w:hAnsi="Times New Roman" w:cs="Times New Roman"/>
                <w:color w:val="000000"/>
                <w:sz w:val="24"/>
              </w:rPr>
              <w:t xml:space="preserve">V rámci rozporového konania bola pripomienka preklasifikovaná na </w:t>
            </w:r>
            <w:r>
              <w:rPr>
                <w:rFonts w:ascii="Times New Roman" w:eastAsia="Times New Roman" w:hAnsi="Times New Roman" w:cs="Times New Roman"/>
                <w:color w:val="000000"/>
                <w:sz w:val="24"/>
              </w:rPr>
              <w:lastRenderedPageBreak/>
              <w:t>obyčajnú s tým, že obsah pripomienky bude predmetom následnej diskusie MF SR s dotknutými subjektami</w:t>
            </w:r>
          </w:p>
        </w:tc>
      </w:tr>
      <w:tr w:rsidR="00421B59" w14:paraId="2D12C90A" w14:textId="77777777">
        <w:trPr>
          <w:trHeight w:val="648"/>
          <w:jc w:val="center"/>
        </w:trPr>
        <w:tc>
          <w:tcPr>
            <w:tcW w:w="1944" w:type="dxa"/>
          </w:tcPr>
          <w:p w14:paraId="5CA29070" w14:textId="77777777" w:rsidR="00421B59" w:rsidRDefault="00000000">
            <w:pPr>
              <w:spacing w:after="0"/>
              <w:jc w:val="center"/>
            </w:pPr>
            <w:r>
              <w:rPr>
                <w:rFonts w:ascii="Times New Roman" w:eastAsia="Times New Roman" w:hAnsi="Times New Roman" w:cs="Times New Roman"/>
                <w:b/>
                <w:color w:val="000000"/>
                <w:sz w:val="24"/>
              </w:rPr>
              <w:lastRenderedPageBreak/>
              <w:t>SASS</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Slovenská asosciácia správcovských spoločností</w:t>
            </w:r>
          </w:p>
        </w:tc>
        <w:tc>
          <w:tcPr>
            <w:tcW w:w="1296" w:type="dxa"/>
            <w:vAlign w:val="center"/>
          </w:tcPr>
          <w:p w14:paraId="638BFBE4" w14:textId="77777777" w:rsidR="00421B59" w:rsidRDefault="00000000">
            <w:pPr>
              <w:spacing w:after="0"/>
              <w:jc w:val="center"/>
            </w:pPr>
            <w:r>
              <w:rPr>
                <w:rFonts w:ascii="Times New Roman" w:eastAsia="Times New Roman" w:hAnsi="Times New Roman" w:cs="Times New Roman"/>
                <w:color w:val="000000"/>
                <w:sz w:val="24"/>
              </w:rPr>
              <w:t>O</w:t>
            </w:r>
          </w:p>
        </w:tc>
        <w:tc>
          <w:tcPr>
            <w:tcW w:w="6480" w:type="dxa"/>
          </w:tcPr>
          <w:p w14:paraId="0C4B468D" w14:textId="77777777" w:rsidR="00421B59" w:rsidRDefault="00000000">
            <w:pPr>
              <w:spacing w:after="0"/>
            </w:pPr>
            <w:r>
              <w:rPr>
                <w:rFonts w:ascii="Times New Roman" w:eastAsia="Times New Roman" w:hAnsi="Times New Roman" w:cs="Times New Roman"/>
                <w:b/>
                <w:color w:val="000000"/>
                <w:sz w:val="24"/>
              </w:rPr>
              <w:t>Čl. V § 24 ods. 11</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Do paragrafu 24 navrhujeme pridať nový odsek (11), ktorý znie: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(11) V prípade ak je účtovnou jednotkou subjekt kolektívneho investovania, majetok a záväzky vyjadrené v cudzej mene sa prepočítavajú spôsobom definovaným osobitným predpisom xx. V prípade, ak je účtovnou jednotkou dôchodkový fond alebo doplnkový dôchodkový fond, majetok a záväzky vyjadrené v cudzej mene sa prepočítavajú spôsobom definovaným osobitným predpisom xy.</w:t>
            </w:r>
            <w:r>
              <w:rPr>
                <w:rFonts w:ascii="Times New Roman" w:eastAsia="Times New Roman" w:hAnsi="Times New Roman" w:cs="Times New Roman"/>
                <w:color w:val="000000"/>
                <w:sz w:val="24"/>
              </w:rPr>
              <w:br/>
              <w:t>______________________</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xx Opatrenie Národnej banky Slovenska č. 13/2011 z 8. novembra 2011 o spôsobe určenia hodnoty majetku v štandardnom podielovom fonde a vo verejnom špeciálnom podielovom fonde a spôsobe výpočtu hodnoty podielu emisie podielových listov v podielových fondoch, v ktorých sa </w:t>
            </w:r>
            <w:r>
              <w:rPr>
                <w:rFonts w:ascii="Times New Roman" w:eastAsia="Times New Roman" w:hAnsi="Times New Roman" w:cs="Times New Roman"/>
                <w:color w:val="000000"/>
                <w:sz w:val="24"/>
              </w:rPr>
              <w:lastRenderedPageBreak/>
              <w:t>vydávajú podielové listy viacerých emisií</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xy Opatrenie Národnej banky Slovenska č. 180/2012 z 12. júna 2012 o metódach a postupoch určenia hodnoty majetku v dôchodkovom fonde a doplnkovom dôchodkovom fonde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Všeobecná časť</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Navrhovaná legislatívna úprava reaguje na aplikačný problém vznikajúci pri používaní rozdielnych referenčných výmenných kurzov na účely vedenia účtovníctva podielových fondov a na účely výpočtu čistej hodnoty majetku vo fondoch. Súčasná právna úprava zákona č. 431/2002 Z. z. o účtovníctve vyžaduje pri prepočte majetku a záväzkov vyjadrených v cudzej mene použitie referenčného výmenného kurzu určeného a vyhláseného Európskou centrálnou bankou alebo Národnou bankou Slovenska. Osobitná regulácia Národnej banky Slovenska pre oceňovanie majetku fondov však umožňuje použitie spotového výmenného kurzu ku koncu obchodného dňa, ktorý lepšie zohľadňuje ekonomickú realitu oceňovania finančných nástrojov a zabezpečovacích derivátov.</w:t>
            </w:r>
            <w:r>
              <w:rPr>
                <w:rFonts w:ascii="Times New Roman" w:eastAsia="Times New Roman" w:hAnsi="Times New Roman" w:cs="Times New Roman"/>
                <w:color w:val="000000"/>
                <w:sz w:val="24"/>
              </w:rPr>
              <w:br/>
              <w:t>Rozdielnosť kurzov spôsobuje v praxi nesúlad medzi účtovníctvom fondu a výpočtom čistej hodnoty majetku, zvyšuje administratívnu a technickú náročnosť procesov a môže viesť k neefektívnemu nastavovaniu informačných systémov správcovských spoločností. Uvedený stav zároveň komplikuje jednotnú a transparentnú aplikáciu pravidiel v oblasti oceňovania a vykazovania majetku fondov.</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Cieľ návrhu</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Cieľom návrhu je zosúladiť zákon o účtovníctve s osobitnými pravidlami oceňovania majetku fondov ustanovenými opatreniami Národnej banky Slovenska tak, aby správcovské spoločnosti mohli pri vedení účtovníctva fondov v tejto oblasti vychádzať z rovnakého spôsobu určenia výmenného kurzu, aký sa používa pri výpočte čistej hodnoty majetku. Navrhuje sa, aby zákon o účtovníctve v tejto oblasti umožnil odkaz na príslušné opatrenia Národnej banky Slovenska, a to aj vo vzťahu k dôchodkovým fondom a doplnkovým dôchodkovým fondom.</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Očakávané prínosy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Navrhovaná zmena prispeje k odstráneniu rozdielov medzi účtovným vykazovaním a výpočtom čistej hodnoty majetku fondov, zníži administratívnu a technologickú záťaž správcovských spoločností a zvýši právnu istotu pri aplikácii pravidiel oceňovania. Zároveň podporí presnejšie a ekonomicky relevantnejšie určenie hodnoty podielu pre investorov a prispeje k transparentnejšiemu fungovaniu správy kolektívneho investovania, dôchodkového sporenia a doplnkového dôchodkového sporenia.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Vplyvy návrhu</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Návrh nemá predpokladaný negatívny vplyv na rozpočet verejnej správy, sociálne vplyvy, vplyvy na životné prostredie ani na informatizáciu spoločnosti. Vplyv na podnikateľské prostredie sa predpokladá pozitívny, keďže návrh smeruje k </w:t>
            </w:r>
            <w:r>
              <w:rPr>
                <w:rFonts w:ascii="Times New Roman" w:eastAsia="Times New Roman" w:hAnsi="Times New Roman" w:cs="Times New Roman"/>
                <w:color w:val="000000"/>
                <w:sz w:val="24"/>
              </w:rPr>
              <w:lastRenderedPageBreak/>
              <w:t>zníženiu prevádzkovej, administratívnej a technologickej náročnosti dotknutých subjektov.</w:t>
            </w:r>
          </w:p>
        </w:tc>
        <w:tc>
          <w:tcPr>
            <w:tcW w:w="778" w:type="dxa"/>
            <w:vAlign w:val="center"/>
          </w:tcPr>
          <w:p w14:paraId="3EDE5834" w14:textId="77777777" w:rsidR="00421B59"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72EA9994" w14:textId="77777777" w:rsidR="00421B59" w:rsidRDefault="00000000">
            <w:pPr>
              <w:spacing w:after="0"/>
            </w:pPr>
            <w:r>
              <w:rPr>
                <w:rFonts w:ascii="Times New Roman" w:eastAsia="Times New Roman" w:hAnsi="Times New Roman" w:cs="Times New Roman"/>
                <w:color w:val="000000"/>
                <w:sz w:val="24"/>
              </w:rPr>
              <w:t xml:space="preserve">Pripomienka je nad rámec predkladaného návrhu, pričom navrhovaná úprava si vyžaduje širšiu diskusiu. Preto bude zostavená pracovná skupina zo zástupcov MF SR, NBS a dotknutých subjektov tzn. zástupcovia väčších aj menších správcovských spoločností. Predmetom pracovnej skupiny bude prediskutovať tému z </w:t>
            </w:r>
            <w:r>
              <w:rPr>
                <w:rFonts w:ascii="Times New Roman" w:eastAsia="Times New Roman" w:hAnsi="Times New Roman" w:cs="Times New Roman"/>
                <w:color w:val="000000"/>
                <w:sz w:val="24"/>
              </w:rPr>
              <w:lastRenderedPageBreak/>
              <w:t>viacerých uhlov pohľadu a posúdiť možnosti legislatívnych úprav a ich praktické dopady.</w:t>
            </w:r>
          </w:p>
        </w:tc>
      </w:tr>
      <w:tr w:rsidR="00421B59" w14:paraId="2D7A5EFA" w14:textId="77777777">
        <w:trPr>
          <w:trHeight w:val="648"/>
          <w:jc w:val="center"/>
        </w:trPr>
        <w:tc>
          <w:tcPr>
            <w:tcW w:w="1944" w:type="dxa"/>
          </w:tcPr>
          <w:p w14:paraId="44B74B4A" w14:textId="77777777" w:rsidR="00421B59" w:rsidRDefault="00000000">
            <w:pPr>
              <w:spacing w:after="0"/>
              <w:jc w:val="center"/>
            </w:pPr>
            <w:r>
              <w:rPr>
                <w:rFonts w:ascii="Times New Roman" w:eastAsia="Times New Roman" w:hAnsi="Times New Roman" w:cs="Times New Roman"/>
                <w:b/>
                <w:color w:val="000000"/>
                <w:sz w:val="24"/>
              </w:rPr>
              <w:lastRenderedPageBreak/>
              <w:t>SBA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Slovenská banková asociácia</w:t>
            </w:r>
          </w:p>
        </w:tc>
        <w:tc>
          <w:tcPr>
            <w:tcW w:w="1296" w:type="dxa"/>
            <w:vAlign w:val="center"/>
          </w:tcPr>
          <w:p w14:paraId="46D03ABC" w14:textId="77777777" w:rsidR="00421B59" w:rsidRDefault="00000000">
            <w:pPr>
              <w:spacing w:after="0"/>
              <w:jc w:val="center"/>
            </w:pPr>
            <w:r>
              <w:rPr>
                <w:rFonts w:ascii="Times New Roman" w:eastAsia="Times New Roman" w:hAnsi="Times New Roman" w:cs="Times New Roman"/>
                <w:color w:val="000000"/>
                <w:sz w:val="24"/>
              </w:rPr>
              <w:t>O</w:t>
            </w:r>
          </w:p>
        </w:tc>
        <w:tc>
          <w:tcPr>
            <w:tcW w:w="6480" w:type="dxa"/>
          </w:tcPr>
          <w:p w14:paraId="3D6A2ADE" w14:textId="77777777" w:rsidR="00421B59" w:rsidRDefault="00000000">
            <w:pPr>
              <w:spacing w:after="0"/>
            </w:pPr>
            <w:r>
              <w:rPr>
                <w:rFonts w:ascii="Times New Roman" w:eastAsia="Times New Roman" w:hAnsi="Times New Roman" w:cs="Times New Roman"/>
                <w:b/>
                <w:color w:val="000000"/>
                <w:sz w:val="24"/>
              </w:rPr>
              <w:t>§ 24 nový odsek 11</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Zásadná pripomienka:</w:t>
            </w:r>
            <w:r>
              <w:rPr>
                <w:rFonts w:ascii="Times New Roman" w:eastAsia="Times New Roman" w:hAnsi="Times New Roman" w:cs="Times New Roman"/>
                <w:color w:val="000000"/>
                <w:sz w:val="24"/>
              </w:rPr>
              <w:br/>
              <w:t>Nad rámec návrhu zákona navrhujeme doplniť nový odsek 11 do § 24 zákona o účtovníctve v znení: „(11) V prípade ak je účtovnou jednotkou subjekt kolektívneho investovania, majetok a záväzky vyjadrené v cudzej mene sa prepočítavajú spôsobom definovaným osobitným predpisomxx. V prípade, ak je účtovnou jednotkou dôchodkový fond alebo doplnkový dôchodkový fond, majetok a záväzky vyjadrené v cudzej mene sa prepočítavajú spôsobom definovaným osobitným predpisom.XY“</w:t>
            </w:r>
            <w:r>
              <w:rPr>
                <w:rFonts w:ascii="Times New Roman" w:eastAsia="Times New Roman" w:hAnsi="Times New Roman" w:cs="Times New Roman"/>
                <w:color w:val="000000"/>
                <w:sz w:val="24"/>
              </w:rPr>
              <w:br/>
              <w:t xml:space="preserve">Odkazy: xx Opatrenie Národnej banky Slovenska č. 13/2011 z 8. novembra 2011 o spôsobe určenia hodnoty majetku v štandardnom podielovom fonde a vo verejnom špeciálnom podielovom fonde a spôsobe výpočtu hodnoty podielu emisie podielových listov v podielových fondoch, v ktorých sa vydávajú podielové listy viacerých emisií </w:t>
            </w:r>
            <w:r>
              <w:rPr>
                <w:rFonts w:ascii="Times New Roman" w:eastAsia="Times New Roman" w:hAnsi="Times New Roman" w:cs="Times New Roman"/>
                <w:color w:val="000000"/>
                <w:sz w:val="24"/>
              </w:rPr>
              <w:br/>
              <w:t xml:space="preserve">xy Opatrenie Národnej banky Slovenska č. 180/2012  z 12. júna 2012 o metódach a postupoch určenia hodnoty majetku v dôchodkovom fonde a doplnkovom dôchodkovom fonde  </w:t>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 xml:space="preserve">Navrhovaná legislatívna úprava reaguje na aplikačný problém vznikajúci pri používaní rozdielnych referenčných výmenných kurzov na účely vedenia účtovníctva podielových fondov a na účely výpočtu čistej hodnoty majetku vo fondoch. Súčasná právna úprava zákona č. 431/2002 Z. z. o účtovníctve vyžaduje pri prepočte majetku a záväzkov vyjadrených v cudzej mene použitie referenčného výmenného kurzu určeného a vyhláseného Európskou centrálnou bankou alebo Národnou bankou Slovenska. Osobitná regulácia Národnej banky Slovenska pre </w:t>
            </w:r>
            <w:r>
              <w:rPr>
                <w:rFonts w:ascii="Times New Roman" w:eastAsia="Times New Roman" w:hAnsi="Times New Roman" w:cs="Times New Roman"/>
                <w:color w:val="000000"/>
                <w:sz w:val="24"/>
              </w:rPr>
              <w:lastRenderedPageBreak/>
              <w:t>oceňovanie majetku fondov však umožňuje použitie spotového výmenného kurzu ku koncu obchodného dňa, ktorý lepšie zohľadňuje ekonomickú realitu oceňovania finančných nástrojov a zabezpečovacích derivátov.</w:t>
            </w:r>
            <w:r>
              <w:rPr>
                <w:rFonts w:ascii="Times New Roman" w:eastAsia="Times New Roman" w:hAnsi="Times New Roman" w:cs="Times New Roman"/>
                <w:color w:val="000000"/>
                <w:sz w:val="24"/>
              </w:rPr>
              <w:br/>
              <w:t>Rozdielnosť kurzov spôsobuje v praxi nesúlad medzi účtovníctvom fondu a výpočtom čistej hodnoty majetku, zvyšuje administratívnu a technickú náročnosť procesov a môže viesť k neefektívnemu nastavovaniu informačných systémov správcovských spoločností. Uvedený stav zároveň komplikuje jednotnú a transparentnú aplikáciu pravidiel v oblasti oceňovania a vykazovania majetku fondov.</w:t>
            </w:r>
            <w:r>
              <w:rPr>
                <w:rFonts w:ascii="Times New Roman" w:eastAsia="Times New Roman" w:hAnsi="Times New Roman" w:cs="Times New Roman"/>
                <w:color w:val="000000"/>
                <w:sz w:val="24"/>
              </w:rPr>
              <w:br/>
              <w:t>Cieľ návrhu</w:t>
            </w:r>
            <w:r>
              <w:rPr>
                <w:rFonts w:ascii="Times New Roman" w:eastAsia="Times New Roman" w:hAnsi="Times New Roman" w:cs="Times New Roman"/>
                <w:color w:val="000000"/>
                <w:sz w:val="24"/>
              </w:rPr>
              <w:br/>
              <w:t>Cieľom návrhu je zosúladiť zákon o účtovníctve s osobitnými pravidlami oceňovania majetku fondov ustanovenými opatreniami Národnej banky Slovenska tak, aby správcovské spoločnosti mohli pri vedení účtovníctva fondov v tejto oblasti vychádzať z rovnakého spôsobu určenia výmenného kurzu, aký sa používa pri výpočte čistej hodnoty majetku. Navrhuje sa, aby zákon o účtovníctve v tejto oblasti umožnil odkaz na príslušné opatrenia Národnej banky Slovenska, a to aj vo vzťahu k dôchodkovým fondom a doplnkovým dôchodkovým fondom.</w:t>
            </w:r>
            <w:r>
              <w:rPr>
                <w:rFonts w:ascii="Times New Roman" w:eastAsia="Times New Roman" w:hAnsi="Times New Roman" w:cs="Times New Roman"/>
                <w:color w:val="000000"/>
                <w:sz w:val="24"/>
              </w:rPr>
              <w:br/>
              <w:t>Očakávané prínosy</w:t>
            </w:r>
            <w:r>
              <w:rPr>
                <w:rFonts w:ascii="Times New Roman" w:eastAsia="Times New Roman" w:hAnsi="Times New Roman" w:cs="Times New Roman"/>
                <w:color w:val="000000"/>
                <w:sz w:val="24"/>
              </w:rPr>
              <w:br/>
              <w:t>Navrhovaná zmena prispeje k odstráneniu rozdielov medzi účtovným vykazovaním a výpočtom čistej hodnoty majetku fondov, zníži administratívnu a technologickú záťaž správcovských spoločností a zvýši právnu istotu pri aplikácii pravidiel oceňovania. Zároveň podporí presnejšie a ekonomicky relevantnejšie určenie hodnoty podielu pre investorov a prispeje k transparentnejšiemu fungovaniu správy kolektívneho investovania, dôchodkového sporenia a doplnkového dôchodkového sporenia.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Návrh nemá predpokladaný negatívny vplyv na rozpočet verejnej správy, sociálne vplyvy, vplyvy na životné prostredie ani na informatizáciu spoločnosti. Vplyv na podnikateľské prostredie sa predpokladá pozitívny, keďže návrh smeruje k zníženiu prevádzkovej, administratívnej a technologickej náročnosti dotknutých subjektov.</w:t>
            </w:r>
          </w:p>
        </w:tc>
        <w:tc>
          <w:tcPr>
            <w:tcW w:w="778" w:type="dxa"/>
            <w:vAlign w:val="center"/>
          </w:tcPr>
          <w:p w14:paraId="2CFB680F" w14:textId="77777777" w:rsidR="00421B59"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43D3C005" w14:textId="77777777" w:rsidR="00421B59" w:rsidRDefault="00000000">
            <w:pPr>
              <w:spacing w:after="0"/>
            </w:pPr>
            <w:r>
              <w:rPr>
                <w:rFonts w:ascii="Times New Roman" w:eastAsia="Times New Roman" w:hAnsi="Times New Roman" w:cs="Times New Roman"/>
                <w:color w:val="000000"/>
                <w:sz w:val="24"/>
              </w:rPr>
              <w:t>Pripomienka je nad rámec predkladaného návrhu, pričom navrhovaná úprava si vyžaduje širšiu diskusiu. Preto bude zostavená pracovná skupina zo zástupcov MF SR, NBS a dotknutých subjektov tzn. zástupcovia väčších aj menších správcovských spoločností. Predmetom pracovnej skupiny bude prediskutovať tému z viacerých uhlov pohľadu a posúdiť možnosti legislatívnych úprav a ich praktické dopady.</w:t>
            </w:r>
          </w:p>
        </w:tc>
      </w:tr>
      <w:tr w:rsidR="00421B59" w14:paraId="1CAD545D" w14:textId="77777777">
        <w:trPr>
          <w:trHeight w:val="648"/>
          <w:jc w:val="center"/>
        </w:trPr>
        <w:tc>
          <w:tcPr>
            <w:tcW w:w="1944" w:type="dxa"/>
          </w:tcPr>
          <w:p w14:paraId="4A9A6A85" w14:textId="77777777" w:rsidR="00421B59" w:rsidRDefault="00000000">
            <w:pPr>
              <w:spacing w:after="0"/>
              <w:jc w:val="center"/>
            </w:pPr>
            <w:r>
              <w:rPr>
                <w:rFonts w:ascii="Times New Roman" w:eastAsia="Times New Roman" w:hAnsi="Times New Roman" w:cs="Times New Roman"/>
                <w:b/>
                <w:color w:val="000000"/>
                <w:sz w:val="24"/>
              </w:rPr>
              <w:lastRenderedPageBreak/>
              <w:t>SKAU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Slovenská komora audítorov</w:t>
            </w:r>
          </w:p>
        </w:tc>
        <w:tc>
          <w:tcPr>
            <w:tcW w:w="1296" w:type="dxa"/>
            <w:vAlign w:val="center"/>
          </w:tcPr>
          <w:p w14:paraId="20F55805" w14:textId="77777777" w:rsidR="00421B59" w:rsidRDefault="00000000">
            <w:pPr>
              <w:spacing w:after="0"/>
              <w:jc w:val="center"/>
            </w:pPr>
            <w:r>
              <w:rPr>
                <w:rFonts w:ascii="Times New Roman" w:eastAsia="Times New Roman" w:hAnsi="Times New Roman" w:cs="Times New Roman"/>
                <w:b/>
                <w:color w:val="FF0000"/>
                <w:sz w:val="24"/>
              </w:rPr>
              <w:t>Z</w:t>
            </w:r>
          </w:p>
        </w:tc>
        <w:tc>
          <w:tcPr>
            <w:tcW w:w="6480" w:type="dxa"/>
          </w:tcPr>
          <w:p w14:paraId="7F3E7A46" w14:textId="77777777" w:rsidR="00421B59" w:rsidRDefault="00000000">
            <w:pPr>
              <w:spacing w:after="0"/>
            </w:pPr>
            <w:r>
              <w:rPr>
                <w:rFonts w:ascii="Times New Roman" w:eastAsia="Times New Roman" w:hAnsi="Times New Roman" w:cs="Times New Roman"/>
                <w:b/>
                <w:color w:val="000000"/>
                <w:sz w:val="24"/>
              </w:rPr>
              <w:t>Čl. I. § 2 ods. 4 písm. p)</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K bodu 1 (§ 2 ods. 4 písm. p) </w:t>
            </w:r>
            <w:r>
              <w:rPr>
                <w:rFonts w:ascii="Times New Roman" w:eastAsia="Times New Roman" w:hAnsi="Times New Roman" w:cs="Times New Roman"/>
                <w:color w:val="000000"/>
                <w:sz w:val="24"/>
              </w:rPr>
              <w:br/>
              <w:t>Do právneho predpisu sa zavádza definícia finančnej holdingovej účtovnej jednotky.  Aj keď dôvodom sú súvislosti spojené s udržateľnosťou, uvedená definícia má generálny právny význam. Odporúčame presnejšie špecifikovať  kritériá spravovania a zhodnocovania podielov bez  priameho a nepriameho zasahovania   do riadenie týchto subjektov.</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Definícia  finančnej holdingovej účtovnej jednotky môže byť odrazom na odvolanie sa na túto definíciu aj v iných právnych predpisov. Z uvedeného dôvodu navrhujeme spresnenie obsahu priameho a nepriameho zasahovania do riadenia subjektov spadajúcich pod finančnú holdingovú účtovnú jednotku.  Navrhujeme minimálne doplniť dôvodovú správu o príklady, na ktoré sa predmetná definícia vzťahuje. Prípadne v samotnej definícii nahradiť slová „jediným predmetom činnosti je nadobudnutie" nahradiť slovami "výlučnou činnosťou je nadobúdanie".</w:t>
            </w:r>
          </w:p>
        </w:tc>
        <w:tc>
          <w:tcPr>
            <w:tcW w:w="778" w:type="dxa"/>
            <w:vAlign w:val="center"/>
          </w:tcPr>
          <w:p w14:paraId="1AE5D40E" w14:textId="77777777" w:rsidR="00421B59" w:rsidRDefault="00000000">
            <w:pPr>
              <w:spacing w:after="0"/>
              <w:jc w:val="center"/>
            </w:pPr>
            <w:r>
              <w:rPr>
                <w:rFonts w:ascii="Times New Roman" w:eastAsia="Times New Roman" w:hAnsi="Times New Roman" w:cs="Times New Roman"/>
                <w:color w:val="000000"/>
                <w:sz w:val="24"/>
              </w:rPr>
              <w:t>A</w:t>
            </w:r>
          </w:p>
        </w:tc>
        <w:tc>
          <w:tcPr>
            <w:tcW w:w="2462" w:type="dxa"/>
          </w:tcPr>
          <w:p w14:paraId="7E04E40A" w14:textId="77777777" w:rsidR="00421B59" w:rsidRDefault="00421B59">
            <w:pPr>
              <w:spacing w:after="0"/>
            </w:pPr>
          </w:p>
        </w:tc>
      </w:tr>
      <w:tr w:rsidR="00421B59" w14:paraId="5169DF1D" w14:textId="77777777">
        <w:trPr>
          <w:trHeight w:val="648"/>
          <w:jc w:val="center"/>
        </w:trPr>
        <w:tc>
          <w:tcPr>
            <w:tcW w:w="1944" w:type="dxa"/>
          </w:tcPr>
          <w:p w14:paraId="408A29A9" w14:textId="77777777" w:rsidR="00421B59" w:rsidRDefault="00000000">
            <w:pPr>
              <w:spacing w:after="0"/>
              <w:jc w:val="center"/>
            </w:pPr>
            <w:r>
              <w:rPr>
                <w:rFonts w:ascii="Times New Roman" w:eastAsia="Times New Roman" w:hAnsi="Times New Roman" w:cs="Times New Roman"/>
                <w:b/>
                <w:color w:val="000000"/>
                <w:sz w:val="24"/>
              </w:rPr>
              <w:t>SKAU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Slovenská komora audítorov</w:t>
            </w:r>
          </w:p>
        </w:tc>
        <w:tc>
          <w:tcPr>
            <w:tcW w:w="1296" w:type="dxa"/>
            <w:vAlign w:val="center"/>
          </w:tcPr>
          <w:p w14:paraId="0F6D02E0" w14:textId="77777777" w:rsidR="00421B59" w:rsidRDefault="00000000">
            <w:pPr>
              <w:spacing w:after="0"/>
              <w:jc w:val="center"/>
            </w:pPr>
            <w:r>
              <w:rPr>
                <w:rFonts w:ascii="Times New Roman" w:eastAsia="Times New Roman" w:hAnsi="Times New Roman" w:cs="Times New Roman"/>
                <w:b/>
                <w:color w:val="FF0000"/>
                <w:sz w:val="24"/>
              </w:rPr>
              <w:t>Z</w:t>
            </w:r>
          </w:p>
        </w:tc>
        <w:tc>
          <w:tcPr>
            <w:tcW w:w="6480" w:type="dxa"/>
          </w:tcPr>
          <w:p w14:paraId="641413FB" w14:textId="77777777" w:rsidR="00421B59" w:rsidRDefault="00000000">
            <w:pPr>
              <w:spacing w:after="0"/>
            </w:pPr>
            <w:r>
              <w:rPr>
                <w:rFonts w:ascii="Times New Roman" w:eastAsia="Times New Roman" w:hAnsi="Times New Roman" w:cs="Times New Roman"/>
                <w:b/>
                <w:color w:val="000000"/>
                <w:sz w:val="24"/>
              </w:rPr>
              <w:t>Čl. II. § 31 ods. 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V § 31 ods. 2 prvá veta  sa za slová „sú povinní“ vkladajú slová „v rozsahu a štruktúre určených komorou“. </w:t>
            </w:r>
            <w:r>
              <w:rPr>
                <w:rFonts w:ascii="Times New Roman" w:eastAsia="Times New Roman" w:hAnsi="Times New Roman" w:cs="Times New Roman"/>
                <w:color w:val="000000"/>
                <w:sz w:val="24"/>
              </w:rPr>
              <w:br/>
              <w:t>Odôvodnenie :</w:t>
            </w:r>
            <w:r>
              <w:rPr>
                <w:rFonts w:ascii="Times New Roman" w:eastAsia="Times New Roman" w:hAnsi="Times New Roman" w:cs="Times New Roman"/>
                <w:color w:val="000000"/>
                <w:sz w:val="24"/>
              </w:rPr>
              <w:br/>
              <w:t xml:space="preserve">Navrhujeme legislatívne a  technické spresnenie textu § 31 </w:t>
            </w:r>
            <w:r>
              <w:rPr>
                <w:rFonts w:ascii="Times New Roman" w:eastAsia="Times New Roman" w:hAnsi="Times New Roman" w:cs="Times New Roman"/>
                <w:color w:val="000000"/>
                <w:sz w:val="24"/>
              </w:rPr>
              <w:lastRenderedPageBreak/>
              <w:t>ods.2. Návrh vyplýva  z aplikačnej praxe a výrazne zvýši jednoznačnosť a zrozumiteľnosť predmetnej úpravy sústavného vzdelávania. Uvedeným návrhom sa rozsah a štruktúra vzdelávania môže prispôsobiť  potrebám zvyšovania kvality komory ako aj novým legislatívnym normám a medzinárodným štandardom.</w:t>
            </w:r>
          </w:p>
        </w:tc>
        <w:tc>
          <w:tcPr>
            <w:tcW w:w="778" w:type="dxa"/>
            <w:vAlign w:val="center"/>
          </w:tcPr>
          <w:p w14:paraId="714F5E65" w14:textId="77777777" w:rsidR="00421B59" w:rsidRDefault="00000000">
            <w:pPr>
              <w:spacing w:after="0"/>
              <w:jc w:val="center"/>
            </w:pPr>
            <w:r>
              <w:rPr>
                <w:rFonts w:ascii="Times New Roman" w:eastAsia="Times New Roman" w:hAnsi="Times New Roman" w:cs="Times New Roman"/>
                <w:color w:val="000000"/>
                <w:sz w:val="24"/>
              </w:rPr>
              <w:lastRenderedPageBreak/>
              <w:t>ČA</w:t>
            </w:r>
          </w:p>
        </w:tc>
        <w:tc>
          <w:tcPr>
            <w:tcW w:w="2462" w:type="dxa"/>
          </w:tcPr>
          <w:p w14:paraId="0CE53D35" w14:textId="77777777" w:rsidR="00421B59" w:rsidRDefault="00000000">
            <w:pPr>
              <w:spacing w:after="0"/>
            </w:pPr>
            <w:r>
              <w:rPr>
                <w:rFonts w:ascii="Times New Roman" w:eastAsia="Times New Roman" w:hAnsi="Times New Roman" w:cs="Times New Roman"/>
                <w:color w:val="000000"/>
                <w:sz w:val="24"/>
              </w:rPr>
              <w:t>Ustanovenie bolo doplnené v zmysle pripomienky.</w:t>
            </w:r>
          </w:p>
        </w:tc>
      </w:tr>
      <w:tr w:rsidR="00421B59" w14:paraId="07453358" w14:textId="77777777">
        <w:trPr>
          <w:trHeight w:val="648"/>
          <w:jc w:val="center"/>
        </w:trPr>
        <w:tc>
          <w:tcPr>
            <w:tcW w:w="1944" w:type="dxa"/>
          </w:tcPr>
          <w:p w14:paraId="65A1329A" w14:textId="77777777" w:rsidR="00421B59" w:rsidRDefault="00000000">
            <w:pPr>
              <w:spacing w:after="0"/>
              <w:jc w:val="center"/>
            </w:pPr>
            <w:r>
              <w:rPr>
                <w:rFonts w:ascii="Times New Roman" w:eastAsia="Times New Roman" w:hAnsi="Times New Roman" w:cs="Times New Roman"/>
                <w:b/>
                <w:color w:val="000000"/>
                <w:sz w:val="24"/>
              </w:rPr>
              <w:t>SKAU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Slovenská komora audítorov</w:t>
            </w:r>
          </w:p>
        </w:tc>
        <w:tc>
          <w:tcPr>
            <w:tcW w:w="1296" w:type="dxa"/>
            <w:vAlign w:val="center"/>
          </w:tcPr>
          <w:p w14:paraId="741F1A54" w14:textId="77777777" w:rsidR="00421B59" w:rsidRDefault="00000000">
            <w:pPr>
              <w:spacing w:after="0"/>
              <w:jc w:val="center"/>
            </w:pPr>
            <w:r>
              <w:rPr>
                <w:rFonts w:ascii="Times New Roman" w:eastAsia="Times New Roman" w:hAnsi="Times New Roman" w:cs="Times New Roman"/>
                <w:b/>
                <w:color w:val="FF0000"/>
                <w:sz w:val="24"/>
              </w:rPr>
              <w:t>Z</w:t>
            </w:r>
          </w:p>
        </w:tc>
        <w:tc>
          <w:tcPr>
            <w:tcW w:w="6480" w:type="dxa"/>
          </w:tcPr>
          <w:p w14:paraId="6842074B" w14:textId="77777777" w:rsidR="00421B59" w:rsidRDefault="00000000">
            <w:pPr>
              <w:spacing w:after="0"/>
            </w:pPr>
            <w:r>
              <w:rPr>
                <w:rFonts w:ascii="Times New Roman" w:eastAsia="Times New Roman" w:hAnsi="Times New Roman" w:cs="Times New Roman"/>
                <w:b/>
                <w:color w:val="000000"/>
                <w:sz w:val="24"/>
              </w:rPr>
              <w:t>Čl. II. § 31 ods. 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31 ods. 2 piata veta sa slovo „úrad“ nahrádza slovom „komora“.</w:t>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Dôvod navrhovanej úpravy vyplýva z aplikačnej praxe a dopĺňa systém evidencie a kontroly sústavného vzdelávania navrhnutý v bode 21 (§ 31ods.3) tohto návrhu zákona. Je dôležité, aby legislatívna úprava  sústavného vzdelávania bola  prijatá komplexnejšie a vo vzájomných súvislostiach. Úlohou komory je evidovať  a kontrovať sústavné vzdelávania štatutárnych audítorov. Na rozdiel od Úradu pre dohľad nad výkonom auditu  (ďalej len „úrad“) komora komunikuje so štatutárnym audítorom na dennej báze a má k dispozícii komplexné informácie o štatutárnom audítorovi. Ak má úrad  posúdiť iné závažné dôvody prečo sa štatutárny audítor nemôže vzdelávať, mal by poznať oblasť sústavného audítora, ktorú  si musí vyžiadať od komory. Zároveň úrad v  pravidelných časových intervaloch vykonáva kontrolu v komore, a to aj v oblasti sústavného vzdelávania, čo jeho zákonná  úloha.  Navrhujeme legislatívnu úpravu, ktorá odbúra vysokú administratívnu záťaž.</w:t>
            </w:r>
          </w:p>
        </w:tc>
        <w:tc>
          <w:tcPr>
            <w:tcW w:w="778" w:type="dxa"/>
            <w:vAlign w:val="center"/>
          </w:tcPr>
          <w:p w14:paraId="481EAEF9" w14:textId="77777777" w:rsidR="00421B59" w:rsidRDefault="00000000">
            <w:pPr>
              <w:spacing w:after="0"/>
              <w:jc w:val="center"/>
            </w:pPr>
            <w:r>
              <w:rPr>
                <w:rFonts w:ascii="Times New Roman" w:eastAsia="Times New Roman" w:hAnsi="Times New Roman" w:cs="Times New Roman"/>
                <w:color w:val="000000"/>
                <w:sz w:val="24"/>
              </w:rPr>
              <w:t>N</w:t>
            </w:r>
          </w:p>
        </w:tc>
        <w:tc>
          <w:tcPr>
            <w:tcW w:w="2462" w:type="dxa"/>
          </w:tcPr>
          <w:p w14:paraId="5C2B616B" w14:textId="77777777" w:rsidR="00421B59" w:rsidRDefault="00000000">
            <w:pPr>
              <w:spacing w:after="0"/>
            </w:pPr>
            <w:r>
              <w:rPr>
                <w:rFonts w:ascii="Times New Roman" w:eastAsia="Times New Roman" w:hAnsi="Times New Roman" w:cs="Times New Roman"/>
                <w:color w:val="000000"/>
                <w:sz w:val="24"/>
              </w:rPr>
              <w:t xml:space="preserve">Systém kontroly sústavného vzdelávania bol predmetom pracovných diskusií zástupcov MF SR, Slovenskej komory audítorov (SKAU) a Úradu pre dohľad nad výkonom auditu (UDVA). Výsledky týchto diskusií boli zapracované do návrhu zákona. Výsledkom tejto pracovnej diskusie bola dohoda ponechať kontrolu plnenia požiadaviek na sústavné vzdelávanie všetkých štatutárnych audítorov na SKAU. Tým nie je dotknutá právomoc UDVA na vykonávanie dohľadu nad sústavným </w:t>
            </w:r>
            <w:r>
              <w:rPr>
                <w:rFonts w:ascii="Times New Roman" w:eastAsia="Times New Roman" w:hAnsi="Times New Roman" w:cs="Times New Roman"/>
                <w:color w:val="000000"/>
                <w:sz w:val="24"/>
              </w:rPr>
              <w:lastRenderedPageBreak/>
              <w:t xml:space="preserve">vzdelávaním, ktoré vyplýva z § 53 ods. 2 zákona o štatutárnom audite. Na základe uvedeného boli primeraným spôsobom upravené príslušné ustanovenia zákona. Úlohou SKAU je kontrola plnenia požiadaviek na sústavné vzdelávanie vyplývajúcich zo zákona. Predložená pripomienka sa však vzťahuje na individuálne posúdenie dôvodov pre zníženie počtu hodín sústavného vzdelávania konkrétneho štatutárneho audítora, ktoré predstavuje odklon od základnej požiadavky stanovenej zákonom. Preto uvedené aj z dôvodu zachovania nezávislosti zostáva naďalej v kompetencii </w:t>
            </w:r>
            <w:r>
              <w:rPr>
                <w:rFonts w:ascii="Times New Roman" w:eastAsia="Times New Roman" w:hAnsi="Times New Roman" w:cs="Times New Roman"/>
                <w:color w:val="000000"/>
                <w:sz w:val="24"/>
              </w:rPr>
              <w:lastRenderedPageBreak/>
              <w:t>UDVA ako orgánu dohľadu nad sústavným vzdelávaním.</w:t>
            </w:r>
          </w:p>
        </w:tc>
      </w:tr>
      <w:tr w:rsidR="00421B59" w14:paraId="0421A97E" w14:textId="77777777">
        <w:trPr>
          <w:trHeight w:val="648"/>
          <w:jc w:val="center"/>
        </w:trPr>
        <w:tc>
          <w:tcPr>
            <w:tcW w:w="1944" w:type="dxa"/>
          </w:tcPr>
          <w:p w14:paraId="04CF78E9" w14:textId="77777777" w:rsidR="00421B59" w:rsidRDefault="00000000">
            <w:pPr>
              <w:spacing w:after="0"/>
              <w:jc w:val="center"/>
            </w:pPr>
            <w:r>
              <w:rPr>
                <w:rFonts w:ascii="Times New Roman" w:eastAsia="Times New Roman" w:hAnsi="Times New Roman" w:cs="Times New Roman"/>
                <w:b/>
                <w:color w:val="000000"/>
                <w:sz w:val="24"/>
              </w:rPr>
              <w:lastRenderedPageBreak/>
              <w:t>SKAU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Slovenská komora audítorov</w:t>
            </w:r>
          </w:p>
        </w:tc>
        <w:tc>
          <w:tcPr>
            <w:tcW w:w="1296" w:type="dxa"/>
            <w:vAlign w:val="center"/>
          </w:tcPr>
          <w:p w14:paraId="265E3021" w14:textId="77777777" w:rsidR="00421B59" w:rsidRDefault="00000000">
            <w:pPr>
              <w:spacing w:after="0"/>
              <w:jc w:val="center"/>
            </w:pPr>
            <w:r>
              <w:rPr>
                <w:rFonts w:ascii="Times New Roman" w:eastAsia="Times New Roman" w:hAnsi="Times New Roman" w:cs="Times New Roman"/>
                <w:b/>
                <w:color w:val="FF0000"/>
                <w:sz w:val="24"/>
              </w:rPr>
              <w:t>Z</w:t>
            </w:r>
          </w:p>
        </w:tc>
        <w:tc>
          <w:tcPr>
            <w:tcW w:w="6480" w:type="dxa"/>
          </w:tcPr>
          <w:p w14:paraId="06691F49" w14:textId="77777777" w:rsidR="00421B59" w:rsidRDefault="00000000">
            <w:pPr>
              <w:spacing w:after="0"/>
            </w:pPr>
            <w:r>
              <w:rPr>
                <w:rFonts w:ascii="Times New Roman" w:eastAsia="Times New Roman" w:hAnsi="Times New Roman" w:cs="Times New Roman"/>
                <w:b/>
                <w:color w:val="000000"/>
                <w:sz w:val="24"/>
              </w:rPr>
              <w:t>Čl. II. § 40 písm. g)</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40 písmeno g) sa za slová „žrebom štatutárneho audítora“ vkladajú slová „audítorskú spoločnosť, okrem audítorskej spoločnosti, ktorá vykonáva audit v subjekte verejného záujmu alebo v subjekte osobitného významu“ a za slová „určeného štatutárneho audítora“ sa vkladajú slová „alebo audítorskej spoločnosti“.</w:t>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Ide o požiadavku aplikačnej praxe. V súčasnosti prevažuje výkon štatutárneho auditu prostredníctvom audítorskej spoločnosti. Tým, že vzniká zákonná povinnosť vykonať štatutárny audit v každej politickej strane vzniká praktický problém zabezpečiť dostatočný počet štatutárnych audítorov do osudia pre žrebovanie.</w:t>
            </w:r>
          </w:p>
        </w:tc>
        <w:tc>
          <w:tcPr>
            <w:tcW w:w="778" w:type="dxa"/>
            <w:vAlign w:val="center"/>
          </w:tcPr>
          <w:p w14:paraId="09E1D6F7" w14:textId="77777777" w:rsidR="00421B59" w:rsidRDefault="00000000">
            <w:pPr>
              <w:spacing w:after="0"/>
              <w:jc w:val="center"/>
            </w:pPr>
            <w:r>
              <w:rPr>
                <w:rFonts w:ascii="Times New Roman" w:eastAsia="Times New Roman" w:hAnsi="Times New Roman" w:cs="Times New Roman"/>
                <w:color w:val="000000"/>
                <w:sz w:val="24"/>
              </w:rPr>
              <w:t>N</w:t>
            </w:r>
          </w:p>
        </w:tc>
        <w:tc>
          <w:tcPr>
            <w:tcW w:w="2462" w:type="dxa"/>
          </w:tcPr>
          <w:p w14:paraId="380071FC" w14:textId="77777777" w:rsidR="00421B59" w:rsidRDefault="00000000">
            <w:pPr>
              <w:spacing w:after="0"/>
            </w:pPr>
            <w:r>
              <w:rPr>
                <w:rFonts w:ascii="Times New Roman" w:eastAsia="Times New Roman" w:hAnsi="Times New Roman" w:cs="Times New Roman"/>
                <w:color w:val="000000"/>
                <w:sz w:val="24"/>
              </w:rPr>
              <w:t>Pripomienka je nad rámec predkladaného návrhu. Uvedená téma spadá do gescie iného rezortu a vyžaduje si širšiu technickú diskusiu nielen s príslušným rezortom, ale aj s dotknutými subjektami tzn. politickými stranami a audítorskými spoločnosťami.</w:t>
            </w:r>
          </w:p>
        </w:tc>
      </w:tr>
      <w:tr w:rsidR="00421B59" w14:paraId="12031A11" w14:textId="77777777">
        <w:trPr>
          <w:trHeight w:val="648"/>
          <w:jc w:val="center"/>
        </w:trPr>
        <w:tc>
          <w:tcPr>
            <w:tcW w:w="1944" w:type="dxa"/>
          </w:tcPr>
          <w:p w14:paraId="1A6FEB31" w14:textId="77777777" w:rsidR="00421B59" w:rsidRDefault="00000000">
            <w:pPr>
              <w:spacing w:after="0"/>
              <w:jc w:val="center"/>
            </w:pPr>
            <w:r>
              <w:rPr>
                <w:rFonts w:ascii="Times New Roman" w:eastAsia="Times New Roman" w:hAnsi="Times New Roman" w:cs="Times New Roman"/>
                <w:b/>
                <w:color w:val="000000"/>
                <w:sz w:val="24"/>
              </w:rPr>
              <w:t>SKAU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Slovenská komora audítorov</w:t>
            </w:r>
          </w:p>
        </w:tc>
        <w:tc>
          <w:tcPr>
            <w:tcW w:w="1296" w:type="dxa"/>
            <w:vAlign w:val="center"/>
          </w:tcPr>
          <w:p w14:paraId="529E74EA" w14:textId="77777777" w:rsidR="00421B59" w:rsidRDefault="00000000">
            <w:pPr>
              <w:spacing w:after="0"/>
              <w:jc w:val="center"/>
            </w:pPr>
            <w:r>
              <w:rPr>
                <w:rFonts w:ascii="Times New Roman" w:eastAsia="Times New Roman" w:hAnsi="Times New Roman" w:cs="Times New Roman"/>
                <w:b/>
                <w:color w:val="FF0000"/>
                <w:sz w:val="24"/>
              </w:rPr>
              <w:t>Z</w:t>
            </w:r>
          </w:p>
        </w:tc>
        <w:tc>
          <w:tcPr>
            <w:tcW w:w="6480" w:type="dxa"/>
          </w:tcPr>
          <w:p w14:paraId="23F8251A" w14:textId="77777777" w:rsidR="00421B59" w:rsidRDefault="00000000">
            <w:pPr>
              <w:spacing w:after="0"/>
            </w:pPr>
            <w:r>
              <w:rPr>
                <w:rFonts w:ascii="Times New Roman" w:eastAsia="Times New Roman" w:hAnsi="Times New Roman" w:cs="Times New Roman"/>
                <w:b/>
                <w:color w:val="000000"/>
                <w:sz w:val="24"/>
              </w:rPr>
              <w:t>Čl. I. § 19 ods. 6 až  9</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Nad rámec návrhu zákona navrhujeme doplniť § 19 o  povinnosť preverenia účtovnej  závierky audítorom.  Preverenie účtovnej závierky je dôležitý nástroj boja proti podvodom, daňovým únikom, zámernému skresľovaniu vykazovaných údajoch v účtovnej závierke. Ide o rozhodujúce doplnenie do komplexného systému dodržiavania právnych predpisov. Uvedenú povinnosť sme predkladali aj v rámci predbežnej informácie. Tým, že predkladateľ návrhu vyjadril plnú podporu pre prijatie daného návrhu, ale namietal potrebu bezproblémovej  priechodnosti návrhov k udržateľnosti,  navrhujeme vytvorenie pracovnej skupiny aj za účasti MF SR,  MH  SR a NKÚ SR, prípadne aj zástupcov Európskeho dvora audítorov. Navrhujeme, aby </w:t>
            </w:r>
            <w:r>
              <w:rPr>
                <w:rFonts w:ascii="Times New Roman" w:eastAsia="Times New Roman" w:hAnsi="Times New Roman" w:cs="Times New Roman"/>
                <w:color w:val="000000"/>
                <w:sz w:val="24"/>
              </w:rPr>
              <w:lastRenderedPageBreak/>
              <w:t>skupina vytvorila dokument, ktorý bude podkladom pre doplnenie § 19 zákona o účtovníctve.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Uvádzame návrh na doplnenie § 19 zákona o účtovníctve: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„(6) Obchodná spoločnosť a družstvo na ktorú sa nevzťahuje povinnosť overenia účtovnej závierky podľa odseku 1 písm. a) majú povinnosť nechať si preveriť účtovnú závierku audítorom, či zistil významné skutočnosti o tom, že účtovná závierka neposkytuje verný a pravdivý obraz o finančnej situácii a výsledku hospodárenia (ďalej len „preverenie účtovnej závierky“) za účtovné obdobie, v ktorom boli  použité dotácie zo štátneho rozpočtu alebo nenávratné finančné z prostriedky zo štrukturálnych a investičných fondov Európskej únie, alebo finančné prostriedky z Plánu obnovy a odolnosti SR  v sume vyššej ako 500 000 eur.</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  (7) Obchodná spoločnosť a družstvo, na ktorú sa nevzťahuje povinnosť overenia účtovnej závierky podľa odseku 1 písm. a) majú povinnosť nechať si preveriť účtovnú závierku audítorom za účtovné obdobie, ak  čistý obrat  za bezprostredne predchádzajúce účtovné obdobie presiahol 6 000 000 eur.</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(8) Obchodná spoločnosť a družstvo, na ktorú sa nevzťahuje povinnosť overenia účtovnej závierky podľa odseku 1 písm. a) majú povinnosť nechať si  preveriť účtovnú závierku audítorom  za účtovné obdobie, ak ch čistý obrat  za bezprostredne predchádzajúce účtovné obdobie presiahol 5 000 000 eur a zároveň mali viac ako 4 roky index daňovej spoľahlivosti ako menej spoľahlivý daňový subjekt.</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 xml:space="preserve"> (9) Obchodná spoločnosť a družstvo, na ktorú sa nevzťahuje povinnosť overenia účtovnej závierky podľa    odseku 1 písm. a) majú povinnosť nechať si preveriť účtovnú závierku audítorom za účtovné obdobie, v ktorom získali  úľavu na dani z príjmov buď ako príjemcovia investičnej pomoci alebo ako prijímatelia stimulov pri výskume a vývoji yy)v sume vyššej ako 500 000 eur..“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Poznámky pod čiarou k odkazom  xx)  a yy) znejú:</w:t>
            </w:r>
            <w:r>
              <w:rPr>
                <w:rFonts w:ascii="Times New Roman" w:eastAsia="Times New Roman" w:hAnsi="Times New Roman" w:cs="Times New Roman"/>
                <w:color w:val="000000"/>
                <w:sz w:val="24"/>
              </w:rPr>
              <w:br/>
              <w:t>„xx) § 53d Daňový poriadok.</w:t>
            </w:r>
            <w:r>
              <w:rPr>
                <w:rFonts w:ascii="Times New Roman" w:eastAsia="Times New Roman" w:hAnsi="Times New Roman" w:cs="Times New Roman"/>
                <w:color w:val="000000"/>
                <w:sz w:val="24"/>
              </w:rPr>
              <w:br/>
              <w:t xml:space="preserve"> yy) § 30a a § 30b zákona č. 595/2003 Z. z. v znení neskorších predpisov.“.</w:t>
            </w:r>
          </w:p>
        </w:tc>
        <w:tc>
          <w:tcPr>
            <w:tcW w:w="778" w:type="dxa"/>
            <w:vAlign w:val="center"/>
          </w:tcPr>
          <w:p w14:paraId="01B42619" w14:textId="77777777" w:rsidR="00421B59" w:rsidRDefault="00000000">
            <w:pPr>
              <w:spacing w:after="0"/>
              <w:jc w:val="center"/>
            </w:pPr>
            <w:r>
              <w:rPr>
                <w:rFonts w:ascii="Times New Roman" w:eastAsia="Times New Roman" w:hAnsi="Times New Roman" w:cs="Times New Roman"/>
                <w:color w:val="000000"/>
                <w:sz w:val="24"/>
              </w:rPr>
              <w:lastRenderedPageBreak/>
              <w:t>ČA</w:t>
            </w:r>
          </w:p>
        </w:tc>
        <w:tc>
          <w:tcPr>
            <w:tcW w:w="2462" w:type="dxa"/>
          </w:tcPr>
          <w:p w14:paraId="772643C7" w14:textId="77777777" w:rsidR="00421B59" w:rsidRDefault="00000000">
            <w:pPr>
              <w:spacing w:after="0"/>
            </w:pPr>
            <w:r>
              <w:rPr>
                <w:rFonts w:ascii="Times New Roman" w:eastAsia="Times New Roman" w:hAnsi="Times New Roman" w:cs="Times New Roman"/>
                <w:color w:val="000000"/>
                <w:sz w:val="24"/>
              </w:rPr>
              <w:t xml:space="preserve">Pripomienka je nad rámec predkladaného návrhu. MF SR počas diskusie so zástupcami SKAU viackrát upozornilo, že uvedené je potrebné diskutovať predovšetkým s rezortami, ktoré verejné prostriedky poskytujú, ako aj s dotknutými podnikateľskými </w:t>
            </w:r>
            <w:r>
              <w:rPr>
                <w:rFonts w:ascii="Times New Roman" w:eastAsia="Times New Roman" w:hAnsi="Times New Roman" w:cs="Times New Roman"/>
                <w:color w:val="000000"/>
                <w:sz w:val="24"/>
              </w:rPr>
              <w:lastRenderedPageBreak/>
              <w:t>subjektami, aby zavedená povinnosť nepredstavovala len administratívnu a finančnú záťaž, ale splnila požadovaný účel. MF SR je pripravené poskytnúť potrebnú odbornú súčinnosť k tejto diskusii.</w:t>
            </w:r>
          </w:p>
        </w:tc>
      </w:tr>
      <w:tr w:rsidR="00421B59" w14:paraId="0AC3E21C" w14:textId="77777777">
        <w:trPr>
          <w:trHeight w:val="648"/>
          <w:jc w:val="center"/>
        </w:trPr>
        <w:tc>
          <w:tcPr>
            <w:tcW w:w="1944" w:type="dxa"/>
          </w:tcPr>
          <w:p w14:paraId="1C0BB075" w14:textId="77777777" w:rsidR="00421B59" w:rsidRDefault="00000000">
            <w:pPr>
              <w:spacing w:after="0"/>
              <w:jc w:val="center"/>
            </w:pPr>
            <w:r>
              <w:rPr>
                <w:rFonts w:ascii="Times New Roman" w:eastAsia="Times New Roman" w:hAnsi="Times New Roman" w:cs="Times New Roman"/>
                <w:b/>
                <w:color w:val="000000"/>
                <w:sz w:val="24"/>
              </w:rPr>
              <w:lastRenderedPageBreak/>
              <w:t>SKAU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Slovenská komora audítorov</w:t>
            </w:r>
          </w:p>
        </w:tc>
        <w:tc>
          <w:tcPr>
            <w:tcW w:w="1296" w:type="dxa"/>
            <w:vAlign w:val="center"/>
          </w:tcPr>
          <w:p w14:paraId="077D276A" w14:textId="77777777" w:rsidR="00421B59" w:rsidRDefault="00000000">
            <w:pPr>
              <w:spacing w:after="0"/>
              <w:jc w:val="center"/>
            </w:pPr>
            <w:r>
              <w:rPr>
                <w:rFonts w:ascii="Times New Roman" w:eastAsia="Times New Roman" w:hAnsi="Times New Roman" w:cs="Times New Roman"/>
                <w:color w:val="000000"/>
                <w:sz w:val="24"/>
              </w:rPr>
              <w:t>O</w:t>
            </w:r>
          </w:p>
        </w:tc>
        <w:tc>
          <w:tcPr>
            <w:tcW w:w="6480" w:type="dxa"/>
          </w:tcPr>
          <w:p w14:paraId="675DB5BE" w14:textId="77777777" w:rsidR="00421B59" w:rsidRDefault="00000000">
            <w:pPr>
              <w:spacing w:after="0"/>
            </w:pPr>
            <w:r>
              <w:rPr>
                <w:rFonts w:ascii="Times New Roman" w:eastAsia="Times New Roman" w:hAnsi="Times New Roman" w:cs="Times New Roman"/>
                <w:b/>
                <w:color w:val="000000"/>
                <w:sz w:val="24"/>
              </w:rPr>
              <w:t>Čl. I. § 19 ods. 6 až 9</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Nad rámec návrhu zákona navrhujeme doplniť § 19 o  povinnosť preverenia účtovnej  závierky audítorom.  Preverenie účtovnej závierky je dôležitý nástroj boja proti podvodom, daňovým únikom, zámernému skresľovaniu vykazovaných údajoch v účtovnej závierke. Ide o rozhodujúce doplnenie do komplexného systému dodržiavania právnych predpisov. Uvedenú povinnosť sme predkladali aj v rámci predbežnej informácie. Tým, že predkladateľ návrhu vyjadril plnú podporu pre prijatie daného návrhu, ale namietal potrebu bezproblémovej  priechodnosti návrhov k udržateľnosti,  navrhujeme vytvorenie pracovnej skupiny aj za účasti MF SR,  MH  SR a NKÚ SR, prípadne aj zástupcov Európskeho dvora audítorov. Navrhujeme, aby skupina vytvorila dokument, ktorý bude podkladom pre doplnenie § 19 zákona o účtovníctve.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Uvádzame návrh na doplnenie § 19 zákona o účtovníctve: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„(6) Obchodná spoločnosť a družstvo na ktorú sa nevzťahuje </w:t>
            </w:r>
            <w:r>
              <w:rPr>
                <w:rFonts w:ascii="Times New Roman" w:eastAsia="Times New Roman" w:hAnsi="Times New Roman" w:cs="Times New Roman"/>
                <w:color w:val="000000"/>
                <w:sz w:val="24"/>
              </w:rPr>
              <w:lastRenderedPageBreak/>
              <w:t>povinnosť overenia účtovnej závierky podľa odseku 1 písm. a) majú povinnosť nechať si preveriť účtovnú závierku audítorom, či zistil významné skutočnosti o tom, že účtovná závierka neposkytuje verný a pravdivý obraz o finančnej situácii a výsledku hospodárenia (ďalej len „preverenie účtovnej závierky“) za účtovné obdobie, v ktorom boli  použité dotácie zo štátneho rozpočtu alebo nenávratné finančné z prostriedky zo štrukturálnych a investičných fondov Európskej únie, alebo finančné prostriedky z Plánu obnovy a odolnosti SR  v sume vyššej ako 500 000 eur.</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  (7) Obchodná spoločnosť a družstvo, na ktorú sa nevzťahuje povinnosť overenia účtovnej závierky podľa odseku 1 písm. a) majú povinnosť nechať si preveriť účtovnú závierku audítorom za účtovné obdobie, ak  čistý obrat  za bezprostredne predchádzajúce účtovné obdobie presiahol 6 000 000 eur.</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(8) Obchodná spoločnosť a družstvo, na ktorú sa nevzťahuje povinnosť overenia účtovnej závierky podľa odseku 1 písm. a) majú povinnosť nechať si  preveriť účtovnú závierku audítorom  za účtovné obdobie, ak ch čistý obrat  za bezprostredne predchádzajúce účtovné obdobie presiahol 5 000 000 eur a zároveň mali viac ako 4 roky index daňovej spoľahlivosti ako menej spoľahlivý daňový subjekt.</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 (9) Obchodná spoločnosť a družstvo, na ktorú sa nevzťahuje povinnosť overenia účtovnej závierky podľa    odseku 1 písm. a) majú povinnosť nechať si preveriť účtovnú závierku audítorom za účtovné obdobie, v ktorom získali  úľavu na dani z príjmov buď ako príjemcovia investičnej pomoci alebo ako prijímatelia stimulov pri výskume a vývoji yy)v sume vyššej ako 500 000 </w:t>
            </w:r>
            <w:r>
              <w:rPr>
                <w:rFonts w:ascii="Times New Roman" w:eastAsia="Times New Roman" w:hAnsi="Times New Roman" w:cs="Times New Roman"/>
                <w:color w:val="000000"/>
                <w:sz w:val="24"/>
              </w:rPr>
              <w:lastRenderedPageBreak/>
              <w:t xml:space="preserve">eur..“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Poznámky pod čiarou k odkazom  xx)  a yy) znejú:</w:t>
            </w:r>
            <w:r>
              <w:rPr>
                <w:rFonts w:ascii="Times New Roman" w:eastAsia="Times New Roman" w:hAnsi="Times New Roman" w:cs="Times New Roman"/>
                <w:color w:val="000000"/>
                <w:sz w:val="24"/>
              </w:rPr>
              <w:br/>
              <w:t>„xx) § 53d Daňový poriadok.</w:t>
            </w:r>
            <w:r>
              <w:rPr>
                <w:rFonts w:ascii="Times New Roman" w:eastAsia="Times New Roman" w:hAnsi="Times New Roman" w:cs="Times New Roman"/>
                <w:color w:val="000000"/>
                <w:sz w:val="24"/>
              </w:rPr>
              <w:br/>
              <w:t xml:space="preserve"> yy) § 30a a § 30b zákona č. 595/2003 Z. z. v znení neskorších predpisov.“.</w:t>
            </w:r>
          </w:p>
        </w:tc>
        <w:tc>
          <w:tcPr>
            <w:tcW w:w="778" w:type="dxa"/>
            <w:vAlign w:val="center"/>
          </w:tcPr>
          <w:p w14:paraId="1112289F" w14:textId="77777777" w:rsidR="00421B59" w:rsidRDefault="00000000">
            <w:pPr>
              <w:spacing w:after="0"/>
              <w:jc w:val="center"/>
            </w:pPr>
            <w:r>
              <w:rPr>
                <w:rFonts w:ascii="Times New Roman" w:eastAsia="Times New Roman" w:hAnsi="Times New Roman" w:cs="Times New Roman"/>
                <w:color w:val="000000"/>
                <w:sz w:val="24"/>
              </w:rPr>
              <w:lastRenderedPageBreak/>
              <w:t>ČA</w:t>
            </w:r>
          </w:p>
        </w:tc>
        <w:tc>
          <w:tcPr>
            <w:tcW w:w="2462" w:type="dxa"/>
          </w:tcPr>
          <w:p w14:paraId="00AD1323" w14:textId="77777777" w:rsidR="00421B59" w:rsidRDefault="00000000">
            <w:pPr>
              <w:spacing w:after="0"/>
            </w:pPr>
            <w:r>
              <w:rPr>
                <w:rFonts w:ascii="Times New Roman" w:eastAsia="Times New Roman" w:hAnsi="Times New Roman" w:cs="Times New Roman"/>
                <w:color w:val="000000"/>
                <w:sz w:val="24"/>
              </w:rPr>
              <w:t xml:space="preserve">Pripomienka je nad rámec predkladaného návrhu. MF SR počas diskusie so zástupcami SKAU viackrát upozornilo, že uvedené je potrebné diskutovať predovšetkým s rezortami, ktoré verejné prostriedky poskytujú, ako aj s dotknutými podnikateľskými subjektami, aby zavedená povinnosť nepredstavovala len administratívnu a finančnú záťaž, ale splnila požadovaný </w:t>
            </w:r>
            <w:r>
              <w:rPr>
                <w:rFonts w:ascii="Times New Roman" w:eastAsia="Times New Roman" w:hAnsi="Times New Roman" w:cs="Times New Roman"/>
                <w:color w:val="000000"/>
                <w:sz w:val="24"/>
              </w:rPr>
              <w:lastRenderedPageBreak/>
              <w:t>účel. MF SR je pripravené poskytnúť potrebnú odbornú súčinnosť k tejto diskusii.</w:t>
            </w:r>
          </w:p>
        </w:tc>
      </w:tr>
      <w:tr w:rsidR="00421B59" w14:paraId="6BF5139D" w14:textId="77777777">
        <w:trPr>
          <w:trHeight w:val="648"/>
          <w:jc w:val="center"/>
        </w:trPr>
        <w:tc>
          <w:tcPr>
            <w:tcW w:w="1944" w:type="dxa"/>
          </w:tcPr>
          <w:p w14:paraId="17C60F16" w14:textId="77777777" w:rsidR="00421B59" w:rsidRDefault="00000000">
            <w:pPr>
              <w:spacing w:after="0"/>
              <w:jc w:val="center"/>
            </w:pPr>
            <w:r>
              <w:rPr>
                <w:rFonts w:ascii="Times New Roman" w:eastAsia="Times New Roman" w:hAnsi="Times New Roman" w:cs="Times New Roman"/>
                <w:b/>
                <w:color w:val="000000"/>
                <w:sz w:val="24"/>
              </w:rPr>
              <w:lastRenderedPageBreak/>
              <w:t>SKAU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Slovenská komora audítorov</w:t>
            </w:r>
          </w:p>
        </w:tc>
        <w:tc>
          <w:tcPr>
            <w:tcW w:w="1296" w:type="dxa"/>
            <w:vAlign w:val="center"/>
          </w:tcPr>
          <w:p w14:paraId="243D85D7" w14:textId="77777777" w:rsidR="00421B59" w:rsidRDefault="00000000">
            <w:pPr>
              <w:spacing w:after="0"/>
              <w:jc w:val="center"/>
            </w:pPr>
            <w:r>
              <w:rPr>
                <w:rFonts w:ascii="Times New Roman" w:eastAsia="Times New Roman" w:hAnsi="Times New Roman" w:cs="Times New Roman"/>
                <w:color w:val="000000"/>
                <w:sz w:val="24"/>
              </w:rPr>
              <w:t>O</w:t>
            </w:r>
          </w:p>
        </w:tc>
        <w:tc>
          <w:tcPr>
            <w:tcW w:w="6480" w:type="dxa"/>
          </w:tcPr>
          <w:p w14:paraId="674445D5" w14:textId="77777777" w:rsidR="00421B59" w:rsidRDefault="00000000">
            <w:pPr>
              <w:spacing w:after="0"/>
            </w:pPr>
            <w:r>
              <w:rPr>
                <w:rFonts w:ascii="Times New Roman" w:eastAsia="Times New Roman" w:hAnsi="Times New Roman" w:cs="Times New Roman"/>
                <w:b/>
                <w:color w:val="000000"/>
                <w:sz w:val="24"/>
              </w:rPr>
              <w:t>Čl. II. § 12 ods. 10</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12 odsek 10 znie:</w:t>
            </w:r>
            <w:r>
              <w:rPr>
                <w:rFonts w:ascii="Times New Roman" w:eastAsia="Times New Roman" w:hAnsi="Times New Roman" w:cs="Times New Roman"/>
                <w:color w:val="000000"/>
                <w:sz w:val="24"/>
              </w:rPr>
              <w:br/>
              <w:t xml:space="preserve">„(10) Ak štatutárny audítor alebo audítorská spoločnosť  počas konania o uložení sankcie alebo  disciplinárneho opatrenia  podá žiadosť  podľa odseku 2 písm. o), úrad ku dňu podania žiadosti pozastaví licenciu štatutárnemu audítorovi alebo audítorskej spoločnosti a výmaz zo zoznamu štatutárnych audítorov alebo audítorských spoločnosti vykoná ku dňu skončenia konania o uložení sankcie alebo disciplinárneho konania.“. </w:t>
            </w:r>
            <w:r>
              <w:rPr>
                <w:rFonts w:ascii="Times New Roman" w:eastAsia="Times New Roman" w:hAnsi="Times New Roman" w:cs="Times New Roman"/>
                <w:color w:val="000000"/>
                <w:sz w:val="24"/>
              </w:rPr>
              <w:br/>
              <w:t>Odôvodnenie :</w:t>
            </w:r>
            <w:r>
              <w:rPr>
                <w:rFonts w:ascii="Times New Roman" w:eastAsia="Times New Roman" w:hAnsi="Times New Roman" w:cs="Times New Roman"/>
                <w:color w:val="000000"/>
                <w:sz w:val="24"/>
              </w:rPr>
              <w:br/>
              <w:t>Cieľom predmetného ustanovenia je zabrániť, aby štatutárny audítor alebo audítorská spoločnosť sa  vyhli sankciám tým, že sa nechajú  Úradom pre dohľad nad výkonom auditu  vymazať z príslušného zoznamu, ktorý vôbec ani len netuší dôvod žiadosti, ale podľa zákona tak musí vykonať do 30 dní.  Disciplinárne konanie sa môže viesť len voči štatutárnemu audítorovi alebo audítorskej spoločnosti. Zároveň je dôvodné, že ak štatutárny audítor alebo audítorská spoločnosť má zato, že je lepšie  nechať  sa vymazať z príslušného zoznamu ako byť disciplinárne riešení, nemal by do výmazu z príslušného zoznamu mať možnosť poskytovať audítorskej služby.</w:t>
            </w:r>
          </w:p>
        </w:tc>
        <w:tc>
          <w:tcPr>
            <w:tcW w:w="778" w:type="dxa"/>
            <w:vAlign w:val="center"/>
          </w:tcPr>
          <w:p w14:paraId="4137F1D4" w14:textId="77777777" w:rsidR="00421B59" w:rsidRDefault="00000000">
            <w:pPr>
              <w:spacing w:after="0"/>
              <w:jc w:val="center"/>
            </w:pPr>
            <w:r>
              <w:rPr>
                <w:rFonts w:ascii="Times New Roman" w:eastAsia="Times New Roman" w:hAnsi="Times New Roman" w:cs="Times New Roman"/>
                <w:color w:val="000000"/>
                <w:sz w:val="24"/>
              </w:rPr>
              <w:t>N</w:t>
            </w:r>
          </w:p>
        </w:tc>
        <w:tc>
          <w:tcPr>
            <w:tcW w:w="2462" w:type="dxa"/>
          </w:tcPr>
          <w:p w14:paraId="1A453453" w14:textId="77777777" w:rsidR="00421B59" w:rsidRDefault="00000000">
            <w:pPr>
              <w:spacing w:after="0"/>
            </w:pPr>
            <w:r>
              <w:rPr>
                <w:rFonts w:ascii="Times New Roman" w:eastAsia="Times New Roman" w:hAnsi="Times New Roman" w:cs="Times New Roman"/>
                <w:color w:val="000000"/>
                <w:sz w:val="24"/>
              </w:rPr>
              <w:t xml:space="preserve">Zákon o štatutárnom audite umožňuje pozastaviť licenciu štatutárnemu audítorovi alebo audítorskej spoločnosti iba na vlastnú žiadosť alebo zo strany úradu ako sankciu. V pripomienke však nejde ani o jednu z uvedených možností. </w:t>
            </w:r>
          </w:p>
        </w:tc>
      </w:tr>
      <w:tr w:rsidR="00421B59" w14:paraId="09D25E6C" w14:textId="77777777">
        <w:trPr>
          <w:trHeight w:val="648"/>
          <w:jc w:val="center"/>
        </w:trPr>
        <w:tc>
          <w:tcPr>
            <w:tcW w:w="1944" w:type="dxa"/>
          </w:tcPr>
          <w:p w14:paraId="33FE6878" w14:textId="77777777" w:rsidR="00421B59" w:rsidRDefault="00000000">
            <w:pPr>
              <w:spacing w:after="0"/>
              <w:jc w:val="center"/>
            </w:pPr>
            <w:r>
              <w:rPr>
                <w:rFonts w:ascii="Times New Roman" w:eastAsia="Times New Roman" w:hAnsi="Times New Roman" w:cs="Times New Roman"/>
                <w:b/>
                <w:color w:val="000000"/>
                <w:sz w:val="24"/>
              </w:rPr>
              <w:t>UOOU 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Úrad na ochranu osobných údajov </w:t>
            </w:r>
            <w:r>
              <w:rPr>
                <w:rFonts w:ascii="Times New Roman" w:eastAsia="Times New Roman" w:hAnsi="Times New Roman" w:cs="Times New Roman"/>
                <w:color w:val="000000"/>
                <w:sz w:val="24"/>
              </w:rPr>
              <w:lastRenderedPageBreak/>
              <w:t>Slovenskej republiky</w:t>
            </w:r>
          </w:p>
        </w:tc>
        <w:tc>
          <w:tcPr>
            <w:tcW w:w="1296" w:type="dxa"/>
            <w:vAlign w:val="center"/>
          </w:tcPr>
          <w:p w14:paraId="41FA95F1" w14:textId="77777777" w:rsidR="00421B59" w:rsidRDefault="00000000">
            <w:pPr>
              <w:spacing w:after="0"/>
              <w:jc w:val="center"/>
            </w:pPr>
            <w:r>
              <w:rPr>
                <w:rFonts w:ascii="Times New Roman" w:eastAsia="Times New Roman" w:hAnsi="Times New Roman" w:cs="Times New Roman"/>
                <w:color w:val="000000"/>
                <w:sz w:val="24"/>
              </w:rPr>
              <w:lastRenderedPageBreak/>
              <w:t>O</w:t>
            </w:r>
          </w:p>
        </w:tc>
        <w:tc>
          <w:tcPr>
            <w:tcW w:w="6480" w:type="dxa"/>
          </w:tcPr>
          <w:p w14:paraId="455709EE" w14:textId="77777777" w:rsidR="00421B59" w:rsidRDefault="00000000">
            <w:pPr>
              <w:spacing w:after="0"/>
            </w:pPr>
            <w:r>
              <w:rPr>
                <w:rFonts w:ascii="Times New Roman" w:eastAsia="Times New Roman" w:hAnsi="Times New Roman" w:cs="Times New Roman"/>
                <w:b/>
                <w:color w:val="000000"/>
                <w:sz w:val="24"/>
              </w:rPr>
              <w:t>K Čl. I § 20c písm. b) bodu 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Odporúčame správne umiestniť samostatný odkaz na poznámku pod čiarou k slovám „fyzické osoby“, keďže zákon č. 18/2018 Z. z. o ochrane osobných údajov, ako aj Nariadenie Európskeho </w:t>
            </w:r>
            <w:r>
              <w:rPr>
                <w:rFonts w:ascii="Times New Roman" w:eastAsia="Times New Roman" w:hAnsi="Times New Roman" w:cs="Times New Roman"/>
                <w:color w:val="000000"/>
                <w:sz w:val="24"/>
              </w:rPr>
              <w:lastRenderedPageBreak/>
              <w:t>parlamentu a Rady (EÚ) 2016/679 (GDPR), sa vzťahujú výlučne na ochranu osobných údajov fyzických osôb.</w:t>
            </w:r>
            <w:r>
              <w:rPr>
                <w:rFonts w:ascii="Times New Roman" w:eastAsia="Times New Roman" w:hAnsi="Times New Roman" w:cs="Times New Roman"/>
                <w:color w:val="000000"/>
                <w:sz w:val="24"/>
              </w:rPr>
              <w:br/>
              <w:t>Zároveň odporúčame doplniť do poznámky pod čiarou aj odkaz na Nariadenie Európskeho parlamentu a Rady (EÚ) 2016/679 z 27. apríla 2016 o ochrane fyzických osôb pri spracúvaní osobných údajov a o voľnom pohybe takýchto údajov, ktorým sa zrušuje smernica 95/46/ES (všeobecné nariadenie o ochrane údajov).</w:t>
            </w:r>
            <w:r>
              <w:rPr>
                <w:rFonts w:ascii="Times New Roman" w:eastAsia="Times New Roman" w:hAnsi="Times New Roman" w:cs="Times New Roman"/>
                <w:color w:val="000000"/>
                <w:sz w:val="24"/>
              </w:rPr>
              <w:br/>
              <w:t>Odôvodnenie: Navrhovaná úprava zabezpečí legislatívnu presnosť a úplnosť právnych odkazov. Zároveň zohľadňuje, že ochrana osobných údajov je upravená priamo uplatniteľným nariadením Európskej únie, ktoré je spolu so zákonom č. 18/2018 Z. z. základným právnym predpisom v oblasti ochrany osobných údajov fyzických osôb.</w:t>
            </w:r>
          </w:p>
        </w:tc>
        <w:tc>
          <w:tcPr>
            <w:tcW w:w="778" w:type="dxa"/>
            <w:vAlign w:val="center"/>
          </w:tcPr>
          <w:p w14:paraId="3724BEF6" w14:textId="77777777" w:rsidR="00421B59" w:rsidRDefault="00000000">
            <w:pPr>
              <w:spacing w:after="0"/>
              <w:jc w:val="center"/>
            </w:pPr>
            <w:r>
              <w:rPr>
                <w:rFonts w:ascii="Times New Roman" w:eastAsia="Times New Roman" w:hAnsi="Times New Roman" w:cs="Times New Roman"/>
                <w:color w:val="000000"/>
                <w:sz w:val="24"/>
              </w:rPr>
              <w:lastRenderedPageBreak/>
              <w:t>ČA</w:t>
            </w:r>
          </w:p>
        </w:tc>
        <w:tc>
          <w:tcPr>
            <w:tcW w:w="2462" w:type="dxa"/>
          </w:tcPr>
          <w:p w14:paraId="17BEB27F" w14:textId="77777777" w:rsidR="00421B59" w:rsidRDefault="00000000">
            <w:pPr>
              <w:spacing w:after="0"/>
            </w:pPr>
            <w:r>
              <w:rPr>
                <w:rFonts w:ascii="Times New Roman" w:eastAsia="Times New Roman" w:hAnsi="Times New Roman" w:cs="Times New Roman"/>
                <w:color w:val="000000"/>
                <w:sz w:val="24"/>
              </w:rPr>
              <w:t xml:space="preserve">Poznámka pod čiarou k odkazu 28eg bola doplnená o odkaz na nariadenie (EÚ) </w:t>
            </w:r>
            <w:r>
              <w:rPr>
                <w:rFonts w:ascii="Times New Roman" w:eastAsia="Times New Roman" w:hAnsi="Times New Roman" w:cs="Times New Roman"/>
                <w:color w:val="000000"/>
                <w:sz w:val="24"/>
              </w:rPr>
              <w:lastRenderedPageBreak/>
              <w:t>2016/679 v platnom znení. Odkaz sa vzťahuje na iné informácie  podľa osobitných predpisov.</w:t>
            </w:r>
          </w:p>
        </w:tc>
      </w:tr>
      <w:tr w:rsidR="00421B59" w14:paraId="52B775C0" w14:textId="77777777">
        <w:trPr>
          <w:trHeight w:val="648"/>
          <w:jc w:val="center"/>
        </w:trPr>
        <w:tc>
          <w:tcPr>
            <w:tcW w:w="1944" w:type="dxa"/>
          </w:tcPr>
          <w:p w14:paraId="667D161F" w14:textId="77777777" w:rsidR="00421B59" w:rsidRDefault="00000000">
            <w:pPr>
              <w:spacing w:after="0"/>
              <w:jc w:val="center"/>
            </w:pPr>
            <w:r>
              <w:rPr>
                <w:rFonts w:ascii="Times New Roman" w:eastAsia="Times New Roman" w:hAnsi="Times New Roman" w:cs="Times New Roman"/>
                <w:b/>
                <w:color w:val="000000"/>
                <w:sz w:val="24"/>
              </w:rPr>
              <w:lastRenderedPageBreak/>
              <w:t>Verejnosť</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Verejnosť</w:t>
            </w:r>
          </w:p>
        </w:tc>
        <w:tc>
          <w:tcPr>
            <w:tcW w:w="1296" w:type="dxa"/>
            <w:vAlign w:val="center"/>
          </w:tcPr>
          <w:p w14:paraId="67C688A3" w14:textId="77777777" w:rsidR="00421B59" w:rsidRDefault="00000000">
            <w:pPr>
              <w:spacing w:after="0"/>
              <w:jc w:val="center"/>
            </w:pPr>
            <w:r>
              <w:rPr>
                <w:rFonts w:ascii="Times New Roman" w:eastAsia="Times New Roman" w:hAnsi="Times New Roman" w:cs="Times New Roman"/>
                <w:color w:val="000000"/>
                <w:sz w:val="24"/>
              </w:rPr>
              <w:t>O</w:t>
            </w:r>
          </w:p>
        </w:tc>
        <w:tc>
          <w:tcPr>
            <w:tcW w:w="6480" w:type="dxa"/>
          </w:tcPr>
          <w:p w14:paraId="4674CC33" w14:textId="77777777" w:rsidR="00421B59" w:rsidRDefault="00000000">
            <w:pPr>
              <w:spacing w:after="0"/>
            </w:pPr>
            <w:r>
              <w:rPr>
                <w:rFonts w:ascii="Times New Roman" w:eastAsia="Times New Roman" w:hAnsi="Times New Roman" w:cs="Times New Roman"/>
                <w:b/>
                <w:color w:val="000000"/>
                <w:sz w:val="24"/>
              </w:rPr>
              <w:t>Čl. I</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poznámke pod čiarou k odkazu 44:</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-namiesto zákona č. 183/2000 Z. z. navrhujeme uviesť aktuálny zákon č. 126/2015 Z. z. o knižniciach a o zmene a doplnení zákona č. 206/2009 Z. z. o múzeách a o galériách a o ochrane predmetov kultúrnej hodnoty a o zmene zákona Slovenskej národnej rady č. 372/1990 Zb. o priestupkoch v znení neskorších predpisov v znení zákona č. 38/2014 Z. z.,</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-namiesto zákona č. 618/2003 Z. z. navrhujeme uviesť aktuálny zákon č. 185/2015 Z. z Autorský zákon.</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Zdôvodnenie:</w:t>
            </w:r>
            <w:r>
              <w:rPr>
                <w:rFonts w:ascii="Times New Roman" w:eastAsia="Times New Roman" w:hAnsi="Times New Roman" w:cs="Times New Roman"/>
                <w:color w:val="000000"/>
                <w:sz w:val="24"/>
              </w:rPr>
              <w:br/>
              <w:t>Legislatívno-technická úprava.</w:t>
            </w:r>
          </w:p>
        </w:tc>
        <w:tc>
          <w:tcPr>
            <w:tcW w:w="778" w:type="dxa"/>
            <w:vAlign w:val="center"/>
          </w:tcPr>
          <w:p w14:paraId="09CAAB74" w14:textId="77777777" w:rsidR="00421B59" w:rsidRDefault="00000000">
            <w:pPr>
              <w:spacing w:after="0"/>
              <w:jc w:val="center"/>
            </w:pPr>
            <w:r>
              <w:rPr>
                <w:rFonts w:ascii="Times New Roman" w:eastAsia="Times New Roman" w:hAnsi="Times New Roman" w:cs="Times New Roman"/>
                <w:color w:val="000000"/>
                <w:sz w:val="24"/>
              </w:rPr>
              <w:t>N</w:t>
            </w:r>
          </w:p>
        </w:tc>
        <w:tc>
          <w:tcPr>
            <w:tcW w:w="2462" w:type="dxa"/>
          </w:tcPr>
          <w:p w14:paraId="3F203C56" w14:textId="77777777" w:rsidR="00421B59" w:rsidRDefault="00000000">
            <w:pPr>
              <w:spacing w:after="0"/>
            </w:pPr>
            <w:r>
              <w:rPr>
                <w:rFonts w:ascii="Times New Roman" w:eastAsia="Times New Roman" w:hAnsi="Times New Roman" w:cs="Times New Roman"/>
                <w:color w:val="000000"/>
                <w:sz w:val="24"/>
              </w:rPr>
              <w:t>Poznámku pod čiarou možno novelizovať v samostatnom novelizačnom bode len výnimočne, pričom § 28 nie je predmetom novelizácie.</w:t>
            </w:r>
          </w:p>
        </w:tc>
      </w:tr>
      <w:tr w:rsidR="00421B59" w14:paraId="4822B364" w14:textId="77777777">
        <w:trPr>
          <w:trHeight w:val="648"/>
          <w:jc w:val="center"/>
        </w:trPr>
        <w:tc>
          <w:tcPr>
            <w:tcW w:w="1944" w:type="dxa"/>
          </w:tcPr>
          <w:p w14:paraId="632D1DAA" w14:textId="77777777" w:rsidR="00421B59" w:rsidRDefault="00000000">
            <w:pPr>
              <w:spacing w:after="0"/>
              <w:jc w:val="center"/>
            </w:pPr>
            <w:r>
              <w:rPr>
                <w:rFonts w:ascii="Times New Roman" w:eastAsia="Times New Roman" w:hAnsi="Times New Roman" w:cs="Times New Roman"/>
                <w:b/>
                <w:color w:val="000000"/>
                <w:sz w:val="24"/>
              </w:rPr>
              <w:t>Verejnosť</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Verejnosť</w:t>
            </w:r>
          </w:p>
        </w:tc>
        <w:tc>
          <w:tcPr>
            <w:tcW w:w="1296" w:type="dxa"/>
            <w:vAlign w:val="center"/>
          </w:tcPr>
          <w:p w14:paraId="54D7F792" w14:textId="77777777" w:rsidR="00421B59" w:rsidRDefault="00000000">
            <w:pPr>
              <w:spacing w:after="0"/>
              <w:jc w:val="center"/>
            </w:pPr>
            <w:r>
              <w:rPr>
                <w:rFonts w:ascii="Times New Roman" w:eastAsia="Times New Roman" w:hAnsi="Times New Roman" w:cs="Times New Roman"/>
                <w:color w:val="000000"/>
                <w:sz w:val="24"/>
              </w:rPr>
              <w:t>O</w:t>
            </w:r>
          </w:p>
        </w:tc>
        <w:tc>
          <w:tcPr>
            <w:tcW w:w="6480" w:type="dxa"/>
          </w:tcPr>
          <w:p w14:paraId="7C417CB1" w14:textId="77777777" w:rsidR="00421B59" w:rsidRDefault="00000000">
            <w:pPr>
              <w:spacing w:after="0"/>
            </w:pPr>
            <w:r>
              <w:rPr>
                <w:rFonts w:ascii="Times New Roman" w:eastAsia="Times New Roman" w:hAnsi="Times New Roman" w:cs="Times New Roman"/>
                <w:b/>
                <w:color w:val="000000"/>
                <w:sz w:val="24"/>
              </w:rPr>
              <w:t>vlastný materiál, Čl. I</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V poznámke pod čiarou k odkazu 29l navrhujeme namiesto </w:t>
            </w:r>
            <w:r>
              <w:rPr>
                <w:rFonts w:ascii="Times New Roman" w:eastAsia="Times New Roman" w:hAnsi="Times New Roman" w:cs="Times New Roman"/>
                <w:color w:val="000000"/>
                <w:sz w:val="24"/>
              </w:rPr>
              <w:lastRenderedPageBreak/>
              <w:t>zákona č. 308/2000 Z. z. uviesť aktuálny zákon č. 264/2022 Z. z. o mediálnych službách a o zmene a doplnení niektorých zákonov (zákon o mediálnych službách).</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Legislatívno-technická úprava.</w:t>
            </w:r>
          </w:p>
        </w:tc>
        <w:tc>
          <w:tcPr>
            <w:tcW w:w="778" w:type="dxa"/>
            <w:vAlign w:val="center"/>
          </w:tcPr>
          <w:p w14:paraId="77599EA3" w14:textId="77777777" w:rsidR="00421B59"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4427DBA9" w14:textId="77777777" w:rsidR="00421B59" w:rsidRDefault="00000000">
            <w:pPr>
              <w:spacing w:after="0"/>
            </w:pPr>
            <w:r>
              <w:rPr>
                <w:rFonts w:ascii="Times New Roman" w:eastAsia="Times New Roman" w:hAnsi="Times New Roman" w:cs="Times New Roman"/>
                <w:color w:val="000000"/>
                <w:sz w:val="24"/>
              </w:rPr>
              <w:t xml:space="preserve">Poznámku pod čiarou možno novelizovať v </w:t>
            </w:r>
            <w:r>
              <w:rPr>
                <w:rFonts w:ascii="Times New Roman" w:eastAsia="Times New Roman" w:hAnsi="Times New Roman" w:cs="Times New Roman"/>
                <w:color w:val="000000"/>
                <w:sz w:val="24"/>
              </w:rPr>
              <w:lastRenderedPageBreak/>
              <w:t>samostatnom novelizačnom bode len výnimočne, pričom § 23c nie je predmetom novelizácie.</w:t>
            </w:r>
          </w:p>
        </w:tc>
      </w:tr>
      <w:tr w:rsidR="00421B59" w14:paraId="530FE815" w14:textId="77777777">
        <w:trPr>
          <w:trHeight w:val="648"/>
          <w:jc w:val="center"/>
        </w:trPr>
        <w:tc>
          <w:tcPr>
            <w:tcW w:w="1944" w:type="dxa"/>
          </w:tcPr>
          <w:p w14:paraId="7648EABA" w14:textId="77777777" w:rsidR="00421B59" w:rsidRDefault="00000000">
            <w:pPr>
              <w:spacing w:after="0"/>
              <w:jc w:val="center"/>
            </w:pPr>
            <w:r>
              <w:rPr>
                <w:rFonts w:ascii="Times New Roman" w:eastAsia="Times New Roman" w:hAnsi="Times New Roman" w:cs="Times New Roman"/>
                <w:b/>
                <w:color w:val="000000"/>
                <w:sz w:val="24"/>
              </w:rPr>
              <w:lastRenderedPageBreak/>
              <w:t>Verejnosť</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Verejnosť</w:t>
            </w:r>
          </w:p>
        </w:tc>
        <w:tc>
          <w:tcPr>
            <w:tcW w:w="1296" w:type="dxa"/>
            <w:vAlign w:val="center"/>
          </w:tcPr>
          <w:p w14:paraId="6661D4E2" w14:textId="77777777" w:rsidR="00421B59" w:rsidRDefault="00000000">
            <w:pPr>
              <w:spacing w:after="0"/>
              <w:jc w:val="center"/>
            </w:pPr>
            <w:r>
              <w:rPr>
                <w:rFonts w:ascii="Times New Roman" w:eastAsia="Times New Roman" w:hAnsi="Times New Roman" w:cs="Times New Roman"/>
                <w:color w:val="000000"/>
                <w:sz w:val="24"/>
              </w:rPr>
              <w:t>O</w:t>
            </w:r>
          </w:p>
        </w:tc>
        <w:tc>
          <w:tcPr>
            <w:tcW w:w="6480" w:type="dxa"/>
          </w:tcPr>
          <w:p w14:paraId="5230D0EB" w14:textId="77777777" w:rsidR="00421B59" w:rsidRDefault="00000000">
            <w:pPr>
              <w:spacing w:after="0"/>
            </w:pPr>
            <w:r>
              <w:rPr>
                <w:rFonts w:ascii="Times New Roman" w:eastAsia="Times New Roman" w:hAnsi="Times New Roman" w:cs="Times New Roman"/>
                <w:b/>
                <w:color w:val="000000"/>
                <w:sz w:val="24"/>
              </w:rPr>
              <w:t>Čl. II 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Do návrhu zákona navrhujeme doplniť nové ustanovenie, ktorým v zákone sa v poznámke pod čiarou k odkazu 40 viac rokov zrušený zákon č. 122/2013 Z. z. nahradí aktuálnym zákonom č. 18/2018 Z. z. o ochrane osobných údajov a o zmene a doplnení niektorých zákonov.</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Legislatívno-technická úprava.</w:t>
            </w:r>
          </w:p>
        </w:tc>
        <w:tc>
          <w:tcPr>
            <w:tcW w:w="778" w:type="dxa"/>
            <w:vAlign w:val="center"/>
          </w:tcPr>
          <w:p w14:paraId="35CBBA03" w14:textId="77777777" w:rsidR="00421B59" w:rsidRDefault="00000000">
            <w:pPr>
              <w:spacing w:after="0"/>
              <w:jc w:val="center"/>
            </w:pPr>
            <w:r>
              <w:rPr>
                <w:rFonts w:ascii="Times New Roman" w:eastAsia="Times New Roman" w:hAnsi="Times New Roman" w:cs="Times New Roman"/>
                <w:color w:val="000000"/>
                <w:sz w:val="24"/>
              </w:rPr>
              <w:t>N</w:t>
            </w:r>
          </w:p>
        </w:tc>
        <w:tc>
          <w:tcPr>
            <w:tcW w:w="2462" w:type="dxa"/>
          </w:tcPr>
          <w:p w14:paraId="63ABDB7B" w14:textId="77777777" w:rsidR="00421B59" w:rsidRDefault="00000000">
            <w:pPr>
              <w:spacing w:after="0"/>
            </w:pPr>
            <w:r>
              <w:rPr>
                <w:rFonts w:ascii="Times New Roman" w:eastAsia="Times New Roman" w:hAnsi="Times New Roman" w:cs="Times New Roman"/>
                <w:color w:val="000000"/>
                <w:sz w:val="24"/>
              </w:rPr>
              <w:t>Poznámku pod čiarou možno novelizovať v samostatnom novelizačnom bode len výnimočne, pričom § 32 nie je predmetom novelizácie.</w:t>
            </w:r>
          </w:p>
        </w:tc>
      </w:tr>
      <w:tr w:rsidR="00421B59" w14:paraId="2903D678" w14:textId="77777777">
        <w:trPr>
          <w:trHeight w:val="648"/>
          <w:jc w:val="center"/>
        </w:trPr>
        <w:tc>
          <w:tcPr>
            <w:tcW w:w="1944" w:type="dxa"/>
          </w:tcPr>
          <w:p w14:paraId="244744C6" w14:textId="77777777" w:rsidR="00421B59" w:rsidRDefault="00000000">
            <w:pPr>
              <w:spacing w:after="0"/>
              <w:jc w:val="center"/>
            </w:pPr>
            <w:r>
              <w:rPr>
                <w:rFonts w:ascii="Times New Roman" w:eastAsia="Times New Roman" w:hAnsi="Times New Roman" w:cs="Times New Roman"/>
                <w:b/>
                <w:color w:val="000000"/>
                <w:sz w:val="24"/>
              </w:rPr>
              <w:t>Verejnosť</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Verejnosť</w:t>
            </w:r>
          </w:p>
        </w:tc>
        <w:tc>
          <w:tcPr>
            <w:tcW w:w="1296" w:type="dxa"/>
            <w:vAlign w:val="center"/>
          </w:tcPr>
          <w:p w14:paraId="5D261CEB" w14:textId="77777777" w:rsidR="00421B59" w:rsidRDefault="00000000">
            <w:pPr>
              <w:spacing w:after="0"/>
              <w:jc w:val="center"/>
            </w:pPr>
            <w:r>
              <w:rPr>
                <w:rFonts w:ascii="Times New Roman" w:eastAsia="Times New Roman" w:hAnsi="Times New Roman" w:cs="Times New Roman"/>
                <w:color w:val="000000"/>
                <w:sz w:val="24"/>
              </w:rPr>
              <w:t>O</w:t>
            </w:r>
          </w:p>
        </w:tc>
        <w:tc>
          <w:tcPr>
            <w:tcW w:w="6480" w:type="dxa"/>
          </w:tcPr>
          <w:p w14:paraId="1A305E08" w14:textId="77777777" w:rsidR="00421B59" w:rsidRDefault="00000000">
            <w:pPr>
              <w:spacing w:after="0"/>
            </w:pPr>
            <w:r>
              <w:rPr>
                <w:rFonts w:ascii="Times New Roman" w:eastAsia="Times New Roman" w:hAnsi="Times New Roman" w:cs="Times New Roman"/>
                <w:b/>
                <w:color w:val="000000"/>
                <w:sz w:val="24"/>
              </w:rPr>
              <w:t>k Čl. II</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Do návrhu zákona navrhujeme doplniť nové ustanovenie, ktorým v zákone sa v poznámke pod čiarou k odkazu 17 už viac rokov zrušený zákon č. 215/2002 Z. z. nahradí aktuálnym zákonom č. 272/2016 Z. z. o dôveryhodných službách pre elektronické transakcie na vnútornom trhu a o zmene a doplnení niektorých zákonov (zákon o dôveryhodných službách).</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Zdôvodnenie: </w:t>
            </w:r>
            <w:r>
              <w:rPr>
                <w:rFonts w:ascii="Times New Roman" w:eastAsia="Times New Roman" w:hAnsi="Times New Roman" w:cs="Times New Roman"/>
                <w:color w:val="000000"/>
                <w:sz w:val="24"/>
              </w:rPr>
              <w:br/>
              <w:t>Legislatívno-technická úprava.</w:t>
            </w:r>
          </w:p>
        </w:tc>
        <w:tc>
          <w:tcPr>
            <w:tcW w:w="778" w:type="dxa"/>
            <w:vAlign w:val="center"/>
          </w:tcPr>
          <w:p w14:paraId="4C9419A5" w14:textId="77777777" w:rsidR="00421B59" w:rsidRDefault="00000000">
            <w:pPr>
              <w:spacing w:after="0"/>
              <w:jc w:val="center"/>
            </w:pPr>
            <w:r>
              <w:rPr>
                <w:rFonts w:ascii="Times New Roman" w:eastAsia="Times New Roman" w:hAnsi="Times New Roman" w:cs="Times New Roman"/>
                <w:color w:val="000000"/>
                <w:sz w:val="24"/>
              </w:rPr>
              <w:t>N</w:t>
            </w:r>
          </w:p>
        </w:tc>
        <w:tc>
          <w:tcPr>
            <w:tcW w:w="2462" w:type="dxa"/>
          </w:tcPr>
          <w:p w14:paraId="68A8A661" w14:textId="77777777" w:rsidR="00421B59" w:rsidRDefault="00000000">
            <w:pPr>
              <w:spacing w:after="0"/>
            </w:pPr>
            <w:r>
              <w:rPr>
                <w:rFonts w:ascii="Times New Roman" w:eastAsia="Times New Roman" w:hAnsi="Times New Roman" w:cs="Times New Roman"/>
                <w:color w:val="000000"/>
                <w:sz w:val="24"/>
              </w:rPr>
              <w:t>Poznámku pod čiarou možno novelizovať v samostatnom novelizačnom bode len výnimočne, pričom § 7 ods. 4 nie je predmetom novelizácie.</w:t>
            </w:r>
          </w:p>
        </w:tc>
      </w:tr>
      <w:tr w:rsidR="00421B59" w14:paraId="05E62047" w14:textId="77777777">
        <w:trPr>
          <w:trHeight w:val="648"/>
          <w:jc w:val="center"/>
        </w:trPr>
        <w:tc>
          <w:tcPr>
            <w:tcW w:w="1944" w:type="dxa"/>
          </w:tcPr>
          <w:p w14:paraId="13477D68" w14:textId="77777777" w:rsidR="00421B59" w:rsidRDefault="00000000">
            <w:pPr>
              <w:spacing w:after="0"/>
              <w:jc w:val="center"/>
            </w:pPr>
            <w:r>
              <w:rPr>
                <w:rFonts w:ascii="Times New Roman" w:eastAsia="Times New Roman" w:hAnsi="Times New Roman" w:cs="Times New Roman"/>
                <w:b/>
                <w:color w:val="000000"/>
                <w:sz w:val="24"/>
              </w:rPr>
              <w:t>GPSR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Generálna prokuratúra Slovenskej republiky</w:t>
            </w:r>
          </w:p>
        </w:tc>
        <w:tc>
          <w:tcPr>
            <w:tcW w:w="1296" w:type="dxa"/>
            <w:vAlign w:val="center"/>
          </w:tcPr>
          <w:p w14:paraId="38A2C105" w14:textId="77777777" w:rsidR="00421B59" w:rsidRDefault="00421B59">
            <w:pPr>
              <w:spacing w:after="0"/>
              <w:jc w:val="center"/>
            </w:pPr>
          </w:p>
        </w:tc>
        <w:tc>
          <w:tcPr>
            <w:tcW w:w="6480" w:type="dxa"/>
          </w:tcPr>
          <w:p w14:paraId="56D3A62C" w14:textId="77777777" w:rsidR="00421B59" w:rsidRDefault="00000000">
            <w:pPr>
              <w:spacing w:after="0"/>
            </w:pPr>
            <w:r>
              <w:rPr>
                <w:rFonts w:ascii="Times New Roman" w:eastAsia="Times New Roman" w:hAnsi="Times New Roman" w:cs="Times New Roman"/>
                <w:color w:val="000000"/>
                <w:sz w:val="24"/>
              </w:rPr>
              <w:t>Odoslané bez pripomienok</w:t>
            </w:r>
          </w:p>
        </w:tc>
        <w:tc>
          <w:tcPr>
            <w:tcW w:w="778" w:type="dxa"/>
            <w:vAlign w:val="center"/>
          </w:tcPr>
          <w:p w14:paraId="109AB928" w14:textId="77777777" w:rsidR="00421B59" w:rsidRDefault="00421B59">
            <w:pPr>
              <w:spacing w:after="0"/>
              <w:jc w:val="center"/>
            </w:pPr>
          </w:p>
        </w:tc>
        <w:tc>
          <w:tcPr>
            <w:tcW w:w="2462" w:type="dxa"/>
          </w:tcPr>
          <w:p w14:paraId="1ABDFED6" w14:textId="77777777" w:rsidR="00421B59" w:rsidRDefault="00421B59">
            <w:pPr>
              <w:spacing w:after="0"/>
            </w:pPr>
          </w:p>
        </w:tc>
      </w:tr>
      <w:tr w:rsidR="00421B59" w14:paraId="36468C1E" w14:textId="77777777">
        <w:trPr>
          <w:trHeight w:val="648"/>
          <w:jc w:val="center"/>
        </w:trPr>
        <w:tc>
          <w:tcPr>
            <w:tcW w:w="1944" w:type="dxa"/>
          </w:tcPr>
          <w:p w14:paraId="6870F0AC" w14:textId="77777777" w:rsidR="00421B59" w:rsidRDefault="00000000">
            <w:pPr>
              <w:spacing w:after="0"/>
              <w:jc w:val="center"/>
            </w:pPr>
            <w:r>
              <w:rPr>
                <w:rFonts w:ascii="Times New Roman" w:eastAsia="Times New Roman" w:hAnsi="Times New Roman" w:cs="Times New Roman"/>
                <w:b/>
                <w:color w:val="000000"/>
                <w:sz w:val="24"/>
              </w:rPr>
              <w:lastRenderedPageBreak/>
              <w:t>MINCRS</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cestovného ruchu a športu Slovenskej republiky</w:t>
            </w:r>
          </w:p>
        </w:tc>
        <w:tc>
          <w:tcPr>
            <w:tcW w:w="1296" w:type="dxa"/>
            <w:vAlign w:val="center"/>
          </w:tcPr>
          <w:p w14:paraId="4FCDEF1E" w14:textId="77777777" w:rsidR="00421B59" w:rsidRDefault="00421B59">
            <w:pPr>
              <w:spacing w:after="0"/>
              <w:jc w:val="center"/>
            </w:pPr>
          </w:p>
        </w:tc>
        <w:tc>
          <w:tcPr>
            <w:tcW w:w="6480" w:type="dxa"/>
          </w:tcPr>
          <w:p w14:paraId="2A5B3CAC" w14:textId="77777777" w:rsidR="00421B59" w:rsidRDefault="00000000">
            <w:pPr>
              <w:spacing w:after="0"/>
            </w:pPr>
            <w:r>
              <w:rPr>
                <w:rFonts w:ascii="Times New Roman" w:eastAsia="Times New Roman" w:hAnsi="Times New Roman" w:cs="Times New Roman"/>
                <w:color w:val="000000"/>
                <w:sz w:val="24"/>
              </w:rPr>
              <w:t>Odoslané bez pripomienok</w:t>
            </w:r>
          </w:p>
        </w:tc>
        <w:tc>
          <w:tcPr>
            <w:tcW w:w="778" w:type="dxa"/>
            <w:vAlign w:val="center"/>
          </w:tcPr>
          <w:p w14:paraId="0933661C" w14:textId="77777777" w:rsidR="00421B59" w:rsidRDefault="00421B59">
            <w:pPr>
              <w:spacing w:after="0"/>
              <w:jc w:val="center"/>
            </w:pPr>
          </w:p>
        </w:tc>
        <w:tc>
          <w:tcPr>
            <w:tcW w:w="2462" w:type="dxa"/>
          </w:tcPr>
          <w:p w14:paraId="13E0E890" w14:textId="77777777" w:rsidR="00421B59" w:rsidRDefault="00421B59">
            <w:pPr>
              <w:spacing w:after="0"/>
            </w:pPr>
          </w:p>
        </w:tc>
      </w:tr>
      <w:tr w:rsidR="00421B59" w14:paraId="6A846B67" w14:textId="77777777">
        <w:trPr>
          <w:trHeight w:val="648"/>
          <w:jc w:val="center"/>
        </w:trPr>
        <w:tc>
          <w:tcPr>
            <w:tcW w:w="1944" w:type="dxa"/>
          </w:tcPr>
          <w:p w14:paraId="4B7A3064" w14:textId="77777777" w:rsidR="00421B59" w:rsidRDefault="00000000">
            <w:pPr>
              <w:spacing w:after="0"/>
              <w:jc w:val="center"/>
            </w:pPr>
            <w:r>
              <w:rPr>
                <w:rFonts w:ascii="Times New Roman" w:eastAsia="Times New Roman" w:hAnsi="Times New Roman" w:cs="Times New Roman"/>
                <w:b/>
                <w:color w:val="000000"/>
                <w:sz w:val="24"/>
              </w:rPr>
              <w:t>MOSR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obrany Slovenskej republiky</w:t>
            </w:r>
          </w:p>
        </w:tc>
        <w:tc>
          <w:tcPr>
            <w:tcW w:w="1296" w:type="dxa"/>
            <w:vAlign w:val="center"/>
          </w:tcPr>
          <w:p w14:paraId="299F4FD6" w14:textId="77777777" w:rsidR="00421B59" w:rsidRDefault="00421B59">
            <w:pPr>
              <w:spacing w:after="0"/>
              <w:jc w:val="center"/>
            </w:pPr>
          </w:p>
        </w:tc>
        <w:tc>
          <w:tcPr>
            <w:tcW w:w="6480" w:type="dxa"/>
          </w:tcPr>
          <w:p w14:paraId="5FC6809C" w14:textId="77777777" w:rsidR="00421B59" w:rsidRDefault="00000000">
            <w:pPr>
              <w:spacing w:after="0"/>
            </w:pPr>
            <w:r>
              <w:rPr>
                <w:rFonts w:ascii="Times New Roman" w:eastAsia="Times New Roman" w:hAnsi="Times New Roman" w:cs="Times New Roman"/>
                <w:color w:val="000000"/>
                <w:sz w:val="24"/>
              </w:rPr>
              <w:t>Odoslané bez pripomienok</w:t>
            </w:r>
          </w:p>
        </w:tc>
        <w:tc>
          <w:tcPr>
            <w:tcW w:w="778" w:type="dxa"/>
            <w:vAlign w:val="center"/>
          </w:tcPr>
          <w:p w14:paraId="5D40BF88" w14:textId="77777777" w:rsidR="00421B59" w:rsidRDefault="00421B59">
            <w:pPr>
              <w:spacing w:after="0"/>
              <w:jc w:val="center"/>
            </w:pPr>
          </w:p>
        </w:tc>
        <w:tc>
          <w:tcPr>
            <w:tcW w:w="2462" w:type="dxa"/>
          </w:tcPr>
          <w:p w14:paraId="18009C9A" w14:textId="77777777" w:rsidR="00421B59" w:rsidRDefault="00421B59">
            <w:pPr>
              <w:spacing w:after="0"/>
            </w:pPr>
          </w:p>
        </w:tc>
      </w:tr>
      <w:tr w:rsidR="00421B59" w14:paraId="4C925DAC" w14:textId="77777777">
        <w:trPr>
          <w:trHeight w:val="648"/>
          <w:jc w:val="center"/>
        </w:trPr>
        <w:tc>
          <w:tcPr>
            <w:tcW w:w="1944" w:type="dxa"/>
          </w:tcPr>
          <w:p w14:paraId="751935BE" w14:textId="77777777" w:rsidR="00421B59" w:rsidRDefault="00000000">
            <w:pPr>
              <w:spacing w:after="0"/>
              <w:jc w:val="center"/>
            </w:pPr>
            <w:r>
              <w:rPr>
                <w:rFonts w:ascii="Times New Roman" w:eastAsia="Times New Roman" w:hAnsi="Times New Roman" w:cs="Times New Roman"/>
                <w:b/>
                <w:color w:val="000000"/>
                <w:sz w:val="24"/>
              </w:rPr>
              <w:t>MPRVSR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pôdohospodárstva a rozvoja vidieka Slovenskej republiky</w:t>
            </w:r>
          </w:p>
        </w:tc>
        <w:tc>
          <w:tcPr>
            <w:tcW w:w="1296" w:type="dxa"/>
            <w:vAlign w:val="center"/>
          </w:tcPr>
          <w:p w14:paraId="632FA65E" w14:textId="77777777" w:rsidR="00421B59" w:rsidRDefault="00421B59">
            <w:pPr>
              <w:spacing w:after="0"/>
              <w:jc w:val="center"/>
            </w:pPr>
          </w:p>
        </w:tc>
        <w:tc>
          <w:tcPr>
            <w:tcW w:w="6480" w:type="dxa"/>
          </w:tcPr>
          <w:p w14:paraId="360E572A" w14:textId="77777777" w:rsidR="00421B59" w:rsidRDefault="00000000">
            <w:pPr>
              <w:spacing w:after="0"/>
            </w:pPr>
            <w:r>
              <w:rPr>
                <w:rFonts w:ascii="Times New Roman" w:eastAsia="Times New Roman" w:hAnsi="Times New Roman" w:cs="Times New Roman"/>
                <w:color w:val="000000"/>
                <w:sz w:val="24"/>
              </w:rPr>
              <w:t>Odoslané bez pripomienok</w:t>
            </w:r>
          </w:p>
        </w:tc>
        <w:tc>
          <w:tcPr>
            <w:tcW w:w="778" w:type="dxa"/>
            <w:vAlign w:val="center"/>
          </w:tcPr>
          <w:p w14:paraId="5F32B920" w14:textId="77777777" w:rsidR="00421B59" w:rsidRDefault="00421B59">
            <w:pPr>
              <w:spacing w:after="0"/>
              <w:jc w:val="center"/>
            </w:pPr>
          </w:p>
        </w:tc>
        <w:tc>
          <w:tcPr>
            <w:tcW w:w="2462" w:type="dxa"/>
          </w:tcPr>
          <w:p w14:paraId="37F4FCC8" w14:textId="77777777" w:rsidR="00421B59" w:rsidRDefault="00421B59">
            <w:pPr>
              <w:spacing w:after="0"/>
            </w:pPr>
          </w:p>
        </w:tc>
      </w:tr>
      <w:tr w:rsidR="00421B59" w14:paraId="14FC30F4" w14:textId="77777777">
        <w:trPr>
          <w:trHeight w:val="648"/>
          <w:jc w:val="center"/>
        </w:trPr>
        <w:tc>
          <w:tcPr>
            <w:tcW w:w="1944" w:type="dxa"/>
          </w:tcPr>
          <w:p w14:paraId="2620613C" w14:textId="77777777" w:rsidR="00421B59" w:rsidRDefault="00000000">
            <w:pPr>
              <w:spacing w:after="0"/>
              <w:jc w:val="center"/>
            </w:pPr>
            <w:r>
              <w:rPr>
                <w:rFonts w:ascii="Times New Roman" w:eastAsia="Times New Roman" w:hAnsi="Times New Roman" w:cs="Times New Roman"/>
                <w:b/>
                <w:color w:val="000000"/>
                <w:sz w:val="24"/>
              </w:rPr>
              <w:t>MPSVRSR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práce, sociálnych vecí a rodiny Slovenskej republiky</w:t>
            </w:r>
          </w:p>
        </w:tc>
        <w:tc>
          <w:tcPr>
            <w:tcW w:w="1296" w:type="dxa"/>
            <w:vAlign w:val="center"/>
          </w:tcPr>
          <w:p w14:paraId="433EF4CB" w14:textId="77777777" w:rsidR="00421B59" w:rsidRDefault="00421B59">
            <w:pPr>
              <w:spacing w:after="0"/>
              <w:jc w:val="center"/>
            </w:pPr>
          </w:p>
        </w:tc>
        <w:tc>
          <w:tcPr>
            <w:tcW w:w="6480" w:type="dxa"/>
          </w:tcPr>
          <w:p w14:paraId="6141D9D9" w14:textId="77777777" w:rsidR="00421B59" w:rsidRDefault="00000000">
            <w:pPr>
              <w:spacing w:after="0"/>
            </w:pPr>
            <w:r>
              <w:rPr>
                <w:rFonts w:ascii="Times New Roman" w:eastAsia="Times New Roman" w:hAnsi="Times New Roman" w:cs="Times New Roman"/>
                <w:color w:val="000000"/>
                <w:sz w:val="24"/>
              </w:rPr>
              <w:t>Odoslané bez pripomienok</w:t>
            </w:r>
          </w:p>
        </w:tc>
        <w:tc>
          <w:tcPr>
            <w:tcW w:w="778" w:type="dxa"/>
            <w:vAlign w:val="center"/>
          </w:tcPr>
          <w:p w14:paraId="364F4C53" w14:textId="77777777" w:rsidR="00421B59" w:rsidRDefault="00421B59">
            <w:pPr>
              <w:spacing w:after="0"/>
              <w:jc w:val="center"/>
            </w:pPr>
          </w:p>
        </w:tc>
        <w:tc>
          <w:tcPr>
            <w:tcW w:w="2462" w:type="dxa"/>
          </w:tcPr>
          <w:p w14:paraId="1B2FD49C" w14:textId="77777777" w:rsidR="00421B59" w:rsidRDefault="00421B59">
            <w:pPr>
              <w:spacing w:after="0"/>
            </w:pPr>
          </w:p>
        </w:tc>
      </w:tr>
      <w:tr w:rsidR="00421B59" w14:paraId="03A2B716" w14:textId="77777777">
        <w:trPr>
          <w:trHeight w:val="648"/>
          <w:jc w:val="center"/>
        </w:trPr>
        <w:tc>
          <w:tcPr>
            <w:tcW w:w="1944" w:type="dxa"/>
          </w:tcPr>
          <w:p w14:paraId="29EEB0AC" w14:textId="77777777" w:rsidR="00421B59" w:rsidRDefault="00000000">
            <w:pPr>
              <w:spacing w:after="0"/>
              <w:jc w:val="center"/>
            </w:pPr>
            <w:r>
              <w:rPr>
                <w:rFonts w:ascii="Times New Roman" w:eastAsia="Times New Roman" w:hAnsi="Times New Roman" w:cs="Times New Roman"/>
                <w:b/>
                <w:color w:val="000000"/>
                <w:sz w:val="24"/>
              </w:rPr>
              <w:t>MVSR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vnútra Slovenskej republiky</w:t>
            </w:r>
          </w:p>
        </w:tc>
        <w:tc>
          <w:tcPr>
            <w:tcW w:w="1296" w:type="dxa"/>
            <w:vAlign w:val="center"/>
          </w:tcPr>
          <w:p w14:paraId="44FC7A85" w14:textId="77777777" w:rsidR="00421B59" w:rsidRDefault="00421B59">
            <w:pPr>
              <w:spacing w:after="0"/>
              <w:jc w:val="center"/>
            </w:pPr>
          </w:p>
        </w:tc>
        <w:tc>
          <w:tcPr>
            <w:tcW w:w="6480" w:type="dxa"/>
          </w:tcPr>
          <w:p w14:paraId="24F51776" w14:textId="77777777" w:rsidR="00421B59" w:rsidRDefault="00000000">
            <w:pPr>
              <w:spacing w:after="0"/>
            </w:pPr>
            <w:r>
              <w:rPr>
                <w:rFonts w:ascii="Times New Roman" w:eastAsia="Times New Roman" w:hAnsi="Times New Roman" w:cs="Times New Roman"/>
                <w:color w:val="000000"/>
                <w:sz w:val="24"/>
              </w:rPr>
              <w:t>Odoslané bez pripomienok</w:t>
            </w:r>
          </w:p>
        </w:tc>
        <w:tc>
          <w:tcPr>
            <w:tcW w:w="778" w:type="dxa"/>
            <w:vAlign w:val="center"/>
          </w:tcPr>
          <w:p w14:paraId="6991C6DB" w14:textId="77777777" w:rsidR="00421B59" w:rsidRDefault="00421B59">
            <w:pPr>
              <w:spacing w:after="0"/>
              <w:jc w:val="center"/>
            </w:pPr>
          </w:p>
        </w:tc>
        <w:tc>
          <w:tcPr>
            <w:tcW w:w="2462" w:type="dxa"/>
          </w:tcPr>
          <w:p w14:paraId="1886BA38" w14:textId="77777777" w:rsidR="00421B59" w:rsidRDefault="00421B59">
            <w:pPr>
              <w:spacing w:after="0"/>
            </w:pPr>
          </w:p>
        </w:tc>
      </w:tr>
      <w:tr w:rsidR="00421B59" w14:paraId="5C23192A" w14:textId="77777777">
        <w:trPr>
          <w:trHeight w:val="648"/>
          <w:jc w:val="center"/>
        </w:trPr>
        <w:tc>
          <w:tcPr>
            <w:tcW w:w="1944" w:type="dxa"/>
          </w:tcPr>
          <w:p w14:paraId="14567813" w14:textId="77777777" w:rsidR="00421B59" w:rsidRDefault="00000000">
            <w:pPr>
              <w:spacing w:after="0"/>
              <w:jc w:val="center"/>
            </w:pPr>
            <w:r>
              <w:rPr>
                <w:rFonts w:ascii="Times New Roman" w:eastAsia="Times New Roman" w:hAnsi="Times New Roman" w:cs="Times New Roman"/>
                <w:b/>
                <w:color w:val="000000"/>
                <w:sz w:val="24"/>
              </w:rPr>
              <w:t>MZSR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Ministerstvo zdravotníctva </w:t>
            </w:r>
            <w:r>
              <w:rPr>
                <w:rFonts w:ascii="Times New Roman" w:eastAsia="Times New Roman" w:hAnsi="Times New Roman" w:cs="Times New Roman"/>
                <w:color w:val="000000"/>
                <w:sz w:val="24"/>
              </w:rPr>
              <w:lastRenderedPageBreak/>
              <w:t>Slovenskej republiky</w:t>
            </w:r>
          </w:p>
        </w:tc>
        <w:tc>
          <w:tcPr>
            <w:tcW w:w="1296" w:type="dxa"/>
            <w:vAlign w:val="center"/>
          </w:tcPr>
          <w:p w14:paraId="54492367" w14:textId="77777777" w:rsidR="00421B59" w:rsidRDefault="00421B59">
            <w:pPr>
              <w:spacing w:after="0"/>
              <w:jc w:val="center"/>
            </w:pPr>
          </w:p>
        </w:tc>
        <w:tc>
          <w:tcPr>
            <w:tcW w:w="6480" w:type="dxa"/>
          </w:tcPr>
          <w:p w14:paraId="14E01098" w14:textId="77777777" w:rsidR="00421B59" w:rsidRDefault="00000000">
            <w:pPr>
              <w:spacing w:after="0"/>
            </w:pPr>
            <w:r>
              <w:rPr>
                <w:rFonts w:ascii="Times New Roman" w:eastAsia="Times New Roman" w:hAnsi="Times New Roman" w:cs="Times New Roman"/>
                <w:color w:val="000000"/>
                <w:sz w:val="24"/>
              </w:rPr>
              <w:t>Odoslané bez pripomienok</w:t>
            </w:r>
          </w:p>
        </w:tc>
        <w:tc>
          <w:tcPr>
            <w:tcW w:w="778" w:type="dxa"/>
            <w:vAlign w:val="center"/>
          </w:tcPr>
          <w:p w14:paraId="72E95974" w14:textId="77777777" w:rsidR="00421B59" w:rsidRDefault="00421B59">
            <w:pPr>
              <w:spacing w:after="0"/>
              <w:jc w:val="center"/>
            </w:pPr>
          </w:p>
        </w:tc>
        <w:tc>
          <w:tcPr>
            <w:tcW w:w="2462" w:type="dxa"/>
          </w:tcPr>
          <w:p w14:paraId="7D19A6DB" w14:textId="77777777" w:rsidR="00421B59" w:rsidRDefault="00421B59">
            <w:pPr>
              <w:spacing w:after="0"/>
            </w:pPr>
          </w:p>
        </w:tc>
      </w:tr>
      <w:tr w:rsidR="00421B59" w14:paraId="12A2C79B" w14:textId="77777777">
        <w:trPr>
          <w:trHeight w:val="648"/>
          <w:jc w:val="center"/>
        </w:trPr>
        <w:tc>
          <w:tcPr>
            <w:tcW w:w="1944" w:type="dxa"/>
          </w:tcPr>
          <w:p w14:paraId="498958F8" w14:textId="77777777" w:rsidR="00421B59" w:rsidRDefault="00000000">
            <w:pPr>
              <w:spacing w:after="0"/>
              <w:jc w:val="center"/>
            </w:pPr>
            <w:r>
              <w:rPr>
                <w:rFonts w:ascii="Times New Roman" w:eastAsia="Times New Roman" w:hAnsi="Times New Roman" w:cs="Times New Roman"/>
                <w:b/>
                <w:color w:val="000000"/>
                <w:sz w:val="24"/>
              </w:rPr>
              <w:t>MZVEZ 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zahraničných vecí a európskych záležitostí Slovenskej republiky</w:t>
            </w:r>
          </w:p>
        </w:tc>
        <w:tc>
          <w:tcPr>
            <w:tcW w:w="1296" w:type="dxa"/>
            <w:vAlign w:val="center"/>
          </w:tcPr>
          <w:p w14:paraId="3526ED79" w14:textId="77777777" w:rsidR="00421B59" w:rsidRDefault="00421B59">
            <w:pPr>
              <w:spacing w:after="0"/>
              <w:jc w:val="center"/>
            </w:pPr>
          </w:p>
        </w:tc>
        <w:tc>
          <w:tcPr>
            <w:tcW w:w="6480" w:type="dxa"/>
          </w:tcPr>
          <w:p w14:paraId="31710A75" w14:textId="77777777" w:rsidR="00421B59" w:rsidRDefault="00000000">
            <w:pPr>
              <w:spacing w:after="0"/>
            </w:pPr>
            <w:r>
              <w:rPr>
                <w:rFonts w:ascii="Times New Roman" w:eastAsia="Times New Roman" w:hAnsi="Times New Roman" w:cs="Times New Roman"/>
                <w:color w:val="000000"/>
                <w:sz w:val="24"/>
              </w:rPr>
              <w:t>Odoslané bez pripomienok</w:t>
            </w:r>
          </w:p>
        </w:tc>
        <w:tc>
          <w:tcPr>
            <w:tcW w:w="778" w:type="dxa"/>
            <w:vAlign w:val="center"/>
          </w:tcPr>
          <w:p w14:paraId="58AAF9A1" w14:textId="77777777" w:rsidR="00421B59" w:rsidRDefault="00421B59">
            <w:pPr>
              <w:spacing w:after="0"/>
              <w:jc w:val="center"/>
            </w:pPr>
          </w:p>
        </w:tc>
        <w:tc>
          <w:tcPr>
            <w:tcW w:w="2462" w:type="dxa"/>
          </w:tcPr>
          <w:p w14:paraId="32376823" w14:textId="77777777" w:rsidR="00421B59" w:rsidRDefault="00421B59">
            <w:pPr>
              <w:spacing w:after="0"/>
            </w:pPr>
          </w:p>
        </w:tc>
      </w:tr>
      <w:tr w:rsidR="00421B59" w14:paraId="0BF662AF" w14:textId="77777777">
        <w:trPr>
          <w:trHeight w:val="648"/>
          <w:jc w:val="center"/>
        </w:trPr>
        <w:tc>
          <w:tcPr>
            <w:tcW w:w="1944" w:type="dxa"/>
          </w:tcPr>
          <w:p w14:paraId="09D04454" w14:textId="77777777" w:rsidR="00421B59" w:rsidRDefault="00000000">
            <w:pPr>
              <w:spacing w:after="0"/>
              <w:jc w:val="center"/>
            </w:pPr>
            <w:r>
              <w:rPr>
                <w:rFonts w:ascii="Times New Roman" w:eastAsia="Times New Roman" w:hAnsi="Times New Roman" w:cs="Times New Roman"/>
                <w:b/>
                <w:color w:val="000000"/>
                <w:sz w:val="24"/>
              </w:rPr>
              <w:t>MŠVVaMSR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školstva,výskumu,vývoja a mládeže Slovenskej republiky</w:t>
            </w:r>
          </w:p>
        </w:tc>
        <w:tc>
          <w:tcPr>
            <w:tcW w:w="1296" w:type="dxa"/>
            <w:vAlign w:val="center"/>
          </w:tcPr>
          <w:p w14:paraId="15D9F4C7" w14:textId="77777777" w:rsidR="00421B59" w:rsidRDefault="00421B59">
            <w:pPr>
              <w:spacing w:after="0"/>
              <w:jc w:val="center"/>
            </w:pPr>
          </w:p>
        </w:tc>
        <w:tc>
          <w:tcPr>
            <w:tcW w:w="6480" w:type="dxa"/>
          </w:tcPr>
          <w:p w14:paraId="65903ADA" w14:textId="77777777" w:rsidR="00421B59" w:rsidRDefault="00000000">
            <w:pPr>
              <w:spacing w:after="0"/>
            </w:pPr>
            <w:r>
              <w:rPr>
                <w:rFonts w:ascii="Times New Roman" w:eastAsia="Times New Roman" w:hAnsi="Times New Roman" w:cs="Times New Roman"/>
                <w:color w:val="000000"/>
                <w:sz w:val="24"/>
              </w:rPr>
              <w:t>Odoslané bez pripomienok</w:t>
            </w:r>
          </w:p>
        </w:tc>
        <w:tc>
          <w:tcPr>
            <w:tcW w:w="778" w:type="dxa"/>
            <w:vAlign w:val="center"/>
          </w:tcPr>
          <w:p w14:paraId="692E9EC0" w14:textId="77777777" w:rsidR="00421B59" w:rsidRDefault="00421B59">
            <w:pPr>
              <w:spacing w:after="0"/>
              <w:jc w:val="center"/>
            </w:pPr>
          </w:p>
        </w:tc>
        <w:tc>
          <w:tcPr>
            <w:tcW w:w="2462" w:type="dxa"/>
          </w:tcPr>
          <w:p w14:paraId="3C8D189F" w14:textId="77777777" w:rsidR="00421B59" w:rsidRDefault="00421B59">
            <w:pPr>
              <w:spacing w:after="0"/>
            </w:pPr>
          </w:p>
        </w:tc>
      </w:tr>
      <w:tr w:rsidR="00421B59" w14:paraId="4A48CE56" w14:textId="77777777">
        <w:trPr>
          <w:trHeight w:val="648"/>
          <w:jc w:val="center"/>
        </w:trPr>
        <w:tc>
          <w:tcPr>
            <w:tcW w:w="1944" w:type="dxa"/>
          </w:tcPr>
          <w:p w14:paraId="06347BAA" w14:textId="77777777" w:rsidR="00421B59" w:rsidRDefault="00000000">
            <w:pPr>
              <w:spacing w:after="0"/>
              <w:jc w:val="center"/>
            </w:pPr>
            <w:r>
              <w:rPr>
                <w:rFonts w:ascii="Times New Roman" w:eastAsia="Times New Roman" w:hAnsi="Times New Roman" w:cs="Times New Roman"/>
                <w:b/>
                <w:color w:val="000000"/>
                <w:sz w:val="24"/>
              </w:rPr>
              <w:t>MŽPSR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životného prostredia Slovenskej republiky</w:t>
            </w:r>
          </w:p>
        </w:tc>
        <w:tc>
          <w:tcPr>
            <w:tcW w:w="1296" w:type="dxa"/>
            <w:vAlign w:val="center"/>
          </w:tcPr>
          <w:p w14:paraId="2678E30E" w14:textId="77777777" w:rsidR="00421B59" w:rsidRDefault="00421B59">
            <w:pPr>
              <w:spacing w:after="0"/>
              <w:jc w:val="center"/>
            </w:pPr>
          </w:p>
        </w:tc>
        <w:tc>
          <w:tcPr>
            <w:tcW w:w="6480" w:type="dxa"/>
          </w:tcPr>
          <w:p w14:paraId="06AB4FB4" w14:textId="77777777" w:rsidR="00421B59" w:rsidRDefault="00000000">
            <w:pPr>
              <w:spacing w:after="0"/>
            </w:pPr>
            <w:r>
              <w:rPr>
                <w:rFonts w:ascii="Times New Roman" w:eastAsia="Times New Roman" w:hAnsi="Times New Roman" w:cs="Times New Roman"/>
                <w:color w:val="000000"/>
                <w:sz w:val="24"/>
              </w:rPr>
              <w:t>Odoslané bez pripomienok</w:t>
            </w:r>
          </w:p>
        </w:tc>
        <w:tc>
          <w:tcPr>
            <w:tcW w:w="778" w:type="dxa"/>
            <w:vAlign w:val="center"/>
          </w:tcPr>
          <w:p w14:paraId="751D6808" w14:textId="77777777" w:rsidR="00421B59" w:rsidRDefault="00421B59">
            <w:pPr>
              <w:spacing w:after="0"/>
              <w:jc w:val="center"/>
            </w:pPr>
          </w:p>
        </w:tc>
        <w:tc>
          <w:tcPr>
            <w:tcW w:w="2462" w:type="dxa"/>
          </w:tcPr>
          <w:p w14:paraId="042CEB3A" w14:textId="77777777" w:rsidR="00421B59" w:rsidRDefault="00421B59">
            <w:pPr>
              <w:spacing w:after="0"/>
            </w:pPr>
          </w:p>
        </w:tc>
      </w:tr>
      <w:tr w:rsidR="00421B59" w14:paraId="6F37F728" w14:textId="77777777">
        <w:trPr>
          <w:trHeight w:val="648"/>
          <w:jc w:val="center"/>
        </w:trPr>
        <w:tc>
          <w:tcPr>
            <w:tcW w:w="1944" w:type="dxa"/>
          </w:tcPr>
          <w:p w14:paraId="662090E8" w14:textId="77777777" w:rsidR="00421B59" w:rsidRDefault="00000000">
            <w:pPr>
              <w:spacing w:after="0"/>
              <w:jc w:val="center"/>
            </w:pPr>
            <w:r>
              <w:rPr>
                <w:rFonts w:ascii="Times New Roman" w:eastAsia="Times New Roman" w:hAnsi="Times New Roman" w:cs="Times New Roman"/>
                <w:b/>
                <w:color w:val="000000"/>
                <w:sz w:val="24"/>
              </w:rPr>
              <w:t>ÚGKKSR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geodézie, kartografie a katastra Slovenskej republiky</w:t>
            </w:r>
          </w:p>
        </w:tc>
        <w:tc>
          <w:tcPr>
            <w:tcW w:w="1296" w:type="dxa"/>
            <w:vAlign w:val="center"/>
          </w:tcPr>
          <w:p w14:paraId="0A64020E" w14:textId="77777777" w:rsidR="00421B59" w:rsidRDefault="00421B59">
            <w:pPr>
              <w:spacing w:after="0"/>
              <w:jc w:val="center"/>
            </w:pPr>
          </w:p>
        </w:tc>
        <w:tc>
          <w:tcPr>
            <w:tcW w:w="6480" w:type="dxa"/>
          </w:tcPr>
          <w:p w14:paraId="39AF8A89" w14:textId="77777777" w:rsidR="00421B59" w:rsidRDefault="00000000">
            <w:pPr>
              <w:spacing w:after="0"/>
            </w:pPr>
            <w:r>
              <w:rPr>
                <w:rFonts w:ascii="Times New Roman" w:eastAsia="Times New Roman" w:hAnsi="Times New Roman" w:cs="Times New Roman"/>
                <w:color w:val="000000"/>
                <w:sz w:val="24"/>
              </w:rPr>
              <w:t>Odoslané bez pripomienok</w:t>
            </w:r>
          </w:p>
        </w:tc>
        <w:tc>
          <w:tcPr>
            <w:tcW w:w="778" w:type="dxa"/>
            <w:vAlign w:val="center"/>
          </w:tcPr>
          <w:p w14:paraId="1E626D22" w14:textId="77777777" w:rsidR="00421B59" w:rsidRDefault="00421B59">
            <w:pPr>
              <w:spacing w:after="0"/>
              <w:jc w:val="center"/>
            </w:pPr>
          </w:p>
        </w:tc>
        <w:tc>
          <w:tcPr>
            <w:tcW w:w="2462" w:type="dxa"/>
          </w:tcPr>
          <w:p w14:paraId="41017024" w14:textId="77777777" w:rsidR="00421B59" w:rsidRDefault="00421B59">
            <w:pPr>
              <w:spacing w:after="0"/>
            </w:pPr>
          </w:p>
        </w:tc>
      </w:tr>
      <w:tr w:rsidR="00421B59" w14:paraId="4169DE2F" w14:textId="77777777">
        <w:trPr>
          <w:trHeight w:val="648"/>
          <w:jc w:val="center"/>
        </w:trPr>
        <w:tc>
          <w:tcPr>
            <w:tcW w:w="1944" w:type="dxa"/>
          </w:tcPr>
          <w:p w14:paraId="5111B0D1" w14:textId="77777777" w:rsidR="00421B59" w:rsidRDefault="00000000">
            <w:pPr>
              <w:spacing w:after="0"/>
              <w:jc w:val="center"/>
            </w:pPr>
            <w:r>
              <w:rPr>
                <w:rFonts w:ascii="Times New Roman" w:eastAsia="Times New Roman" w:hAnsi="Times New Roman" w:cs="Times New Roman"/>
                <w:b/>
                <w:color w:val="000000"/>
                <w:sz w:val="24"/>
              </w:rPr>
              <w:t>ÚJDSR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Úrad jadrového </w:t>
            </w:r>
            <w:r>
              <w:rPr>
                <w:rFonts w:ascii="Times New Roman" w:eastAsia="Times New Roman" w:hAnsi="Times New Roman" w:cs="Times New Roman"/>
                <w:color w:val="000000"/>
                <w:sz w:val="24"/>
              </w:rPr>
              <w:lastRenderedPageBreak/>
              <w:t>dozoru Slovenskej republiky</w:t>
            </w:r>
          </w:p>
        </w:tc>
        <w:tc>
          <w:tcPr>
            <w:tcW w:w="1296" w:type="dxa"/>
            <w:vAlign w:val="center"/>
          </w:tcPr>
          <w:p w14:paraId="2EB9225C" w14:textId="77777777" w:rsidR="00421B59" w:rsidRDefault="00421B59">
            <w:pPr>
              <w:spacing w:after="0"/>
              <w:jc w:val="center"/>
            </w:pPr>
          </w:p>
        </w:tc>
        <w:tc>
          <w:tcPr>
            <w:tcW w:w="6480" w:type="dxa"/>
          </w:tcPr>
          <w:p w14:paraId="0F67F47F" w14:textId="77777777" w:rsidR="00421B59" w:rsidRDefault="00000000">
            <w:pPr>
              <w:spacing w:after="0"/>
            </w:pPr>
            <w:r>
              <w:rPr>
                <w:rFonts w:ascii="Times New Roman" w:eastAsia="Times New Roman" w:hAnsi="Times New Roman" w:cs="Times New Roman"/>
                <w:color w:val="000000"/>
                <w:sz w:val="24"/>
              </w:rPr>
              <w:t>Odoslané bez pripomienok</w:t>
            </w:r>
          </w:p>
        </w:tc>
        <w:tc>
          <w:tcPr>
            <w:tcW w:w="778" w:type="dxa"/>
            <w:vAlign w:val="center"/>
          </w:tcPr>
          <w:p w14:paraId="221B7425" w14:textId="77777777" w:rsidR="00421B59" w:rsidRDefault="00421B59">
            <w:pPr>
              <w:spacing w:after="0"/>
              <w:jc w:val="center"/>
            </w:pPr>
          </w:p>
        </w:tc>
        <w:tc>
          <w:tcPr>
            <w:tcW w:w="2462" w:type="dxa"/>
          </w:tcPr>
          <w:p w14:paraId="12437846" w14:textId="77777777" w:rsidR="00421B59" w:rsidRDefault="00421B59">
            <w:pPr>
              <w:spacing w:after="0"/>
            </w:pPr>
          </w:p>
        </w:tc>
      </w:tr>
      <w:tr w:rsidR="00421B59" w14:paraId="4DF152C4" w14:textId="77777777">
        <w:trPr>
          <w:trHeight w:val="648"/>
          <w:jc w:val="center"/>
        </w:trPr>
        <w:tc>
          <w:tcPr>
            <w:tcW w:w="1944" w:type="dxa"/>
          </w:tcPr>
          <w:p w14:paraId="157D993A" w14:textId="77777777" w:rsidR="00421B59" w:rsidRDefault="00000000">
            <w:pPr>
              <w:spacing w:after="0"/>
              <w:jc w:val="center"/>
            </w:pPr>
            <w:r>
              <w:rPr>
                <w:rFonts w:ascii="Times New Roman" w:eastAsia="Times New Roman" w:hAnsi="Times New Roman" w:cs="Times New Roman"/>
                <w:b/>
                <w:color w:val="000000"/>
                <w:sz w:val="24"/>
              </w:rPr>
              <w:t>ÚNMSSR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pre normalizáciu,  metrológiu a skúšobníctvo Slovenskej republiky</w:t>
            </w:r>
          </w:p>
        </w:tc>
        <w:tc>
          <w:tcPr>
            <w:tcW w:w="1296" w:type="dxa"/>
            <w:vAlign w:val="center"/>
          </w:tcPr>
          <w:p w14:paraId="0E6C0BFB" w14:textId="77777777" w:rsidR="00421B59" w:rsidRDefault="00421B59">
            <w:pPr>
              <w:spacing w:after="0"/>
              <w:jc w:val="center"/>
            </w:pPr>
          </w:p>
        </w:tc>
        <w:tc>
          <w:tcPr>
            <w:tcW w:w="6480" w:type="dxa"/>
          </w:tcPr>
          <w:p w14:paraId="621461B7" w14:textId="77777777" w:rsidR="00421B59" w:rsidRDefault="00000000">
            <w:pPr>
              <w:spacing w:after="0"/>
            </w:pPr>
            <w:r>
              <w:rPr>
                <w:rFonts w:ascii="Times New Roman" w:eastAsia="Times New Roman" w:hAnsi="Times New Roman" w:cs="Times New Roman"/>
                <w:color w:val="000000"/>
                <w:sz w:val="24"/>
              </w:rPr>
              <w:t>Odoslané bez pripomienok</w:t>
            </w:r>
          </w:p>
        </w:tc>
        <w:tc>
          <w:tcPr>
            <w:tcW w:w="778" w:type="dxa"/>
            <w:vAlign w:val="center"/>
          </w:tcPr>
          <w:p w14:paraId="42F598E6" w14:textId="77777777" w:rsidR="00421B59" w:rsidRDefault="00421B59">
            <w:pPr>
              <w:spacing w:after="0"/>
              <w:jc w:val="center"/>
            </w:pPr>
          </w:p>
        </w:tc>
        <w:tc>
          <w:tcPr>
            <w:tcW w:w="2462" w:type="dxa"/>
          </w:tcPr>
          <w:p w14:paraId="62F78D37" w14:textId="77777777" w:rsidR="00421B59" w:rsidRDefault="00421B59">
            <w:pPr>
              <w:spacing w:after="0"/>
            </w:pPr>
          </w:p>
        </w:tc>
      </w:tr>
      <w:tr w:rsidR="00421B59" w14:paraId="2F4410C5" w14:textId="77777777">
        <w:trPr>
          <w:trHeight w:val="648"/>
          <w:jc w:val="center"/>
        </w:trPr>
        <w:tc>
          <w:tcPr>
            <w:tcW w:w="1944" w:type="dxa"/>
          </w:tcPr>
          <w:p w14:paraId="3E011699" w14:textId="77777777" w:rsidR="00421B59" w:rsidRDefault="00000000">
            <w:pPr>
              <w:spacing w:after="0"/>
              <w:jc w:val="center"/>
            </w:pPr>
            <w:r>
              <w:rPr>
                <w:rFonts w:ascii="Times New Roman" w:eastAsia="Times New Roman" w:hAnsi="Times New Roman" w:cs="Times New Roman"/>
                <w:b/>
                <w:color w:val="000000"/>
                <w:sz w:val="24"/>
              </w:rPr>
              <w:t>ÚPVSR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priemyselného vlastníctva Slovenskej republiky</w:t>
            </w:r>
          </w:p>
        </w:tc>
        <w:tc>
          <w:tcPr>
            <w:tcW w:w="1296" w:type="dxa"/>
            <w:vAlign w:val="center"/>
          </w:tcPr>
          <w:p w14:paraId="4ACCCCEA" w14:textId="77777777" w:rsidR="00421B59" w:rsidRDefault="00421B59">
            <w:pPr>
              <w:spacing w:after="0"/>
              <w:jc w:val="center"/>
            </w:pPr>
          </w:p>
        </w:tc>
        <w:tc>
          <w:tcPr>
            <w:tcW w:w="6480" w:type="dxa"/>
          </w:tcPr>
          <w:p w14:paraId="2DDE04FA" w14:textId="77777777" w:rsidR="00421B59" w:rsidRDefault="00000000">
            <w:pPr>
              <w:spacing w:after="0"/>
            </w:pPr>
            <w:r>
              <w:rPr>
                <w:rFonts w:ascii="Times New Roman" w:eastAsia="Times New Roman" w:hAnsi="Times New Roman" w:cs="Times New Roman"/>
                <w:color w:val="000000"/>
                <w:sz w:val="24"/>
              </w:rPr>
              <w:t>Odoslané bez pripomienok</w:t>
            </w:r>
          </w:p>
        </w:tc>
        <w:tc>
          <w:tcPr>
            <w:tcW w:w="778" w:type="dxa"/>
            <w:vAlign w:val="center"/>
          </w:tcPr>
          <w:p w14:paraId="3971A7BD" w14:textId="77777777" w:rsidR="00421B59" w:rsidRDefault="00421B59">
            <w:pPr>
              <w:spacing w:after="0"/>
              <w:jc w:val="center"/>
            </w:pPr>
          </w:p>
        </w:tc>
        <w:tc>
          <w:tcPr>
            <w:tcW w:w="2462" w:type="dxa"/>
          </w:tcPr>
          <w:p w14:paraId="583CCAFC" w14:textId="77777777" w:rsidR="00421B59" w:rsidRDefault="00421B59">
            <w:pPr>
              <w:spacing w:after="0"/>
            </w:pPr>
          </w:p>
        </w:tc>
      </w:tr>
      <w:tr w:rsidR="00421B59" w14:paraId="2634A3D4" w14:textId="77777777">
        <w:trPr>
          <w:trHeight w:val="648"/>
          <w:jc w:val="center"/>
        </w:trPr>
        <w:tc>
          <w:tcPr>
            <w:tcW w:w="1944" w:type="dxa"/>
          </w:tcPr>
          <w:p w14:paraId="61442CA2" w14:textId="77777777" w:rsidR="00421B59" w:rsidRDefault="00000000">
            <w:pPr>
              <w:spacing w:after="0"/>
              <w:jc w:val="center"/>
            </w:pPr>
            <w:r>
              <w:rPr>
                <w:rFonts w:ascii="Times New Roman" w:eastAsia="Times New Roman" w:hAnsi="Times New Roman" w:cs="Times New Roman"/>
                <w:b/>
                <w:color w:val="000000"/>
                <w:sz w:val="24"/>
              </w:rPr>
              <w:t>ŠÚSR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Štatistický úrad Slovenskej republiky</w:t>
            </w:r>
          </w:p>
        </w:tc>
        <w:tc>
          <w:tcPr>
            <w:tcW w:w="1296" w:type="dxa"/>
            <w:vAlign w:val="center"/>
          </w:tcPr>
          <w:p w14:paraId="0F711F3E" w14:textId="77777777" w:rsidR="00421B59" w:rsidRDefault="00421B59">
            <w:pPr>
              <w:spacing w:after="0"/>
              <w:jc w:val="center"/>
            </w:pPr>
          </w:p>
        </w:tc>
        <w:tc>
          <w:tcPr>
            <w:tcW w:w="6480" w:type="dxa"/>
          </w:tcPr>
          <w:p w14:paraId="01C83F94" w14:textId="77777777" w:rsidR="00421B59" w:rsidRDefault="00000000">
            <w:pPr>
              <w:spacing w:after="0"/>
            </w:pPr>
            <w:r>
              <w:rPr>
                <w:rFonts w:ascii="Times New Roman" w:eastAsia="Times New Roman" w:hAnsi="Times New Roman" w:cs="Times New Roman"/>
                <w:color w:val="000000"/>
                <w:sz w:val="24"/>
              </w:rPr>
              <w:t>Odoslané bez pripomienok</w:t>
            </w:r>
          </w:p>
        </w:tc>
        <w:tc>
          <w:tcPr>
            <w:tcW w:w="778" w:type="dxa"/>
            <w:vAlign w:val="center"/>
          </w:tcPr>
          <w:p w14:paraId="7A3BD120" w14:textId="77777777" w:rsidR="00421B59" w:rsidRDefault="00421B59">
            <w:pPr>
              <w:spacing w:after="0"/>
              <w:jc w:val="center"/>
            </w:pPr>
          </w:p>
        </w:tc>
        <w:tc>
          <w:tcPr>
            <w:tcW w:w="2462" w:type="dxa"/>
          </w:tcPr>
          <w:p w14:paraId="63D2B9F4" w14:textId="77777777" w:rsidR="00421B59" w:rsidRDefault="00421B59">
            <w:pPr>
              <w:spacing w:after="0"/>
            </w:pPr>
          </w:p>
        </w:tc>
      </w:tr>
    </w:tbl>
    <w:p w14:paraId="4C7DBBDB" w14:textId="77777777" w:rsidR="000B2D78" w:rsidRPr="00785E8D" w:rsidRDefault="000B2D78">
      <w:pPr>
        <w:rPr>
          <w:rFonts w:ascii="Times New Roman" w:hAnsi="Times New Roman" w:cs="Times New Roman"/>
        </w:rPr>
      </w:pPr>
    </w:p>
    <w:p w14:paraId="0E9C911C" w14:textId="77777777" w:rsidR="00E66622" w:rsidRPr="00785E8D" w:rsidRDefault="00E66622" w:rsidP="001E6254">
      <w:pPr>
        <w:keepLines/>
        <w:rPr>
          <w:rFonts w:ascii="Times New Roman" w:hAnsi="Times New Roman" w:cs="Times New Roman"/>
        </w:rPr>
      </w:pPr>
      <w:r w:rsidRPr="00785E8D">
        <w:rPr>
          <w:rFonts w:ascii="Times New Roman" w:eastAsia="Times New Roman" w:hAnsi="Times New Roman" w:cs="Times New Roman"/>
          <w:sz w:val="24"/>
          <w:szCs w:val="24"/>
        </w:rPr>
        <w:t>Vznesené hromadné pripomienky</w:t>
      </w:r>
    </w:p>
    <w:tbl>
      <w:tblPr>
        <w:tblW w:w="0" w:type="auto"/>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44"/>
        <w:gridCol w:w="1296"/>
        <w:gridCol w:w="6480"/>
        <w:gridCol w:w="778"/>
        <w:gridCol w:w="2462"/>
      </w:tblGrid>
      <w:tr w:rsidR="000B16EA" w:rsidRPr="00785E8D" w14:paraId="3781E90E" w14:textId="77777777" w:rsidTr="00343965">
        <w:trPr>
          <w:trHeight w:val="648"/>
          <w:jc w:val="center"/>
        </w:trPr>
        <w:tc>
          <w:tcPr>
            <w:tcW w:w="1944" w:type="dxa"/>
            <w:vAlign w:val="center"/>
          </w:tcPr>
          <w:p w14:paraId="27779CC4" w14:textId="77777777" w:rsidR="000B16EA" w:rsidRPr="00785E8D" w:rsidRDefault="000B16EA" w:rsidP="001E6254">
            <w:pPr>
              <w:keepLines/>
              <w:spacing w:after="0" w:line="240" w:lineRule="auto"/>
              <w:jc w:val="center"/>
              <w:rPr>
                <w:rFonts w:ascii="Times New Roman" w:hAnsi="Times New Roman" w:cs="Times New Roman"/>
                <w:b/>
                <w:bCs/>
                <w:sz w:val="24"/>
                <w:szCs w:val="24"/>
              </w:rPr>
            </w:pPr>
            <w:r w:rsidRPr="00785E8D">
              <w:rPr>
                <w:rFonts w:ascii="Times New Roman" w:hAnsi="Times New Roman" w:cs="Times New Roman"/>
                <w:b/>
                <w:bCs/>
                <w:sz w:val="24"/>
                <w:szCs w:val="24"/>
              </w:rPr>
              <w:t>Subjekt</w:t>
            </w:r>
          </w:p>
        </w:tc>
        <w:tc>
          <w:tcPr>
            <w:tcW w:w="1296" w:type="dxa"/>
            <w:vAlign w:val="center"/>
          </w:tcPr>
          <w:p w14:paraId="32C5CA85" w14:textId="77777777" w:rsidR="000B16EA" w:rsidRPr="00785E8D" w:rsidRDefault="000B16EA" w:rsidP="001E6254">
            <w:pPr>
              <w:keepLines/>
              <w:spacing w:after="0" w:line="240" w:lineRule="auto"/>
              <w:jc w:val="center"/>
              <w:rPr>
                <w:rFonts w:ascii="Times New Roman" w:hAnsi="Times New Roman" w:cs="Times New Roman"/>
                <w:b/>
                <w:bCs/>
                <w:sz w:val="24"/>
                <w:szCs w:val="24"/>
              </w:rPr>
            </w:pPr>
            <w:r w:rsidRPr="00785E8D">
              <w:rPr>
                <w:rFonts w:ascii="Times New Roman" w:hAnsi="Times New Roman" w:cs="Times New Roman"/>
                <w:b/>
                <w:bCs/>
                <w:sz w:val="24"/>
                <w:szCs w:val="24"/>
              </w:rPr>
              <w:t>Podporo</w:t>
            </w:r>
            <w:r>
              <w:rPr>
                <w:rFonts w:ascii="Times New Roman" w:hAnsi="Times New Roman" w:cs="Times New Roman"/>
                <w:b/>
                <w:bCs/>
                <w:sz w:val="24"/>
                <w:szCs w:val="24"/>
              </w:rPr>
              <w:t>-</w:t>
            </w:r>
            <w:r>
              <w:rPr>
                <w:rFonts w:ascii="Times New Roman" w:hAnsi="Times New Roman" w:cs="Times New Roman"/>
                <w:b/>
                <w:bCs/>
                <w:sz w:val="24"/>
                <w:szCs w:val="24"/>
              </w:rPr>
              <w:br/>
            </w:r>
            <w:r w:rsidRPr="00785E8D">
              <w:rPr>
                <w:rFonts w:ascii="Times New Roman" w:hAnsi="Times New Roman" w:cs="Times New Roman"/>
                <w:b/>
                <w:bCs/>
                <w:sz w:val="24"/>
                <w:szCs w:val="24"/>
              </w:rPr>
              <w:t>vatelia</w:t>
            </w:r>
          </w:p>
        </w:tc>
        <w:tc>
          <w:tcPr>
            <w:tcW w:w="6480" w:type="dxa"/>
            <w:vAlign w:val="center"/>
          </w:tcPr>
          <w:p w14:paraId="68F71672" w14:textId="77777777" w:rsidR="000B16EA" w:rsidRPr="00785E8D" w:rsidRDefault="000B16EA" w:rsidP="001E6254">
            <w:pPr>
              <w:keepLines/>
              <w:spacing w:after="0" w:line="240" w:lineRule="auto"/>
              <w:jc w:val="center"/>
              <w:rPr>
                <w:rFonts w:ascii="Times New Roman" w:hAnsi="Times New Roman" w:cs="Times New Roman"/>
                <w:b/>
                <w:bCs/>
                <w:sz w:val="24"/>
                <w:szCs w:val="24"/>
              </w:rPr>
            </w:pPr>
            <w:r w:rsidRPr="00785E8D">
              <w:rPr>
                <w:rFonts w:ascii="Times New Roman" w:hAnsi="Times New Roman" w:cs="Times New Roman"/>
                <w:b/>
                <w:bCs/>
                <w:sz w:val="24"/>
                <w:szCs w:val="24"/>
              </w:rPr>
              <w:t>Pripomienka</w:t>
            </w:r>
          </w:p>
        </w:tc>
        <w:tc>
          <w:tcPr>
            <w:tcW w:w="778" w:type="dxa"/>
            <w:vAlign w:val="center"/>
          </w:tcPr>
          <w:p w14:paraId="6A251437" w14:textId="77777777" w:rsidR="000B16EA" w:rsidRPr="00785E8D" w:rsidRDefault="000B16EA" w:rsidP="001E6254">
            <w:pPr>
              <w:keepLine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Vyh.</w:t>
            </w:r>
          </w:p>
        </w:tc>
        <w:tc>
          <w:tcPr>
            <w:tcW w:w="2462" w:type="dxa"/>
            <w:vAlign w:val="center"/>
          </w:tcPr>
          <w:p w14:paraId="2B85650A" w14:textId="77777777" w:rsidR="000B16EA" w:rsidRPr="00785E8D" w:rsidRDefault="000B16EA" w:rsidP="001E6254">
            <w:pPr>
              <w:keepLine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Spôsob vyhodnotenia</w:t>
            </w:r>
          </w:p>
        </w:tc>
      </w:tr>
      <w:tr w:rsidR="00D23361" w14:paraId="0B4B6CF5" w14:textId="77777777" w:rsidTr="00D23361">
        <w:trPr>
          <w:trHeight w:val="648"/>
          <w:jc w:val="center"/>
        </w:trPr>
        <w:tc>
          <w:tcPr>
            <w:tcW w:w="12960" w:type="dxa"/>
            <w:gridSpan w:val="5"/>
            <w:vAlign w:val="center"/>
          </w:tcPr>
          <w:p w14:paraId="0DD68F50" w14:textId="77777777" w:rsidR="00421B59" w:rsidRDefault="00000000">
            <w:pPr>
              <w:spacing w:after="0"/>
              <w:jc w:val="center"/>
            </w:pPr>
            <w:r>
              <w:rPr>
                <w:rFonts w:ascii="Times New Roman" w:eastAsia="Times New Roman" w:hAnsi="Times New Roman" w:cs="Times New Roman"/>
                <w:color w:val="000000"/>
                <w:sz w:val="24"/>
              </w:rPr>
              <w:t>K materiálu neboli pridané hromadné pripomienky.</w:t>
            </w:r>
          </w:p>
        </w:tc>
      </w:tr>
    </w:tbl>
    <w:p w14:paraId="679FBD1B" w14:textId="77777777" w:rsidR="00E66622" w:rsidRDefault="00E66622">
      <w:pPr>
        <w:rPr>
          <w:rFonts w:ascii="Times New Roman" w:hAnsi="Times New Roman" w:cs="Times New Roman"/>
        </w:rPr>
      </w:pPr>
    </w:p>
    <w:p w14:paraId="7626A74C" w14:textId="77777777" w:rsidR="00677591" w:rsidRDefault="00677591" w:rsidP="001E6254">
      <w:pPr>
        <w:keepLines/>
        <w:rPr>
          <w:rFonts w:ascii="Times New Roman" w:hAnsi="Times New Roman" w:cs="Times New Roman"/>
          <w:sz w:val="24"/>
          <w:szCs w:val="24"/>
          <w:lang w:val="en-US"/>
        </w:rPr>
      </w:pPr>
      <w:r w:rsidRPr="00677591">
        <w:rPr>
          <w:rFonts w:ascii="Times New Roman" w:hAnsi="Times New Roman" w:cs="Times New Roman"/>
          <w:sz w:val="24"/>
          <w:szCs w:val="24"/>
        </w:rPr>
        <w:t>Sumarizácia vznesených pripomienok pod</w:t>
      </w:r>
      <w:r w:rsidRPr="00677591">
        <w:rPr>
          <w:rFonts w:ascii="Times New Roman" w:hAnsi="Times New Roman" w:cs="Times New Roman"/>
          <w:sz w:val="24"/>
          <w:szCs w:val="24"/>
          <w:lang w:val="en-US"/>
        </w:rPr>
        <w:t>ľa subjektov</w:t>
      </w:r>
    </w:p>
    <w:tbl>
      <w:tblPr>
        <w:tblW w:w="5000" w:type="pct"/>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16"/>
        <w:gridCol w:w="6711"/>
        <w:gridCol w:w="1550"/>
        <w:gridCol w:w="1550"/>
        <w:gridCol w:w="1537"/>
        <w:gridCol w:w="1096"/>
      </w:tblGrid>
      <w:tr w:rsidR="00634468" w:rsidRPr="00785E8D" w14:paraId="20433A0A" w14:textId="77777777" w:rsidTr="008C63F3">
        <w:trPr>
          <w:trHeight w:val="648"/>
          <w:jc w:val="center"/>
        </w:trPr>
        <w:tc>
          <w:tcPr>
            <w:tcW w:w="178" w:type="pct"/>
            <w:tcBorders>
              <w:right w:val="single" w:sz="2" w:space="0" w:color="auto"/>
            </w:tcBorders>
            <w:vAlign w:val="center"/>
          </w:tcPr>
          <w:p w14:paraId="43ECFD6E" w14:textId="77777777" w:rsidR="00634468" w:rsidRPr="00785E8D" w:rsidRDefault="00634468" w:rsidP="001E6254">
            <w:pPr>
              <w:keepLine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Č.</w:t>
            </w:r>
          </w:p>
        </w:tc>
        <w:tc>
          <w:tcPr>
            <w:tcW w:w="2750" w:type="pct"/>
            <w:tcBorders>
              <w:top w:val="single" w:sz="2" w:space="0" w:color="auto"/>
              <w:left w:val="single" w:sz="2" w:space="0" w:color="auto"/>
              <w:bottom w:val="single" w:sz="4" w:space="0" w:color="auto"/>
              <w:right w:val="single" w:sz="2" w:space="0" w:color="auto"/>
            </w:tcBorders>
            <w:vAlign w:val="center"/>
          </w:tcPr>
          <w:p w14:paraId="75C3314F" w14:textId="77777777" w:rsidR="00634468" w:rsidRPr="00785E8D" w:rsidRDefault="00A80C4C" w:rsidP="001E6254">
            <w:pPr>
              <w:keepLine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Subjekt</w:t>
            </w:r>
          </w:p>
        </w:tc>
        <w:tc>
          <w:tcPr>
            <w:tcW w:w="613" w:type="pct"/>
            <w:tcBorders>
              <w:left w:val="single" w:sz="2" w:space="0" w:color="auto"/>
            </w:tcBorders>
            <w:vAlign w:val="center"/>
          </w:tcPr>
          <w:p w14:paraId="5C47A76C" w14:textId="77777777" w:rsidR="00634468" w:rsidRPr="00785E8D" w:rsidRDefault="00A80C4C" w:rsidP="001E6254">
            <w:pPr>
              <w:keepLine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Pripomienky do termínu</w:t>
            </w:r>
          </w:p>
        </w:tc>
        <w:tc>
          <w:tcPr>
            <w:tcW w:w="613" w:type="pct"/>
            <w:vAlign w:val="center"/>
          </w:tcPr>
          <w:p w14:paraId="43EEC0A9" w14:textId="77777777" w:rsidR="00634468" w:rsidRPr="00A80C4C" w:rsidRDefault="00A80C4C" w:rsidP="001E6254">
            <w:pPr>
              <w:keepLines/>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Pripomienky po termíne</w:t>
            </w:r>
          </w:p>
        </w:tc>
        <w:tc>
          <w:tcPr>
            <w:tcW w:w="486" w:type="pct"/>
            <w:vAlign w:val="center"/>
          </w:tcPr>
          <w:p w14:paraId="3961F8D9" w14:textId="77777777" w:rsidR="00634468" w:rsidRDefault="00634468" w:rsidP="001E6254">
            <w:pPr>
              <w:keepLine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Nemali pripomienky</w:t>
            </w:r>
          </w:p>
        </w:tc>
        <w:tc>
          <w:tcPr>
            <w:tcW w:w="486" w:type="pct"/>
            <w:vAlign w:val="center"/>
          </w:tcPr>
          <w:p w14:paraId="7E94746B" w14:textId="77777777" w:rsidR="00634468" w:rsidRPr="00785E8D" w:rsidRDefault="00A80C4C" w:rsidP="001E6254">
            <w:pPr>
              <w:keepLine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Vôbec neza</w:t>
            </w:r>
            <w:r w:rsidR="0001352E">
              <w:rPr>
                <w:rFonts w:ascii="Times New Roman" w:hAnsi="Times New Roman" w:cs="Times New Roman"/>
                <w:b/>
                <w:bCs/>
                <w:sz w:val="24"/>
                <w:szCs w:val="24"/>
              </w:rPr>
              <w:t>slali</w:t>
            </w:r>
          </w:p>
        </w:tc>
      </w:tr>
      <w:tr w:rsidR="00421B59" w14:paraId="0876789C" w14:textId="77777777">
        <w:trPr>
          <w:trHeight w:val="648"/>
          <w:jc w:val="center"/>
        </w:trPr>
        <w:tc>
          <w:tcPr>
            <w:tcW w:w="0" w:type="auto"/>
          </w:tcPr>
          <w:p w14:paraId="4E164D33" w14:textId="77777777" w:rsidR="00421B59" w:rsidRDefault="00000000">
            <w:pPr>
              <w:spacing w:after="0"/>
              <w:jc w:val="center"/>
            </w:pPr>
            <w:r>
              <w:rPr>
                <w:rFonts w:ascii="Times New Roman" w:eastAsia="Times New Roman" w:hAnsi="Times New Roman" w:cs="Times New Roman"/>
                <w:color w:val="000000"/>
                <w:sz w:val="24"/>
              </w:rPr>
              <w:t>1.</w:t>
            </w:r>
          </w:p>
        </w:tc>
        <w:tc>
          <w:tcPr>
            <w:tcW w:w="0" w:type="auto"/>
          </w:tcPr>
          <w:p w14:paraId="489C86E0" w14:textId="77777777" w:rsidR="00421B59" w:rsidRDefault="00000000">
            <w:pPr>
              <w:spacing w:after="0"/>
            </w:pPr>
            <w:r>
              <w:rPr>
                <w:rFonts w:ascii="Times New Roman" w:eastAsia="Times New Roman" w:hAnsi="Times New Roman" w:cs="Times New Roman"/>
                <w:b/>
                <w:color w:val="000000"/>
                <w:sz w:val="24"/>
              </w:rPr>
              <w:t>APZD</w:t>
            </w:r>
            <w:r>
              <w:rPr>
                <w:rFonts w:ascii="Times New Roman" w:eastAsia="Times New Roman" w:hAnsi="Times New Roman" w:cs="Times New Roman"/>
                <w:color w:val="000000"/>
                <w:sz w:val="24"/>
              </w:rPr>
              <w:t xml:space="preserve"> – Asociácia priemyselných zväzov a dopravy</w:t>
            </w:r>
          </w:p>
        </w:tc>
        <w:tc>
          <w:tcPr>
            <w:tcW w:w="0" w:type="auto"/>
          </w:tcPr>
          <w:p w14:paraId="37EF280D" w14:textId="77777777" w:rsidR="00421B59" w:rsidRDefault="00000000">
            <w:pPr>
              <w:spacing w:after="0"/>
              <w:jc w:val="center"/>
            </w:pPr>
            <w:r>
              <w:rPr>
                <w:rFonts w:ascii="Times New Roman" w:eastAsia="Times New Roman" w:hAnsi="Times New Roman" w:cs="Times New Roman"/>
                <w:color w:val="000000"/>
                <w:sz w:val="24"/>
              </w:rPr>
              <w:t>7 (1o, 6z)</w:t>
            </w:r>
          </w:p>
        </w:tc>
        <w:tc>
          <w:tcPr>
            <w:tcW w:w="0" w:type="auto"/>
          </w:tcPr>
          <w:p w14:paraId="6CE04B0B"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73ABDA68" w14:textId="77777777" w:rsidR="00421B59" w:rsidRDefault="00421B59">
            <w:pPr>
              <w:spacing w:after="0"/>
              <w:jc w:val="center"/>
            </w:pPr>
          </w:p>
        </w:tc>
        <w:tc>
          <w:tcPr>
            <w:tcW w:w="0" w:type="auto"/>
          </w:tcPr>
          <w:p w14:paraId="22E6B9E6" w14:textId="77777777" w:rsidR="00421B59" w:rsidRDefault="00421B59">
            <w:pPr>
              <w:spacing w:after="0"/>
              <w:jc w:val="center"/>
            </w:pPr>
          </w:p>
        </w:tc>
      </w:tr>
      <w:tr w:rsidR="00421B59" w14:paraId="0B63D496" w14:textId="77777777">
        <w:trPr>
          <w:trHeight w:val="648"/>
          <w:jc w:val="center"/>
        </w:trPr>
        <w:tc>
          <w:tcPr>
            <w:tcW w:w="0" w:type="auto"/>
          </w:tcPr>
          <w:p w14:paraId="43FDBA29" w14:textId="77777777" w:rsidR="00421B59" w:rsidRDefault="00000000">
            <w:pPr>
              <w:spacing w:after="0"/>
              <w:jc w:val="center"/>
            </w:pPr>
            <w:r>
              <w:rPr>
                <w:rFonts w:ascii="Times New Roman" w:eastAsia="Times New Roman" w:hAnsi="Times New Roman" w:cs="Times New Roman"/>
                <w:color w:val="000000"/>
                <w:sz w:val="24"/>
              </w:rPr>
              <w:t>2.</w:t>
            </w:r>
          </w:p>
        </w:tc>
        <w:tc>
          <w:tcPr>
            <w:tcW w:w="0" w:type="auto"/>
          </w:tcPr>
          <w:p w14:paraId="77DB874A" w14:textId="77777777" w:rsidR="00421B59" w:rsidRDefault="00000000">
            <w:pPr>
              <w:spacing w:after="0"/>
            </w:pPr>
            <w:r>
              <w:rPr>
                <w:rFonts w:ascii="Times New Roman" w:eastAsia="Times New Roman" w:hAnsi="Times New Roman" w:cs="Times New Roman"/>
                <w:b/>
                <w:color w:val="000000"/>
                <w:sz w:val="24"/>
              </w:rPr>
              <w:t>AZZZ SR</w:t>
            </w:r>
            <w:r>
              <w:rPr>
                <w:rFonts w:ascii="Times New Roman" w:eastAsia="Times New Roman" w:hAnsi="Times New Roman" w:cs="Times New Roman"/>
                <w:color w:val="000000"/>
                <w:sz w:val="24"/>
              </w:rPr>
              <w:t xml:space="preserve"> – Asociácia zamestnávatelských zväzov a združení Slovenskej republiky</w:t>
            </w:r>
          </w:p>
        </w:tc>
        <w:tc>
          <w:tcPr>
            <w:tcW w:w="0" w:type="auto"/>
          </w:tcPr>
          <w:p w14:paraId="3BE21E44"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6CAFDE42"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31EE75BA" w14:textId="77777777" w:rsidR="00421B59" w:rsidRDefault="00421B59">
            <w:pPr>
              <w:spacing w:after="0"/>
              <w:jc w:val="center"/>
            </w:pPr>
          </w:p>
        </w:tc>
        <w:tc>
          <w:tcPr>
            <w:tcW w:w="0" w:type="auto"/>
          </w:tcPr>
          <w:p w14:paraId="24271BD7" w14:textId="77777777" w:rsidR="00421B59" w:rsidRDefault="00000000">
            <w:pPr>
              <w:spacing w:after="0"/>
              <w:jc w:val="center"/>
            </w:pPr>
            <w:r>
              <w:rPr>
                <w:rFonts w:ascii="Times New Roman" w:eastAsia="Times New Roman" w:hAnsi="Times New Roman" w:cs="Times New Roman"/>
                <w:color w:val="000000"/>
                <w:sz w:val="24"/>
              </w:rPr>
              <w:t>X</w:t>
            </w:r>
          </w:p>
        </w:tc>
      </w:tr>
      <w:tr w:rsidR="00421B59" w14:paraId="78BE2B38" w14:textId="77777777">
        <w:trPr>
          <w:trHeight w:val="648"/>
          <w:jc w:val="center"/>
        </w:trPr>
        <w:tc>
          <w:tcPr>
            <w:tcW w:w="0" w:type="auto"/>
          </w:tcPr>
          <w:p w14:paraId="0FDF2AEE" w14:textId="77777777" w:rsidR="00421B59" w:rsidRDefault="00000000">
            <w:pPr>
              <w:spacing w:after="0"/>
              <w:jc w:val="center"/>
            </w:pPr>
            <w:r>
              <w:rPr>
                <w:rFonts w:ascii="Times New Roman" w:eastAsia="Times New Roman" w:hAnsi="Times New Roman" w:cs="Times New Roman"/>
                <w:color w:val="000000"/>
                <w:sz w:val="24"/>
              </w:rPr>
              <w:t>3.</w:t>
            </w:r>
          </w:p>
        </w:tc>
        <w:tc>
          <w:tcPr>
            <w:tcW w:w="0" w:type="auto"/>
          </w:tcPr>
          <w:p w14:paraId="7F7E94EB" w14:textId="77777777" w:rsidR="00421B59" w:rsidRDefault="00000000">
            <w:pPr>
              <w:spacing w:after="0"/>
            </w:pPr>
            <w:r>
              <w:rPr>
                <w:rFonts w:ascii="Times New Roman" w:eastAsia="Times New Roman" w:hAnsi="Times New Roman" w:cs="Times New Roman"/>
                <w:b/>
                <w:color w:val="000000"/>
                <w:sz w:val="24"/>
              </w:rPr>
              <w:t>BBSK</w:t>
            </w:r>
            <w:r>
              <w:rPr>
                <w:rFonts w:ascii="Times New Roman" w:eastAsia="Times New Roman" w:hAnsi="Times New Roman" w:cs="Times New Roman"/>
                <w:color w:val="000000"/>
                <w:sz w:val="24"/>
              </w:rPr>
              <w:t xml:space="preserve"> – Banskobystrický samosprávny kraj</w:t>
            </w:r>
          </w:p>
        </w:tc>
        <w:tc>
          <w:tcPr>
            <w:tcW w:w="0" w:type="auto"/>
          </w:tcPr>
          <w:p w14:paraId="3623FEDF"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1DF58276"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6E9AAD59" w14:textId="77777777" w:rsidR="00421B59" w:rsidRDefault="00421B59">
            <w:pPr>
              <w:spacing w:after="0"/>
              <w:jc w:val="center"/>
            </w:pPr>
          </w:p>
        </w:tc>
        <w:tc>
          <w:tcPr>
            <w:tcW w:w="0" w:type="auto"/>
          </w:tcPr>
          <w:p w14:paraId="3EF93049" w14:textId="77777777" w:rsidR="00421B59" w:rsidRDefault="00000000">
            <w:pPr>
              <w:spacing w:after="0"/>
              <w:jc w:val="center"/>
            </w:pPr>
            <w:r>
              <w:rPr>
                <w:rFonts w:ascii="Times New Roman" w:eastAsia="Times New Roman" w:hAnsi="Times New Roman" w:cs="Times New Roman"/>
                <w:color w:val="000000"/>
                <w:sz w:val="24"/>
              </w:rPr>
              <w:t>X</w:t>
            </w:r>
          </w:p>
        </w:tc>
      </w:tr>
      <w:tr w:rsidR="00421B59" w14:paraId="252EE87D" w14:textId="77777777">
        <w:trPr>
          <w:trHeight w:val="648"/>
          <w:jc w:val="center"/>
        </w:trPr>
        <w:tc>
          <w:tcPr>
            <w:tcW w:w="0" w:type="auto"/>
          </w:tcPr>
          <w:p w14:paraId="328D0738" w14:textId="77777777" w:rsidR="00421B59" w:rsidRDefault="00000000">
            <w:pPr>
              <w:spacing w:after="0"/>
              <w:jc w:val="center"/>
            </w:pPr>
            <w:r>
              <w:rPr>
                <w:rFonts w:ascii="Times New Roman" w:eastAsia="Times New Roman" w:hAnsi="Times New Roman" w:cs="Times New Roman"/>
                <w:color w:val="000000"/>
                <w:sz w:val="24"/>
              </w:rPr>
              <w:t>4.</w:t>
            </w:r>
          </w:p>
        </w:tc>
        <w:tc>
          <w:tcPr>
            <w:tcW w:w="0" w:type="auto"/>
          </w:tcPr>
          <w:p w14:paraId="675ABD31" w14:textId="77777777" w:rsidR="00421B59" w:rsidRDefault="00000000">
            <w:pPr>
              <w:spacing w:after="0"/>
            </w:pPr>
            <w:r>
              <w:rPr>
                <w:rFonts w:ascii="Times New Roman" w:eastAsia="Times New Roman" w:hAnsi="Times New Roman" w:cs="Times New Roman"/>
                <w:b/>
                <w:color w:val="000000"/>
                <w:sz w:val="24"/>
              </w:rPr>
              <w:t>BSK</w:t>
            </w:r>
            <w:r>
              <w:rPr>
                <w:rFonts w:ascii="Times New Roman" w:eastAsia="Times New Roman" w:hAnsi="Times New Roman" w:cs="Times New Roman"/>
                <w:color w:val="000000"/>
                <w:sz w:val="24"/>
              </w:rPr>
              <w:t xml:space="preserve"> – BRATISLAVSKÝ SAMOSPRÁVNY KRAJ</w:t>
            </w:r>
          </w:p>
        </w:tc>
        <w:tc>
          <w:tcPr>
            <w:tcW w:w="0" w:type="auto"/>
          </w:tcPr>
          <w:p w14:paraId="1F18F671"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1BB30746"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3E2AC113" w14:textId="77777777" w:rsidR="00421B59" w:rsidRDefault="00421B59">
            <w:pPr>
              <w:spacing w:after="0"/>
              <w:jc w:val="center"/>
            </w:pPr>
          </w:p>
        </w:tc>
        <w:tc>
          <w:tcPr>
            <w:tcW w:w="0" w:type="auto"/>
          </w:tcPr>
          <w:p w14:paraId="093DDC09" w14:textId="77777777" w:rsidR="00421B59" w:rsidRDefault="00000000">
            <w:pPr>
              <w:spacing w:after="0"/>
              <w:jc w:val="center"/>
            </w:pPr>
            <w:r>
              <w:rPr>
                <w:rFonts w:ascii="Times New Roman" w:eastAsia="Times New Roman" w:hAnsi="Times New Roman" w:cs="Times New Roman"/>
                <w:color w:val="000000"/>
                <w:sz w:val="24"/>
              </w:rPr>
              <w:t>X</w:t>
            </w:r>
          </w:p>
        </w:tc>
      </w:tr>
      <w:tr w:rsidR="00421B59" w14:paraId="1850C5B2" w14:textId="77777777">
        <w:trPr>
          <w:trHeight w:val="648"/>
          <w:jc w:val="center"/>
        </w:trPr>
        <w:tc>
          <w:tcPr>
            <w:tcW w:w="0" w:type="auto"/>
          </w:tcPr>
          <w:p w14:paraId="1399C520" w14:textId="77777777" w:rsidR="00421B59" w:rsidRDefault="00000000">
            <w:pPr>
              <w:spacing w:after="0"/>
              <w:jc w:val="center"/>
            </w:pPr>
            <w:r>
              <w:rPr>
                <w:rFonts w:ascii="Times New Roman" w:eastAsia="Times New Roman" w:hAnsi="Times New Roman" w:cs="Times New Roman"/>
                <w:color w:val="000000"/>
                <w:sz w:val="24"/>
              </w:rPr>
              <w:t>5.</w:t>
            </w:r>
          </w:p>
        </w:tc>
        <w:tc>
          <w:tcPr>
            <w:tcW w:w="0" w:type="auto"/>
          </w:tcPr>
          <w:p w14:paraId="0D2C1B91" w14:textId="77777777" w:rsidR="00421B59" w:rsidRDefault="00000000">
            <w:pPr>
              <w:spacing w:after="0"/>
            </w:pPr>
            <w:r>
              <w:rPr>
                <w:rFonts w:ascii="Times New Roman" w:eastAsia="Times New Roman" w:hAnsi="Times New Roman" w:cs="Times New Roman"/>
                <w:b/>
                <w:color w:val="000000"/>
                <w:sz w:val="24"/>
              </w:rPr>
              <w:t>GPSR</w:t>
            </w:r>
            <w:r>
              <w:rPr>
                <w:rFonts w:ascii="Times New Roman" w:eastAsia="Times New Roman" w:hAnsi="Times New Roman" w:cs="Times New Roman"/>
                <w:color w:val="000000"/>
                <w:sz w:val="24"/>
              </w:rPr>
              <w:t xml:space="preserve"> – Generálna prokuratúra Slovenskej republiky</w:t>
            </w:r>
          </w:p>
        </w:tc>
        <w:tc>
          <w:tcPr>
            <w:tcW w:w="0" w:type="auto"/>
          </w:tcPr>
          <w:p w14:paraId="702A5354"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22CBAC90"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7AA7CB47" w14:textId="77777777" w:rsidR="00421B59" w:rsidRDefault="00000000">
            <w:pPr>
              <w:spacing w:after="0"/>
              <w:jc w:val="center"/>
            </w:pPr>
            <w:r>
              <w:rPr>
                <w:rFonts w:ascii="Times New Roman" w:eastAsia="Times New Roman" w:hAnsi="Times New Roman" w:cs="Times New Roman"/>
                <w:color w:val="000000"/>
                <w:sz w:val="24"/>
              </w:rPr>
              <w:t>X</w:t>
            </w:r>
          </w:p>
        </w:tc>
        <w:tc>
          <w:tcPr>
            <w:tcW w:w="0" w:type="auto"/>
          </w:tcPr>
          <w:p w14:paraId="122E6120" w14:textId="77777777" w:rsidR="00421B59" w:rsidRDefault="00421B59">
            <w:pPr>
              <w:spacing w:after="0"/>
              <w:jc w:val="center"/>
            </w:pPr>
          </w:p>
        </w:tc>
      </w:tr>
      <w:tr w:rsidR="00421B59" w14:paraId="0812EF12" w14:textId="77777777">
        <w:trPr>
          <w:trHeight w:val="648"/>
          <w:jc w:val="center"/>
        </w:trPr>
        <w:tc>
          <w:tcPr>
            <w:tcW w:w="0" w:type="auto"/>
          </w:tcPr>
          <w:p w14:paraId="6DBCF290" w14:textId="77777777" w:rsidR="00421B59" w:rsidRDefault="00000000">
            <w:pPr>
              <w:spacing w:after="0"/>
              <w:jc w:val="center"/>
            </w:pPr>
            <w:r>
              <w:rPr>
                <w:rFonts w:ascii="Times New Roman" w:eastAsia="Times New Roman" w:hAnsi="Times New Roman" w:cs="Times New Roman"/>
                <w:color w:val="000000"/>
                <w:sz w:val="24"/>
              </w:rPr>
              <w:t>6.</w:t>
            </w:r>
          </w:p>
        </w:tc>
        <w:tc>
          <w:tcPr>
            <w:tcW w:w="0" w:type="auto"/>
          </w:tcPr>
          <w:p w14:paraId="04B2614C" w14:textId="77777777" w:rsidR="00421B59" w:rsidRDefault="00000000">
            <w:pPr>
              <w:spacing w:after="0"/>
            </w:pPr>
            <w:r>
              <w:rPr>
                <w:rFonts w:ascii="Times New Roman" w:eastAsia="Times New Roman" w:hAnsi="Times New Roman" w:cs="Times New Roman"/>
                <w:b/>
                <w:color w:val="000000"/>
                <w:sz w:val="24"/>
              </w:rPr>
              <w:t>KBS</w:t>
            </w:r>
            <w:r>
              <w:rPr>
                <w:rFonts w:ascii="Times New Roman" w:eastAsia="Times New Roman" w:hAnsi="Times New Roman" w:cs="Times New Roman"/>
                <w:color w:val="000000"/>
                <w:sz w:val="24"/>
              </w:rPr>
              <w:t xml:space="preserve"> – Konferencia biskupov Slovenska</w:t>
            </w:r>
          </w:p>
        </w:tc>
        <w:tc>
          <w:tcPr>
            <w:tcW w:w="0" w:type="auto"/>
          </w:tcPr>
          <w:p w14:paraId="4A4B5223"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469AE507"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3F510EFE" w14:textId="77777777" w:rsidR="00421B59" w:rsidRDefault="00421B59">
            <w:pPr>
              <w:spacing w:after="0"/>
              <w:jc w:val="center"/>
            </w:pPr>
          </w:p>
        </w:tc>
        <w:tc>
          <w:tcPr>
            <w:tcW w:w="0" w:type="auto"/>
          </w:tcPr>
          <w:p w14:paraId="23B8EAC3" w14:textId="77777777" w:rsidR="00421B59" w:rsidRDefault="00000000">
            <w:pPr>
              <w:spacing w:after="0"/>
              <w:jc w:val="center"/>
            </w:pPr>
            <w:r>
              <w:rPr>
                <w:rFonts w:ascii="Times New Roman" w:eastAsia="Times New Roman" w:hAnsi="Times New Roman" w:cs="Times New Roman"/>
                <w:color w:val="000000"/>
                <w:sz w:val="24"/>
              </w:rPr>
              <w:t>X</w:t>
            </w:r>
          </w:p>
        </w:tc>
      </w:tr>
      <w:tr w:rsidR="00421B59" w14:paraId="6B257A47" w14:textId="77777777">
        <w:trPr>
          <w:trHeight w:val="648"/>
          <w:jc w:val="center"/>
        </w:trPr>
        <w:tc>
          <w:tcPr>
            <w:tcW w:w="0" w:type="auto"/>
          </w:tcPr>
          <w:p w14:paraId="596A29CE" w14:textId="77777777" w:rsidR="00421B59" w:rsidRDefault="00000000">
            <w:pPr>
              <w:spacing w:after="0"/>
              <w:jc w:val="center"/>
            </w:pPr>
            <w:r>
              <w:rPr>
                <w:rFonts w:ascii="Times New Roman" w:eastAsia="Times New Roman" w:hAnsi="Times New Roman" w:cs="Times New Roman"/>
                <w:color w:val="000000"/>
                <w:sz w:val="24"/>
              </w:rPr>
              <w:t>7.</w:t>
            </w:r>
          </w:p>
        </w:tc>
        <w:tc>
          <w:tcPr>
            <w:tcW w:w="0" w:type="auto"/>
          </w:tcPr>
          <w:p w14:paraId="58D29A60" w14:textId="77777777" w:rsidR="00421B59" w:rsidRDefault="00000000">
            <w:pPr>
              <w:spacing w:after="0"/>
            </w:pPr>
            <w:r>
              <w:rPr>
                <w:rFonts w:ascii="Times New Roman" w:eastAsia="Times New Roman" w:hAnsi="Times New Roman" w:cs="Times New Roman"/>
                <w:b/>
                <w:color w:val="000000"/>
                <w:sz w:val="24"/>
              </w:rPr>
              <w:t>KOZSR</w:t>
            </w:r>
            <w:r>
              <w:rPr>
                <w:rFonts w:ascii="Times New Roman" w:eastAsia="Times New Roman" w:hAnsi="Times New Roman" w:cs="Times New Roman"/>
                <w:color w:val="000000"/>
                <w:sz w:val="24"/>
              </w:rPr>
              <w:t xml:space="preserve"> – Konfederácia odborových zväzov Slovenskej republiky</w:t>
            </w:r>
          </w:p>
        </w:tc>
        <w:tc>
          <w:tcPr>
            <w:tcW w:w="0" w:type="auto"/>
          </w:tcPr>
          <w:p w14:paraId="22794D36"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2293DF85"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1DF2AF0F" w14:textId="77777777" w:rsidR="00421B59" w:rsidRDefault="00421B59">
            <w:pPr>
              <w:spacing w:after="0"/>
              <w:jc w:val="center"/>
            </w:pPr>
          </w:p>
        </w:tc>
        <w:tc>
          <w:tcPr>
            <w:tcW w:w="0" w:type="auto"/>
          </w:tcPr>
          <w:p w14:paraId="02329FB4" w14:textId="77777777" w:rsidR="00421B59" w:rsidRDefault="00000000">
            <w:pPr>
              <w:spacing w:after="0"/>
              <w:jc w:val="center"/>
            </w:pPr>
            <w:r>
              <w:rPr>
                <w:rFonts w:ascii="Times New Roman" w:eastAsia="Times New Roman" w:hAnsi="Times New Roman" w:cs="Times New Roman"/>
                <w:color w:val="000000"/>
                <w:sz w:val="24"/>
              </w:rPr>
              <w:t>X</w:t>
            </w:r>
          </w:p>
        </w:tc>
      </w:tr>
      <w:tr w:rsidR="00421B59" w14:paraId="42ACFD35" w14:textId="77777777">
        <w:trPr>
          <w:trHeight w:val="648"/>
          <w:jc w:val="center"/>
        </w:trPr>
        <w:tc>
          <w:tcPr>
            <w:tcW w:w="0" w:type="auto"/>
          </w:tcPr>
          <w:p w14:paraId="17D0F759" w14:textId="77777777" w:rsidR="00421B59" w:rsidRDefault="00000000">
            <w:pPr>
              <w:spacing w:after="0"/>
              <w:jc w:val="center"/>
            </w:pPr>
            <w:r>
              <w:rPr>
                <w:rFonts w:ascii="Times New Roman" w:eastAsia="Times New Roman" w:hAnsi="Times New Roman" w:cs="Times New Roman"/>
                <w:color w:val="000000"/>
                <w:sz w:val="24"/>
              </w:rPr>
              <w:t>8.</w:t>
            </w:r>
          </w:p>
        </w:tc>
        <w:tc>
          <w:tcPr>
            <w:tcW w:w="0" w:type="auto"/>
          </w:tcPr>
          <w:p w14:paraId="46ADDDFC" w14:textId="77777777" w:rsidR="00421B59" w:rsidRDefault="00000000">
            <w:pPr>
              <w:spacing w:after="0"/>
            </w:pPr>
            <w:r>
              <w:rPr>
                <w:rFonts w:ascii="Times New Roman" w:eastAsia="Times New Roman" w:hAnsi="Times New Roman" w:cs="Times New Roman"/>
                <w:b/>
                <w:color w:val="000000"/>
                <w:sz w:val="24"/>
              </w:rPr>
              <w:t>KSK</w:t>
            </w:r>
            <w:r>
              <w:rPr>
                <w:rFonts w:ascii="Times New Roman" w:eastAsia="Times New Roman" w:hAnsi="Times New Roman" w:cs="Times New Roman"/>
                <w:color w:val="000000"/>
                <w:sz w:val="24"/>
              </w:rPr>
              <w:t xml:space="preserve"> – Košický samosprávny kraj</w:t>
            </w:r>
          </w:p>
        </w:tc>
        <w:tc>
          <w:tcPr>
            <w:tcW w:w="0" w:type="auto"/>
          </w:tcPr>
          <w:p w14:paraId="1729DF6C"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3C6CE1AA"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381A0FC6" w14:textId="77777777" w:rsidR="00421B59" w:rsidRDefault="00421B59">
            <w:pPr>
              <w:spacing w:after="0"/>
              <w:jc w:val="center"/>
            </w:pPr>
          </w:p>
        </w:tc>
        <w:tc>
          <w:tcPr>
            <w:tcW w:w="0" w:type="auto"/>
          </w:tcPr>
          <w:p w14:paraId="5ADBF0AD" w14:textId="77777777" w:rsidR="00421B59" w:rsidRDefault="00000000">
            <w:pPr>
              <w:spacing w:after="0"/>
              <w:jc w:val="center"/>
            </w:pPr>
            <w:r>
              <w:rPr>
                <w:rFonts w:ascii="Times New Roman" w:eastAsia="Times New Roman" w:hAnsi="Times New Roman" w:cs="Times New Roman"/>
                <w:color w:val="000000"/>
                <w:sz w:val="24"/>
              </w:rPr>
              <w:t>X</w:t>
            </w:r>
          </w:p>
        </w:tc>
      </w:tr>
      <w:tr w:rsidR="00421B59" w14:paraId="2376D712" w14:textId="77777777">
        <w:trPr>
          <w:trHeight w:val="648"/>
          <w:jc w:val="center"/>
        </w:trPr>
        <w:tc>
          <w:tcPr>
            <w:tcW w:w="0" w:type="auto"/>
          </w:tcPr>
          <w:p w14:paraId="017AA45D" w14:textId="77777777" w:rsidR="00421B59" w:rsidRDefault="00000000">
            <w:pPr>
              <w:spacing w:after="0"/>
              <w:jc w:val="center"/>
            </w:pPr>
            <w:r>
              <w:rPr>
                <w:rFonts w:ascii="Times New Roman" w:eastAsia="Times New Roman" w:hAnsi="Times New Roman" w:cs="Times New Roman"/>
                <w:color w:val="000000"/>
                <w:sz w:val="24"/>
              </w:rPr>
              <w:t>9.</w:t>
            </w:r>
          </w:p>
        </w:tc>
        <w:tc>
          <w:tcPr>
            <w:tcW w:w="0" w:type="auto"/>
          </w:tcPr>
          <w:p w14:paraId="5900298C" w14:textId="77777777" w:rsidR="00421B59" w:rsidRDefault="00000000">
            <w:pPr>
              <w:spacing w:after="0"/>
            </w:pPr>
            <w:r>
              <w:rPr>
                <w:rFonts w:ascii="Times New Roman" w:eastAsia="Times New Roman" w:hAnsi="Times New Roman" w:cs="Times New Roman"/>
                <w:b/>
                <w:color w:val="000000"/>
                <w:sz w:val="24"/>
              </w:rPr>
              <w:t>Klub 500</w:t>
            </w:r>
            <w:r>
              <w:rPr>
                <w:rFonts w:ascii="Times New Roman" w:eastAsia="Times New Roman" w:hAnsi="Times New Roman" w:cs="Times New Roman"/>
                <w:color w:val="000000"/>
                <w:sz w:val="24"/>
              </w:rPr>
              <w:t xml:space="preserve"> – Klub 500</w:t>
            </w:r>
          </w:p>
        </w:tc>
        <w:tc>
          <w:tcPr>
            <w:tcW w:w="0" w:type="auto"/>
          </w:tcPr>
          <w:p w14:paraId="7646CEAD" w14:textId="77777777" w:rsidR="00421B59" w:rsidRDefault="00000000">
            <w:pPr>
              <w:spacing w:after="0"/>
              <w:jc w:val="center"/>
            </w:pPr>
            <w:r>
              <w:rPr>
                <w:rFonts w:ascii="Times New Roman" w:eastAsia="Times New Roman" w:hAnsi="Times New Roman" w:cs="Times New Roman"/>
                <w:color w:val="000000"/>
                <w:sz w:val="24"/>
              </w:rPr>
              <w:t>15 (0o, 15z)</w:t>
            </w:r>
          </w:p>
        </w:tc>
        <w:tc>
          <w:tcPr>
            <w:tcW w:w="0" w:type="auto"/>
          </w:tcPr>
          <w:p w14:paraId="1573C0F4"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14BE1F18" w14:textId="77777777" w:rsidR="00421B59" w:rsidRDefault="00421B59">
            <w:pPr>
              <w:spacing w:after="0"/>
              <w:jc w:val="center"/>
            </w:pPr>
          </w:p>
        </w:tc>
        <w:tc>
          <w:tcPr>
            <w:tcW w:w="0" w:type="auto"/>
          </w:tcPr>
          <w:p w14:paraId="5CBB9603" w14:textId="77777777" w:rsidR="00421B59" w:rsidRDefault="00421B59">
            <w:pPr>
              <w:spacing w:after="0"/>
              <w:jc w:val="center"/>
            </w:pPr>
          </w:p>
        </w:tc>
      </w:tr>
      <w:tr w:rsidR="00421B59" w14:paraId="0039B27A" w14:textId="77777777">
        <w:trPr>
          <w:trHeight w:val="648"/>
          <w:jc w:val="center"/>
        </w:trPr>
        <w:tc>
          <w:tcPr>
            <w:tcW w:w="0" w:type="auto"/>
          </w:tcPr>
          <w:p w14:paraId="2125892F" w14:textId="77777777" w:rsidR="00421B59" w:rsidRDefault="00000000">
            <w:pPr>
              <w:spacing w:after="0"/>
              <w:jc w:val="center"/>
            </w:pPr>
            <w:r>
              <w:rPr>
                <w:rFonts w:ascii="Times New Roman" w:eastAsia="Times New Roman" w:hAnsi="Times New Roman" w:cs="Times New Roman"/>
                <w:color w:val="000000"/>
                <w:sz w:val="24"/>
              </w:rPr>
              <w:t>10.</w:t>
            </w:r>
          </w:p>
        </w:tc>
        <w:tc>
          <w:tcPr>
            <w:tcW w:w="0" w:type="auto"/>
          </w:tcPr>
          <w:p w14:paraId="380C9A07" w14:textId="77777777" w:rsidR="00421B59" w:rsidRDefault="00000000">
            <w:pPr>
              <w:spacing w:after="0"/>
            </w:pPr>
            <w:r>
              <w:rPr>
                <w:rFonts w:ascii="Times New Roman" w:eastAsia="Times New Roman" w:hAnsi="Times New Roman" w:cs="Times New Roman"/>
                <w:b/>
                <w:color w:val="000000"/>
                <w:sz w:val="24"/>
              </w:rPr>
              <w:t>MDSR</w:t>
            </w:r>
            <w:r>
              <w:rPr>
                <w:rFonts w:ascii="Times New Roman" w:eastAsia="Times New Roman" w:hAnsi="Times New Roman" w:cs="Times New Roman"/>
                <w:color w:val="000000"/>
                <w:sz w:val="24"/>
              </w:rPr>
              <w:t xml:space="preserve"> – Ministerstvo dopravy Slovenskej republiky</w:t>
            </w:r>
          </w:p>
        </w:tc>
        <w:tc>
          <w:tcPr>
            <w:tcW w:w="0" w:type="auto"/>
          </w:tcPr>
          <w:p w14:paraId="567DE318" w14:textId="77777777" w:rsidR="00421B59" w:rsidRDefault="00000000">
            <w:pPr>
              <w:spacing w:after="0"/>
              <w:jc w:val="center"/>
            </w:pPr>
            <w:r>
              <w:rPr>
                <w:rFonts w:ascii="Times New Roman" w:eastAsia="Times New Roman" w:hAnsi="Times New Roman" w:cs="Times New Roman"/>
                <w:color w:val="000000"/>
                <w:sz w:val="24"/>
              </w:rPr>
              <w:t>2 (2o, 0z)</w:t>
            </w:r>
          </w:p>
        </w:tc>
        <w:tc>
          <w:tcPr>
            <w:tcW w:w="0" w:type="auto"/>
          </w:tcPr>
          <w:p w14:paraId="367E06C8"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1BD6F230" w14:textId="77777777" w:rsidR="00421B59" w:rsidRDefault="00421B59">
            <w:pPr>
              <w:spacing w:after="0"/>
              <w:jc w:val="center"/>
            </w:pPr>
          </w:p>
        </w:tc>
        <w:tc>
          <w:tcPr>
            <w:tcW w:w="0" w:type="auto"/>
          </w:tcPr>
          <w:p w14:paraId="2015D283" w14:textId="77777777" w:rsidR="00421B59" w:rsidRDefault="00421B59">
            <w:pPr>
              <w:spacing w:after="0"/>
              <w:jc w:val="center"/>
            </w:pPr>
          </w:p>
        </w:tc>
      </w:tr>
      <w:tr w:rsidR="00421B59" w14:paraId="51BDF2BB" w14:textId="77777777">
        <w:trPr>
          <w:trHeight w:val="648"/>
          <w:jc w:val="center"/>
        </w:trPr>
        <w:tc>
          <w:tcPr>
            <w:tcW w:w="0" w:type="auto"/>
          </w:tcPr>
          <w:p w14:paraId="40809F5A" w14:textId="77777777" w:rsidR="00421B59" w:rsidRDefault="00000000">
            <w:pPr>
              <w:spacing w:after="0"/>
              <w:jc w:val="center"/>
            </w:pPr>
            <w:r>
              <w:rPr>
                <w:rFonts w:ascii="Times New Roman" w:eastAsia="Times New Roman" w:hAnsi="Times New Roman" w:cs="Times New Roman"/>
                <w:color w:val="000000"/>
                <w:sz w:val="24"/>
              </w:rPr>
              <w:t>11.</w:t>
            </w:r>
          </w:p>
        </w:tc>
        <w:tc>
          <w:tcPr>
            <w:tcW w:w="0" w:type="auto"/>
          </w:tcPr>
          <w:p w14:paraId="216E1FE8" w14:textId="77777777" w:rsidR="00421B59" w:rsidRDefault="00000000">
            <w:pPr>
              <w:spacing w:after="0"/>
            </w:pPr>
            <w:r>
              <w:rPr>
                <w:rFonts w:ascii="Times New Roman" w:eastAsia="Times New Roman" w:hAnsi="Times New Roman" w:cs="Times New Roman"/>
                <w:b/>
                <w:color w:val="000000"/>
                <w:sz w:val="24"/>
              </w:rPr>
              <w:t>MFSR</w:t>
            </w:r>
            <w:r>
              <w:rPr>
                <w:rFonts w:ascii="Times New Roman" w:eastAsia="Times New Roman" w:hAnsi="Times New Roman" w:cs="Times New Roman"/>
                <w:color w:val="000000"/>
                <w:sz w:val="24"/>
              </w:rPr>
              <w:t xml:space="preserve"> – Ministerstvo financií Slovenskej republiky</w:t>
            </w:r>
          </w:p>
        </w:tc>
        <w:tc>
          <w:tcPr>
            <w:tcW w:w="0" w:type="auto"/>
          </w:tcPr>
          <w:p w14:paraId="18CAD1D6"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37E0CE51"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4657CF85" w14:textId="77777777" w:rsidR="00421B59" w:rsidRDefault="00421B59">
            <w:pPr>
              <w:spacing w:after="0"/>
              <w:jc w:val="center"/>
            </w:pPr>
          </w:p>
        </w:tc>
        <w:tc>
          <w:tcPr>
            <w:tcW w:w="0" w:type="auto"/>
          </w:tcPr>
          <w:p w14:paraId="31C0EFD8" w14:textId="77777777" w:rsidR="00421B59" w:rsidRDefault="00000000">
            <w:pPr>
              <w:spacing w:after="0"/>
              <w:jc w:val="center"/>
            </w:pPr>
            <w:r>
              <w:rPr>
                <w:rFonts w:ascii="Times New Roman" w:eastAsia="Times New Roman" w:hAnsi="Times New Roman" w:cs="Times New Roman"/>
                <w:color w:val="000000"/>
                <w:sz w:val="24"/>
              </w:rPr>
              <w:t>X</w:t>
            </w:r>
          </w:p>
        </w:tc>
      </w:tr>
      <w:tr w:rsidR="00421B59" w14:paraId="1B80C0EA" w14:textId="77777777">
        <w:trPr>
          <w:trHeight w:val="648"/>
          <w:jc w:val="center"/>
        </w:trPr>
        <w:tc>
          <w:tcPr>
            <w:tcW w:w="0" w:type="auto"/>
          </w:tcPr>
          <w:p w14:paraId="7F15D1C9" w14:textId="77777777" w:rsidR="00421B59" w:rsidRDefault="00000000">
            <w:pPr>
              <w:spacing w:after="0"/>
              <w:jc w:val="center"/>
            </w:pPr>
            <w:r>
              <w:rPr>
                <w:rFonts w:ascii="Times New Roman" w:eastAsia="Times New Roman" w:hAnsi="Times New Roman" w:cs="Times New Roman"/>
                <w:color w:val="000000"/>
                <w:sz w:val="24"/>
              </w:rPr>
              <w:t>12.</w:t>
            </w:r>
          </w:p>
        </w:tc>
        <w:tc>
          <w:tcPr>
            <w:tcW w:w="0" w:type="auto"/>
          </w:tcPr>
          <w:p w14:paraId="031E14C5" w14:textId="77777777" w:rsidR="00421B59" w:rsidRDefault="00000000">
            <w:pPr>
              <w:spacing w:after="0"/>
            </w:pPr>
            <w:r>
              <w:rPr>
                <w:rFonts w:ascii="Times New Roman" w:eastAsia="Times New Roman" w:hAnsi="Times New Roman" w:cs="Times New Roman"/>
                <w:b/>
                <w:color w:val="000000"/>
                <w:sz w:val="24"/>
              </w:rPr>
              <w:t>MHSR</w:t>
            </w:r>
            <w:r>
              <w:rPr>
                <w:rFonts w:ascii="Times New Roman" w:eastAsia="Times New Roman" w:hAnsi="Times New Roman" w:cs="Times New Roman"/>
                <w:color w:val="000000"/>
                <w:sz w:val="24"/>
              </w:rPr>
              <w:t xml:space="preserve"> – Ministerstvo hospodárstva Slovenskej republiky</w:t>
            </w:r>
          </w:p>
        </w:tc>
        <w:tc>
          <w:tcPr>
            <w:tcW w:w="0" w:type="auto"/>
          </w:tcPr>
          <w:p w14:paraId="340F69B6"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4E574209"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048D38BA" w14:textId="77777777" w:rsidR="00421B59" w:rsidRDefault="00421B59">
            <w:pPr>
              <w:spacing w:after="0"/>
              <w:jc w:val="center"/>
            </w:pPr>
          </w:p>
        </w:tc>
        <w:tc>
          <w:tcPr>
            <w:tcW w:w="0" w:type="auto"/>
          </w:tcPr>
          <w:p w14:paraId="38C5E8CD" w14:textId="77777777" w:rsidR="00421B59" w:rsidRDefault="00000000">
            <w:pPr>
              <w:spacing w:after="0"/>
              <w:jc w:val="center"/>
            </w:pPr>
            <w:r>
              <w:rPr>
                <w:rFonts w:ascii="Times New Roman" w:eastAsia="Times New Roman" w:hAnsi="Times New Roman" w:cs="Times New Roman"/>
                <w:color w:val="000000"/>
                <w:sz w:val="24"/>
              </w:rPr>
              <w:t>X</w:t>
            </w:r>
          </w:p>
        </w:tc>
      </w:tr>
      <w:tr w:rsidR="00421B59" w14:paraId="746B193C" w14:textId="77777777">
        <w:trPr>
          <w:trHeight w:val="648"/>
          <w:jc w:val="center"/>
        </w:trPr>
        <w:tc>
          <w:tcPr>
            <w:tcW w:w="0" w:type="auto"/>
          </w:tcPr>
          <w:p w14:paraId="35758C94" w14:textId="77777777" w:rsidR="00421B59" w:rsidRDefault="00000000">
            <w:pPr>
              <w:spacing w:after="0"/>
              <w:jc w:val="center"/>
            </w:pPr>
            <w:r>
              <w:rPr>
                <w:rFonts w:ascii="Times New Roman" w:eastAsia="Times New Roman" w:hAnsi="Times New Roman" w:cs="Times New Roman"/>
                <w:color w:val="000000"/>
                <w:sz w:val="24"/>
              </w:rPr>
              <w:t>13.</w:t>
            </w:r>
          </w:p>
        </w:tc>
        <w:tc>
          <w:tcPr>
            <w:tcW w:w="0" w:type="auto"/>
          </w:tcPr>
          <w:p w14:paraId="799ECCC0" w14:textId="77777777" w:rsidR="00421B59" w:rsidRDefault="00000000">
            <w:pPr>
              <w:spacing w:after="0"/>
            </w:pPr>
            <w:r>
              <w:rPr>
                <w:rFonts w:ascii="Times New Roman" w:eastAsia="Times New Roman" w:hAnsi="Times New Roman" w:cs="Times New Roman"/>
                <w:b/>
                <w:color w:val="000000"/>
                <w:sz w:val="24"/>
              </w:rPr>
              <w:t>MINCRS</w:t>
            </w:r>
            <w:r>
              <w:rPr>
                <w:rFonts w:ascii="Times New Roman" w:eastAsia="Times New Roman" w:hAnsi="Times New Roman" w:cs="Times New Roman"/>
                <w:color w:val="000000"/>
                <w:sz w:val="24"/>
              </w:rPr>
              <w:t xml:space="preserve"> – Ministerstvo cestovného ruchu a športu Slovenskej republiky</w:t>
            </w:r>
          </w:p>
        </w:tc>
        <w:tc>
          <w:tcPr>
            <w:tcW w:w="0" w:type="auto"/>
          </w:tcPr>
          <w:p w14:paraId="5C21CA6C"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175F8800"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46F117A8" w14:textId="77777777" w:rsidR="00421B59" w:rsidRDefault="00000000">
            <w:pPr>
              <w:spacing w:after="0"/>
              <w:jc w:val="center"/>
            </w:pPr>
            <w:r>
              <w:rPr>
                <w:rFonts w:ascii="Times New Roman" w:eastAsia="Times New Roman" w:hAnsi="Times New Roman" w:cs="Times New Roman"/>
                <w:color w:val="000000"/>
                <w:sz w:val="24"/>
              </w:rPr>
              <w:t>X</w:t>
            </w:r>
          </w:p>
        </w:tc>
        <w:tc>
          <w:tcPr>
            <w:tcW w:w="0" w:type="auto"/>
          </w:tcPr>
          <w:p w14:paraId="2A254F97" w14:textId="77777777" w:rsidR="00421B59" w:rsidRDefault="00421B59">
            <w:pPr>
              <w:spacing w:after="0"/>
              <w:jc w:val="center"/>
            </w:pPr>
          </w:p>
        </w:tc>
      </w:tr>
      <w:tr w:rsidR="00421B59" w14:paraId="1183B5E9" w14:textId="77777777">
        <w:trPr>
          <w:trHeight w:val="648"/>
          <w:jc w:val="center"/>
        </w:trPr>
        <w:tc>
          <w:tcPr>
            <w:tcW w:w="0" w:type="auto"/>
          </w:tcPr>
          <w:p w14:paraId="4BB41AA4" w14:textId="77777777" w:rsidR="00421B59" w:rsidRDefault="00000000">
            <w:pPr>
              <w:spacing w:after="0"/>
              <w:jc w:val="center"/>
            </w:pPr>
            <w:r>
              <w:rPr>
                <w:rFonts w:ascii="Times New Roman" w:eastAsia="Times New Roman" w:hAnsi="Times New Roman" w:cs="Times New Roman"/>
                <w:color w:val="000000"/>
                <w:sz w:val="24"/>
              </w:rPr>
              <w:lastRenderedPageBreak/>
              <w:t>14.</w:t>
            </w:r>
          </w:p>
        </w:tc>
        <w:tc>
          <w:tcPr>
            <w:tcW w:w="0" w:type="auto"/>
          </w:tcPr>
          <w:p w14:paraId="576EEB8E" w14:textId="77777777" w:rsidR="00421B59" w:rsidRDefault="00000000">
            <w:pPr>
              <w:spacing w:after="0"/>
            </w:pPr>
            <w:r>
              <w:rPr>
                <w:rFonts w:ascii="Times New Roman" w:eastAsia="Times New Roman" w:hAnsi="Times New Roman" w:cs="Times New Roman"/>
                <w:b/>
                <w:color w:val="000000"/>
                <w:sz w:val="24"/>
              </w:rPr>
              <w:t>MIRRI SR</w:t>
            </w:r>
            <w:r>
              <w:rPr>
                <w:rFonts w:ascii="Times New Roman" w:eastAsia="Times New Roman" w:hAnsi="Times New Roman" w:cs="Times New Roman"/>
                <w:color w:val="000000"/>
                <w:sz w:val="24"/>
              </w:rPr>
              <w:t xml:space="preserve"> – Ministerstvo investícií, regionálneho rozvoja a informatizácie Slovenskej republiky</w:t>
            </w:r>
          </w:p>
        </w:tc>
        <w:tc>
          <w:tcPr>
            <w:tcW w:w="0" w:type="auto"/>
          </w:tcPr>
          <w:p w14:paraId="554F8897"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6737F92C"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695EF189" w14:textId="77777777" w:rsidR="00421B59" w:rsidRDefault="00421B59">
            <w:pPr>
              <w:spacing w:after="0"/>
              <w:jc w:val="center"/>
            </w:pPr>
          </w:p>
        </w:tc>
        <w:tc>
          <w:tcPr>
            <w:tcW w:w="0" w:type="auto"/>
          </w:tcPr>
          <w:p w14:paraId="7A650BD4" w14:textId="77777777" w:rsidR="00421B59" w:rsidRDefault="00000000">
            <w:pPr>
              <w:spacing w:after="0"/>
              <w:jc w:val="center"/>
            </w:pPr>
            <w:r>
              <w:rPr>
                <w:rFonts w:ascii="Times New Roman" w:eastAsia="Times New Roman" w:hAnsi="Times New Roman" w:cs="Times New Roman"/>
                <w:color w:val="000000"/>
                <w:sz w:val="24"/>
              </w:rPr>
              <w:t>X</w:t>
            </w:r>
          </w:p>
        </w:tc>
      </w:tr>
      <w:tr w:rsidR="00421B59" w14:paraId="0A0D01FD" w14:textId="77777777">
        <w:trPr>
          <w:trHeight w:val="648"/>
          <w:jc w:val="center"/>
        </w:trPr>
        <w:tc>
          <w:tcPr>
            <w:tcW w:w="0" w:type="auto"/>
          </w:tcPr>
          <w:p w14:paraId="04E662B9" w14:textId="77777777" w:rsidR="00421B59" w:rsidRDefault="00000000">
            <w:pPr>
              <w:spacing w:after="0"/>
              <w:jc w:val="center"/>
            </w:pPr>
            <w:r>
              <w:rPr>
                <w:rFonts w:ascii="Times New Roman" w:eastAsia="Times New Roman" w:hAnsi="Times New Roman" w:cs="Times New Roman"/>
                <w:color w:val="000000"/>
                <w:sz w:val="24"/>
              </w:rPr>
              <w:t>15.</w:t>
            </w:r>
          </w:p>
        </w:tc>
        <w:tc>
          <w:tcPr>
            <w:tcW w:w="0" w:type="auto"/>
          </w:tcPr>
          <w:p w14:paraId="1565F3BB" w14:textId="77777777" w:rsidR="00421B59" w:rsidRDefault="00000000">
            <w:pPr>
              <w:spacing w:after="0"/>
            </w:pPr>
            <w:r>
              <w:rPr>
                <w:rFonts w:ascii="Times New Roman" w:eastAsia="Times New Roman" w:hAnsi="Times New Roman" w:cs="Times New Roman"/>
                <w:b/>
                <w:color w:val="000000"/>
                <w:sz w:val="24"/>
              </w:rPr>
              <w:t>MKSR</w:t>
            </w:r>
            <w:r>
              <w:rPr>
                <w:rFonts w:ascii="Times New Roman" w:eastAsia="Times New Roman" w:hAnsi="Times New Roman" w:cs="Times New Roman"/>
                <w:color w:val="000000"/>
                <w:sz w:val="24"/>
              </w:rPr>
              <w:t xml:space="preserve"> – Ministerstvo kultúry Slovenskej republiky</w:t>
            </w:r>
          </w:p>
        </w:tc>
        <w:tc>
          <w:tcPr>
            <w:tcW w:w="0" w:type="auto"/>
          </w:tcPr>
          <w:p w14:paraId="0343F9F8" w14:textId="77777777" w:rsidR="00421B59" w:rsidRDefault="00000000">
            <w:pPr>
              <w:spacing w:after="0"/>
              <w:jc w:val="center"/>
            </w:pPr>
            <w:r>
              <w:rPr>
                <w:rFonts w:ascii="Times New Roman" w:eastAsia="Times New Roman" w:hAnsi="Times New Roman" w:cs="Times New Roman"/>
                <w:color w:val="000000"/>
                <w:sz w:val="24"/>
              </w:rPr>
              <w:t>1 (1o, 0z)</w:t>
            </w:r>
          </w:p>
        </w:tc>
        <w:tc>
          <w:tcPr>
            <w:tcW w:w="0" w:type="auto"/>
          </w:tcPr>
          <w:p w14:paraId="61D958F0"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6A35D1B8" w14:textId="77777777" w:rsidR="00421B59" w:rsidRDefault="00421B59">
            <w:pPr>
              <w:spacing w:after="0"/>
              <w:jc w:val="center"/>
            </w:pPr>
          </w:p>
        </w:tc>
        <w:tc>
          <w:tcPr>
            <w:tcW w:w="0" w:type="auto"/>
          </w:tcPr>
          <w:p w14:paraId="2DBB6B38" w14:textId="77777777" w:rsidR="00421B59" w:rsidRDefault="00421B59">
            <w:pPr>
              <w:spacing w:after="0"/>
              <w:jc w:val="center"/>
            </w:pPr>
          </w:p>
        </w:tc>
      </w:tr>
      <w:tr w:rsidR="00421B59" w14:paraId="684AE02C" w14:textId="77777777">
        <w:trPr>
          <w:trHeight w:val="648"/>
          <w:jc w:val="center"/>
        </w:trPr>
        <w:tc>
          <w:tcPr>
            <w:tcW w:w="0" w:type="auto"/>
          </w:tcPr>
          <w:p w14:paraId="3011F4B1" w14:textId="77777777" w:rsidR="00421B59" w:rsidRDefault="00000000">
            <w:pPr>
              <w:spacing w:after="0"/>
              <w:jc w:val="center"/>
            </w:pPr>
            <w:r>
              <w:rPr>
                <w:rFonts w:ascii="Times New Roman" w:eastAsia="Times New Roman" w:hAnsi="Times New Roman" w:cs="Times New Roman"/>
                <w:color w:val="000000"/>
                <w:sz w:val="24"/>
              </w:rPr>
              <w:t>16.</w:t>
            </w:r>
          </w:p>
        </w:tc>
        <w:tc>
          <w:tcPr>
            <w:tcW w:w="0" w:type="auto"/>
          </w:tcPr>
          <w:p w14:paraId="3BE50377" w14:textId="77777777" w:rsidR="00421B59" w:rsidRDefault="00000000">
            <w:pPr>
              <w:spacing w:after="0"/>
            </w:pPr>
            <w:r>
              <w:rPr>
                <w:rFonts w:ascii="Times New Roman" w:eastAsia="Times New Roman" w:hAnsi="Times New Roman" w:cs="Times New Roman"/>
                <w:b/>
                <w:color w:val="000000"/>
                <w:sz w:val="24"/>
              </w:rPr>
              <w:t>MOSR</w:t>
            </w:r>
            <w:r>
              <w:rPr>
                <w:rFonts w:ascii="Times New Roman" w:eastAsia="Times New Roman" w:hAnsi="Times New Roman" w:cs="Times New Roman"/>
                <w:color w:val="000000"/>
                <w:sz w:val="24"/>
              </w:rPr>
              <w:t xml:space="preserve"> – Ministerstvo obrany Slovenskej republiky</w:t>
            </w:r>
          </w:p>
        </w:tc>
        <w:tc>
          <w:tcPr>
            <w:tcW w:w="0" w:type="auto"/>
          </w:tcPr>
          <w:p w14:paraId="5BC2CBEA"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5B15A81F"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68DF9E7A" w14:textId="77777777" w:rsidR="00421B59" w:rsidRDefault="00000000">
            <w:pPr>
              <w:spacing w:after="0"/>
              <w:jc w:val="center"/>
            </w:pPr>
            <w:r>
              <w:rPr>
                <w:rFonts w:ascii="Times New Roman" w:eastAsia="Times New Roman" w:hAnsi="Times New Roman" w:cs="Times New Roman"/>
                <w:color w:val="000000"/>
                <w:sz w:val="24"/>
              </w:rPr>
              <w:t>X</w:t>
            </w:r>
          </w:p>
        </w:tc>
        <w:tc>
          <w:tcPr>
            <w:tcW w:w="0" w:type="auto"/>
          </w:tcPr>
          <w:p w14:paraId="65CF99C4" w14:textId="77777777" w:rsidR="00421B59" w:rsidRDefault="00421B59">
            <w:pPr>
              <w:spacing w:after="0"/>
              <w:jc w:val="center"/>
            </w:pPr>
          </w:p>
        </w:tc>
      </w:tr>
      <w:tr w:rsidR="00421B59" w14:paraId="3AF9F0B3" w14:textId="77777777">
        <w:trPr>
          <w:trHeight w:val="648"/>
          <w:jc w:val="center"/>
        </w:trPr>
        <w:tc>
          <w:tcPr>
            <w:tcW w:w="0" w:type="auto"/>
          </w:tcPr>
          <w:p w14:paraId="1B86EE60" w14:textId="77777777" w:rsidR="00421B59" w:rsidRDefault="00000000">
            <w:pPr>
              <w:spacing w:after="0"/>
              <w:jc w:val="center"/>
            </w:pPr>
            <w:r>
              <w:rPr>
                <w:rFonts w:ascii="Times New Roman" w:eastAsia="Times New Roman" w:hAnsi="Times New Roman" w:cs="Times New Roman"/>
                <w:color w:val="000000"/>
                <w:sz w:val="24"/>
              </w:rPr>
              <w:t>17.</w:t>
            </w:r>
          </w:p>
        </w:tc>
        <w:tc>
          <w:tcPr>
            <w:tcW w:w="0" w:type="auto"/>
          </w:tcPr>
          <w:p w14:paraId="22738C0E" w14:textId="77777777" w:rsidR="00421B59" w:rsidRDefault="00000000">
            <w:pPr>
              <w:spacing w:after="0"/>
            </w:pPr>
            <w:r>
              <w:rPr>
                <w:rFonts w:ascii="Times New Roman" w:eastAsia="Times New Roman" w:hAnsi="Times New Roman" w:cs="Times New Roman"/>
                <w:b/>
                <w:color w:val="000000"/>
                <w:sz w:val="24"/>
              </w:rPr>
              <w:t>MPRVSR</w:t>
            </w:r>
            <w:r>
              <w:rPr>
                <w:rFonts w:ascii="Times New Roman" w:eastAsia="Times New Roman" w:hAnsi="Times New Roman" w:cs="Times New Roman"/>
                <w:color w:val="000000"/>
                <w:sz w:val="24"/>
              </w:rPr>
              <w:t xml:space="preserve"> – Ministerstvo pôdohospodárstva a rozvoja vidieka Slovenskej republiky</w:t>
            </w:r>
          </w:p>
        </w:tc>
        <w:tc>
          <w:tcPr>
            <w:tcW w:w="0" w:type="auto"/>
          </w:tcPr>
          <w:p w14:paraId="45D0AAE2"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713889F9"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2112088D" w14:textId="77777777" w:rsidR="00421B59" w:rsidRDefault="00000000">
            <w:pPr>
              <w:spacing w:after="0"/>
              <w:jc w:val="center"/>
            </w:pPr>
            <w:r>
              <w:rPr>
                <w:rFonts w:ascii="Times New Roman" w:eastAsia="Times New Roman" w:hAnsi="Times New Roman" w:cs="Times New Roman"/>
                <w:color w:val="000000"/>
                <w:sz w:val="24"/>
              </w:rPr>
              <w:t>X</w:t>
            </w:r>
          </w:p>
        </w:tc>
        <w:tc>
          <w:tcPr>
            <w:tcW w:w="0" w:type="auto"/>
          </w:tcPr>
          <w:p w14:paraId="4BDEBCB3" w14:textId="77777777" w:rsidR="00421B59" w:rsidRDefault="00421B59">
            <w:pPr>
              <w:spacing w:after="0"/>
              <w:jc w:val="center"/>
            </w:pPr>
          </w:p>
        </w:tc>
      </w:tr>
      <w:tr w:rsidR="00421B59" w14:paraId="5B9178FF" w14:textId="77777777">
        <w:trPr>
          <w:trHeight w:val="648"/>
          <w:jc w:val="center"/>
        </w:trPr>
        <w:tc>
          <w:tcPr>
            <w:tcW w:w="0" w:type="auto"/>
          </w:tcPr>
          <w:p w14:paraId="2193DC6B" w14:textId="77777777" w:rsidR="00421B59" w:rsidRDefault="00000000">
            <w:pPr>
              <w:spacing w:after="0"/>
              <w:jc w:val="center"/>
            </w:pPr>
            <w:r>
              <w:rPr>
                <w:rFonts w:ascii="Times New Roman" w:eastAsia="Times New Roman" w:hAnsi="Times New Roman" w:cs="Times New Roman"/>
                <w:color w:val="000000"/>
                <w:sz w:val="24"/>
              </w:rPr>
              <w:t>18.</w:t>
            </w:r>
          </w:p>
        </w:tc>
        <w:tc>
          <w:tcPr>
            <w:tcW w:w="0" w:type="auto"/>
          </w:tcPr>
          <w:p w14:paraId="407BC319" w14:textId="77777777" w:rsidR="00421B59" w:rsidRDefault="00000000">
            <w:pPr>
              <w:spacing w:after="0"/>
            </w:pPr>
            <w:r>
              <w:rPr>
                <w:rFonts w:ascii="Times New Roman" w:eastAsia="Times New Roman" w:hAnsi="Times New Roman" w:cs="Times New Roman"/>
                <w:b/>
                <w:color w:val="000000"/>
                <w:sz w:val="24"/>
              </w:rPr>
              <w:t>MPSVRSR</w:t>
            </w:r>
            <w:r>
              <w:rPr>
                <w:rFonts w:ascii="Times New Roman" w:eastAsia="Times New Roman" w:hAnsi="Times New Roman" w:cs="Times New Roman"/>
                <w:color w:val="000000"/>
                <w:sz w:val="24"/>
              </w:rPr>
              <w:t xml:space="preserve"> – Ministerstvo práce, sociálnych vecí a rodiny Slovenskej republiky</w:t>
            </w:r>
          </w:p>
        </w:tc>
        <w:tc>
          <w:tcPr>
            <w:tcW w:w="0" w:type="auto"/>
          </w:tcPr>
          <w:p w14:paraId="66F861D5"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61CE1AB8"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3AE3E5BA" w14:textId="77777777" w:rsidR="00421B59" w:rsidRDefault="00000000">
            <w:pPr>
              <w:spacing w:after="0"/>
              <w:jc w:val="center"/>
            </w:pPr>
            <w:r>
              <w:rPr>
                <w:rFonts w:ascii="Times New Roman" w:eastAsia="Times New Roman" w:hAnsi="Times New Roman" w:cs="Times New Roman"/>
                <w:color w:val="000000"/>
                <w:sz w:val="24"/>
              </w:rPr>
              <w:t>X</w:t>
            </w:r>
          </w:p>
        </w:tc>
        <w:tc>
          <w:tcPr>
            <w:tcW w:w="0" w:type="auto"/>
          </w:tcPr>
          <w:p w14:paraId="53F0E517" w14:textId="77777777" w:rsidR="00421B59" w:rsidRDefault="00421B59">
            <w:pPr>
              <w:spacing w:after="0"/>
              <w:jc w:val="center"/>
            </w:pPr>
          </w:p>
        </w:tc>
      </w:tr>
      <w:tr w:rsidR="00421B59" w14:paraId="78B4E42E" w14:textId="77777777">
        <w:trPr>
          <w:trHeight w:val="648"/>
          <w:jc w:val="center"/>
        </w:trPr>
        <w:tc>
          <w:tcPr>
            <w:tcW w:w="0" w:type="auto"/>
          </w:tcPr>
          <w:p w14:paraId="76DBC013" w14:textId="77777777" w:rsidR="00421B59" w:rsidRDefault="00000000">
            <w:pPr>
              <w:spacing w:after="0"/>
              <w:jc w:val="center"/>
            </w:pPr>
            <w:r>
              <w:rPr>
                <w:rFonts w:ascii="Times New Roman" w:eastAsia="Times New Roman" w:hAnsi="Times New Roman" w:cs="Times New Roman"/>
                <w:color w:val="000000"/>
                <w:sz w:val="24"/>
              </w:rPr>
              <w:t>19.</w:t>
            </w:r>
          </w:p>
        </w:tc>
        <w:tc>
          <w:tcPr>
            <w:tcW w:w="0" w:type="auto"/>
          </w:tcPr>
          <w:p w14:paraId="67649941" w14:textId="77777777" w:rsidR="00421B59" w:rsidRDefault="00000000">
            <w:pPr>
              <w:spacing w:after="0"/>
            </w:pPr>
            <w:r>
              <w:rPr>
                <w:rFonts w:ascii="Times New Roman" w:eastAsia="Times New Roman" w:hAnsi="Times New Roman" w:cs="Times New Roman"/>
                <w:b/>
                <w:color w:val="000000"/>
                <w:sz w:val="24"/>
              </w:rPr>
              <w:t>MSSR</w:t>
            </w:r>
            <w:r>
              <w:rPr>
                <w:rFonts w:ascii="Times New Roman" w:eastAsia="Times New Roman" w:hAnsi="Times New Roman" w:cs="Times New Roman"/>
                <w:color w:val="000000"/>
                <w:sz w:val="24"/>
              </w:rPr>
              <w:t xml:space="preserve"> – Ministerstvo spravodlivosti Slovenskej republiky</w:t>
            </w:r>
          </w:p>
        </w:tc>
        <w:tc>
          <w:tcPr>
            <w:tcW w:w="0" w:type="auto"/>
          </w:tcPr>
          <w:p w14:paraId="1958324D" w14:textId="77777777" w:rsidR="00421B59" w:rsidRDefault="00000000">
            <w:pPr>
              <w:spacing w:after="0"/>
              <w:jc w:val="center"/>
            </w:pPr>
            <w:r>
              <w:rPr>
                <w:rFonts w:ascii="Times New Roman" w:eastAsia="Times New Roman" w:hAnsi="Times New Roman" w:cs="Times New Roman"/>
                <w:color w:val="000000"/>
                <w:sz w:val="24"/>
              </w:rPr>
              <w:t>2 (2o, 0z)</w:t>
            </w:r>
          </w:p>
        </w:tc>
        <w:tc>
          <w:tcPr>
            <w:tcW w:w="0" w:type="auto"/>
          </w:tcPr>
          <w:p w14:paraId="678E65B9"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5CE15B6C" w14:textId="77777777" w:rsidR="00421B59" w:rsidRDefault="00421B59">
            <w:pPr>
              <w:spacing w:after="0"/>
              <w:jc w:val="center"/>
            </w:pPr>
          </w:p>
        </w:tc>
        <w:tc>
          <w:tcPr>
            <w:tcW w:w="0" w:type="auto"/>
          </w:tcPr>
          <w:p w14:paraId="4C7D29AE" w14:textId="77777777" w:rsidR="00421B59" w:rsidRDefault="00421B59">
            <w:pPr>
              <w:spacing w:after="0"/>
              <w:jc w:val="center"/>
            </w:pPr>
          </w:p>
        </w:tc>
      </w:tr>
      <w:tr w:rsidR="00421B59" w14:paraId="1DE8E2DE" w14:textId="77777777">
        <w:trPr>
          <w:trHeight w:val="648"/>
          <w:jc w:val="center"/>
        </w:trPr>
        <w:tc>
          <w:tcPr>
            <w:tcW w:w="0" w:type="auto"/>
          </w:tcPr>
          <w:p w14:paraId="4EA2AF19" w14:textId="77777777" w:rsidR="00421B59" w:rsidRDefault="00000000">
            <w:pPr>
              <w:spacing w:after="0"/>
              <w:jc w:val="center"/>
            </w:pPr>
            <w:r>
              <w:rPr>
                <w:rFonts w:ascii="Times New Roman" w:eastAsia="Times New Roman" w:hAnsi="Times New Roman" w:cs="Times New Roman"/>
                <w:color w:val="000000"/>
                <w:sz w:val="24"/>
              </w:rPr>
              <w:t>20.</w:t>
            </w:r>
          </w:p>
        </w:tc>
        <w:tc>
          <w:tcPr>
            <w:tcW w:w="0" w:type="auto"/>
          </w:tcPr>
          <w:p w14:paraId="52242B9F" w14:textId="77777777" w:rsidR="00421B59" w:rsidRDefault="00000000">
            <w:pPr>
              <w:spacing w:after="0"/>
            </w:pPr>
            <w:r>
              <w:rPr>
                <w:rFonts w:ascii="Times New Roman" w:eastAsia="Times New Roman" w:hAnsi="Times New Roman" w:cs="Times New Roman"/>
                <w:b/>
                <w:color w:val="000000"/>
                <w:sz w:val="24"/>
              </w:rPr>
              <w:t>MVSR</w:t>
            </w:r>
            <w:r>
              <w:rPr>
                <w:rFonts w:ascii="Times New Roman" w:eastAsia="Times New Roman" w:hAnsi="Times New Roman" w:cs="Times New Roman"/>
                <w:color w:val="000000"/>
                <w:sz w:val="24"/>
              </w:rPr>
              <w:t xml:space="preserve"> – Ministerstvo vnútra Slovenskej republiky</w:t>
            </w:r>
          </w:p>
        </w:tc>
        <w:tc>
          <w:tcPr>
            <w:tcW w:w="0" w:type="auto"/>
          </w:tcPr>
          <w:p w14:paraId="50AA4EEC"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30A29D9C"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69853665" w14:textId="77777777" w:rsidR="00421B59" w:rsidRDefault="00000000">
            <w:pPr>
              <w:spacing w:after="0"/>
              <w:jc w:val="center"/>
            </w:pPr>
            <w:r>
              <w:rPr>
                <w:rFonts w:ascii="Times New Roman" w:eastAsia="Times New Roman" w:hAnsi="Times New Roman" w:cs="Times New Roman"/>
                <w:color w:val="000000"/>
                <w:sz w:val="24"/>
              </w:rPr>
              <w:t>X</w:t>
            </w:r>
          </w:p>
        </w:tc>
        <w:tc>
          <w:tcPr>
            <w:tcW w:w="0" w:type="auto"/>
          </w:tcPr>
          <w:p w14:paraId="3684C0E5" w14:textId="77777777" w:rsidR="00421B59" w:rsidRDefault="00421B59">
            <w:pPr>
              <w:spacing w:after="0"/>
              <w:jc w:val="center"/>
            </w:pPr>
          </w:p>
        </w:tc>
      </w:tr>
      <w:tr w:rsidR="00421B59" w14:paraId="04E64C73" w14:textId="77777777">
        <w:trPr>
          <w:trHeight w:val="648"/>
          <w:jc w:val="center"/>
        </w:trPr>
        <w:tc>
          <w:tcPr>
            <w:tcW w:w="0" w:type="auto"/>
          </w:tcPr>
          <w:p w14:paraId="0A5411AE" w14:textId="77777777" w:rsidR="00421B59" w:rsidRDefault="00000000">
            <w:pPr>
              <w:spacing w:after="0"/>
              <w:jc w:val="center"/>
            </w:pPr>
            <w:r>
              <w:rPr>
                <w:rFonts w:ascii="Times New Roman" w:eastAsia="Times New Roman" w:hAnsi="Times New Roman" w:cs="Times New Roman"/>
                <w:color w:val="000000"/>
                <w:sz w:val="24"/>
              </w:rPr>
              <w:t>21.</w:t>
            </w:r>
          </w:p>
        </w:tc>
        <w:tc>
          <w:tcPr>
            <w:tcW w:w="0" w:type="auto"/>
          </w:tcPr>
          <w:p w14:paraId="5636E812" w14:textId="77777777" w:rsidR="00421B59" w:rsidRDefault="00000000">
            <w:pPr>
              <w:spacing w:after="0"/>
            </w:pPr>
            <w:r>
              <w:rPr>
                <w:rFonts w:ascii="Times New Roman" w:eastAsia="Times New Roman" w:hAnsi="Times New Roman" w:cs="Times New Roman"/>
                <w:b/>
                <w:color w:val="000000"/>
                <w:sz w:val="24"/>
              </w:rPr>
              <w:t>MZSR</w:t>
            </w:r>
            <w:r>
              <w:rPr>
                <w:rFonts w:ascii="Times New Roman" w:eastAsia="Times New Roman" w:hAnsi="Times New Roman" w:cs="Times New Roman"/>
                <w:color w:val="000000"/>
                <w:sz w:val="24"/>
              </w:rPr>
              <w:t xml:space="preserve"> – Ministerstvo zdravotníctva Slovenskej republiky</w:t>
            </w:r>
          </w:p>
        </w:tc>
        <w:tc>
          <w:tcPr>
            <w:tcW w:w="0" w:type="auto"/>
          </w:tcPr>
          <w:p w14:paraId="1371ECA8"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1490B503"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0E7CEE9D" w14:textId="77777777" w:rsidR="00421B59" w:rsidRDefault="00000000">
            <w:pPr>
              <w:spacing w:after="0"/>
              <w:jc w:val="center"/>
            </w:pPr>
            <w:r>
              <w:rPr>
                <w:rFonts w:ascii="Times New Roman" w:eastAsia="Times New Roman" w:hAnsi="Times New Roman" w:cs="Times New Roman"/>
                <w:color w:val="000000"/>
                <w:sz w:val="24"/>
              </w:rPr>
              <w:t>X</w:t>
            </w:r>
          </w:p>
        </w:tc>
        <w:tc>
          <w:tcPr>
            <w:tcW w:w="0" w:type="auto"/>
          </w:tcPr>
          <w:p w14:paraId="69DAAB30" w14:textId="77777777" w:rsidR="00421B59" w:rsidRDefault="00421B59">
            <w:pPr>
              <w:spacing w:after="0"/>
              <w:jc w:val="center"/>
            </w:pPr>
          </w:p>
        </w:tc>
      </w:tr>
      <w:tr w:rsidR="00421B59" w14:paraId="7E499329" w14:textId="77777777">
        <w:trPr>
          <w:trHeight w:val="648"/>
          <w:jc w:val="center"/>
        </w:trPr>
        <w:tc>
          <w:tcPr>
            <w:tcW w:w="0" w:type="auto"/>
          </w:tcPr>
          <w:p w14:paraId="120F7C7F" w14:textId="77777777" w:rsidR="00421B59" w:rsidRDefault="00000000">
            <w:pPr>
              <w:spacing w:after="0"/>
              <w:jc w:val="center"/>
            </w:pPr>
            <w:r>
              <w:rPr>
                <w:rFonts w:ascii="Times New Roman" w:eastAsia="Times New Roman" w:hAnsi="Times New Roman" w:cs="Times New Roman"/>
                <w:color w:val="000000"/>
                <w:sz w:val="24"/>
              </w:rPr>
              <w:t>22.</w:t>
            </w:r>
          </w:p>
        </w:tc>
        <w:tc>
          <w:tcPr>
            <w:tcW w:w="0" w:type="auto"/>
          </w:tcPr>
          <w:p w14:paraId="7727C7C2" w14:textId="77777777" w:rsidR="00421B59" w:rsidRDefault="00000000">
            <w:pPr>
              <w:spacing w:after="0"/>
            </w:pPr>
            <w:r>
              <w:rPr>
                <w:rFonts w:ascii="Times New Roman" w:eastAsia="Times New Roman" w:hAnsi="Times New Roman" w:cs="Times New Roman"/>
                <w:b/>
                <w:color w:val="000000"/>
                <w:sz w:val="24"/>
              </w:rPr>
              <w:t>MZVEZ SR</w:t>
            </w:r>
            <w:r>
              <w:rPr>
                <w:rFonts w:ascii="Times New Roman" w:eastAsia="Times New Roman" w:hAnsi="Times New Roman" w:cs="Times New Roman"/>
                <w:color w:val="000000"/>
                <w:sz w:val="24"/>
              </w:rPr>
              <w:t xml:space="preserve"> – Ministerstvo zahraničných vecí a európskych záležitostí Slovenskej republiky</w:t>
            </w:r>
          </w:p>
        </w:tc>
        <w:tc>
          <w:tcPr>
            <w:tcW w:w="0" w:type="auto"/>
          </w:tcPr>
          <w:p w14:paraId="4C276373"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1E1F03ED"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26E66A13" w14:textId="77777777" w:rsidR="00421B59" w:rsidRDefault="00000000">
            <w:pPr>
              <w:spacing w:after="0"/>
              <w:jc w:val="center"/>
            </w:pPr>
            <w:r>
              <w:rPr>
                <w:rFonts w:ascii="Times New Roman" w:eastAsia="Times New Roman" w:hAnsi="Times New Roman" w:cs="Times New Roman"/>
                <w:color w:val="000000"/>
                <w:sz w:val="24"/>
              </w:rPr>
              <w:t>X</w:t>
            </w:r>
          </w:p>
        </w:tc>
        <w:tc>
          <w:tcPr>
            <w:tcW w:w="0" w:type="auto"/>
          </w:tcPr>
          <w:p w14:paraId="70801F9C" w14:textId="77777777" w:rsidR="00421B59" w:rsidRDefault="00421B59">
            <w:pPr>
              <w:spacing w:after="0"/>
              <w:jc w:val="center"/>
            </w:pPr>
          </w:p>
        </w:tc>
      </w:tr>
      <w:tr w:rsidR="00421B59" w14:paraId="2BE9BFFC" w14:textId="77777777">
        <w:trPr>
          <w:trHeight w:val="648"/>
          <w:jc w:val="center"/>
        </w:trPr>
        <w:tc>
          <w:tcPr>
            <w:tcW w:w="0" w:type="auto"/>
          </w:tcPr>
          <w:p w14:paraId="679F96E2" w14:textId="77777777" w:rsidR="00421B59" w:rsidRDefault="00000000">
            <w:pPr>
              <w:spacing w:after="0"/>
              <w:jc w:val="center"/>
            </w:pPr>
            <w:r>
              <w:rPr>
                <w:rFonts w:ascii="Times New Roman" w:eastAsia="Times New Roman" w:hAnsi="Times New Roman" w:cs="Times New Roman"/>
                <w:color w:val="000000"/>
                <w:sz w:val="24"/>
              </w:rPr>
              <w:t>23.</w:t>
            </w:r>
          </w:p>
        </w:tc>
        <w:tc>
          <w:tcPr>
            <w:tcW w:w="0" w:type="auto"/>
          </w:tcPr>
          <w:p w14:paraId="706C5A34" w14:textId="77777777" w:rsidR="00421B59" w:rsidRDefault="00000000">
            <w:pPr>
              <w:spacing w:after="0"/>
            </w:pPr>
            <w:r>
              <w:rPr>
                <w:rFonts w:ascii="Times New Roman" w:eastAsia="Times New Roman" w:hAnsi="Times New Roman" w:cs="Times New Roman"/>
                <w:b/>
                <w:color w:val="000000"/>
                <w:sz w:val="24"/>
              </w:rPr>
              <w:t>MŠVVaMSR</w:t>
            </w:r>
            <w:r>
              <w:rPr>
                <w:rFonts w:ascii="Times New Roman" w:eastAsia="Times New Roman" w:hAnsi="Times New Roman" w:cs="Times New Roman"/>
                <w:color w:val="000000"/>
                <w:sz w:val="24"/>
              </w:rPr>
              <w:t xml:space="preserve"> – Ministerstvo školstva,výskumu,vývoja a mládeže Slovenskej republiky</w:t>
            </w:r>
          </w:p>
        </w:tc>
        <w:tc>
          <w:tcPr>
            <w:tcW w:w="0" w:type="auto"/>
          </w:tcPr>
          <w:p w14:paraId="07CD71A2"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6F8D0753"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105EF331" w14:textId="77777777" w:rsidR="00421B59" w:rsidRDefault="00000000">
            <w:pPr>
              <w:spacing w:after="0"/>
              <w:jc w:val="center"/>
            </w:pPr>
            <w:r>
              <w:rPr>
                <w:rFonts w:ascii="Times New Roman" w:eastAsia="Times New Roman" w:hAnsi="Times New Roman" w:cs="Times New Roman"/>
                <w:color w:val="000000"/>
                <w:sz w:val="24"/>
              </w:rPr>
              <w:t>X</w:t>
            </w:r>
          </w:p>
        </w:tc>
        <w:tc>
          <w:tcPr>
            <w:tcW w:w="0" w:type="auto"/>
          </w:tcPr>
          <w:p w14:paraId="25A451FB" w14:textId="77777777" w:rsidR="00421B59" w:rsidRDefault="00421B59">
            <w:pPr>
              <w:spacing w:after="0"/>
              <w:jc w:val="center"/>
            </w:pPr>
          </w:p>
        </w:tc>
      </w:tr>
      <w:tr w:rsidR="00421B59" w14:paraId="6E96A7AA" w14:textId="77777777">
        <w:trPr>
          <w:trHeight w:val="648"/>
          <w:jc w:val="center"/>
        </w:trPr>
        <w:tc>
          <w:tcPr>
            <w:tcW w:w="0" w:type="auto"/>
          </w:tcPr>
          <w:p w14:paraId="4176EA0F" w14:textId="77777777" w:rsidR="00421B59" w:rsidRDefault="00000000">
            <w:pPr>
              <w:spacing w:after="0"/>
              <w:jc w:val="center"/>
            </w:pPr>
            <w:r>
              <w:rPr>
                <w:rFonts w:ascii="Times New Roman" w:eastAsia="Times New Roman" w:hAnsi="Times New Roman" w:cs="Times New Roman"/>
                <w:color w:val="000000"/>
                <w:sz w:val="24"/>
              </w:rPr>
              <w:t>24.</w:t>
            </w:r>
          </w:p>
        </w:tc>
        <w:tc>
          <w:tcPr>
            <w:tcW w:w="0" w:type="auto"/>
          </w:tcPr>
          <w:p w14:paraId="09FE0E2E" w14:textId="77777777" w:rsidR="00421B59" w:rsidRDefault="00000000">
            <w:pPr>
              <w:spacing w:after="0"/>
            </w:pPr>
            <w:r>
              <w:rPr>
                <w:rFonts w:ascii="Times New Roman" w:eastAsia="Times New Roman" w:hAnsi="Times New Roman" w:cs="Times New Roman"/>
                <w:b/>
                <w:color w:val="000000"/>
                <w:sz w:val="24"/>
              </w:rPr>
              <w:t>MŽPSR</w:t>
            </w:r>
            <w:r>
              <w:rPr>
                <w:rFonts w:ascii="Times New Roman" w:eastAsia="Times New Roman" w:hAnsi="Times New Roman" w:cs="Times New Roman"/>
                <w:color w:val="000000"/>
                <w:sz w:val="24"/>
              </w:rPr>
              <w:t xml:space="preserve"> – Ministerstvo životného prostredia Slovenskej republiky</w:t>
            </w:r>
          </w:p>
        </w:tc>
        <w:tc>
          <w:tcPr>
            <w:tcW w:w="0" w:type="auto"/>
          </w:tcPr>
          <w:p w14:paraId="7272AE2F"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3491391C"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4248C0B6" w14:textId="77777777" w:rsidR="00421B59" w:rsidRDefault="00000000">
            <w:pPr>
              <w:spacing w:after="0"/>
              <w:jc w:val="center"/>
            </w:pPr>
            <w:r>
              <w:rPr>
                <w:rFonts w:ascii="Times New Roman" w:eastAsia="Times New Roman" w:hAnsi="Times New Roman" w:cs="Times New Roman"/>
                <w:color w:val="000000"/>
                <w:sz w:val="24"/>
              </w:rPr>
              <w:t>X</w:t>
            </w:r>
          </w:p>
        </w:tc>
        <w:tc>
          <w:tcPr>
            <w:tcW w:w="0" w:type="auto"/>
          </w:tcPr>
          <w:p w14:paraId="7C15E247" w14:textId="77777777" w:rsidR="00421B59" w:rsidRDefault="00421B59">
            <w:pPr>
              <w:spacing w:after="0"/>
              <w:jc w:val="center"/>
            </w:pPr>
          </w:p>
        </w:tc>
      </w:tr>
      <w:tr w:rsidR="00421B59" w14:paraId="2AB0EC0B" w14:textId="77777777">
        <w:trPr>
          <w:trHeight w:val="648"/>
          <w:jc w:val="center"/>
        </w:trPr>
        <w:tc>
          <w:tcPr>
            <w:tcW w:w="0" w:type="auto"/>
          </w:tcPr>
          <w:p w14:paraId="24AB17ED" w14:textId="77777777" w:rsidR="00421B59" w:rsidRDefault="00000000">
            <w:pPr>
              <w:spacing w:after="0"/>
              <w:jc w:val="center"/>
            </w:pPr>
            <w:r>
              <w:rPr>
                <w:rFonts w:ascii="Times New Roman" w:eastAsia="Times New Roman" w:hAnsi="Times New Roman" w:cs="Times New Roman"/>
                <w:color w:val="000000"/>
                <w:sz w:val="24"/>
              </w:rPr>
              <w:t>25.</w:t>
            </w:r>
          </w:p>
        </w:tc>
        <w:tc>
          <w:tcPr>
            <w:tcW w:w="0" w:type="auto"/>
          </w:tcPr>
          <w:p w14:paraId="52C1999E" w14:textId="77777777" w:rsidR="00421B59" w:rsidRDefault="00000000">
            <w:pPr>
              <w:spacing w:after="0"/>
            </w:pPr>
            <w:r>
              <w:rPr>
                <w:rFonts w:ascii="Times New Roman" w:eastAsia="Times New Roman" w:hAnsi="Times New Roman" w:cs="Times New Roman"/>
                <w:b/>
                <w:color w:val="000000"/>
                <w:sz w:val="24"/>
              </w:rPr>
              <w:t>NBS</w:t>
            </w:r>
            <w:r>
              <w:rPr>
                <w:rFonts w:ascii="Times New Roman" w:eastAsia="Times New Roman" w:hAnsi="Times New Roman" w:cs="Times New Roman"/>
                <w:color w:val="000000"/>
                <w:sz w:val="24"/>
              </w:rPr>
              <w:t xml:space="preserve"> – Národná banka Slovenska</w:t>
            </w:r>
          </w:p>
        </w:tc>
        <w:tc>
          <w:tcPr>
            <w:tcW w:w="0" w:type="auto"/>
          </w:tcPr>
          <w:p w14:paraId="682F16EA" w14:textId="77777777" w:rsidR="00421B59" w:rsidRDefault="00000000">
            <w:pPr>
              <w:spacing w:after="0"/>
              <w:jc w:val="center"/>
            </w:pPr>
            <w:r>
              <w:rPr>
                <w:rFonts w:ascii="Times New Roman" w:eastAsia="Times New Roman" w:hAnsi="Times New Roman" w:cs="Times New Roman"/>
                <w:color w:val="000000"/>
                <w:sz w:val="24"/>
              </w:rPr>
              <w:t>5 (5o, 0z)</w:t>
            </w:r>
          </w:p>
        </w:tc>
        <w:tc>
          <w:tcPr>
            <w:tcW w:w="0" w:type="auto"/>
          </w:tcPr>
          <w:p w14:paraId="718F0B03"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17A66389" w14:textId="77777777" w:rsidR="00421B59" w:rsidRDefault="00421B59">
            <w:pPr>
              <w:spacing w:after="0"/>
              <w:jc w:val="center"/>
            </w:pPr>
          </w:p>
        </w:tc>
        <w:tc>
          <w:tcPr>
            <w:tcW w:w="0" w:type="auto"/>
          </w:tcPr>
          <w:p w14:paraId="6545328B" w14:textId="77777777" w:rsidR="00421B59" w:rsidRDefault="00421B59">
            <w:pPr>
              <w:spacing w:after="0"/>
              <w:jc w:val="center"/>
            </w:pPr>
          </w:p>
        </w:tc>
      </w:tr>
      <w:tr w:rsidR="00421B59" w14:paraId="7B4F1D3C" w14:textId="77777777">
        <w:trPr>
          <w:trHeight w:val="648"/>
          <w:jc w:val="center"/>
        </w:trPr>
        <w:tc>
          <w:tcPr>
            <w:tcW w:w="0" w:type="auto"/>
          </w:tcPr>
          <w:p w14:paraId="605C2AE6" w14:textId="77777777" w:rsidR="00421B59" w:rsidRDefault="00000000">
            <w:pPr>
              <w:spacing w:after="0"/>
              <w:jc w:val="center"/>
            </w:pPr>
            <w:r>
              <w:rPr>
                <w:rFonts w:ascii="Times New Roman" w:eastAsia="Times New Roman" w:hAnsi="Times New Roman" w:cs="Times New Roman"/>
                <w:color w:val="000000"/>
                <w:sz w:val="24"/>
              </w:rPr>
              <w:t>26.</w:t>
            </w:r>
          </w:p>
        </w:tc>
        <w:tc>
          <w:tcPr>
            <w:tcW w:w="0" w:type="auto"/>
          </w:tcPr>
          <w:p w14:paraId="4AE6AFA4" w14:textId="77777777" w:rsidR="00421B59" w:rsidRDefault="00000000">
            <w:pPr>
              <w:spacing w:after="0"/>
            </w:pPr>
            <w:r>
              <w:rPr>
                <w:rFonts w:ascii="Times New Roman" w:eastAsia="Times New Roman" w:hAnsi="Times New Roman" w:cs="Times New Roman"/>
                <w:b/>
                <w:color w:val="000000"/>
                <w:sz w:val="24"/>
              </w:rPr>
              <w:t>NBÚ</w:t>
            </w:r>
            <w:r>
              <w:rPr>
                <w:rFonts w:ascii="Times New Roman" w:eastAsia="Times New Roman" w:hAnsi="Times New Roman" w:cs="Times New Roman"/>
                <w:color w:val="000000"/>
                <w:sz w:val="24"/>
              </w:rPr>
              <w:t xml:space="preserve"> – Národný bezpečnostný úrad</w:t>
            </w:r>
          </w:p>
        </w:tc>
        <w:tc>
          <w:tcPr>
            <w:tcW w:w="0" w:type="auto"/>
          </w:tcPr>
          <w:p w14:paraId="0EED0A9C" w14:textId="77777777" w:rsidR="00421B59" w:rsidRDefault="00000000">
            <w:pPr>
              <w:spacing w:after="0"/>
              <w:jc w:val="center"/>
            </w:pPr>
            <w:r>
              <w:rPr>
                <w:rFonts w:ascii="Times New Roman" w:eastAsia="Times New Roman" w:hAnsi="Times New Roman" w:cs="Times New Roman"/>
                <w:color w:val="000000"/>
                <w:sz w:val="24"/>
              </w:rPr>
              <w:t>2 (2o, 0z)</w:t>
            </w:r>
          </w:p>
        </w:tc>
        <w:tc>
          <w:tcPr>
            <w:tcW w:w="0" w:type="auto"/>
          </w:tcPr>
          <w:p w14:paraId="36BCC8F5"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03762105" w14:textId="77777777" w:rsidR="00421B59" w:rsidRDefault="00421B59">
            <w:pPr>
              <w:spacing w:after="0"/>
              <w:jc w:val="center"/>
            </w:pPr>
          </w:p>
        </w:tc>
        <w:tc>
          <w:tcPr>
            <w:tcW w:w="0" w:type="auto"/>
          </w:tcPr>
          <w:p w14:paraId="65DD7144" w14:textId="77777777" w:rsidR="00421B59" w:rsidRDefault="00421B59">
            <w:pPr>
              <w:spacing w:after="0"/>
              <w:jc w:val="center"/>
            </w:pPr>
          </w:p>
        </w:tc>
      </w:tr>
      <w:tr w:rsidR="00421B59" w14:paraId="2FEB46AB" w14:textId="77777777">
        <w:trPr>
          <w:trHeight w:val="648"/>
          <w:jc w:val="center"/>
        </w:trPr>
        <w:tc>
          <w:tcPr>
            <w:tcW w:w="0" w:type="auto"/>
          </w:tcPr>
          <w:p w14:paraId="25217757" w14:textId="77777777" w:rsidR="00421B59" w:rsidRDefault="00000000">
            <w:pPr>
              <w:spacing w:after="0"/>
              <w:jc w:val="center"/>
            </w:pPr>
            <w:r>
              <w:rPr>
                <w:rFonts w:ascii="Times New Roman" w:eastAsia="Times New Roman" w:hAnsi="Times New Roman" w:cs="Times New Roman"/>
                <w:color w:val="000000"/>
                <w:sz w:val="24"/>
              </w:rPr>
              <w:t>27.</w:t>
            </w:r>
          </w:p>
        </w:tc>
        <w:tc>
          <w:tcPr>
            <w:tcW w:w="0" w:type="auto"/>
          </w:tcPr>
          <w:p w14:paraId="0FEC17DB" w14:textId="77777777" w:rsidR="00421B59" w:rsidRDefault="00000000">
            <w:pPr>
              <w:spacing w:after="0"/>
            </w:pPr>
            <w:r>
              <w:rPr>
                <w:rFonts w:ascii="Times New Roman" w:eastAsia="Times New Roman" w:hAnsi="Times New Roman" w:cs="Times New Roman"/>
                <w:b/>
                <w:color w:val="000000"/>
                <w:sz w:val="24"/>
              </w:rPr>
              <w:t>NKÚSR</w:t>
            </w:r>
            <w:r>
              <w:rPr>
                <w:rFonts w:ascii="Times New Roman" w:eastAsia="Times New Roman" w:hAnsi="Times New Roman" w:cs="Times New Roman"/>
                <w:color w:val="000000"/>
                <w:sz w:val="24"/>
              </w:rPr>
              <w:t xml:space="preserve"> – Najvyšší kontrolný úrad Slovenskej republiky</w:t>
            </w:r>
          </w:p>
        </w:tc>
        <w:tc>
          <w:tcPr>
            <w:tcW w:w="0" w:type="auto"/>
          </w:tcPr>
          <w:p w14:paraId="6F5BD877" w14:textId="77777777" w:rsidR="00421B59" w:rsidRDefault="00000000">
            <w:pPr>
              <w:spacing w:after="0"/>
              <w:jc w:val="center"/>
            </w:pPr>
            <w:r>
              <w:rPr>
                <w:rFonts w:ascii="Times New Roman" w:eastAsia="Times New Roman" w:hAnsi="Times New Roman" w:cs="Times New Roman"/>
                <w:color w:val="000000"/>
                <w:sz w:val="24"/>
              </w:rPr>
              <w:t>3 (3o, 0z)</w:t>
            </w:r>
          </w:p>
        </w:tc>
        <w:tc>
          <w:tcPr>
            <w:tcW w:w="0" w:type="auto"/>
          </w:tcPr>
          <w:p w14:paraId="318C3801"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6B4D520E" w14:textId="77777777" w:rsidR="00421B59" w:rsidRDefault="00421B59">
            <w:pPr>
              <w:spacing w:after="0"/>
              <w:jc w:val="center"/>
            </w:pPr>
          </w:p>
        </w:tc>
        <w:tc>
          <w:tcPr>
            <w:tcW w:w="0" w:type="auto"/>
          </w:tcPr>
          <w:p w14:paraId="1051DF2C" w14:textId="77777777" w:rsidR="00421B59" w:rsidRDefault="00421B59">
            <w:pPr>
              <w:spacing w:after="0"/>
              <w:jc w:val="center"/>
            </w:pPr>
          </w:p>
        </w:tc>
      </w:tr>
      <w:tr w:rsidR="00421B59" w14:paraId="0EB69E75" w14:textId="77777777">
        <w:trPr>
          <w:trHeight w:val="648"/>
          <w:jc w:val="center"/>
        </w:trPr>
        <w:tc>
          <w:tcPr>
            <w:tcW w:w="0" w:type="auto"/>
          </w:tcPr>
          <w:p w14:paraId="7002E3FC" w14:textId="77777777" w:rsidR="00421B59" w:rsidRDefault="00000000">
            <w:pPr>
              <w:spacing w:after="0"/>
              <w:jc w:val="center"/>
            </w:pPr>
            <w:r>
              <w:rPr>
                <w:rFonts w:ascii="Times New Roman" w:eastAsia="Times New Roman" w:hAnsi="Times New Roman" w:cs="Times New Roman"/>
                <w:color w:val="000000"/>
                <w:sz w:val="24"/>
              </w:rPr>
              <w:lastRenderedPageBreak/>
              <w:t>28.</w:t>
            </w:r>
          </w:p>
        </w:tc>
        <w:tc>
          <w:tcPr>
            <w:tcW w:w="0" w:type="auto"/>
          </w:tcPr>
          <w:p w14:paraId="39F140E5" w14:textId="77777777" w:rsidR="00421B59" w:rsidRDefault="00000000">
            <w:pPr>
              <w:spacing w:after="0"/>
            </w:pPr>
            <w:r>
              <w:rPr>
                <w:rFonts w:ascii="Times New Roman" w:eastAsia="Times New Roman" w:hAnsi="Times New Roman" w:cs="Times New Roman"/>
                <w:b/>
                <w:color w:val="000000"/>
                <w:sz w:val="24"/>
              </w:rPr>
              <w:t>NSK</w:t>
            </w:r>
            <w:r>
              <w:rPr>
                <w:rFonts w:ascii="Times New Roman" w:eastAsia="Times New Roman" w:hAnsi="Times New Roman" w:cs="Times New Roman"/>
                <w:color w:val="000000"/>
                <w:sz w:val="24"/>
              </w:rPr>
              <w:t xml:space="preserve"> – Nitriansky samosprávny kraj</w:t>
            </w:r>
          </w:p>
        </w:tc>
        <w:tc>
          <w:tcPr>
            <w:tcW w:w="0" w:type="auto"/>
          </w:tcPr>
          <w:p w14:paraId="77535EE4"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546C3887"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56C17BDE" w14:textId="77777777" w:rsidR="00421B59" w:rsidRDefault="00421B59">
            <w:pPr>
              <w:spacing w:after="0"/>
              <w:jc w:val="center"/>
            </w:pPr>
          </w:p>
        </w:tc>
        <w:tc>
          <w:tcPr>
            <w:tcW w:w="0" w:type="auto"/>
          </w:tcPr>
          <w:p w14:paraId="57B9D1E8" w14:textId="77777777" w:rsidR="00421B59" w:rsidRDefault="00000000">
            <w:pPr>
              <w:spacing w:after="0"/>
              <w:jc w:val="center"/>
            </w:pPr>
            <w:r>
              <w:rPr>
                <w:rFonts w:ascii="Times New Roman" w:eastAsia="Times New Roman" w:hAnsi="Times New Roman" w:cs="Times New Roman"/>
                <w:color w:val="000000"/>
                <w:sz w:val="24"/>
              </w:rPr>
              <w:t>X</w:t>
            </w:r>
          </w:p>
        </w:tc>
      </w:tr>
      <w:tr w:rsidR="00421B59" w14:paraId="10246E30" w14:textId="77777777">
        <w:trPr>
          <w:trHeight w:val="648"/>
          <w:jc w:val="center"/>
        </w:trPr>
        <w:tc>
          <w:tcPr>
            <w:tcW w:w="0" w:type="auto"/>
          </w:tcPr>
          <w:p w14:paraId="0EE99492" w14:textId="77777777" w:rsidR="00421B59" w:rsidRDefault="00000000">
            <w:pPr>
              <w:spacing w:after="0"/>
              <w:jc w:val="center"/>
            </w:pPr>
            <w:r>
              <w:rPr>
                <w:rFonts w:ascii="Times New Roman" w:eastAsia="Times New Roman" w:hAnsi="Times New Roman" w:cs="Times New Roman"/>
                <w:color w:val="000000"/>
                <w:sz w:val="24"/>
              </w:rPr>
              <w:t>29.</w:t>
            </w:r>
          </w:p>
        </w:tc>
        <w:tc>
          <w:tcPr>
            <w:tcW w:w="0" w:type="auto"/>
          </w:tcPr>
          <w:p w14:paraId="31F56302" w14:textId="77777777" w:rsidR="00421B59" w:rsidRDefault="00000000">
            <w:pPr>
              <w:spacing w:after="0"/>
            </w:pPr>
            <w:r>
              <w:rPr>
                <w:rFonts w:ascii="Times New Roman" w:eastAsia="Times New Roman" w:hAnsi="Times New Roman" w:cs="Times New Roman"/>
                <w:b/>
                <w:color w:val="000000"/>
                <w:sz w:val="24"/>
              </w:rPr>
              <w:t>NSSR</w:t>
            </w:r>
            <w:r>
              <w:rPr>
                <w:rFonts w:ascii="Times New Roman" w:eastAsia="Times New Roman" w:hAnsi="Times New Roman" w:cs="Times New Roman"/>
                <w:color w:val="000000"/>
                <w:sz w:val="24"/>
              </w:rPr>
              <w:t xml:space="preserve"> – Najvyšší súd Slovenskej republiky</w:t>
            </w:r>
          </w:p>
        </w:tc>
        <w:tc>
          <w:tcPr>
            <w:tcW w:w="0" w:type="auto"/>
          </w:tcPr>
          <w:p w14:paraId="2DE3FF85"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1ECE6936"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6FA6F290" w14:textId="77777777" w:rsidR="00421B59" w:rsidRDefault="00421B59">
            <w:pPr>
              <w:spacing w:after="0"/>
              <w:jc w:val="center"/>
            </w:pPr>
          </w:p>
        </w:tc>
        <w:tc>
          <w:tcPr>
            <w:tcW w:w="0" w:type="auto"/>
          </w:tcPr>
          <w:p w14:paraId="72B4761F" w14:textId="77777777" w:rsidR="00421B59" w:rsidRDefault="00000000">
            <w:pPr>
              <w:spacing w:after="0"/>
              <w:jc w:val="center"/>
            </w:pPr>
            <w:r>
              <w:rPr>
                <w:rFonts w:ascii="Times New Roman" w:eastAsia="Times New Roman" w:hAnsi="Times New Roman" w:cs="Times New Roman"/>
                <w:color w:val="000000"/>
                <w:sz w:val="24"/>
              </w:rPr>
              <w:t>X</w:t>
            </w:r>
          </w:p>
        </w:tc>
      </w:tr>
      <w:tr w:rsidR="00421B59" w14:paraId="71B47907" w14:textId="77777777">
        <w:trPr>
          <w:trHeight w:val="648"/>
          <w:jc w:val="center"/>
        </w:trPr>
        <w:tc>
          <w:tcPr>
            <w:tcW w:w="0" w:type="auto"/>
          </w:tcPr>
          <w:p w14:paraId="60A3E2B4" w14:textId="77777777" w:rsidR="00421B59" w:rsidRDefault="00000000">
            <w:pPr>
              <w:spacing w:after="0"/>
              <w:jc w:val="center"/>
            </w:pPr>
            <w:r>
              <w:rPr>
                <w:rFonts w:ascii="Times New Roman" w:eastAsia="Times New Roman" w:hAnsi="Times New Roman" w:cs="Times New Roman"/>
                <w:color w:val="000000"/>
                <w:sz w:val="24"/>
              </w:rPr>
              <w:t>30.</w:t>
            </w:r>
          </w:p>
        </w:tc>
        <w:tc>
          <w:tcPr>
            <w:tcW w:w="0" w:type="auto"/>
          </w:tcPr>
          <w:p w14:paraId="0A3D073C" w14:textId="77777777" w:rsidR="00421B59" w:rsidRDefault="00000000">
            <w:pPr>
              <w:spacing w:after="0"/>
            </w:pPr>
            <w:r>
              <w:rPr>
                <w:rFonts w:ascii="Times New Roman" w:eastAsia="Times New Roman" w:hAnsi="Times New Roman" w:cs="Times New Roman"/>
                <w:b/>
                <w:color w:val="000000"/>
                <w:sz w:val="24"/>
              </w:rPr>
              <w:t>OAPSVLÚVSR</w:t>
            </w:r>
            <w:r>
              <w:rPr>
                <w:rFonts w:ascii="Times New Roman" w:eastAsia="Times New Roman" w:hAnsi="Times New Roman" w:cs="Times New Roman"/>
                <w:color w:val="000000"/>
                <w:sz w:val="24"/>
              </w:rPr>
              <w:t xml:space="preserve"> – Odbor aproximácie práva sekcie vládnej legislatívy Úradu vlády SR</w:t>
            </w:r>
          </w:p>
        </w:tc>
        <w:tc>
          <w:tcPr>
            <w:tcW w:w="0" w:type="auto"/>
          </w:tcPr>
          <w:p w14:paraId="624B353A" w14:textId="77777777" w:rsidR="00421B59" w:rsidRDefault="00000000">
            <w:pPr>
              <w:spacing w:after="0"/>
              <w:jc w:val="center"/>
            </w:pPr>
            <w:r>
              <w:rPr>
                <w:rFonts w:ascii="Times New Roman" w:eastAsia="Times New Roman" w:hAnsi="Times New Roman" w:cs="Times New Roman"/>
                <w:color w:val="000000"/>
                <w:sz w:val="24"/>
              </w:rPr>
              <w:t>14 (14o, 0z)</w:t>
            </w:r>
          </w:p>
        </w:tc>
        <w:tc>
          <w:tcPr>
            <w:tcW w:w="0" w:type="auto"/>
          </w:tcPr>
          <w:p w14:paraId="7A45E741"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66C5AC1C" w14:textId="77777777" w:rsidR="00421B59" w:rsidRDefault="00421B59">
            <w:pPr>
              <w:spacing w:after="0"/>
              <w:jc w:val="center"/>
            </w:pPr>
          </w:p>
        </w:tc>
        <w:tc>
          <w:tcPr>
            <w:tcW w:w="0" w:type="auto"/>
          </w:tcPr>
          <w:p w14:paraId="4868A5FB" w14:textId="77777777" w:rsidR="00421B59" w:rsidRDefault="00421B59">
            <w:pPr>
              <w:spacing w:after="0"/>
              <w:jc w:val="center"/>
            </w:pPr>
          </w:p>
        </w:tc>
      </w:tr>
      <w:tr w:rsidR="00421B59" w14:paraId="186C721D" w14:textId="77777777">
        <w:trPr>
          <w:trHeight w:val="648"/>
          <w:jc w:val="center"/>
        </w:trPr>
        <w:tc>
          <w:tcPr>
            <w:tcW w:w="0" w:type="auto"/>
          </w:tcPr>
          <w:p w14:paraId="3394027F" w14:textId="77777777" w:rsidR="00421B59" w:rsidRDefault="00000000">
            <w:pPr>
              <w:spacing w:after="0"/>
              <w:jc w:val="center"/>
            </w:pPr>
            <w:r>
              <w:rPr>
                <w:rFonts w:ascii="Times New Roman" w:eastAsia="Times New Roman" w:hAnsi="Times New Roman" w:cs="Times New Roman"/>
                <w:color w:val="000000"/>
                <w:sz w:val="24"/>
              </w:rPr>
              <w:t>31.</w:t>
            </w:r>
          </w:p>
        </w:tc>
        <w:tc>
          <w:tcPr>
            <w:tcW w:w="0" w:type="auto"/>
          </w:tcPr>
          <w:p w14:paraId="50308CD7" w14:textId="77777777" w:rsidR="00421B59" w:rsidRDefault="00000000">
            <w:pPr>
              <w:spacing w:after="0"/>
            </w:pPr>
            <w:r>
              <w:rPr>
                <w:rFonts w:ascii="Times New Roman" w:eastAsia="Times New Roman" w:hAnsi="Times New Roman" w:cs="Times New Roman"/>
                <w:b/>
                <w:color w:val="000000"/>
                <w:sz w:val="24"/>
              </w:rPr>
              <w:t>PMÚSR</w:t>
            </w:r>
            <w:r>
              <w:rPr>
                <w:rFonts w:ascii="Times New Roman" w:eastAsia="Times New Roman" w:hAnsi="Times New Roman" w:cs="Times New Roman"/>
                <w:color w:val="000000"/>
                <w:sz w:val="24"/>
              </w:rPr>
              <w:t xml:space="preserve"> – Protimonopolný úrad Slovenskej republiky</w:t>
            </w:r>
          </w:p>
        </w:tc>
        <w:tc>
          <w:tcPr>
            <w:tcW w:w="0" w:type="auto"/>
          </w:tcPr>
          <w:p w14:paraId="7197F19D" w14:textId="77777777" w:rsidR="00421B59" w:rsidRDefault="00000000">
            <w:pPr>
              <w:spacing w:after="0"/>
              <w:jc w:val="center"/>
            </w:pPr>
            <w:r>
              <w:rPr>
                <w:rFonts w:ascii="Times New Roman" w:eastAsia="Times New Roman" w:hAnsi="Times New Roman" w:cs="Times New Roman"/>
                <w:color w:val="000000"/>
                <w:sz w:val="24"/>
              </w:rPr>
              <w:t>1 (1o, 0z)</w:t>
            </w:r>
          </w:p>
        </w:tc>
        <w:tc>
          <w:tcPr>
            <w:tcW w:w="0" w:type="auto"/>
          </w:tcPr>
          <w:p w14:paraId="6D1D083F"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0DD24E9A" w14:textId="77777777" w:rsidR="00421B59" w:rsidRDefault="00421B59">
            <w:pPr>
              <w:spacing w:after="0"/>
              <w:jc w:val="center"/>
            </w:pPr>
          </w:p>
        </w:tc>
        <w:tc>
          <w:tcPr>
            <w:tcW w:w="0" w:type="auto"/>
          </w:tcPr>
          <w:p w14:paraId="581E2B35" w14:textId="77777777" w:rsidR="00421B59" w:rsidRDefault="00421B59">
            <w:pPr>
              <w:spacing w:after="0"/>
              <w:jc w:val="center"/>
            </w:pPr>
          </w:p>
        </w:tc>
      </w:tr>
      <w:tr w:rsidR="00421B59" w14:paraId="6FAC63ED" w14:textId="77777777">
        <w:trPr>
          <w:trHeight w:val="648"/>
          <w:jc w:val="center"/>
        </w:trPr>
        <w:tc>
          <w:tcPr>
            <w:tcW w:w="0" w:type="auto"/>
          </w:tcPr>
          <w:p w14:paraId="13627E8E" w14:textId="77777777" w:rsidR="00421B59" w:rsidRDefault="00000000">
            <w:pPr>
              <w:spacing w:after="0"/>
              <w:jc w:val="center"/>
            </w:pPr>
            <w:r>
              <w:rPr>
                <w:rFonts w:ascii="Times New Roman" w:eastAsia="Times New Roman" w:hAnsi="Times New Roman" w:cs="Times New Roman"/>
                <w:color w:val="000000"/>
                <w:sz w:val="24"/>
              </w:rPr>
              <w:t>32.</w:t>
            </w:r>
          </w:p>
        </w:tc>
        <w:tc>
          <w:tcPr>
            <w:tcW w:w="0" w:type="auto"/>
          </w:tcPr>
          <w:p w14:paraId="449DD405" w14:textId="77777777" w:rsidR="00421B59" w:rsidRDefault="00000000">
            <w:pPr>
              <w:spacing w:after="0"/>
            </w:pPr>
            <w:r>
              <w:rPr>
                <w:rFonts w:ascii="Times New Roman" w:eastAsia="Times New Roman" w:hAnsi="Times New Roman" w:cs="Times New Roman"/>
                <w:b/>
                <w:color w:val="000000"/>
                <w:sz w:val="24"/>
              </w:rPr>
              <w:t>PSK</w:t>
            </w:r>
            <w:r>
              <w:rPr>
                <w:rFonts w:ascii="Times New Roman" w:eastAsia="Times New Roman" w:hAnsi="Times New Roman" w:cs="Times New Roman"/>
                <w:color w:val="000000"/>
                <w:sz w:val="24"/>
              </w:rPr>
              <w:t xml:space="preserve"> – Prešovský samosprávny kraj</w:t>
            </w:r>
          </w:p>
        </w:tc>
        <w:tc>
          <w:tcPr>
            <w:tcW w:w="0" w:type="auto"/>
          </w:tcPr>
          <w:p w14:paraId="75DB93C3"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03C098C7"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0EB1C45E" w14:textId="77777777" w:rsidR="00421B59" w:rsidRDefault="00421B59">
            <w:pPr>
              <w:spacing w:after="0"/>
              <w:jc w:val="center"/>
            </w:pPr>
          </w:p>
        </w:tc>
        <w:tc>
          <w:tcPr>
            <w:tcW w:w="0" w:type="auto"/>
          </w:tcPr>
          <w:p w14:paraId="54C6F4DB" w14:textId="77777777" w:rsidR="00421B59" w:rsidRDefault="00000000">
            <w:pPr>
              <w:spacing w:after="0"/>
              <w:jc w:val="center"/>
            </w:pPr>
            <w:r>
              <w:rPr>
                <w:rFonts w:ascii="Times New Roman" w:eastAsia="Times New Roman" w:hAnsi="Times New Roman" w:cs="Times New Roman"/>
                <w:color w:val="000000"/>
                <w:sz w:val="24"/>
              </w:rPr>
              <w:t>X</w:t>
            </w:r>
          </w:p>
        </w:tc>
      </w:tr>
      <w:tr w:rsidR="00421B59" w14:paraId="15F2E01D" w14:textId="77777777">
        <w:trPr>
          <w:trHeight w:val="648"/>
          <w:jc w:val="center"/>
        </w:trPr>
        <w:tc>
          <w:tcPr>
            <w:tcW w:w="0" w:type="auto"/>
          </w:tcPr>
          <w:p w14:paraId="43826A4B" w14:textId="77777777" w:rsidR="00421B59" w:rsidRDefault="00000000">
            <w:pPr>
              <w:spacing w:after="0"/>
              <w:jc w:val="center"/>
            </w:pPr>
            <w:r>
              <w:rPr>
                <w:rFonts w:ascii="Times New Roman" w:eastAsia="Times New Roman" w:hAnsi="Times New Roman" w:cs="Times New Roman"/>
                <w:color w:val="000000"/>
                <w:sz w:val="24"/>
              </w:rPr>
              <w:t>33.</w:t>
            </w:r>
          </w:p>
        </w:tc>
        <w:tc>
          <w:tcPr>
            <w:tcW w:w="0" w:type="auto"/>
          </w:tcPr>
          <w:p w14:paraId="7D348800" w14:textId="77777777" w:rsidR="00421B59" w:rsidRDefault="00000000">
            <w:pPr>
              <w:spacing w:after="0"/>
            </w:pPr>
            <w:r>
              <w:rPr>
                <w:rFonts w:ascii="Times New Roman" w:eastAsia="Times New Roman" w:hAnsi="Times New Roman" w:cs="Times New Roman"/>
                <w:b/>
                <w:color w:val="000000"/>
                <w:sz w:val="24"/>
              </w:rPr>
              <w:t>RÚZSR</w:t>
            </w:r>
            <w:r>
              <w:rPr>
                <w:rFonts w:ascii="Times New Roman" w:eastAsia="Times New Roman" w:hAnsi="Times New Roman" w:cs="Times New Roman"/>
                <w:color w:val="000000"/>
                <w:sz w:val="24"/>
              </w:rPr>
              <w:t xml:space="preserve"> – Republiková únia zamestnávateľov</w:t>
            </w:r>
          </w:p>
        </w:tc>
        <w:tc>
          <w:tcPr>
            <w:tcW w:w="0" w:type="auto"/>
          </w:tcPr>
          <w:p w14:paraId="63525026" w14:textId="77777777" w:rsidR="00421B59" w:rsidRDefault="00000000">
            <w:pPr>
              <w:spacing w:after="0"/>
              <w:jc w:val="center"/>
            </w:pPr>
            <w:r>
              <w:rPr>
                <w:rFonts w:ascii="Times New Roman" w:eastAsia="Times New Roman" w:hAnsi="Times New Roman" w:cs="Times New Roman"/>
                <w:color w:val="000000"/>
                <w:sz w:val="24"/>
              </w:rPr>
              <w:t>16 (0o, 16z)</w:t>
            </w:r>
          </w:p>
        </w:tc>
        <w:tc>
          <w:tcPr>
            <w:tcW w:w="0" w:type="auto"/>
          </w:tcPr>
          <w:p w14:paraId="67D9AE39"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24FDBA8B" w14:textId="77777777" w:rsidR="00421B59" w:rsidRDefault="00421B59">
            <w:pPr>
              <w:spacing w:after="0"/>
              <w:jc w:val="center"/>
            </w:pPr>
          </w:p>
        </w:tc>
        <w:tc>
          <w:tcPr>
            <w:tcW w:w="0" w:type="auto"/>
          </w:tcPr>
          <w:p w14:paraId="34EA274F" w14:textId="77777777" w:rsidR="00421B59" w:rsidRDefault="00421B59">
            <w:pPr>
              <w:spacing w:after="0"/>
              <w:jc w:val="center"/>
            </w:pPr>
          </w:p>
        </w:tc>
      </w:tr>
      <w:tr w:rsidR="00421B59" w14:paraId="5A5AD9E8" w14:textId="77777777">
        <w:trPr>
          <w:trHeight w:val="648"/>
          <w:jc w:val="center"/>
        </w:trPr>
        <w:tc>
          <w:tcPr>
            <w:tcW w:w="0" w:type="auto"/>
          </w:tcPr>
          <w:p w14:paraId="218C66EB" w14:textId="77777777" w:rsidR="00421B59" w:rsidRDefault="00000000">
            <w:pPr>
              <w:spacing w:after="0"/>
              <w:jc w:val="center"/>
            </w:pPr>
            <w:r>
              <w:rPr>
                <w:rFonts w:ascii="Times New Roman" w:eastAsia="Times New Roman" w:hAnsi="Times New Roman" w:cs="Times New Roman"/>
                <w:color w:val="000000"/>
                <w:sz w:val="24"/>
              </w:rPr>
              <w:t>34.</w:t>
            </w:r>
          </w:p>
        </w:tc>
        <w:tc>
          <w:tcPr>
            <w:tcW w:w="0" w:type="auto"/>
          </w:tcPr>
          <w:p w14:paraId="2255098F" w14:textId="77777777" w:rsidR="00421B59" w:rsidRDefault="00000000">
            <w:pPr>
              <w:spacing w:after="0"/>
            </w:pPr>
            <w:r>
              <w:rPr>
                <w:rFonts w:ascii="Times New Roman" w:eastAsia="Times New Roman" w:hAnsi="Times New Roman" w:cs="Times New Roman"/>
                <w:b/>
                <w:color w:val="000000"/>
                <w:sz w:val="24"/>
              </w:rPr>
              <w:t>SASS</w:t>
            </w:r>
            <w:r>
              <w:rPr>
                <w:rFonts w:ascii="Times New Roman" w:eastAsia="Times New Roman" w:hAnsi="Times New Roman" w:cs="Times New Roman"/>
                <w:color w:val="000000"/>
                <w:sz w:val="24"/>
              </w:rPr>
              <w:t xml:space="preserve"> – Slovenská asosciácia správcovských spoločností</w:t>
            </w:r>
          </w:p>
        </w:tc>
        <w:tc>
          <w:tcPr>
            <w:tcW w:w="0" w:type="auto"/>
          </w:tcPr>
          <w:p w14:paraId="335C71AA" w14:textId="77777777" w:rsidR="00421B59" w:rsidRDefault="00000000">
            <w:pPr>
              <w:spacing w:after="0"/>
              <w:jc w:val="center"/>
            </w:pPr>
            <w:r>
              <w:rPr>
                <w:rFonts w:ascii="Times New Roman" w:eastAsia="Times New Roman" w:hAnsi="Times New Roman" w:cs="Times New Roman"/>
                <w:color w:val="000000"/>
                <w:sz w:val="24"/>
              </w:rPr>
              <w:t>1 (1o, 0z)</w:t>
            </w:r>
          </w:p>
        </w:tc>
        <w:tc>
          <w:tcPr>
            <w:tcW w:w="0" w:type="auto"/>
          </w:tcPr>
          <w:p w14:paraId="7C8161DE"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0A947D0F" w14:textId="77777777" w:rsidR="00421B59" w:rsidRDefault="00421B59">
            <w:pPr>
              <w:spacing w:after="0"/>
              <w:jc w:val="center"/>
            </w:pPr>
          </w:p>
        </w:tc>
        <w:tc>
          <w:tcPr>
            <w:tcW w:w="0" w:type="auto"/>
          </w:tcPr>
          <w:p w14:paraId="7D8E6237" w14:textId="77777777" w:rsidR="00421B59" w:rsidRDefault="00421B59">
            <w:pPr>
              <w:spacing w:after="0"/>
              <w:jc w:val="center"/>
            </w:pPr>
          </w:p>
        </w:tc>
      </w:tr>
      <w:tr w:rsidR="00421B59" w14:paraId="2278C402" w14:textId="77777777">
        <w:trPr>
          <w:trHeight w:val="648"/>
          <w:jc w:val="center"/>
        </w:trPr>
        <w:tc>
          <w:tcPr>
            <w:tcW w:w="0" w:type="auto"/>
          </w:tcPr>
          <w:p w14:paraId="6A6671EB" w14:textId="77777777" w:rsidR="00421B59" w:rsidRDefault="00000000">
            <w:pPr>
              <w:spacing w:after="0"/>
              <w:jc w:val="center"/>
            </w:pPr>
            <w:r>
              <w:rPr>
                <w:rFonts w:ascii="Times New Roman" w:eastAsia="Times New Roman" w:hAnsi="Times New Roman" w:cs="Times New Roman"/>
                <w:color w:val="000000"/>
                <w:sz w:val="24"/>
              </w:rPr>
              <w:t>35.</w:t>
            </w:r>
          </w:p>
        </w:tc>
        <w:tc>
          <w:tcPr>
            <w:tcW w:w="0" w:type="auto"/>
          </w:tcPr>
          <w:p w14:paraId="772D4000" w14:textId="77777777" w:rsidR="00421B59" w:rsidRDefault="00000000">
            <w:pPr>
              <w:spacing w:after="0"/>
            </w:pPr>
            <w:r>
              <w:rPr>
                <w:rFonts w:ascii="Times New Roman" w:eastAsia="Times New Roman" w:hAnsi="Times New Roman" w:cs="Times New Roman"/>
                <w:b/>
                <w:color w:val="000000"/>
                <w:sz w:val="24"/>
              </w:rPr>
              <w:t>SBA</w:t>
            </w:r>
            <w:r>
              <w:rPr>
                <w:rFonts w:ascii="Times New Roman" w:eastAsia="Times New Roman" w:hAnsi="Times New Roman" w:cs="Times New Roman"/>
                <w:color w:val="000000"/>
                <w:sz w:val="24"/>
              </w:rPr>
              <w:t xml:space="preserve"> – Slovenská banková asociácia</w:t>
            </w:r>
          </w:p>
        </w:tc>
        <w:tc>
          <w:tcPr>
            <w:tcW w:w="0" w:type="auto"/>
          </w:tcPr>
          <w:p w14:paraId="1DFD34F7" w14:textId="77777777" w:rsidR="00421B59" w:rsidRDefault="00000000">
            <w:pPr>
              <w:spacing w:after="0"/>
              <w:jc w:val="center"/>
            </w:pPr>
            <w:r>
              <w:rPr>
                <w:rFonts w:ascii="Times New Roman" w:eastAsia="Times New Roman" w:hAnsi="Times New Roman" w:cs="Times New Roman"/>
                <w:color w:val="000000"/>
                <w:sz w:val="24"/>
              </w:rPr>
              <w:t>1 (1o, 0z)</w:t>
            </w:r>
          </w:p>
        </w:tc>
        <w:tc>
          <w:tcPr>
            <w:tcW w:w="0" w:type="auto"/>
          </w:tcPr>
          <w:p w14:paraId="15E5B00A"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279F2DFA" w14:textId="77777777" w:rsidR="00421B59" w:rsidRDefault="00421B59">
            <w:pPr>
              <w:spacing w:after="0"/>
              <w:jc w:val="center"/>
            </w:pPr>
          </w:p>
        </w:tc>
        <w:tc>
          <w:tcPr>
            <w:tcW w:w="0" w:type="auto"/>
          </w:tcPr>
          <w:p w14:paraId="20B38818" w14:textId="77777777" w:rsidR="00421B59" w:rsidRDefault="00421B59">
            <w:pPr>
              <w:spacing w:after="0"/>
              <w:jc w:val="center"/>
            </w:pPr>
          </w:p>
        </w:tc>
      </w:tr>
      <w:tr w:rsidR="00421B59" w14:paraId="665DEA48" w14:textId="77777777">
        <w:trPr>
          <w:trHeight w:val="648"/>
          <w:jc w:val="center"/>
        </w:trPr>
        <w:tc>
          <w:tcPr>
            <w:tcW w:w="0" w:type="auto"/>
          </w:tcPr>
          <w:p w14:paraId="0E04388D" w14:textId="77777777" w:rsidR="00421B59" w:rsidRDefault="00000000">
            <w:pPr>
              <w:spacing w:after="0"/>
              <w:jc w:val="center"/>
            </w:pPr>
            <w:r>
              <w:rPr>
                <w:rFonts w:ascii="Times New Roman" w:eastAsia="Times New Roman" w:hAnsi="Times New Roman" w:cs="Times New Roman"/>
                <w:color w:val="000000"/>
                <w:sz w:val="24"/>
              </w:rPr>
              <w:t>36.</w:t>
            </w:r>
          </w:p>
        </w:tc>
        <w:tc>
          <w:tcPr>
            <w:tcW w:w="0" w:type="auto"/>
          </w:tcPr>
          <w:p w14:paraId="52FA3910" w14:textId="77777777" w:rsidR="00421B59" w:rsidRDefault="00000000">
            <w:pPr>
              <w:spacing w:after="0"/>
            </w:pPr>
            <w:r>
              <w:rPr>
                <w:rFonts w:ascii="Times New Roman" w:eastAsia="Times New Roman" w:hAnsi="Times New Roman" w:cs="Times New Roman"/>
                <w:b/>
                <w:color w:val="000000"/>
                <w:sz w:val="24"/>
              </w:rPr>
              <w:t>SK8</w:t>
            </w:r>
            <w:r>
              <w:rPr>
                <w:rFonts w:ascii="Times New Roman" w:eastAsia="Times New Roman" w:hAnsi="Times New Roman" w:cs="Times New Roman"/>
                <w:color w:val="000000"/>
                <w:sz w:val="24"/>
              </w:rPr>
              <w:t xml:space="preserve"> – Samosprávne kraje Slovenska</w:t>
            </w:r>
          </w:p>
        </w:tc>
        <w:tc>
          <w:tcPr>
            <w:tcW w:w="0" w:type="auto"/>
          </w:tcPr>
          <w:p w14:paraId="646BEB5C"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1B310C61"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43B4A48E" w14:textId="77777777" w:rsidR="00421B59" w:rsidRDefault="00421B59">
            <w:pPr>
              <w:spacing w:after="0"/>
              <w:jc w:val="center"/>
            </w:pPr>
          </w:p>
        </w:tc>
        <w:tc>
          <w:tcPr>
            <w:tcW w:w="0" w:type="auto"/>
          </w:tcPr>
          <w:p w14:paraId="0419A1B9" w14:textId="77777777" w:rsidR="00421B59" w:rsidRDefault="00000000">
            <w:pPr>
              <w:spacing w:after="0"/>
              <w:jc w:val="center"/>
            </w:pPr>
            <w:r>
              <w:rPr>
                <w:rFonts w:ascii="Times New Roman" w:eastAsia="Times New Roman" w:hAnsi="Times New Roman" w:cs="Times New Roman"/>
                <w:color w:val="000000"/>
                <w:sz w:val="24"/>
              </w:rPr>
              <w:t>X</w:t>
            </w:r>
          </w:p>
        </w:tc>
      </w:tr>
      <w:tr w:rsidR="00421B59" w14:paraId="71BEC125" w14:textId="77777777">
        <w:trPr>
          <w:trHeight w:val="648"/>
          <w:jc w:val="center"/>
        </w:trPr>
        <w:tc>
          <w:tcPr>
            <w:tcW w:w="0" w:type="auto"/>
          </w:tcPr>
          <w:p w14:paraId="3BF1AF36" w14:textId="77777777" w:rsidR="00421B59" w:rsidRDefault="00000000">
            <w:pPr>
              <w:spacing w:after="0"/>
              <w:jc w:val="center"/>
            </w:pPr>
            <w:r>
              <w:rPr>
                <w:rFonts w:ascii="Times New Roman" w:eastAsia="Times New Roman" w:hAnsi="Times New Roman" w:cs="Times New Roman"/>
                <w:color w:val="000000"/>
                <w:sz w:val="24"/>
              </w:rPr>
              <w:t>37.</w:t>
            </w:r>
          </w:p>
        </w:tc>
        <w:tc>
          <w:tcPr>
            <w:tcW w:w="0" w:type="auto"/>
          </w:tcPr>
          <w:p w14:paraId="41DB8967" w14:textId="77777777" w:rsidR="00421B59" w:rsidRDefault="00000000">
            <w:pPr>
              <w:spacing w:after="0"/>
            </w:pPr>
            <w:r>
              <w:rPr>
                <w:rFonts w:ascii="Times New Roman" w:eastAsia="Times New Roman" w:hAnsi="Times New Roman" w:cs="Times New Roman"/>
                <w:b/>
                <w:color w:val="000000"/>
                <w:sz w:val="24"/>
              </w:rPr>
              <w:t>SKAU</w:t>
            </w:r>
            <w:r>
              <w:rPr>
                <w:rFonts w:ascii="Times New Roman" w:eastAsia="Times New Roman" w:hAnsi="Times New Roman" w:cs="Times New Roman"/>
                <w:color w:val="000000"/>
                <w:sz w:val="24"/>
              </w:rPr>
              <w:t xml:space="preserve"> – Slovenská komora audítorov</w:t>
            </w:r>
          </w:p>
        </w:tc>
        <w:tc>
          <w:tcPr>
            <w:tcW w:w="0" w:type="auto"/>
          </w:tcPr>
          <w:p w14:paraId="1E3305A5" w14:textId="77777777" w:rsidR="00421B59" w:rsidRDefault="00000000">
            <w:pPr>
              <w:spacing w:after="0"/>
              <w:jc w:val="center"/>
            </w:pPr>
            <w:r>
              <w:rPr>
                <w:rFonts w:ascii="Times New Roman" w:eastAsia="Times New Roman" w:hAnsi="Times New Roman" w:cs="Times New Roman"/>
                <w:color w:val="000000"/>
                <w:sz w:val="24"/>
              </w:rPr>
              <w:t>7 (2o, 5z)</w:t>
            </w:r>
          </w:p>
        </w:tc>
        <w:tc>
          <w:tcPr>
            <w:tcW w:w="0" w:type="auto"/>
          </w:tcPr>
          <w:p w14:paraId="266C3A86"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210DE745" w14:textId="77777777" w:rsidR="00421B59" w:rsidRDefault="00421B59">
            <w:pPr>
              <w:spacing w:after="0"/>
              <w:jc w:val="center"/>
            </w:pPr>
          </w:p>
        </w:tc>
        <w:tc>
          <w:tcPr>
            <w:tcW w:w="0" w:type="auto"/>
          </w:tcPr>
          <w:p w14:paraId="2D6E0B93" w14:textId="77777777" w:rsidR="00421B59" w:rsidRDefault="00421B59">
            <w:pPr>
              <w:spacing w:after="0"/>
              <w:jc w:val="center"/>
            </w:pPr>
          </w:p>
        </w:tc>
      </w:tr>
      <w:tr w:rsidR="00421B59" w14:paraId="3CC8A450" w14:textId="77777777">
        <w:trPr>
          <w:trHeight w:val="648"/>
          <w:jc w:val="center"/>
        </w:trPr>
        <w:tc>
          <w:tcPr>
            <w:tcW w:w="0" w:type="auto"/>
          </w:tcPr>
          <w:p w14:paraId="3E0491DE" w14:textId="77777777" w:rsidR="00421B59" w:rsidRDefault="00000000">
            <w:pPr>
              <w:spacing w:after="0"/>
              <w:jc w:val="center"/>
            </w:pPr>
            <w:r>
              <w:rPr>
                <w:rFonts w:ascii="Times New Roman" w:eastAsia="Times New Roman" w:hAnsi="Times New Roman" w:cs="Times New Roman"/>
                <w:color w:val="000000"/>
                <w:sz w:val="24"/>
              </w:rPr>
              <w:t>38.</w:t>
            </w:r>
          </w:p>
        </w:tc>
        <w:tc>
          <w:tcPr>
            <w:tcW w:w="0" w:type="auto"/>
          </w:tcPr>
          <w:p w14:paraId="505CBB01" w14:textId="77777777" w:rsidR="00421B59" w:rsidRDefault="00000000">
            <w:pPr>
              <w:spacing w:after="0"/>
            </w:pPr>
            <w:r>
              <w:rPr>
                <w:rFonts w:ascii="Times New Roman" w:eastAsia="Times New Roman" w:hAnsi="Times New Roman" w:cs="Times New Roman"/>
                <w:b/>
                <w:color w:val="000000"/>
                <w:sz w:val="24"/>
              </w:rPr>
              <w:t>SPPK</w:t>
            </w:r>
            <w:r>
              <w:rPr>
                <w:rFonts w:ascii="Times New Roman" w:eastAsia="Times New Roman" w:hAnsi="Times New Roman" w:cs="Times New Roman"/>
                <w:color w:val="000000"/>
                <w:sz w:val="24"/>
              </w:rPr>
              <w:t xml:space="preserve"> – Slovenská poľnohospodárska a potravinárska komora</w:t>
            </w:r>
          </w:p>
        </w:tc>
        <w:tc>
          <w:tcPr>
            <w:tcW w:w="0" w:type="auto"/>
          </w:tcPr>
          <w:p w14:paraId="107EE889"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6FAB9B12"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2568F06F" w14:textId="77777777" w:rsidR="00421B59" w:rsidRDefault="00421B59">
            <w:pPr>
              <w:spacing w:after="0"/>
              <w:jc w:val="center"/>
            </w:pPr>
          </w:p>
        </w:tc>
        <w:tc>
          <w:tcPr>
            <w:tcW w:w="0" w:type="auto"/>
          </w:tcPr>
          <w:p w14:paraId="45DCA592" w14:textId="77777777" w:rsidR="00421B59" w:rsidRDefault="00000000">
            <w:pPr>
              <w:spacing w:after="0"/>
              <w:jc w:val="center"/>
            </w:pPr>
            <w:r>
              <w:rPr>
                <w:rFonts w:ascii="Times New Roman" w:eastAsia="Times New Roman" w:hAnsi="Times New Roman" w:cs="Times New Roman"/>
                <w:color w:val="000000"/>
                <w:sz w:val="24"/>
              </w:rPr>
              <w:t>X</w:t>
            </w:r>
          </w:p>
        </w:tc>
      </w:tr>
      <w:tr w:rsidR="00421B59" w14:paraId="1FC17CA2" w14:textId="77777777">
        <w:trPr>
          <w:trHeight w:val="648"/>
          <w:jc w:val="center"/>
        </w:trPr>
        <w:tc>
          <w:tcPr>
            <w:tcW w:w="0" w:type="auto"/>
          </w:tcPr>
          <w:p w14:paraId="78545578" w14:textId="77777777" w:rsidR="00421B59" w:rsidRDefault="00000000">
            <w:pPr>
              <w:spacing w:after="0"/>
              <w:jc w:val="center"/>
            </w:pPr>
            <w:r>
              <w:rPr>
                <w:rFonts w:ascii="Times New Roman" w:eastAsia="Times New Roman" w:hAnsi="Times New Roman" w:cs="Times New Roman"/>
                <w:color w:val="000000"/>
                <w:sz w:val="24"/>
              </w:rPr>
              <w:t>39.</w:t>
            </w:r>
          </w:p>
        </w:tc>
        <w:tc>
          <w:tcPr>
            <w:tcW w:w="0" w:type="auto"/>
          </w:tcPr>
          <w:p w14:paraId="565FD693" w14:textId="77777777" w:rsidR="00421B59" w:rsidRDefault="00000000">
            <w:pPr>
              <w:spacing w:after="0"/>
            </w:pPr>
            <w:r>
              <w:rPr>
                <w:rFonts w:ascii="Times New Roman" w:eastAsia="Times New Roman" w:hAnsi="Times New Roman" w:cs="Times New Roman"/>
                <w:b/>
                <w:color w:val="000000"/>
                <w:sz w:val="24"/>
              </w:rPr>
              <w:t>SVSLPRK</w:t>
            </w:r>
            <w:r>
              <w:rPr>
                <w:rFonts w:ascii="Times New Roman" w:eastAsia="Times New Roman" w:hAnsi="Times New Roman" w:cs="Times New Roman"/>
                <w:color w:val="000000"/>
                <w:sz w:val="24"/>
              </w:rPr>
              <w:t xml:space="preserve"> – Splnomocnenec vlády Slovenskej republiky pre rómske komunity</w:t>
            </w:r>
          </w:p>
        </w:tc>
        <w:tc>
          <w:tcPr>
            <w:tcW w:w="0" w:type="auto"/>
          </w:tcPr>
          <w:p w14:paraId="35B7BA84"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647B301E"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64F1EAC1" w14:textId="77777777" w:rsidR="00421B59" w:rsidRDefault="00421B59">
            <w:pPr>
              <w:spacing w:after="0"/>
              <w:jc w:val="center"/>
            </w:pPr>
          </w:p>
        </w:tc>
        <w:tc>
          <w:tcPr>
            <w:tcW w:w="0" w:type="auto"/>
          </w:tcPr>
          <w:p w14:paraId="2FC7D19F" w14:textId="77777777" w:rsidR="00421B59" w:rsidRDefault="00000000">
            <w:pPr>
              <w:spacing w:after="0"/>
              <w:jc w:val="center"/>
            </w:pPr>
            <w:r>
              <w:rPr>
                <w:rFonts w:ascii="Times New Roman" w:eastAsia="Times New Roman" w:hAnsi="Times New Roman" w:cs="Times New Roman"/>
                <w:color w:val="000000"/>
                <w:sz w:val="24"/>
              </w:rPr>
              <w:t>X</w:t>
            </w:r>
          </w:p>
        </w:tc>
      </w:tr>
      <w:tr w:rsidR="00421B59" w14:paraId="620930CC" w14:textId="77777777">
        <w:trPr>
          <w:trHeight w:val="648"/>
          <w:jc w:val="center"/>
        </w:trPr>
        <w:tc>
          <w:tcPr>
            <w:tcW w:w="0" w:type="auto"/>
          </w:tcPr>
          <w:p w14:paraId="5CD70B59" w14:textId="77777777" w:rsidR="00421B59" w:rsidRDefault="00000000">
            <w:pPr>
              <w:spacing w:after="0"/>
              <w:jc w:val="center"/>
            </w:pPr>
            <w:r>
              <w:rPr>
                <w:rFonts w:ascii="Times New Roman" w:eastAsia="Times New Roman" w:hAnsi="Times New Roman" w:cs="Times New Roman"/>
                <w:color w:val="000000"/>
                <w:sz w:val="24"/>
              </w:rPr>
              <w:t>40.</w:t>
            </w:r>
          </w:p>
        </w:tc>
        <w:tc>
          <w:tcPr>
            <w:tcW w:w="0" w:type="auto"/>
          </w:tcPr>
          <w:p w14:paraId="40DB2D86" w14:textId="77777777" w:rsidR="00421B59" w:rsidRDefault="00000000">
            <w:pPr>
              <w:spacing w:after="0"/>
            </w:pPr>
            <w:r>
              <w:rPr>
                <w:rFonts w:ascii="Times New Roman" w:eastAsia="Times New Roman" w:hAnsi="Times New Roman" w:cs="Times New Roman"/>
                <w:b/>
                <w:color w:val="000000"/>
                <w:sz w:val="24"/>
              </w:rPr>
              <w:t>SŠHRSR</w:t>
            </w:r>
            <w:r>
              <w:rPr>
                <w:rFonts w:ascii="Times New Roman" w:eastAsia="Times New Roman" w:hAnsi="Times New Roman" w:cs="Times New Roman"/>
                <w:color w:val="000000"/>
                <w:sz w:val="24"/>
              </w:rPr>
              <w:t xml:space="preserve"> – Správa štátnych hmotných rezerv Slovenskej republiky</w:t>
            </w:r>
          </w:p>
        </w:tc>
        <w:tc>
          <w:tcPr>
            <w:tcW w:w="0" w:type="auto"/>
          </w:tcPr>
          <w:p w14:paraId="336E3F81"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2786F8D4"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0004A301" w14:textId="77777777" w:rsidR="00421B59" w:rsidRDefault="00421B59">
            <w:pPr>
              <w:spacing w:after="0"/>
              <w:jc w:val="center"/>
            </w:pPr>
          </w:p>
        </w:tc>
        <w:tc>
          <w:tcPr>
            <w:tcW w:w="0" w:type="auto"/>
          </w:tcPr>
          <w:p w14:paraId="4CEE0380" w14:textId="77777777" w:rsidR="00421B59" w:rsidRDefault="00000000">
            <w:pPr>
              <w:spacing w:after="0"/>
              <w:jc w:val="center"/>
            </w:pPr>
            <w:r>
              <w:rPr>
                <w:rFonts w:ascii="Times New Roman" w:eastAsia="Times New Roman" w:hAnsi="Times New Roman" w:cs="Times New Roman"/>
                <w:color w:val="000000"/>
                <w:sz w:val="24"/>
              </w:rPr>
              <w:t>X</w:t>
            </w:r>
          </w:p>
        </w:tc>
      </w:tr>
      <w:tr w:rsidR="00421B59" w14:paraId="36378CF8" w14:textId="77777777">
        <w:trPr>
          <w:trHeight w:val="648"/>
          <w:jc w:val="center"/>
        </w:trPr>
        <w:tc>
          <w:tcPr>
            <w:tcW w:w="0" w:type="auto"/>
          </w:tcPr>
          <w:p w14:paraId="15A1EE02" w14:textId="77777777" w:rsidR="00421B59" w:rsidRDefault="00000000">
            <w:pPr>
              <w:spacing w:after="0"/>
              <w:jc w:val="center"/>
            </w:pPr>
            <w:r>
              <w:rPr>
                <w:rFonts w:ascii="Times New Roman" w:eastAsia="Times New Roman" w:hAnsi="Times New Roman" w:cs="Times New Roman"/>
                <w:color w:val="000000"/>
                <w:sz w:val="24"/>
              </w:rPr>
              <w:t>41.</w:t>
            </w:r>
          </w:p>
        </w:tc>
        <w:tc>
          <w:tcPr>
            <w:tcW w:w="0" w:type="auto"/>
          </w:tcPr>
          <w:p w14:paraId="00348BC9" w14:textId="77777777" w:rsidR="00421B59" w:rsidRDefault="00000000">
            <w:pPr>
              <w:spacing w:after="0"/>
            </w:pPr>
            <w:r>
              <w:rPr>
                <w:rFonts w:ascii="Times New Roman" w:eastAsia="Times New Roman" w:hAnsi="Times New Roman" w:cs="Times New Roman"/>
                <w:b/>
                <w:color w:val="000000"/>
                <w:sz w:val="24"/>
              </w:rPr>
              <w:t>TSK</w:t>
            </w:r>
            <w:r>
              <w:rPr>
                <w:rFonts w:ascii="Times New Roman" w:eastAsia="Times New Roman" w:hAnsi="Times New Roman" w:cs="Times New Roman"/>
                <w:color w:val="000000"/>
                <w:sz w:val="24"/>
              </w:rPr>
              <w:t xml:space="preserve"> – Trenčiansky samosprávny kraj</w:t>
            </w:r>
          </w:p>
        </w:tc>
        <w:tc>
          <w:tcPr>
            <w:tcW w:w="0" w:type="auto"/>
          </w:tcPr>
          <w:p w14:paraId="7AE35550"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7E4CE036"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66427379" w14:textId="77777777" w:rsidR="00421B59" w:rsidRDefault="00421B59">
            <w:pPr>
              <w:spacing w:after="0"/>
              <w:jc w:val="center"/>
            </w:pPr>
          </w:p>
        </w:tc>
        <w:tc>
          <w:tcPr>
            <w:tcW w:w="0" w:type="auto"/>
          </w:tcPr>
          <w:p w14:paraId="1E54CC8A" w14:textId="77777777" w:rsidR="00421B59" w:rsidRDefault="00000000">
            <w:pPr>
              <w:spacing w:after="0"/>
              <w:jc w:val="center"/>
            </w:pPr>
            <w:r>
              <w:rPr>
                <w:rFonts w:ascii="Times New Roman" w:eastAsia="Times New Roman" w:hAnsi="Times New Roman" w:cs="Times New Roman"/>
                <w:color w:val="000000"/>
                <w:sz w:val="24"/>
              </w:rPr>
              <w:t>X</w:t>
            </w:r>
          </w:p>
        </w:tc>
      </w:tr>
      <w:tr w:rsidR="00421B59" w14:paraId="551A68A4" w14:textId="77777777">
        <w:trPr>
          <w:trHeight w:val="648"/>
          <w:jc w:val="center"/>
        </w:trPr>
        <w:tc>
          <w:tcPr>
            <w:tcW w:w="0" w:type="auto"/>
          </w:tcPr>
          <w:p w14:paraId="0C27E0D6" w14:textId="77777777" w:rsidR="00421B59" w:rsidRDefault="00000000">
            <w:pPr>
              <w:spacing w:after="0"/>
              <w:jc w:val="center"/>
            </w:pPr>
            <w:r>
              <w:rPr>
                <w:rFonts w:ascii="Times New Roman" w:eastAsia="Times New Roman" w:hAnsi="Times New Roman" w:cs="Times New Roman"/>
                <w:color w:val="000000"/>
                <w:sz w:val="24"/>
              </w:rPr>
              <w:lastRenderedPageBreak/>
              <w:t>42.</w:t>
            </w:r>
          </w:p>
        </w:tc>
        <w:tc>
          <w:tcPr>
            <w:tcW w:w="0" w:type="auto"/>
          </w:tcPr>
          <w:p w14:paraId="70E923F1" w14:textId="77777777" w:rsidR="00421B59" w:rsidRDefault="00000000">
            <w:pPr>
              <w:spacing w:after="0"/>
            </w:pPr>
            <w:r>
              <w:rPr>
                <w:rFonts w:ascii="Times New Roman" w:eastAsia="Times New Roman" w:hAnsi="Times New Roman" w:cs="Times New Roman"/>
                <w:b/>
                <w:color w:val="000000"/>
                <w:sz w:val="24"/>
              </w:rPr>
              <w:t>TTSK</w:t>
            </w:r>
            <w:r>
              <w:rPr>
                <w:rFonts w:ascii="Times New Roman" w:eastAsia="Times New Roman" w:hAnsi="Times New Roman" w:cs="Times New Roman"/>
                <w:color w:val="000000"/>
                <w:sz w:val="24"/>
              </w:rPr>
              <w:t xml:space="preserve"> – Trnavský samosprávny kraj</w:t>
            </w:r>
          </w:p>
        </w:tc>
        <w:tc>
          <w:tcPr>
            <w:tcW w:w="0" w:type="auto"/>
          </w:tcPr>
          <w:p w14:paraId="3B14C937"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277815C7"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44E8421E" w14:textId="77777777" w:rsidR="00421B59" w:rsidRDefault="00421B59">
            <w:pPr>
              <w:spacing w:after="0"/>
              <w:jc w:val="center"/>
            </w:pPr>
          </w:p>
        </w:tc>
        <w:tc>
          <w:tcPr>
            <w:tcW w:w="0" w:type="auto"/>
          </w:tcPr>
          <w:p w14:paraId="1D3D5609" w14:textId="77777777" w:rsidR="00421B59" w:rsidRDefault="00000000">
            <w:pPr>
              <w:spacing w:after="0"/>
              <w:jc w:val="center"/>
            </w:pPr>
            <w:r>
              <w:rPr>
                <w:rFonts w:ascii="Times New Roman" w:eastAsia="Times New Roman" w:hAnsi="Times New Roman" w:cs="Times New Roman"/>
                <w:color w:val="000000"/>
                <w:sz w:val="24"/>
              </w:rPr>
              <w:t>X</w:t>
            </w:r>
          </w:p>
        </w:tc>
      </w:tr>
      <w:tr w:rsidR="00421B59" w14:paraId="69641498" w14:textId="77777777">
        <w:trPr>
          <w:trHeight w:val="648"/>
          <w:jc w:val="center"/>
        </w:trPr>
        <w:tc>
          <w:tcPr>
            <w:tcW w:w="0" w:type="auto"/>
          </w:tcPr>
          <w:p w14:paraId="712D3F74" w14:textId="77777777" w:rsidR="00421B59" w:rsidRDefault="00000000">
            <w:pPr>
              <w:spacing w:after="0"/>
              <w:jc w:val="center"/>
            </w:pPr>
            <w:r>
              <w:rPr>
                <w:rFonts w:ascii="Times New Roman" w:eastAsia="Times New Roman" w:hAnsi="Times New Roman" w:cs="Times New Roman"/>
                <w:color w:val="000000"/>
                <w:sz w:val="24"/>
              </w:rPr>
              <w:t>43.</w:t>
            </w:r>
          </w:p>
        </w:tc>
        <w:tc>
          <w:tcPr>
            <w:tcW w:w="0" w:type="auto"/>
          </w:tcPr>
          <w:p w14:paraId="6FE84A36" w14:textId="77777777" w:rsidR="00421B59" w:rsidRDefault="00000000">
            <w:pPr>
              <w:spacing w:after="0"/>
            </w:pPr>
            <w:r>
              <w:rPr>
                <w:rFonts w:ascii="Times New Roman" w:eastAsia="Times New Roman" w:hAnsi="Times New Roman" w:cs="Times New Roman"/>
                <w:b/>
                <w:color w:val="000000"/>
                <w:sz w:val="24"/>
              </w:rPr>
              <w:t>UDVA</w:t>
            </w:r>
            <w:r>
              <w:rPr>
                <w:rFonts w:ascii="Times New Roman" w:eastAsia="Times New Roman" w:hAnsi="Times New Roman" w:cs="Times New Roman"/>
                <w:color w:val="000000"/>
                <w:sz w:val="24"/>
              </w:rPr>
              <w:t xml:space="preserve"> – Úrad pre dohľad nad výkonom auditu</w:t>
            </w:r>
          </w:p>
        </w:tc>
        <w:tc>
          <w:tcPr>
            <w:tcW w:w="0" w:type="auto"/>
          </w:tcPr>
          <w:p w14:paraId="3D73EA3C"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22EDD9F0"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19CE935F" w14:textId="77777777" w:rsidR="00421B59" w:rsidRDefault="00421B59">
            <w:pPr>
              <w:spacing w:after="0"/>
              <w:jc w:val="center"/>
            </w:pPr>
          </w:p>
        </w:tc>
        <w:tc>
          <w:tcPr>
            <w:tcW w:w="0" w:type="auto"/>
          </w:tcPr>
          <w:p w14:paraId="24F86C6B" w14:textId="77777777" w:rsidR="00421B59" w:rsidRDefault="00000000">
            <w:pPr>
              <w:spacing w:after="0"/>
              <w:jc w:val="center"/>
            </w:pPr>
            <w:r>
              <w:rPr>
                <w:rFonts w:ascii="Times New Roman" w:eastAsia="Times New Roman" w:hAnsi="Times New Roman" w:cs="Times New Roman"/>
                <w:color w:val="000000"/>
                <w:sz w:val="24"/>
              </w:rPr>
              <w:t>X</w:t>
            </w:r>
          </w:p>
        </w:tc>
      </w:tr>
      <w:tr w:rsidR="00421B59" w14:paraId="505CABB7" w14:textId="77777777">
        <w:trPr>
          <w:trHeight w:val="648"/>
          <w:jc w:val="center"/>
        </w:trPr>
        <w:tc>
          <w:tcPr>
            <w:tcW w:w="0" w:type="auto"/>
          </w:tcPr>
          <w:p w14:paraId="3F76EF40" w14:textId="77777777" w:rsidR="00421B59" w:rsidRDefault="00000000">
            <w:pPr>
              <w:spacing w:after="0"/>
              <w:jc w:val="center"/>
            </w:pPr>
            <w:r>
              <w:rPr>
                <w:rFonts w:ascii="Times New Roman" w:eastAsia="Times New Roman" w:hAnsi="Times New Roman" w:cs="Times New Roman"/>
                <w:color w:val="000000"/>
                <w:sz w:val="24"/>
              </w:rPr>
              <w:t>44.</w:t>
            </w:r>
          </w:p>
        </w:tc>
        <w:tc>
          <w:tcPr>
            <w:tcW w:w="0" w:type="auto"/>
          </w:tcPr>
          <w:p w14:paraId="50C53088" w14:textId="77777777" w:rsidR="00421B59" w:rsidRDefault="00000000">
            <w:pPr>
              <w:spacing w:after="0"/>
            </w:pPr>
            <w:r>
              <w:rPr>
                <w:rFonts w:ascii="Times New Roman" w:eastAsia="Times New Roman" w:hAnsi="Times New Roman" w:cs="Times New Roman"/>
                <w:b/>
                <w:color w:val="000000"/>
                <w:sz w:val="24"/>
              </w:rPr>
              <w:t>UOOU SR</w:t>
            </w:r>
            <w:r>
              <w:rPr>
                <w:rFonts w:ascii="Times New Roman" w:eastAsia="Times New Roman" w:hAnsi="Times New Roman" w:cs="Times New Roman"/>
                <w:color w:val="000000"/>
                <w:sz w:val="24"/>
              </w:rPr>
              <w:t xml:space="preserve"> – Úrad na ochranu osobných údajov Slovenskej republiky</w:t>
            </w:r>
          </w:p>
        </w:tc>
        <w:tc>
          <w:tcPr>
            <w:tcW w:w="0" w:type="auto"/>
          </w:tcPr>
          <w:p w14:paraId="37E3B9C8" w14:textId="77777777" w:rsidR="00421B59" w:rsidRDefault="00000000">
            <w:pPr>
              <w:spacing w:after="0"/>
              <w:jc w:val="center"/>
            </w:pPr>
            <w:r>
              <w:rPr>
                <w:rFonts w:ascii="Times New Roman" w:eastAsia="Times New Roman" w:hAnsi="Times New Roman" w:cs="Times New Roman"/>
                <w:color w:val="000000"/>
                <w:sz w:val="24"/>
              </w:rPr>
              <w:t>1 (1o, 0z)</w:t>
            </w:r>
          </w:p>
        </w:tc>
        <w:tc>
          <w:tcPr>
            <w:tcW w:w="0" w:type="auto"/>
          </w:tcPr>
          <w:p w14:paraId="365B0878"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5D60C320" w14:textId="77777777" w:rsidR="00421B59" w:rsidRDefault="00421B59">
            <w:pPr>
              <w:spacing w:after="0"/>
              <w:jc w:val="center"/>
            </w:pPr>
          </w:p>
        </w:tc>
        <w:tc>
          <w:tcPr>
            <w:tcW w:w="0" w:type="auto"/>
          </w:tcPr>
          <w:p w14:paraId="642A932A" w14:textId="77777777" w:rsidR="00421B59" w:rsidRDefault="00421B59">
            <w:pPr>
              <w:spacing w:after="0"/>
              <w:jc w:val="center"/>
            </w:pPr>
          </w:p>
        </w:tc>
      </w:tr>
      <w:tr w:rsidR="00421B59" w14:paraId="4A1A7002" w14:textId="77777777">
        <w:trPr>
          <w:trHeight w:val="648"/>
          <w:jc w:val="center"/>
        </w:trPr>
        <w:tc>
          <w:tcPr>
            <w:tcW w:w="0" w:type="auto"/>
          </w:tcPr>
          <w:p w14:paraId="0E34762F" w14:textId="77777777" w:rsidR="00421B59" w:rsidRDefault="00000000">
            <w:pPr>
              <w:spacing w:after="0"/>
              <w:jc w:val="center"/>
            </w:pPr>
            <w:r>
              <w:rPr>
                <w:rFonts w:ascii="Times New Roman" w:eastAsia="Times New Roman" w:hAnsi="Times New Roman" w:cs="Times New Roman"/>
                <w:color w:val="000000"/>
                <w:sz w:val="24"/>
              </w:rPr>
              <w:t>45.</w:t>
            </w:r>
          </w:p>
        </w:tc>
        <w:tc>
          <w:tcPr>
            <w:tcW w:w="0" w:type="auto"/>
          </w:tcPr>
          <w:p w14:paraId="0DA68F5E" w14:textId="77777777" w:rsidR="00421B59" w:rsidRDefault="00000000">
            <w:pPr>
              <w:spacing w:after="0"/>
            </w:pPr>
            <w:r>
              <w:rPr>
                <w:rFonts w:ascii="Times New Roman" w:eastAsia="Times New Roman" w:hAnsi="Times New Roman" w:cs="Times New Roman"/>
                <w:b/>
                <w:color w:val="000000"/>
                <w:sz w:val="24"/>
              </w:rPr>
              <w:t>UPVSR POaZE</w:t>
            </w:r>
            <w:r>
              <w:rPr>
                <w:rFonts w:ascii="Times New Roman" w:eastAsia="Times New Roman" w:hAnsi="Times New Roman" w:cs="Times New Roman"/>
                <w:color w:val="000000"/>
                <w:sz w:val="24"/>
              </w:rPr>
              <w:t xml:space="preserve"> – Úrad podpredsedu vlády Slovenskej republiky pre Plán obnovy a znalostnú ekonomiku</w:t>
            </w:r>
          </w:p>
        </w:tc>
        <w:tc>
          <w:tcPr>
            <w:tcW w:w="0" w:type="auto"/>
          </w:tcPr>
          <w:p w14:paraId="49D6B5A8"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4D03C3D3"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247C4EAB" w14:textId="77777777" w:rsidR="00421B59" w:rsidRDefault="00421B59">
            <w:pPr>
              <w:spacing w:after="0"/>
              <w:jc w:val="center"/>
            </w:pPr>
          </w:p>
        </w:tc>
        <w:tc>
          <w:tcPr>
            <w:tcW w:w="0" w:type="auto"/>
          </w:tcPr>
          <w:p w14:paraId="4FE2C7DE" w14:textId="77777777" w:rsidR="00421B59" w:rsidRDefault="00000000">
            <w:pPr>
              <w:spacing w:after="0"/>
              <w:jc w:val="center"/>
            </w:pPr>
            <w:r>
              <w:rPr>
                <w:rFonts w:ascii="Times New Roman" w:eastAsia="Times New Roman" w:hAnsi="Times New Roman" w:cs="Times New Roman"/>
                <w:color w:val="000000"/>
                <w:sz w:val="24"/>
              </w:rPr>
              <w:t>X</w:t>
            </w:r>
          </w:p>
        </w:tc>
      </w:tr>
      <w:tr w:rsidR="00421B59" w14:paraId="5A7C2BF8" w14:textId="77777777">
        <w:trPr>
          <w:trHeight w:val="648"/>
          <w:jc w:val="center"/>
        </w:trPr>
        <w:tc>
          <w:tcPr>
            <w:tcW w:w="0" w:type="auto"/>
          </w:tcPr>
          <w:p w14:paraId="7347C6D4" w14:textId="77777777" w:rsidR="00421B59" w:rsidRDefault="00000000">
            <w:pPr>
              <w:spacing w:after="0"/>
              <w:jc w:val="center"/>
            </w:pPr>
            <w:r>
              <w:rPr>
                <w:rFonts w:ascii="Times New Roman" w:eastAsia="Times New Roman" w:hAnsi="Times New Roman" w:cs="Times New Roman"/>
                <w:color w:val="000000"/>
                <w:sz w:val="24"/>
              </w:rPr>
              <w:t>46.</w:t>
            </w:r>
          </w:p>
        </w:tc>
        <w:tc>
          <w:tcPr>
            <w:tcW w:w="0" w:type="auto"/>
          </w:tcPr>
          <w:p w14:paraId="23A3A582" w14:textId="77777777" w:rsidR="00421B59" w:rsidRDefault="00000000">
            <w:pPr>
              <w:spacing w:after="0"/>
            </w:pPr>
            <w:r>
              <w:rPr>
                <w:rFonts w:ascii="Times New Roman" w:eastAsia="Times New Roman" w:hAnsi="Times New Roman" w:cs="Times New Roman"/>
                <w:b/>
                <w:color w:val="000000"/>
                <w:sz w:val="24"/>
              </w:rPr>
              <w:t>URSO</w:t>
            </w:r>
            <w:r>
              <w:rPr>
                <w:rFonts w:ascii="Times New Roman" w:eastAsia="Times New Roman" w:hAnsi="Times New Roman" w:cs="Times New Roman"/>
                <w:color w:val="000000"/>
                <w:sz w:val="24"/>
              </w:rPr>
              <w:t xml:space="preserve"> – Úrad pre reguláciu sieťových odvetví</w:t>
            </w:r>
          </w:p>
        </w:tc>
        <w:tc>
          <w:tcPr>
            <w:tcW w:w="0" w:type="auto"/>
          </w:tcPr>
          <w:p w14:paraId="581134AE"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271EE9DA"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67FE2696" w14:textId="77777777" w:rsidR="00421B59" w:rsidRDefault="00421B59">
            <w:pPr>
              <w:spacing w:after="0"/>
              <w:jc w:val="center"/>
            </w:pPr>
          </w:p>
        </w:tc>
        <w:tc>
          <w:tcPr>
            <w:tcW w:w="0" w:type="auto"/>
          </w:tcPr>
          <w:p w14:paraId="1C1B32E5" w14:textId="77777777" w:rsidR="00421B59" w:rsidRDefault="00000000">
            <w:pPr>
              <w:spacing w:after="0"/>
              <w:jc w:val="center"/>
            </w:pPr>
            <w:r>
              <w:rPr>
                <w:rFonts w:ascii="Times New Roman" w:eastAsia="Times New Roman" w:hAnsi="Times New Roman" w:cs="Times New Roman"/>
                <w:color w:val="000000"/>
                <w:sz w:val="24"/>
              </w:rPr>
              <w:t>X</w:t>
            </w:r>
          </w:p>
        </w:tc>
      </w:tr>
      <w:tr w:rsidR="00421B59" w14:paraId="42D27534" w14:textId="77777777">
        <w:trPr>
          <w:trHeight w:val="648"/>
          <w:jc w:val="center"/>
        </w:trPr>
        <w:tc>
          <w:tcPr>
            <w:tcW w:w="0" w:type="auto"/>
          </w:tcPr>
          <w:p w14:paraId="68AFAC72" w14:textId="77777777" w:rsidR="00421B59" w:rsidRDefault="00000000">
            <w:pPr>
              <w:spacing w:after="0"/>
              <w:jc w:val="center"/>
            </w:pPr>
            <w:r>
              <w:rPr>
                <w:rFonts w:ascii="Times New Roman" w:eastAsia="Times New Roman" w:hAnsi="Times New Roman" w:cs="Times New Roman"/>
                <w:color w:val="000000"/>
                <w:sz w:val="24"/>
              </w:rPr>
              <w:t>47.</w:t>
            </w:r>
          </w:p>
        </w:tc>
        <w:tc>
          <w:tcPr>
            <w:tcW w:w="0" w:type="auto"/>
          </w:tcPr>
          <w:p w14:paraId="36778C13" w14:textId="77777777" w:rsidR="00421B59" w:rsidRDefault="00000000">
            <w:pPr>
              <w:spacing w:after="0"/>
            </w:pPr>
            <w:r>
              <w:rPr>
                <w:rFonts w:ascii="Times New Roman" w:eastAsia="Times New Roman" w:hAnsi="Times New Roman" w:cs="Times New Roman"/>
                <w:b/>
                <w:color w:val="000000"/>
                <w:sz w:val="24"/>
              </w:rPr>
              <w:t>UpUPaVSR</w:t>
            </w:r>
            <w:r>
              <w:rPr>
                <w:rFonts w:ascii="Times New Roman" w:eastAsia="Times New Roman" w:hAnsi="Times New Roman" w:cs="Times New Roman"/>
                <w:color w:val="000000"/>
                <w:sz w:val="24"/>
              </w:rPr>
              <w:t xml:space="preserve"> – Úrad pre územné plánovanie a výstavbu Slovenskej republiky</w:t>
            </w:r>
          </w:p>
        </w:tc>
        <w:tc>
          <w:tcPr>
            <w:tcW w:w="0" w:type="auto"/>
          </w:tcPr>
          <w:p w14:paraId="234575A4"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3ABEEC05"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497154AE" w14:textId="77777777" w:rsidR="00421B59" w:rsidRDefault="00421B59">
            <w:pPr>
              <w:spacing w:after="0"/>
              <w:jc w:val="center"/>
            </w:pPr>
          </w:p>
        </w:tc>
        <w:tc>
          <w:tcPr>
            <w:tcW w:w="0" w:type="auto"/>
          </w:tcPr>
          <w:p w14:paraId="1BCA8163" w14:textId="77777777" w:rsidR="00421B59" w:rsidRDefault="00000000">
            <w:pPr>
              <w:spacing w:after="0"/>
              <w:jc w:val="center"/>
            </w:pPr>
            <w:r>
              <w:rPr>
                <w:rFonts w:ascii="Times New Roman" w:eastAsia="Times New Roman" w:hAnsi="Times New Roman" w:cs="Times New Roman"/>
                <w:color w:val="000000"/>
                <w:sz w:val="24"/>
              </w:rPr>
              <w:t>X</w:t>
            </w:r>
          </w:p>
        </w:tc>
      </w:tr>
      <w:tr w:rsidR="00421B59" w14:paraId="575F8587" w14:textId="77777777">
        <w:trPr>
          <w:trHeight w:val="648"/>
          <w:jc w:val="center"/>
        </w:trPr>
        <w:tc>
          <w:tcPr>
            <w:tcW w:w="0" w:type="auto"/>
          </w:tcPr>
          <w:p w14:paraId="1EE7153F" w14:textId="77777777" w:rsidR="00421B59" w:rsidRDefault="00000000">
            <w:pPr>
              <w:spacing w:after="0"/>
              <w:jc w:val="center"/>
            </w:pPr>
            <w:r>
              <w:rPr>
                <w:rFonts w:ascii="Times New Roman" w:eastAsia="Times New Roman" w:hAnsi="Times New Roman" w:cs="Times New Roman"/>
                <w:color w:val="000000"/>
                <w:sz w:val="24"/>
              </w:rPr>
              <w:t>48.</w:t>
            </w:r>
          </w:p>
        </w:tc>
        <w:tc>
          <w:tcPr>
            <w:tcW w:w="0" w:type="auto"/>
          </w:tcPr>
          <w:p w14:paraId="2226E50F" w14:textId="77777777" w:rsidR="00421B59" w:rsidRDefault="00000000">
            <w:pPr>
              <w:spacing w:after="0"/>
            </w:pPr>
            <w:r>
              <w:rPr>
                <w:rFonts w:ascii="Times New Roman" w:eastAsia="Times New Roman" w:hAnsi="Times New Roman" w:cs="Times New Roman"/>
                <w:b/>
                <w:color w:val="000000"/>
                <w:sz w:val="24"/>
              </w:rPr>
              <w:t>Verejnosť</w:t>
            </w:r>
            <w:r>
              <w:rPr>
                <w:rFonts w:ascii="Times New Roman" w:eastAsia="Times New Roman" w:hAnsi="Times New Roman" w:cs="Times New Roman"/>
                <w:color w:val="000000"/>
                <w:sz w:val="24"/>
              </w:rPr>
              <w:t xml:space="preserve"> – Verejnosť</w:t>
            </w:r>
          </w:p>
        </w:tc>
        <w:tc>
          <w:tcPr>
            <w:tcW w:w="0" w:type="auto"/>
          </w:tcPr>
          <w:p w14:paraId="492E3BC0" w14:textId="77777777" w:rsidR="00421B59" w:rsidRDefault="00000000">
            <w:pPr>
              <w:spacing w:after="0"/>
              <w:jc w:val="center"/>
            </w:pPr>
            <w:r>
              <w:rPr>
                <w:rFonts w:ascii="Times New Roman" w:eastAsia="Times New Roman" w:hAnsi="Times New Roman" w:cs="Times New Roman"/>
                <w:color w:val="000000"/>
                <w:sz w:val="24"/>
              </w:rPr>
              <w:t>4 (4o, 0z)</w:t>
            </w:r>
          </w:p>
        </w:tc>
        <w:tc>
          <w:tcPr>
            <w:tcW w:w="0" w:type="auto"/>
          </w:tcPr>
          <w:p w14:paraId="0DB723A6"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45DF4430" w14:textId="77777777" w:rsidR="00421B59" w:rsidRDefault="00421B59">
            <w:pPr>
              <w:spacing w:after="0"/>
              <w:jc w:val="center"/>
            </w:pPr>
          </w:p>
        </w:tc>
        <w:tc>
          <w:tcPr>
            <w:tcW w:w="0" w:type="auto"/>
          </w:tcPr>
          <w:p w14:paraId="2147B7B6" w14:textId="77777777" w:rsidR="00421B59" w:rsidRDefault="00421B59">
            <w:pPr>
              <w:spacing w:after="0"/>
              <w:jc w:val="center"/>
            </w:pPr>
          </w:p>
        </w:tc>
      </w:tr>
      <w:tr w:rsidR="00421B59" w14:paraId="61964E7F" w14:textId="77777777">
        <w:trPr>
          <w:trHeight w:val="648"/>
          <w:jc w:val="center"/>
        </w:trPr>
        <w:tc>
          <w:tcPr>
            <w:tcW w:w="0" w:type="auto"/>
          </w:tcPr>
          <w:p w14:paraId="06925FAB" w14:textId="77777777" w:rsidR="00421B59" w:rsidRDefault="00000000">
            <w:pPr>
              <w:spacing w:after="0"/>
              <w:jc w:val="center"/>
            </w:pPr>
            <w:r>
              <w:rPr>
                <w:rFonts w:ascii="Times New Roman" w:eastAsia="Times New Roman" w:hAnsi="Times New Roman" w:cs="Times New Roman"/>
                <w:color w:val="000000"/>
                <w:sz w:val="24"/>
              </w:rPr>
              <w:t>49.</w:t>
            </w:r>
          </w:p>
        </w:tc>
        <w:tc>
          <w:tcPr>
            <w:tcW w:w="0" w:type="auto"/>
          </w:tcPr>
          <w:p w14:paraId="386CCB82" w14:textId="77777777" w:rsidR="00421B59" w:rsidRDefault="00000000">
            <w:pPr>
              <w:spacing w:after="0"/>
            </w:pPr>
            <w:r>
              <w:rPr>
                <w:rFonts w:ascii="Times New Roman" w:eastAsia="Times New Roman" w:hAnsi="Times New Roman" w:cs="Times New Roman"/>
                <w:b/>
                <w:color w:val="000000"/>
                <w:sz w:val="24"/>
              </w:rPr>
              <w:t>ZMOS</w:t>
            </w:r>
            <w:r>
              <w:rPr>
                <w:rFonts w:ascii="Times New Roman" w:eastAsia="Times New Roman" w:hAnsi="Times New Roman" w:cs="Times New Roman"/>
                <w:color w:val="000000"/>
                <w:sz w:val="24"/>
              </w:rPr>
              <w:t xml:space="preserve"> – Združenie miest a obcí Slovenska</w:t>
            </w:r>
          </w:p>
        </w:tc>
        <w:tc>
          <w:tcPr>
            <w:tcW w:w="0" w:type="auto"/>
          </w:tcPr>
          <w:p w14:paraId="40C81065"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5629C82F"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1BF19695" w14:textId="77777777" w:rsidR="00421B59" w:rsidRDefault="00421B59">
            <w:pPr>
              <w:spacing w:after="0"/>
              <w:jc w:val="center"/>
            </w:pPr>
          </w:p>
        </w:tc>
        <w:tc>
          <w:tcPr>
            <w:tcW w:w="0" w:type="auto"/>
          </w:tcPr>
          <w:p w14:paraId="1E2A8E00" w14:textId="77777777" w:rsidR="00421B59" w:rsidRDefault="00000000">
            <w:pPr>
              <w:spacing w:after="0"/>
              <w:jc w:val="center"/>
            </w:pPr>
            <w:r>
              <w:rPr>
                <w:rFonts w:ascii="Times New Roman" w:eastAsia="Times New Roman" w:hAnsi="Times New Roman" w:cs="Times New Roman"/>
                <w:color w:val="000000"/>
                <w:sz w:val="24"/>
              </w:rPr>
              <w:t>X</w:t>
            </w:r>
          </w:p>
        </w:tc>
      </w:tr>
      <w:tr w:rsidR="00421B59" w14:paraId="2B576C8A" w14:textId="77777777">
        <w:trPr>
          <w:trHeight w:val="648"/>
          <w:jc w:val="center"/>
        </w:trPr>
        <w:tc>
          <w:tcPr>
            <w:tcW w:w="0" w:type="auto"/>
          </w:tcPr>
          <w:p w14:paraId="5E4E3653" w14:textId="77777777" w:rsidR="00421B59" w:rsidRDefault="00000000">
            <w:pPr>
              <w:spacing w:after="0"/>
              <w:jc w:val="center"/>
            </w:pPr>
            <w:r>
              <w:rPr>
                <w:rFonts w:ascii="Times New Roman" w:eastAsia="Times New Roman" w:hAnsi="Times New Roman" w:cs="Times New Roman"/>
                <w:color w:val="000000"/>
                <w:sz w:val="24"/>
              </w:rPr>
              <w:t>50.</w:t>
            </w:r>
          </w:p>
        </w:tc>
        <w:tc>
          <w:tcPr>
            <w:tcW w:w="0" w:type="auto"/>
          </w:tcPr>
          <w:p w14:paraId="79870656" w14:textId="77777777" w:rsidR="00421B59" w:rsidRDefault="00000000">
            <w:pPr>
              <w:spacing w:after="0"/>
            </w:pPr>
            <w:r>
              <w:rPr>
                <w:rFonts w:ascii="Times New Roman" w:eastAsia="Times New Roman" w:hAnsi="Times New Roman" w:cs="Times New Roman"/>
                <w:b/>
                <w:color w:val="000000"/>
                <w:sz w:val="24"/>
              </w:rPr>
              <w:t>hlavné mesto</w:t>
            </w:r>
            <w:r>
              <w:rPr>
                <w:rFonts w:ascii="Times New Roman" w:eastAsia="Times New Roman" w:hAnsi="Times New Roman" w:cs="Times New Roman"/>
                <w:color w:val="000000"/>
                <w:sz w:val="24"/>
              </w:rPr>
              <w:t xml:space="preserve"> – Hlavné mesto Slovenskej republiky Bratislava</w:t>
            </w:r>
          </w:p>
        </w:tc>
        <w:tc>
          <w:tcPr>
            <w:tcW w:w="0" w:type="auto"/>
          </w:tcPr>
          <w:p w14:paraId="4C0AF891"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5BEEBF18"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7125F58D" w14:textId="77777777" w:rsidR="00421B59" w:rsidRDefault="00421B59">
            <w:pPr>
              <w:spacing w:after="0"/>
              <w:jc w:val="center"/>
            </w:pPr>
          </w:p>
        </w:tc>
        <w:tc>
          <w:tcPr>
            <w:tcW w:w="0" w:type="auto"/>
          </w:tcPr>
          <w:p w14:paraId="584A0966" w14:textId="77777777" w:rsidR="00421B59" w:rsidRDefault="00000000">
            <w:pPr>
              <w:spacing w:after="0"/>
              <w:jc w:val="center"/>
            </w:pPr>
            <w:r>
              <w:rPr>
                <w:rFonts w:ascii="Times New Roman" w:eastAsia="Times New Roman" w:hAnsi="Times New Roman" w:cs="Times New Roman"/>
                <w:color w:val="000000"/>
                <w:sz w:val="24"/>
              </w:rPr>
              <w:t>X</w:t>
            </w:r>
          </w:p>
        </w:tc>
      </w:tr>
      <w:tr w:rsidR="00421B59" w14:paraId="2E773F80" w14:textId="77777777">
        <w:trPr>
          <w:trHeight w:val="648"/>
          <w:jc w:val="center"/>
        </w:trPr>
        <w:tc>
          <w:tcPr>
            <w:tcW w:w="0" w:type="auto"/>
          </w:tcPr>
          <w:p w14:paraId="53EBC5D8" w14:textId="77777777" w:rsidR="00421B59" w:rsidRDefault="00000000">
            <w:pPr>
              <w:spacing w:after="0"/>
              <w:jc w:val="center"/>
            </w:pPr>
            <w:r>
              <w:rPr>
                <w:rFonts w:ascii="Times New Roman" w:eastAsia="Times New Roman" w:hAnsi="Times New Roman" w:cs="Times New Roman"/>
                <w:color w:val="000000"/>
                <w:sz w:val="24"/>
              </w:rPr>
              <w:t>51.</w:t>
            </w:r>
          </w:p>
        </w:tc>
        <w:tc>
          <w:tcPr>
            <w:tcW w:w="0" w:type="auto"/>
          </w:tcPr>
          <w:p w14:paraId="1711D5E6" w14:textId="77777777" w:rsidR="00421B59" w:rsidRDefault="00000000">
            <w:pPr>
              <w:spacing w:after="0"/>
            </w:pPr>
            <w:r>
              <w:rPr>
                <w:rFonts w:ascii="Times New Roman" w:eastAsia="Times New Roman" w:hAnsi="Times New Roman" w:cs="Times New Roman"/>
                <w:b/>
                <w:color w:val="000000"/>
                <w:sz w:val="24"/>
              </w:rPr>
              <w:t>ÚDZS</w:t>
            </w:r>
            <w:r>
              <w:rPr>
                <w:rFonts w:ascii="Times New Roman" w:eastAsia="Times New Roman" w:hAnsi="Times New Roman" w:cs="Times New Roman"/>
                <w:color w:val="000000"/>
                <w:sz w:val="24"/>
              </w:rPr>
              <w:t xml:space="preserve"> – Úrad pre dohľad nad zdravotnou starostlivosťou</w:t>
            </w:r>
          </w:p>
        </w:tc>
        <w:tc>
          <w:tcPr>
            <w:tcW w:w="0" w:type="auto"/>
          </w:tcPr>
          <w:p w14:paraId="224797A5"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2F916C89"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78FD8434" w14:textId="77777777" w:rsidR="00421B59" w:rsidRDefault="00421B59">
            <w:pPr>
              <w:spacing w:after="0"/>
              <w:jc w:val="center"/>
            </w:pPr>
          </w:p>
        </w:tc>
        <w:tc>
          <w:tcPr>
            <w:tcW w:w="0" w:type="auto"/>
          </w:tcPr>
          <w:p w14:paraId="30C5C730" w14:textId="77777777" w:rsidR="00421B59" w:rsidRDefault="00000000">
            <w:pPr>
              <w:spacing w:after="0"/>
              <w:jc w:val="center"/>
            </w:pPr>
            <w:r>
              <w:rPr>
                <w:rFonts w:ascii="Times New Roman" w:eastAsia="Times New Roman" w:hAnsi="Times New Roman" w:cs="Times New Roman"/>
                <w:color w:val="000000"/>
                <w:sz w:val="24"/>
              </w:rPr>
              <w:t>X</w:t>
            </w:r>
          </w:p>
        </w:tc>
      </w:tr>
      <w:tr w:rsidR="00421B59" w14:paraId="4B833B7F" w14:textId="77777777">
        <w:trPr>
          <w:trHeight w:val="648"/>
          <w:jc w:val="center"/>
        </w:trPr>
        <w:tc>
          <w:tcPr>
            <w:tcW w:w="0" w:type="auto"/>
          </w:tcPr>
          <w:p w14:paraId="2FCBDAC8" w14:textId="77777777" w:rsidR="00421B59" w:rsidRDefault="00000000">
            <w:pPr>
              <w:spacing w:after="0"/>
              <w:jc w:val="center"/>
            </w:pPr>
            <w:r>
              <w:rPr>
                <w:rFonts w:ascii="Times New Roman" w:eastAsia="Times New Roman" w:hAnsi="Times New Roman" w:cs="Times New Roman"/>
                <w:color w:val="000000"/>
                <w:sz w:val="24"/>
              </w:rPr>
              <w:t>52.</w:t>
            </w:r>
          </w:p>
        </w:tc>
        <w:tc>
          <w:tcPr>
            <w:tcW w:w="0" w:type="auto"/>
          </w:tcPr>
          <w:p w14:paraId="3A94F6DC" w14:textId="77777777" w:rsidR="00421B59" w:rsidRDefault="00000000">
            <w:pPr>
              <w:spacing w:after="0"/>
            </w:pPr>
            <w:r>
              <w:rPr>
                <w:rFonts w:ascii="Times New Roman" w:eastAsia="Times New Roman" w:hAnsi="Times New Roman" w:cs="Times New Roman"/>
                <w:b/>
                <w:color w:val="000000"/>
                <w:sz w:val="24"/>
              </w:rPr>
              <w:t>ÚGKKSR</w:t>
            </w:r>
            <w:r>
              <w:rPr>
                <w:rFonts w:ascii="Times New Roman" w:eastAsia="Times New Roman" w:hAnsi="Times New Roman" w:cs="Times New Roman"/>
                <w:color w:val="000000"/>
                <w:sz w:val="24"/>
              </w:rPr>
              <w:t xml:space="preserve"> – Úrad geodézie, kartografie a katastra Slovenskej republiky</w:t>
            </w:r>
          </w:p>
        </w:tc>
        <w:tc>
          <w:tcPr>
            <w:tcW w:w="0" w:type="auto"/>
          </w:tcPr>
          <w:p w14:paraId="7FCF2558"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48D88F7D"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37058541" w14:textId="77777777" w:rsidR="00421B59" w:rsidRDefault="00000000">
            <w:pPr>
              <w:spacing w:after="0"/>
              <w:jc w:val="center"/>
            </w:pPr>
            <w:r>
              <w:rPr>
                <w:rFonts w:ascii="Times New Roman" w:eastAsia="Times New Roman" w:hAnsi="Times New Roman" w:cs="Times New Roman"/>
                <w:color w:val="000000"/>
                <w:sz w:val="24"/>
              </w:rPr>
              <w:t>X</w:t>
            </w:r>
          </w:p>
        </w:tc>
        <w:tc>
          <w:tcPr>
            <w:tcW w:w="0" w:type="auto"/>
          </w:tcPr>
          <w:p w14:paraId="69D5D618" w14:textId="77777777" w:rsidR="00421B59" w:rsidRDefault="00421B59">
            <w:pPr>
              <w:spacing w:after="0"/>
              <w:jc w:val="center"/>
            </w:pPr>
          </w:p>
        </w:tc>
      </w:tr>
      <w:tr w:rsidR="00421B59" w14:paraId="051FE8EA" w14:textId="77777777">
        <w:trPr>
          <w:trHeight w:val="648"/>
          <w:jc w:val="center"/>
        </w:trPr>
        <w:tc>
          <w:tcPr>
            <w:tcW w:w="0" w:type="auto"/>
          </w:tcPr>
          <w:p w14:paraId="048E5CBE" w14:textId="77777777" w:rsidR="00421B59" w:rsidRDefault="00000000">
            <w:pPr>
              <w:spacing w:after="0"/>
              <w:jc w:val="center"/>
            </w:pPr>
            <w:r>
              <w:rPr>
                <w:rFonts w:ascii="Times New Roman" w:eastAsia="Times New Roman" w:hAnsi="Times New Roman" w:cs="Times New Roman"/>
                <w:color w:val="000000"/>
                <w:sz w:val="24"/>
              </w:rPr>
              <w:t>53.</w:t>
            </w:r>
          </w:p>
        </w:tc>
        <w:tc>
          <w:tcPr>
            <w:tcW w:w="0" w:type="auto"/>
          </w:tcPr>
          <w:p w14:paraId="6488A430" w14:textId="77777777" w:rsidR="00421B59" w:rsidRDefault="00000000">
            <w:pPr>
              <w:spacing w:after="0"/>
            </w:pPr>
            <w:r>
              <w:rPr>
                <w:rFonts w:ascii="Times New Roman" w:eastAsia="Times New Roman" w:hAnsi="Times New Roman" w:cs="Times New Roman"/>
                <w:b/>
                <w:color w:val="000000"/>
                <w:sz w:val="24"/>
              </w:rPr>
              <w:t>ÚJDSR</w:t>
            </w:r>
            <w:r>
              <w:rPr>
                <w:rFonts w:ascii="Times New Roman" w:eastAsia="Times New Roman" w:hAnsi="Times New Roman" w:cs="Times New Roman"/>
                <w:color w:val="000000"/>
                <w:sz w:val="24"/>
              </w:rPr>
              <w:t xml:space="preserve"> – Úrad jadrového dozoru Slovenskej republiky</w:t>
            </w:r>
          </w:p>
        </w:tc>
        <w:tc>
          <w:tcPr>
            <w:tcW w:w="0" w:type="auto"/>
          </w:tcPr>
          <w:p w14:paraId="690FA3FF"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18135052"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37FD15BC" w14:textId="77777777" w:rsidR="00421B59" w:rsidRDefault="00000000">
            <w:pPr>
              <w:spacing w:after="0"/>
              <w:jc w:val="center"/>
            </w:pPr>
            <w:r>
              <w:rPr>
                <w:rFonts w:ascii="Times New Roman" w:eastAsia="Times New Roman" w:hAnsi="Times New Roman" w:cs="Times New Roman"/>
                <w:color w:val="000000"/>
                <w:sz w:val="24"/>
              </w:rPr>
              <w:t>X</w:t>
            </w:r>
          </w:p>
        </w:tc>
        <w:tc>
          <w:tcPr>
            <w:tcW w:w="0" w:type="auto"/>
          </w:tcPr>
          <w:p w14:paraId="03378CC4" w14:textId="77777777" w:rsidR="00421B59" w:rsidRDefault="00421B59">
            <w:pPr>
              <w:spacing w:after="0"/>
              <w:jc w:val="center"/>
            </w:pPr>
          </w:p>
        </w:tc>
      </w:tr>
      <w:tr w:rsidR="00421B59" w14:paraId="0D8F278A" w14:textId="77777777">
        <w:trPr>
          <w:trHeight w:val="648"/>
          <w:jc w:val="center"/>
        </w:trPr>
        <w:tc>
          <w:tcPr>
            <w:tcW w:w="0" w:type="auto"/>
          </w:tcPr>
          <w:p w14:paraId="343704D8" w14:textId="77777777" w:rsidR="00421B59" w:rsidRDefault="00000000">
            <w:pPr>
              <w:spacing w:after="0"/>
              <w:jc w:val="center"/>
            </w:pPr>
            <w:r>
              <w:rPr>
                <w:rFonts w:ascii="Times New Roman" w:eastAsia="Times New Roman" w:hAnsi="Times New Roman" w:cs="Times New Roman"/>
                <w:color w:val="000000"/>
                <w:sz w:val="24"/>
              </w:rPr>
              <w:t>54.</w:t>
            </w:r>
          </w:p>
        </w:tc>
        <w:tc>
          <w:tcPr>
            <w:tcW w:w="0" w:type="auto"/>
          </w:tcPr>
          <w:p w14:paraId="3DC1A6E7" w14:textId="77777777" w:rsidR="00421B59" w:rsidRDefault="00000000">
            <w:pPr>
              <w:spacing w:after="0"/>
            </w:pPr>
            <w:r>
              <w:rPr>
                <w:rFonts w:ascii="Times New Roman" w:eastAsia="Times New Roman" w:hAnsi="Times New Roman" w:cs="Times New Roman"/>
                <w:b/>
                <w:color w:val="000000"/>
                <w:sz w:val="24"/>
              </w:rPr>
              <w:t>ÚMS</w:t>
            </w:r>
            <w:r>
              <w:rPr>
                <w:rFonts w:ascii="Times New Roman" w:eastAsia="Times New Roman" w:hAnsi="Times New Roman" w:cs="Times New Roman"/>
                <w:color w:val="000000"/>
                <w:sz w:val="24"/>
              </w:rPr>
              <w:t xml:space="preserve"> – Únia miest Slovenska</w:t>
            </w:r>
          </w:p>
        </w:tc>
        <w:tc>
          <w:tcPr>
            <w:tcW w:w="0" w:type="auto"/>
          </w:tcPr>
          <w:p w14:paraId="492CD1B5"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5775F08F"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629A75B0" w14:textId="77777777" w:rsidR="00421B59" w:rsidRDefault="00421B59">
            <w:pPr>
              <w:spacing w:after="0"/>
              <w:jc w:val="center"/>
            </w:pPr>
          </w:p>
        </w:tc>
        <w:tc>
          <w:tcPr>
            <w:tcW w:w="0" w:type="auto"/>
          </w:tcPr>
          <w:p w14:paraId="5AA1D5AD" w14:textId="77777777" w:rsidR="00421B59" w:rsidRDefault="00000000">
            <w:pPr>
              <w:spacing w:after="0"/>
              <w:jc w:val="center"/>
            </w:pPr>
            <w:r>
              <w:rPr>
                <w:rFonts w:ascii="Times New Roman" w:eastAsia="Times New Roman" w:hAnsi="Times New Roman" w:cs="Times New Roman"/>
                <w:color w:val="000000"/>
                <w:sz w:val="24"/>
              </w:rPr>
              <w:t>X</w:t>
            </w:r>
          </w:p>
        </w:tc>
      </w:tr>
      <w:tr w:rsidR="00421B59" w14:paraId="15CE6500" w14:textId="77777777">
        <w:trPr>
          <w:trHeight w:val="648"/>
          <w:jc w:val="center"/>
        </w:trPr>
        <w:tc>
          <w:tcPr>
            <w:tcW w:w="0" w:type="auto"/>
          </w:tcPr>
          <w:p w14:paraId="47EC9CDE" w14:textId="77777777" w:rsidR="00421B59" w:rsidRDefault="00000000">
            <w:pPr>
              <w:spacing w:after="0"/>
              <w:jc w:val="center"/>
            </w:pPr>
            <w:r>
              <w:rPr>
                <w:rFonts w:ascii="Times New Roman" w:eastAsia="Times New Roman" w:hAnsi="Times New Roman" w:cs="Times New Roman"/>
                <w:color w:val="000000"/>
                <w:sz w:val="24"/>
              </w:rPr>
              <w:t>55.</w:t>
            </w:r>
          </w:p>
        </w:tc>
        <w:tc>
          <w:tcPr>
            <w:tcW w:w="0" w:type="auto"/>
          </w:tcPr>
          <w:p w14:paraId="5B4AD247" w14:textId="77777777" w:rsidR="00421B59" w:rsidRDefault="00000000">
            <w:pPr>
              <w:spacing w:after="0"/>
            </w:pPr>
            <w:r>
              <w:rPr>
                <w:rFonts w:ascii="Times New Roman" w:eastAsia="Times New Roman" w:hAnsi="Times New Roman" w:cs="Times New Roman"/>
                <w:b/>
                <w:color w:val="000000"/>
                <w:sz w:val="24"/>
              </w:rPr>
              <w:t>ÚNMSSR</w:t>
            </w:r>
            <w:r>
              <w:rPr>
                <w:rFonts w:ascii="Times New Roman" w:eastAsia="Times New Roman" w:hAnsi="Times New Roman" w:cs="Times New Roman"/>
                <w:color w:val="000000"/>
                <w:sz w:val="24"/>
              </w:rPr>
              <w:t xml:space="preserve"> – Úrad pre normalizáciu,  metrológiu a skúšobníctvo Slovenskej republiky</w:t>
            </w:r>
          </w:p>
        </w:tc>
        <w:tc>
          <w:tcPr>
            <w:tcW w:w="0" w:type="auto"/>
          </w:tcPr>
          <w:p w14:paraId="6071E1A1"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0BE9D6A7"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24DC6D22" w14:textId="77777777" w:rsidR="00421B59" w:rsidRDefault="00000000">
            <w:pPr>
              <w:spacing w:after="0"/>
              <w:jc w:val="center"/>
            </w:pPr>
            <w:r>
              <w:rPr>
                <w:rFonts w:ascii="Times New Roman" w:eastAsia="Times New Roman" w:hAnsi="Times New Roman" w:cs="Times New Roman"/>
                <w:color w:val="000000"/>
                <w:sz w:val="24"/>
              </w:rPr>
              <w:t>X</w:t>
            </w:r>
          </w:p>
        </w:tc>
        <w:tc>
          <w:tcPr>
            <w:tcW w:w="0" w:type="auto"/>
          </w:tcPr>
          <w:p w14:paraId="37536820" w14:textId="77777777" w:rsidR="00421B59" w:rsidRDefault="00421B59">
            <w:pPr>
              <w:spacing w:after="0"/>
              <w:jc w:val="center"/>
            </w:pPr>
          </w:p>
        </w:tc>
      </w:tr>
      <w:tr w:rsidR="00421B59" w14:paraId="003B8CDC" w14:textId="77777777">
        <w:trPr>
          <w:trHeight w:val="648"/>
          <w:jc w:val="center"/>
        </w:trPr>
        <w:tc>
          <w:tcPr>
            <w:tcW w:w="0" w:type="auto"/>
          </w:tcPr>
          <w:p w14:paraId="2A056E85" w14:textId="77777777" w:rsidR="00421B59" w:rsidRDefault="00000000">
            <w:pPr>
              <w:spacing w:after="0"/>
              <w:jc w:val="center"/>
            </w:pPr>
            <w:r>
              <w:rPr>
                <w:rFonts w:ascii="Times New Roman" w:eastAsia="Times New Roman" w:hAnsi="Times New Roman" w:cs="Times New Roman"/>
                <w:color w:val="000000"/>
                <w:sz w:val="24"/>
              </w:rPr>
              <w:lastRenderedPageBreak/>
              <w:t>56.</w:t>
            </w:r>
          </w:p>
        </w:tc>
        <w:tc>
          <w:tcPr>
            <w:tcW w:w="0" w:type="auto"/>
          </w:tcPr>
          <w:p w14:paraId="2D6D9CAA" w14:textId="77777777" w:rsidR="00421B59" w:rsidRDefault="00000000">
            <w:pPr>
              <w:spacing w:after="0"/>
            </w:pPr>
            <w:r>
              <w:rPr>
                <w:rFonts w:ascii="Times New Roman" w:eastAsia="Times New Roman" w:hAnsi="Times New Roman" w:cs="Times New Roman"/>
                <w:b/>
                <w:color w:val="000000"/>
                <w:sz w:val="24"/>
              </w:rPr>
              <w:t>ÚPVSR</w:t>
            </w:r>
            <w:r>
              <w:rPr>
                <w:rFonts w:ascii="Times New Roman" w:eastAsia="Times New Roman" w:hAnsi="Times New Roman" w:cs="Times New Roman"/>
                <w:color w:val="000000"/>
                <w:sz w:val="24"/>
              </w:rPr>
              <w:t xml:space="preserve"> – Úrad priemyselného vlastníctva Slovenskej republiky</w:t>
            </w:r>
          </w:p>
        </w:tc>
        <w:tc>
          <w:tcPr>
            <w:tcW w:w="0" w:type="auto"/>
          </w:tcPr>
          <w:p w14:paraId="611FF003"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21477D28"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4E9927BF" w14:textId="77777777" w:rsidR="00421B59" w:rsidRDefault="00000000">
            <w:pPr>
              <w:spacing w:after="0"/>
              <w:jc w:val="center"/>
            </w:pPr>
            <w:r>
              <w:rPr>
                <w:rFonts w:ascii="Times New Roman" w:eastAsia="Times New Roman" w:hAnsi="Times New Roman" w:cs="Times New Roman"/>
                <w:color w:val="000000"/>
                <w:sz w:val="24"/>
              </w:rPr>
              <w:t>X</w:t>
            </w:r>
          </w:p>
        </w:tc>
        <w:tc>
          <w:tcPr>
            <w:tcW w:w="0" w:type="auto"/>
          </w:tcPr>
          <w:p w14:paraId="64969769" w14:textId="77777777" w:rsidR="00421B59" w:rsidRDefault="00421B59">
            <w:pPr>
              <w:spacing w:after="0"/>
              <w:jc w:val="center"/>
            </w:pPr>
          </w:p>
        </w:tc>
      </w:tr>
      <w:tr w:rsidR="00421B59" w14:paraId="4D78C39E" w14:textId="77777777">
        <w:trPr>
          <w:trHeight w:val="648"/>
          <w:jc w:val="center"/>
        </w:trPr>
        <w:tc>
          <w:tcPr>
            <w:tcW w:w="0" w:type="auto"/>
          </w:tcPr>
          <w:p w14:paraId="0797951D" w14:textId="77777777" w:rsidR="00421B59" w:rsidRDefault="00000000">
            <w:pPr>
              <w:spacing w:after="0"/>
              <w:jc w:val="center"/>
            </w:pPr>
            <w:r>
              <w:rPr>
                <w:rFonts w:ascii="Times New Roman" w:eastAsia="Times New Roman" w:hAnsi="Times New Roman" w:cs="Times New Roman"/>
                <w:color w:val="000000"/>
                <w:sz w:val="24"/>
              </w:rPr>
              <w:t>57.</w:t>
            </w:r>
          </w:p>
        </w:tc>
        <w:tc>
          <w:tcPr>
            <w:tcW w:w="0" w:type="auto"/>
          </w:tcPr>
          <w:p w14:paraId="5D402E0F" w14:textId="77777777" w:rsidR="00421B59" w:rsidRDefault="00000000">
            <w:pPr>
              <w:spacing w:after="0"/>
            </w:pPr>
            <w:r>
              <w:rPr>
                <w:rFonts w:ascii="Times New Roman" w:eastAsia="Times New Roman" w:hAnsi="Times New Roman" w:cs="Times New Roman"/>
                <w:b/>
                <w:color w:val="000000"/>
                <w:sz w:val="24"/>
              </w:rPr>
              <w:t>ÚVO</w:t>
            </w:r>
            <w:r>
              <w:rPr>
                <w:rFonts w:ascii="Times New Roman" w:eastAsia="Times New Roman" w:hAnsi="Times New Roman" w:cs="Times New Roman"/>
                <w:color w:val="000000"/>
                <w:sz w:val="24"/>
              </w:rPr>
              <w:t xml:space="preserve"> – Úrad pre verejné obstarávanie</w:t>
            </w:r>
          </w:p>
        </w:tc>
        <w:tc>
          <w:tcPr>
            <w:tcW w:w="0" w:type="auto"/>
          </w:tcPr>
          <w:p w14:paraId="0233EA55"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1CB170DC"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5E436151" w14:textId="77777777" w:rsidR="00421B59" w:rsidRDefault="00421B59">
            <w:pPr>
              <w:spacing w:after="0"/>
              <w:jc w:val="center"/>
            </w:pPr>
          </w:p>
        </w:tc>
        <w:tc>
          <w:tcPr>
            <w:tcW w:w="0" w:type="auto"/>
          </w:tcPr>
          <w:p w14:paraId="59F95683" w14:textId="77777777" w:rsidR="00421B59" w:rsidRDefault="00000000">
            <w:pPr>
              <w:spacing w:after="0"/>
              <w:jc w:val="center"/>
            </w:pPr>
            <w:r>
              <w:rPr>
                <w:rFonts w:ascii="Times New Roman" w:eastAsia="Times New Roman" w:hAnsi="Times New Roman" w:cs="Times New Roman"/>
                <w:color w:val="000000"/>
                <w:sz w:val="24"/>
              </w:rPr>
              <w:t>X</w:t>
            </w:r>
          </w:p>
        </w:tc>
      </w:tr>
      <w:tr w:rsidR="00421B59" w14:paraId="2B6432F9" w14:textId="77777777">
        <w:trPr>
          <w:trHeight w:val="648"/>
          <w:jc w:val="center"/>
        </w:trPr>
        <w:tc>
          <w:tcPr>
            <w:tcW w:w="0" w:type="auto"/>
          </w:tcPr>
          <w:p w14:paraId="2CF5710C" w14:textId="77777777" w:rsidR="00421B59" w:rsidRDefault="00000000">
            <w:pPr>
              <w:spacing w:after="0"/>
              <w:jc w:val="center"/>
            </w:pPr>
            <w:r>
              <w:rPr>
                <w:rFonts w:ascii="Times New Roman" w:eastAsia="Times New Roman" w:hAnsi="Times New Roman" w:cs="Times New Roman"/>
                <w:color w:val="000000"/>
                <w:sz w:val="24"/>
              </w:rPr>
              <w:t>58.</w:t>
            </w:r>
          </w:p>
        </w:tc>
        <w:tc>
          <w:tcPr>
            <w:tcW w:w="0" w:type="auto"/>
          </w:tcPr>
          <w:p w14:paraId="5EFE9B5F" w14:textId="77777777" w:rsidR="00421B59" w:rsidRDefault="00000000">
            <w:pPr>
              <w:spacing w:after="0"/>
            </w:pPr>
            <w:r>
              <w:rPr>
                <w:rFonts w:ascii="Times New Roman" w:eastAsia="Times New Roman" w:hAnsi="Times New Roman" w:cs="Times New Roman"/>
                <w:b/>
                <w:color w:val="000000"/>
                <w:sz w:val="24"/>
              </w:rPr>
              <w:t>ÚVSR</w:t>
            </w:r>
            <w:r>
              <w:rPr>
                <w:rFonts w:ascii="Times New Roman" w:eastAsia="Times New Roman" w:hAnsi="Times New Roman" w:cs="Times New Roman"/>
                <w:color w:val="000000"/>
                <w:sz w:val="24"/>
              </w:rPr>
              <w:t xml:space="preserve"> – Úrad vlády Slovenskej republiky</w:t>
            </w:r>
          </w:p>
        </w:tc>
        <w:tc>
          <w:tcPr>
            <w:tcW w:w="0" w:type="auto"/>
          </w:tcPr>
          <w:p w14:paraId="689B6653"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2CB15DB0"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2B63F31E" w14:textId="77777777" w:rsidR="00421B59" w:rsidRDefault="00421B59">
            <w:pPr>
              <w:spacing w:after="0"/>
              <w:jc w:val="center"/>
            </w:pPr>
          </w:p>
        </w:tc>
        <w:tc>
          <w:tcPr>
            <w:tcW w:w="0" w:type="auto"/>
          </w:tcPr>
          <w:p w14:paraId="347298FF" w14:textId="77777777" w:rsidR="00421B59" w:rsidRDefault="00000000">
            <w:pPr>
              <w:spacing w:after="0"/>
              <w:jc w:val="center"/>
            </w:pPr>
            <w:r>
              <w:rPr>
                <w:rFonts w:ascii="Times New Roman" w:eastAsia="Times New Roman" w:hAnsi="Times New Roman" w:cs="Times New Roman"/>
                <w:color w:val="000000"/>
                <w:sz w:val="24"/>
              </w:rPr>
              <w:t>X</w:t>
            </w:r>
          </w:p>
        </w:tc>
      </w:tr>
      <w:tr w:rsidR="00421B59" w14:paraId="7BF4E87B" w14:textId="77777777">
        <w:trPr>
          <w:trHeight w:val="648"/>
          <w:jc w:val="center"/>
        </w:trPr>
        <w:tc>
          <w:tcPr>
            <w:tcW w:w="0" w:type="auto"/>
          </w:tcPr>
          <w:p w14:paraId="3E04471C" w14:textId="77777777" w:rsidR="00421B59" w:rsidRDefault="00000000">
            <w:pPr>
              <w:spacing w:after="0"/>
              <w:jc w:val="center"/>
            </w:pPr>
            <w:r>
              <w:rPr>
                <w:rFonts w:ascii="Times New Roman" w:eastAsia="Times New Roman" w:hAnsi="Times New Roman" w:cs="Times New Roman"/>
                <w:color w:val="000000"/>
                <w:sz w:val="24"/>
              </w:rPr>
              <w:t>59.</w:t>
            </w:r>
          </w:p>
        </w:tc>
        <w:tc>
          <w:tcPr>
            <w:tcW w:w="0" w:type="auto"/>
          </w:tcPr>
          <w:p w14:paraId="4528D00B" w14:textId="77777777" w:rsidR="00421B59" w:rsidRDefault="00000000">
            <w:pPr>
              <w:spacing w:after="0"/>
            </w:pPr>
            <w:r>
              <w:rPr>
                <w:rFonts w:ascii="Times New Roman" w:eastAsia="Times New Roman" w:hAnsi="Times New Roman" w:cs="Times New Roman"/>
                <w:b/>
                <w:color w:val="000000"/>
                <w:sz w:val="24"/>
              </w:rPr>
              <w:t>Ústavný súd SR</w:t>
            </w:r>
            <w:r>
              <w:rPr>
                <w:rFonts w:ascii="Times New Roman" w:eastAsia="Times New Roman" w:hAnsi="Times New Roman" w:cs="Times New Roman"/>
                <w:color w:val="000000"/>
                <w:sz w:val="24"/>
              </w:rPr>
              <w:t xml:space="preserve"> – Kancelária Ústavného súdu Slovenskej republiky</w:t>
            </w:r>
          </w:p>
        </w:tc>
        <w:tc>
          <w:tcPr>
            <w:tcW w:w="0" w:type="auto"/>
          </w:tcPr>
          <w:p w14:paraId="49C20BCA"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344B1D66"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40B3A3CD" w14:textId="77777777" w:rsidR="00421B59" w:rsidRDefault="00421B59">
            <w:pPr>
              <w:spacing w:after="0"/>
              <w:jc w:val="center"/>
            </w:pPr>
          </w:p>
        </w:tc>
        <w:tc>
          <w:tcPr>
            <w:tcW w:w="0" w:type="auto"/>
          </w:tcPr>
          <w:p w14:paraId="469FCFD5" w14:textId="77777777" w:rsidR="00421B59" w:rsidRDefault="00000000">
            <w:pPr>
              <w:spacing w:after="0"/>
              <w:jc w:val="center"/>
            </w:pPr>
            <w:r>
              <w:rPr>
                <w:rFonts w:ascii="Times New Roman" w:eastAsia="Times New Roman" w:hAnsi="Times New Roman" w:cs="Times New Roman"/>
                <w:color w:val="000000"/>
                <w:sz w:val="24"/>
              </w:rPr>
              <w:t>X</w:t>
            </w:r>
          </w:p>
        </w:tc>
      </w:tr>
      <w:tr w:rsidR="00421B59" w14:paraId="2566CF85" w14:textId="77777777">
        <w:trPr>
          <w:trHeight w:val="648"/>
          <w:jc w:val="center"/>
        </w:trPr>
        <w:tc>
          <w:tcPr>
            <w:tcW w:w="0" w:type="auto"/>
          </w:tcPr>
          <w:p w14:paraId="7D87A92C" w14:textId="77777777" w:rsidR="00421B59" w:rsidRDefault="00000000">
            <w:pPr>
              <w:spacing w:after="0"/>
              <w:jc w:val="center"/>
            </w:pPr>
            <w:r>
              <w:rPr>
                <w:rFonts w:ascii="Times New Roman" w:eastAsia="Times New Roman" w:hAnsi="Times New Roman" w:cs="Times New Roman"/>
                <w:color w:val="000000"/>
                <w:sz w:val="24"/>
              </w:rPr>
              <w:t>60.</w:t>
            </w:r>
          </w:p>
        </w:tc>
        <w:tc>
          <w:tcPr>
            <w:tcW w:w="0" w:type="auto"/>
          </w:tcPr>
          <w:p w14:paraId="5871EBCD" w14:textId="77777777" w:rsidR="00421B59" w:rsidRDefault="00000000">
            <w:pPr>
              <w:spacing w:after="0"/>
            </w:pPr>
            <w:r>
              <w:rPr>
                <w:rFonts w:ascii="Times New Roman" w:eastAsia="Times New Roman" w:hAnsi="Times New Roman" w:cs="Times New Roman"/>
                <w:b/>
                <w:color w:val="000000"/>
                <w:sz w:val="24"/>
              </w:rPr>
              <w:t>ŠÚSR</w:t>
            </w:r>
            <w:r>
              <w:rPr>
                <w:rFonts w:ascii="Times New Roman" w:eastAsia="Times New Roman" w:hAnsi="Times New Roman" w:cs="Times New Roman"/>
                <w:color w:val="000000"/>
                <w:sz w:val="24"/>
              </w:rPr>
              <w:t xml:space="preserve"> – Štatistický úrad Slovenskej republiky</w:t>
            </w:r>
          </w:p>
        </w:tc>
        <w:tc>
          <w:tcPr>
            <w:tcW w:w="0" w:type="auto"/>
          </w:tcPr>
          <w:p w14:paraId="25700A31"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5643B0CC"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7DE26862" w14:textId="77777777" w:rsidR="00421B59" w:rsidRDefault="00000000">
            <w:pPr>
              <w:spacing w:after="0"/>
              <w:jc w:val="center"/>
            </w:pPr>
            <w:r>
              <w:rPr>
                <w:rFonts w:ascii="Times New Roman" w:eastAsia="Times New Roman" w:hAnsi="Times New Roman" w:cs="Times New Roman"/>
                <w:color w:val="000000"/>
                <w:sz w:val="24"/>
              </w:rPr>
              <w:t>X</w:t>
            </w:r>
          </w:p>
        </w:tc>
        <w:tc>
          <w:tcPr>
            <w:tcW w:w="0" w:type="auto"/>
          </w:tcPr>
          <w:p w14:paraId="71CB757A" w14:textId="77777777" w:rsidR="00421B59" w:rsidRDefault="00421B59">
            <w:pPr>
              <w:spacing w:after="0"/>
              <w:jc w:val="center"/>
            </w:pPr>
          </w:p>
        </w:tc>
      </w:tr>
      <w:tr w:rsidR="00421B59" w14:paraId="59CB8823" w14:textId="77777777">
        <w:trPr>
          <w:trHeight w:val="648"/>
          <w:jc w:val="center"/>
        </w:trPr>
        <w:tc>
          <w:tcPr>
            <w:tcW w:w="0" w:type="auto"/>
          </w:tcPr>
          <w:p w14:paraId="7433E114" w14:textId="77777777" w:rsidR="00421B59" w:rsidRDefault="00000000">
            <w:pPr>
              <w:spacing w:after="0"/>
              <w:jc w:val="center"/>
            </w:pPr>
            <w:r>
              <w:rPr>
                <w:rFonts w:ascii="Times New Roman" w:eastAsia="Times New Roman" w:hAnsi="Times New Roman" w:cs="Times New Roman"/>
                <w:color w:val="000000"/>
                <w:sz w:val="24"/>
              </w:rPr>
              <w:t>61.</w:t>
            </w:r>
          </w:p>
        </w:tc>
        <w:tc>
          <w:tcPr>
            <w:tcW w:w="0" w:type="auto"/>
          </w:tcPr>
          <w:p w14:paraId="054EAC36" w14:textId="77777777" w:rsidR="00421B59" w:rsidRDefault="00000000">
            <w:pPr>
              <w:spacing w:after="0"/>
            </w:pPr>
            <w:r>
              <w:rPr>
                <w:rFonts w:ascii="Times New Roman" w:eastAsia="Times New Roman" w:hAnsi="Times New Roman" w:cs="Times New Roman"/>
                <w:b/>
                <w:color w:val="000000"/>
                <w:sz w:val="24"/>
              </w:rPr>
              <w:t>ŽSK</w:t>
            </w:r>
            <w:r>
              <w:rPr>
                <w:rFonts w:ascii="Times New Roman" w:eastAsia="Times New Roman" w:hAnsi="Times New Roman" w:cs="Times New Roman"/>
                <w:color w:val="000000"/>
                <w:sz w:val="24"/>
              </w:rPr>
              <w:t xml:space="preserve"> – Žilinský samosprávny kraj</w:t>
            </w:r>
          </w:p>
        </w:tc>
        <w:tc>
          <w:tcPr>
            <w:tcW w:w="0" w:type="auto"/>
          </w:tcPr>
          <w:p w14:paraId="3631557B"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1DA91C90" w14:textId="77777777" w:rsidR="00421B59" w:rsidRDefault="00000000">
            <w:pPr>
              <w:spacing w:after="0"/>
              <w:jc w:val="center"/>
            </w:pPr>
            <w:r>
              <w:rPr>
                <w:rFonts w:ascii="Times New Roman" w:eastAsia="Times New Roman" w:hAnsi="Times New Roman" w:cs="Times New Roman"/>
                <w:color w:val="000000"/>
                <w:sz w:val="24"/>
              </w:rPr>
              <w:t>0 (0o, 0z)</w:t>
            </w:r>
          </w:p>
        </w:tc>
        <w:tc>
          <w:tcPr>
            <w:tcW w:w="0" w:type="auto"/>
          </w:tcPr>
          <w:p w14:paraId="7BB981B9" w14:textId="77777777" w:rsidR="00421B59" w:rsidRDefault="00421B59">
            <w:pPr>
              <w:spacing w:after="0"/>
              <w:jc w:val="center"/>
            </w:pPr>
          </w:p>
        </w:tc>
        <w:tc>
          <w:tcPr>
            <w:tcW w:w="0" w:type="auto"/>
          </w:tcPr>
          <w:p w14:paraId="16B28601" w14:textId="77777777" w:rsidR="00421B59" w:rsidRDefault="00000000">
            <w:pPr>
              <w:spacing w:after="0"/>
              <w:jc w:val="center"/>
            </w:pPr>
            <w:r>
              <w:rPr>
                <w:rFonts w:ascii="Times New Roman" w:eastAsia="Times New Roman" w:hAnsi="Times New Roman" w:cs="Times New Roman"/>
                <w:color w:val="000000"/>
                <w:sz w:val="24"/>
              </w:rPr>
              <w:t>X</w:t>
            </w:r>
          </w:p>
        </w:tc>
      </w:tr>
      <w:tr w:rsidR="00421B59" w14:paraId="13F0160D" w14:textId="77777777">
        <w:trPr>
          <w:trHeight w:val="648"/>
          <w:jc w:val="center"/>
        </w:trPr>
        <w:tc>
          <w:tcPr>
            <w:tcW w:w="0" w:type="auto"/>
          </w:tcPr>
          <w:p w14:paraId="70329442" w14:textId="77777777" w:rsidR="00421B59" w:rsidRDefault="00421B59">
            <w:pPr>
              <w:spacing w:after="0"/>
              <w:jc w:val="center"/>
            </w:pPr>
          </w:p>
        </w:tc>
        <w:tc>
          <w:tcPr>
            <w:tcW w:w="0" w:type="auto"/>
            <w:vAlign w:val="center"/>
          </w:tcPr>
          <w:p w14:paraId="5F6E973E" w14:textId="77777777" w:rsidR="00421B59" w:rsidRDefault="00000000">
            <w:pPr>
              <w:spacing w:after="0"/>
            </w:pPr>
            <w:r>
              <w:rPr>
                <w:rFonts w:ascii="Times New Roman" w:eastAsia="Times New Roman" w:hAnsi="Times New Roman" w:cs="Times New Roman"/>
                <w:b/>
                <w:color w:val="000000"/>
                <w:sz w:val="24"/>
              </w:rPr>
              <w:t>Spolu</w:t>
            </w:r>
          </w:p>
        </w:tc>
        <w:tc>
          <w:tcPr>
            <w:tcW w:w="0" w:type="auto"/>
            <w:vAlign w:val="center"/>
          </w:tcPr>
          <w:p w14:paraId="30AD1BB0" w14:textId="77777777" w:rsidR="00421B59" w:rsidRDefault="00000000">
            <w:pPr>
              <w:spacing w:after="0"/>
              <w:jc w:val="center"/>
            </w:pPr>
            <w:r>
              <w:rPr>
                <w:rFonts w:ascii="Times New Roman" w:eastAsia="Times New Roman" w:hAnsi="Times New Roman" w:cs="Times New Roman"/>
                <w:b/>
                <w:color w:val="000000"/>
                <w:sz w:val="24"/>
              </w:rPr>
              <w:t>82 (40o, 42z)</w:t>
            </w:r>
          </w:p>
        </w:tc>
        <w:tc>
          <w:tcPr>
            <w:tcW w:w="0" w:type="auto"/>
            <w:vAlign w:val="center"/>
          </w:tcPr>
          <w:p w14:paraId="7C0BF392" w14:textId="77777777" w:rsidR="00421B59" w:rsidRDefault="00000000">
            <w:pPr>
              <w:spacing w:after="0"/>
              <w:jc w:val="center"/>
            </w:pPr>
            <w:r>
              <w:rPr>
                <w:rFonts w:ascii="Times New Roman" w:eastAsia="Times New Roman" w:hAnsi="Times New Roman" w:cs="Times New Roman"/>
                <w:b/>
                <w:color w:val="000000"/>
                <w:sz w:val="24"/>
              </w:rPr>
              <w:t>0 (0o, 0z)</w:t>
            </w:r>
          </w:p>
        </w:tc>
        <w:tc>
          <w:tcPr>
            <w:tcW w:w="0" w:type="auto"/>
            <w:vAlign w:val="center"/>
          </w:tcPr>
          <w:p w14:paraId="718C1090" w14:textId="77777777" w:rsidR="00421B59" w:rsidRDefault="00000000">
            <w:pPr>
              <w:spacing w:after="0"/>
              <w:jc w:val="center"/>
            </w:pPr>
            <w:r>
              <w:rPr>
                <w:rFonts w:ascii="Times New Roman" w:eastAsia="Times New Roman" w:hAnsi="Times New Roman" w:cs="Times New Roman"/>
                <w:b/>
                <w:color w:val="000000"/>
                <w:sz w:val="24"/>
              </w:rPr>
              <w:t>15</w:t>
            </w:r>
          </w:p>
        </w:tc>
        <w:tc>
          <w:tcPr>
            <w:tcW w:w="0" w:type="auto"/>
            <w:vAlign w:val="center"/>
          </w:tcPr>
          <w:p w14:paraId="25644D24" w14:textId="77777777" w:rsidR="00421B59" w:rsidRDefault="00000000">
            <w:pPr>
              <w:spacing w:after="0"/>
              <w:jc w:val="center"/>
            </w:pPr>
            <w:r>
              <w:rPr>
                <w:rFonts w:ascii="Times New Roman" w:eastAsia="Times New Roman" w:hAnsi="Times New Roman" w:cs="Times New Roman"/>
                <w:b/>
                <w:color w:val="000000"/>
                <w:sz w:val="24"/>
              </w:rPr>
              <w:t>30</w:t>
            </w:r>
          </w:p>
        </w:tc>
      </w:tr>
    </w:tbl>
    <w:p w14:paraId="7C8ABE7F" w14:textId="77777777" w:rsidR="008960F8" w:rsidRPr="00677591" w:rsidRDefault="008960F8" w:rsidP="00C00CF3">
      <w:pPr>
        <w:spacing w:after="0"/>
        <w:rPr>
          <w:rFonts w:ascii="Times New Roman" w:hAnsi="Times New Roman" w:cs="Times New Roman"/>
          <w:sz w:val="24"/>
          <w:szCs w:val="24"/>
          <w:lang w:val="en-US"/>
        </w:rPr>
      </w:pPr>
    </w:p>
    <w:sectPr w:rsidR="008960F8" w:rsidRPr="00677591" w:rsidSect="00362D69">
      <w:footerReference w:type="even" r:id="rId10"/>
      <w:footerReference w:type="default" r:id="rId11"/>
      <w:headerReference w:type="first" r:id="rId12"/>
      <w:footerReference w:type="first" r:id="rId1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F3645" w14:textId="77777777" w:rsidR="00A8094D" w:rsidRPr="00785E8D" w:rsidRDefault="00A8094D" w:rsidP="00E66622">
      <w:pPr>
        <w:spacing w:after="0" w:line="240" w:lineRule="auto"/>
      </w:pPr>
      <w:r w:rsidRPr="00785E8D">
        <w:separator/>
      </w:r>
    </w:p>
  </w:endnote>
  <w:endnote w:type="continuationSeparator" w:id="0">
    <w:p w14:paraId="74DD639E" w14:textId="77777777" w:rsidR="00A8094D" w:rsidRPr="00785E8D" w:rsidRDefault="00A8094D" w:rsidP="00E66622">
      <w:pPr>
        <w:spacing w:after="0" w:line="240" w:lineRule="auto"/>
      </w:pPr>
      <w:r w:rsidRPr="00785E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F5164" w14:textId="7FD72352" w:rsidR="00D23361" w:rsidRDefault="00D2336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28DF6" w14:textId="63A303D6" w:rsidR="00362D69" w:rsidRPr="00362D69" w:rsidRDefault="00000000">
    <w:pPr>
      <w:pStyle w:val="Pta"/>
      <w:jc w:val="center"/>
      <w:rPr>
        <w:rFonts w:ascii="Times New Roman" w:hAnsi="Times New Roman"/>
      </w:rPr>
    </w:pPr>
    <w:sdt>
      <w:sdtPr>
        <w:rPr>
          <w:noProof w:val="0"/>
        </w:rPr>
        <w:id w:val="1274362024"/>
        <w:docPartObj>
          <w:docPartGallery w:val="Page Numbers (Bottom of Page)"/>
          <w:docPartUnique/>
        </w:docPartObj>
      </w:sdtPr>
      <w:sdtEndPr>
        <w:rPr>
          <w:rFonts w:ascii="Times New Roman" w:hAnsi="Times New Roman"/>
          <w:noProof/>
        </w:rPr>
      </w:sdtEndPr>
      <w:sdtContent>
        <w:r w:rsidR="00362D69" w:rsidRPr="00362D69">
          <w:rPr>
            <w:rFonts w:ascii="Times New Roman" w:hAnsi="Times New Roman"/>
            <w:noProof w:val="0"/>
          </w:rPr>
          <w:fldChar w:fldCharType="begin"/>
        </w:r>
        <w:r w:rsidR="00362D69" w:rsidRPr="00362D69">
          <w:rPr>
            <w:rFonts w:ascii="Times New Roman" w:hAnsi="Times New Roman"/>
          </w:rPr>
          <w:instrText xml:space="preserve"> PAGE   \* MERGEFORMAT </w:instrText>
        </w:r>
        <w:r w:rsidR="00362D69" w:rsidRPr="00362D69">
          <w:rPr>
            <w:rFonts w:ascii="Times New Roman" w:hAnsi="Times New Roman"/>
            <w:noProof w:val="0"/>
          </w:rPr>
          <w:fldChar w:fldCharType="separate"/>
        </w:r>
        <w:r w:rsidR="00362D69" w:rsidRPr="00362D69">
          <w:rPr>
            <w:rFonts w:ascii="Times New Roman" w:hAnsi="Times New Roman"/>
          </w:rPr>
          <w:t>2</w:t>
        </w:r>
        <w:r w:rsidR="00362D69" w:rsidRPr="00362D69">
          <w:rPr>
            <w:rFonts w:ascii="Times New Roman" w:hAnsi="Times New Roman"/>
          </w:rPr>
          <w:fldChar w:fldCharType="end"/>
        </w:r>
      </w:sdtContent>
    </w:sdt>
  </w:p>
  <w:p w14:paraId="15FCD6E2" w14:textId="77777777" w:rsidR="00362D69" w:rsidRDefault="00362D69">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5D239" w14:textId="2F8A31BE" w:rsidR="00D23361" w:rsidRDefault="00D23361">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99342" w14:textId="6E4A32C2" w:rsidR="00D23361" w:rsidRDefault="00D23361">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B49FA" w14:textId="35D60352" w:rsidR="00D23361" w:rsidRDefault="00D23361">
    <w:pPr>
      <w:pStyle w:val="Pt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1709146490"/>
      <w:docPartObj>
        <w:docPartGallery w:val="Page Numbers (Bottom of Page)"/>
        <w:docPartUnique/>
      </w:docPartObj>
    </w:sdtPr>
    <w:sdtEndPr>
      <w:rPr>
        <w:rFonts w:ascii="Times New Roman" w:hAnsi="Times New Roman" w:cs="Times New Roman"/>
        <w:noProof/>
      </w:rPr>
    </w:sdtEndPr>
    <w:sdtContent>
      <w:p w14:paraId="313D6266" w14:textId="2E16A573" w:rsidR="00362D69" w:rsidRPr="003E3F51" w:rsidRDefault="00362D69">
        <w:pPr>
          <w:pStyle w:val="Pta"/>
          <w:jc w:val="center"/>
          <w:rPr>
            <w:rFonts w:ascii="Times New Roman" w:hAnsi="Times New Roman" w:cs="Times New Roman"/>
          </w:rPr>
        </w:pPr>
        <w:r w:rsidRPr="003E3F51">
          <w:rPr>
            <w:rFonts w:ascii="Times New Roman" w:hAnsi="Times New Roman" w:cs="Times New Roman"/>
            <w:noProof w:val="0"/>
          </w:rPr>
          <w:fldChar w:fldCharType="begin"/>
        </w:r>
        <w:r w:rsidRPr="003E3F51">
          <w:rPr>
            <w:rFonts w:ascii="Times New Roman" w:hAnsi="Times New Roman" w:cs="Times New Roman"/>
          </w:rPr>
          <w:instrText xml:space="preserve"> PAGE   \* MERGEFORMAT </w:instrText>
        </w:r>
        <w:r w:rsidRPr="003E3F51">
          <w:rPr>
            <w:rFonts w:ascii="Times New Roman" w:hAnsi="Times New Roman" w:cs="Times New Roman"/>
            <w:noProof w:val="0"/>
          </w:rPr>
          <w:fldChar w:fldCharType="separate"/>
        </w:r>
        <w:r w:rsidRPr="003E3F51">
          <w:rPr>
            <w:rFonts w:ascii="Times New Roman" w:hAnsi="Times New Roman" w:cs="Times New Roman"/>
          </w:rPr>
          <w:t>2</w:t>
        </w:r>
        <w:r w:rsidRPr="003E3F51">
          <w:rPr>
            <w:rFonts w:ascii="Times New Roman" w:hAnsi="Times New Roman" w:cs="Times New Roman"/>
          </w:rPr>
          <w:fldChar w:fldCharType="end"/>
        </w:r>
      </w:p>
    </w:sdtContent>
  </w:sdt>
  <w:p w14:paraId="1AF4AB83" w14:textId="77777777" w:rsidR="00362D69" w:rsidRDefault="00362D69" w:rsidP="00FD38D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28842" w14:textId="77777777" w:rsidR="00A8094D" w:rsidRPr="00785E8D" w:rsidRDefault="00A8094D" w:rsidP="00E66622">
      <w:pPr>
        <w:spacing w:after="0" w:line="240" w:lineRule="auto"/>
      </w:pPr>
      <w:r w:rsidRPr="00785E8D">
        <w:separator/>
      </w:r>
    </w:p>
  </w:footnote>
  <w:footnote w:type="continuationSeparator" w:id="0">
    <w:p w14:paraId="6AA1B3CE" w14:textId="77777777" w:rsidR="00A8094D" w:rsidRPr="00785E8D" w:rsidRDefault="00A8094D" w:rsidP="00E66622">
      <w:pPr>
        <w:spacing w:after="0" w:line="240" w:lineRule="auto"/>
      </w:pPr>
      <w:r w:rsidRPr="00785E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77871" w14:textId="77777777" w:rsidR="00362D69" w:rsidRDefault="00362D69">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A93"/>
    <w:rsid w:val="00011D51"/>
    <w:rsid w:val="0001352E"/>
    <w:rsid w:val="00047E84"/>
    <w:rsid w:val="00050137"/>
    <w:rsid w:val="0006133B"/>
    <w:rsid w:val="000A2F5F"/>
    <w:rsid w:val="000B16EA"/>
    <w:rsid w:val="000B2D78"/>
    <w:rsid w:val="000C172E"/>
    <w:rsid w:val="000D3CA3"/>
    <w:rsid w:val="000D5402"/>
    <w:rsid w:val="001228AD"/>
    <w:rsid w:val="00131490"/>
    <w:rsid w:val="00131742"/>
    <w:rsid w:val="001433FA"/>
    <w:rsid w:val="00146A7D"/>
    <w:rsid w:val="00176679"/>
    <w:rsid w:val="0019276A"/>
    <w:rsid w:val="001B1BE3"/>
    <w:rsid w:val="001D2B4E"/>
    <w:rsid w:val="001E50FA"/>
    <w:rsid w:val="001E6254"/>
    <w:rsid w:val="001F2C94"/>
    <w:rsid w:val="001F5D28"/>
    <w:rsid w:val="001F777F"/>
    <w:rsid w:val="00215E64"/>
    <w:rsid w:val="00231554"/>
    <w:rsid w:val="00237490"/>
    <w:rsid w:val="00245F36"/>
    <w:rsid w:val="0026614F"/>
    <w:rsid w:val="002715E0"/>
    <w:rsid w:val="00273DAE"/>
    <w:rsid w:val="0029170C"/>
    <w:rsid w:val="00295E6A"/>
    <w:rsid w:val="002A0A58"/>
    <w:rsid w:val="002A4482"/>
    <w:rsid w:val="002D3B5E"/>
    <w:rsid w:val="002E17D6"/>
    <w:rsid w:val="002F4660"/>
    <w:rsid w:val="002F717D"/>
    <w:rsid w:val="003034A4"/>
    <w:rsid w:val="00303CA7"/>
    <w:rsid w:val="00335FFB"/>
    <w:rsid w:val="00343965"/>
    <w:rsid w:val="00362D69"/>
    <w:rsid w:val="003640A5"/>
    <w:rsid w:val="003A59FA"/>
    <w:rsid w:val="003C31D4"/>
    <w:rsid w:val="003E3F51"/>
    <w:rsid w:val="003E641E"/>
    <w:rsid w:val="003E7146"/>
    <w:rsid w:val="003F1216"/>
    <w:rsid w:val="003F37C1"/>
    <w:rsid w:val="004050CF"/>
    <w:rsid w:val="00405348"/>
    <w:rsid w:val="00421B59"/>
    <w:rsid w:val="00434080"/>
    <w:rsid w:val="00461B69"/>
    <w:rsid w:val="0048545F"/>
    <w:rsid w:val="004A12EE"/>
    <w:rsid w:val="004A48F0"/>
    <w:rsid w:val="004A62B8"/>
    <w:rsid w:val="004B4188"/>
    <w:rsid w:val="004C6C3C"/>
    <w:rsid w:val="004E0BF7"/>
    <w:rsid w:val="004F10FF"/>
    <w:rsid w:val="004F4092"/>
    <w:rsid w:val="00500EBD"/>
    <w:rsid w:val="00506E0B"/>
    <w:rsid w:val="00511A3C"/>
    <w:rsid w:val="00513767"/>
    <w:rsid w:val="005146CA"/>
    <w:rsid w:val="005259A1"/>
    <w:rsid w:val="0053699B"/>
    <w:rsid w:val="00550D13"/>
    <w:rsid w:val="00583F11"/>
    <w:rsid w:val="0059287B"/>
    <w:rsid w:val="005B618C"/>
    <w:rsid w:val="005C0A7E"/>
    <w:rsid w:val="005C4CF5"/>
    <w:rsid w:val="005E6A45"/>
    <w:rsid w:val="005F3B1C"/>
    <w:rsid w:val="005F3E6F"/>
    <w:rsid w:val="005F5908"/>
    <w:rsid w:val="00602231"/>
    <w:rsid w:val="006031E3"/>
    <w:rsid w:val="00634468"/>
    <w:rsid w:val="006371D1"/>
    <w:rsid w:val="00641DD8"/>
    <w:rsid w:val="006434AC"/>
    <w:rsid w:val="00664F3B"/>
    <w:rsid w:val="00677591"/>
    <w:rsid w:val="00695857"/>
    <w:rsid w:val="006C2D6E"/>
    <w:rsid w:val="006D051F"/>
    <w:rsid w:val="0070694E"/>
    <w:rsid w:val="00707B3A"/>
    <w:rsid w:val="0072062B"/>
    <w:rsid w:val="007206EB"/>
    <w:rsid w:val="00724A0E"/>
    <w:rsid w:val="00726A34"/>
    <w:rsid w:val="00727704"/>
    <w:rsid w:val="00745443"/>
    <w:rsid w:val="00754CB0"/>
    <w:rsid w:val="0077472A"/>
    <w:rsid w:val="00774ED8"/>
    <w:rsid w:val="00776E62"/>
    <w:rsid w:val="00784062"/>
    <w:rsid w:val="00785E8D"/>
    <w:rsid w:val="00796E02"/>
    <w:rsid w:val="00796EBE"/>
    <w:rsid w:val="007C1A93"/>
    <w:rsid w:val="007C678D"/>
    <w:rsid w:val="007E7C38"/>
    <w:rsid w:val="007E7E01"/>
    <w:rsid w:val="007F53D4"/>
    <w:rsid w:val="0084532B"/>
    <w:rsid w:val="0087153C"/>
    <w:rsid w:val="008741FE"/>
    <w:rsid w:val="00876D47"/>
    <w:rsid w:val="008960F8"/>
    <w:rsid w:val="008C2612"/>
    <w:rsid w:val="008C63F3"/>
    <w:rsid w:val="008D299D"/>
    <w:rsid w:val="008E0404"/>
    <w:rsid w:val="008F1FF3"/>
    <w:rsid w:val="00913D14"/>
    <w:rsid w:val="00917A99"/>
    <w:rsid w:val="00925ABD"/>
    <w:rsid w:val="009275DB"/>
    <w:rsid w:val="00932936"/>
    <w:rsid w:val="00947810"/>
    <w:rsid w:val="00980D7A"/>
    <w:rsid w:val="009912BF"/>
    <w:rsid w:val="00995007"/>
    <w:rsid w:val="009B0C1F"/>
    <w:rsid w:val="009B1491"/>
    <w:rsid w:val="009D152C"/>
    <w:rsid w:val="009D32B4"/>
    <w:rsid w:val="009D3FBE"/>
    <w:rsid w:val="009F35D2"/>
    <w:rsid w:val="00A070EB"/>
    <w:rsid w:val="00A6034C"/>
    <w:rsid w:val="00A61348"/>
    <w:rsid w:val="00A8094D"/>
    <w:rsid w:val="00A80C4C"/>
    <w:rsid w:val="00A81039"/>
    <w:rsid w:val="00AD6CAE"/>
    <w:rsid w:val="00AE09D4"/>
    <w:rsid w:val="00AF678C"/>
    <w:rsid w:val="00B02EF2"/>
    <w:rsid w:val="00B0310C"/>
    <w:rsid w:val="00B11932"/>
    <w:rsid w:val="00B13C0C"/>
    <w:rsid w:val="00B41FEA"/>
    <w:rsid w:val="00B60148"/>
    <w:rsid w:val="00B74B69"/>
    <w:rsid w:val="00B8742A"/>
    <w:rsid w:val="00B946A0"/>
    <w:rsid w:val="00BD7F55"/>
    <w:rsid w:val="00BE323C"/>
    <w:rsid w:val="00BF207A"/>
    <w:rsid w:val="00C00CF3"/>
    <w:rsid w:val="00C42676"/>
    <w:rsid w:val="00C43D79"/>
    <w:rsid w:val="00C53F43"/>
    <w:rsid w:val="00C62C70"/>
    <w:rsid w:val="00C84A5B"/>
    <w:rsid w:val="00CD7313"/>
    <w:rsid w:val="00D23361"/>
    <w:rsid w:val="00D40591"/>
    <w:rsid w:val="00D44E47"/>
    <w:rsid w:val="00D466F6"/>
    <w:rsid w:val="00D50310"/>
    <w:rsid w:val="00D610D0"/>
    <w:rsid w:val="00D91683"/>
    <w:rsid w:val="00DA267A"/>
    <w:rsid w:val="00DD2850"/>
    <w:rsid w:val="00DD302E"/>
    <w:rsid w:val="00DD7CB5"/>
    <w:rsid w:val="00DE3F5A"/>
    <w:rsid w:val="00E06854"/>
    <w:rsid w:val="00E07639"/>
    <w:rsid w:val="00E078E8"/>
    <w:rsid w:val="00E11D16"/>
    <w:rsid w:val="00E245BC"/>
    <w:rsid w:val="00E37A37"/>
    <w:rsid w:val="00E41A2D"/>
    <w:rsid w:val="00E66622"/>
    <w:rsid w:val="00E741B6"/>
    <w:rsid w:val="00E92A50"/>
    <w:rsid w:val="00EA23A2"/>
    <w:rsid w:val="00EB4CEF"/>
    <w:rsid w:val="00ED6E83"/>
    <w:rsid w:val="00EE00C6"/>
    <w:rsid w:val="00F23986"/>
    <w:rsid w:val="00F273EE"/>
    <w:rsid w:val="00F456DC"/>
    <w:rsid w:val="00F727C3"/>
    <w:rsid w:val="00F758C6"/>
    <w:rsid w:val="00F8431B"/>
    <w:rsid w:val="00F85AB8"/>
    <w:rsid w:val="00F907A2"/>
    <w:rsid w:val="00FA016F"/>
    <w:rsid w:val="00FA0A5A"/>
    <w:rsid w:val="00FA40AE"/>
    <w:rsid w:val="00FC0831"/>
    <w:rsid w:val="00FD38D1"/>
    <w:rsid w:val="00FE16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7F7B0D"/>
  <w15:docId w15:val="{800A4F65-FABE-47DB-AF8A-6E31DFCAB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960F8"/>
    <w:rPr>
      <w:noProof/>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66622"/>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E66622"/>
  </w:style>
  <w:style w:type="paragraph" w:styleId="Pta">
    <w:name w:val="footer"/>
    <w:basedOn w:val="Normlny"/>
    <w:link w:val="PtaChar"/>
    <w:uiPriority w:val="99"/>
    <w:unhideWhenUsed/>
    <w:rsid w:val="00E66622"/>
    <w:pPr>
      <w:tabs>
        <w:tab w:val="center" w:pos="4680"/>
        <w:tab w:val="right" w:pos="9360"/>
      </w:tabs>
      <w:spacing w:after="0" w:line="240" w:lineRule="auto"/>
    </w:pPr>
  </w:style>
  <w:style w:type="character" w:customStyle="1" w:styleId="PtaChar">
    <w:name w:val="Päta Char"/>
    <w:basedOn w:val="Predvolenpsmoodseku"/>
    <w:link w:val="Pta"/>
    <w:uiPriority w:val="99"/>
    <w:rsid w:val="00E666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3904B-5DF0-4166-8157-7EF183BD1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64</Pages>
  <Words>14711</Words>
  <Characters>83855</Characters>
  <Application>Microsoft Office Word</Application>
  <DocSecurity>0</DocSecurity>
  <Lines>698</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Matulová Silvia</cp:lastModifiedBy>
  <cp:revision>3</cp:revision>
  <dcterms:created xsi:type="dcterms:W3CDTF">2026-07-31T10:28:00Z</dcterms:created>
  <dcterms:modified xsi:type="dcterms:W3CDTF">2026-07-31T10:29:00Z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d4986f-dcbf-4623-ae9a-8251714e0a88_Enabled">
    <vt:lpwstr>true</vt:lpwstr>
  </property>
  <property fmtid="{D5CDD505-2E9C-101B-9397-08002B2CF9AE}" pid="3" name="MSIP_Label_d8d4986f-dcbf-4623-ae9a-8251714e0a88_SetDate">
    <vt:lpwstr>2026-07-31T10:28:27Z</vt:lpwstr>
  </property>
  <property fmtid="{D5CDD505-2E9C-101B-9397-08002B2CF9AE}" pid="4" name="MSIP_Label_d8d4986f-dcbf-4623-ae9a-8251714e0a88_Method">
    <vt:lpwstr>Privileged</vt:lpwstr>
  </property>
  <property fmtid="{D5CDD505-2E9C-101B-9397-08002B2CF9AE}" pid="5" name="MSIP_Label_d8d4986f-dcbf-4623-ae9a-8251714e0a88_Name">
    <vt:lpwstr>Public</vt:lpwstr>
  </property>
  <property fmtid="{D5CDD505-2E9C-101B-9397-08002B2CF9AE}" pid="6" name="MSIP_Label_d8d4986f-dcbf-4623-ae9a-8251714e0a88_SiteId">
    <vt:lpwstr>579df390-dbff-49fd-8f10-624670566482</vt:lpwstr>
  </property>
  <property fmtid="{D5CDD505-2E9C-101B-9397-08002B2CF9AE}" pid="7" name="MSIP_Label_d8d4986f-dcbf-4623-ae9a-8251714e0a88_ActionId">
    <vt:lpwstr>2c1315d4-5ccc-4d88-a954-996073af9672</vt:lpwstr>
  </property>
  <property fmtid="{D5CDD505-2E9C-101B-9397-08002B2CF9AE}" pid="8" name="MSIP_Label_d8d4986f-dcbf-4623-ae9a-8251714e0a88_ContentBits">
    <vt:lpwstr>0</vt:lpwstr>
  </property>
</Properties>
</file>