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18" w:rsidRPr="000032C8" w:rsidRDefault="00927118" w:rsidP="00927118">
      <w:pPr>
        <w:adjustRightInd w:val="0"/>
        <w:spacing w:after="0" w:line="240" w:lineRule="auto"/>
        <w:jc w:val="center"/>
        <w:rPr>
          <w:rFonts w:ascii="Times New Roman" w:eastAsia="Times New Roman" w:hAnsi="Times New Roman" w:cs="Calibri"/>
          <w:b/>
          <w:caps/>
          <w:sz w:val="28"/>
          <w:szCs w:val="28"/>
        </w:rPr>
      </w:pPr>
      <w:bookmarkStart w:id="0" w:name="_GoBack"/>
      <w:bookmarkEnd w:id="0"/>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927118">
      <w:pPr>
        <w:jc w:val="center"/>
      </w:pPr>
    </w:p>
    <w:p w:rsidR="00AD05E3" w:rsidRDefault="00AD05E3">
      <w:pPr>
        <w:jc w:val="center"/>
        <w:divId w:val="282227972"/>
        <w:rPr>
          <w:rFonts w:ascii="Times" w:hAnsi="Times" w:cs="Times"/>
          <w:sz w:val="25"/>
          <w:szCs w:val="25"/>
        </w:rPr>
      </w:pPr>
      <w:r>
        <w:rPr>
          <w:rFonts w:ascii="Times" w:hAnsi="Times" w:cs="Times"/>
          <w:sz w:val="25"/>
          <w:szCs w:val="25"/>
        </w:rPr>
        <w:t>Poštová politika do roku 2021</w:t>
      </w:r>
    </w:p>
    <w:p w:rsidR="00927118" w:rsidRPr="00024402" w:rsidRDefault="00927118" w:rsidP="00CE47A6"/>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AD05E3" w:rsidP="00AD05E3">
            <w:pPr>
              <w:spacing w:after="0" w:line="240" w:lineRule="auto"/>
              <w:rPr>
                <w:rFonts w:ascii="Times New Roman" w:hAnsi="Times New Roman" w:cs="Calibri"/>
                <w:sz w:val="20"/>
                <w:szCs w:val="20"/>
              </w:rPr>
            </w:pPr>
            <w:r>
              <w:rPr>
                <w:rFonts w:ascii="Times" w:hAnsi="Times" w:cs="Times"/>
                <w:sz w:val="25"/>
                <w:szCs w:val="25"/>
              </w:rPr>
              <w:t>21 /3</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AD05E3" w:rsidP="00AD05E3">
            <w:pPr>
              <w:spacing w:after="0" w:line="240" w:lineRule="auto"/>
              <w:rPr>
                <w:rFonts w:ascii="Times New Roman" w:hAnsi="Times New Roman" w:cs="Calibri"/>
                <w:sz w:val="20"/>
                <w:szCs w:val="20"/>
              </w:rPr>
            </w:pPr>
            <w:r>
              <w:rPr>
                <w:rFonts w:ascii="Times" w:hAnsi="Times" w:cs="Times"/>
                <w:sz w:val="25"/>
                <w:szCs w:val="25"/>
              </w:rPr>
              <w:t>21</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AD05E3" w:rsidP="00AD05E3">
            <w:pPr>
              <w:spacing w:after="0" w:line="240" w:lineRule="auto"/>
              <w:rPr>
                <w:rFonts w:ascii="Times New Roman" w:hAnsi="Times New Roman" w:cs="Calibri"/>
                <w:sz w:val="20"/>
                <w:szCs w:val="20"/>
              </w:rPr>
            </w:pPr>
            <w:r>
              <w:rPr>
                <w:rFonts w:ascii="Times" w:hAnsi="Times" w:cs="Times"/>
                <w:sz w:val="25"/>
                <w:szCs w:val="25"/>
              </w:rPr>
              <w:t>19 /2</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AD05E3" w:rsidP="00AD05E3">
            <w:pPr>
              <w:spacing w:after="0" w:line="240" w:lineRule="auto"/>
              <w:rPr>
                <w:rFonts w:ascii="Times New Roman" w:hAnsi="Times New Roman" w:cs="Calibri"/>
                <w:sz w:val="20"/>
                <w:szCs w:val="20"/>
              </w:rPr>
            </w:pPr>
            <w:r>
              <w:rPr>
                <w:rFonts w:ascii="Times" w:hAnsi="Times" w:cs="Times"/>
                <w:sz w:val="25"/>
                <w:szCs w:val="25"/>
              </w:rPr>
              <w:t>0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AD05E3" w:rsidP="00AD05E3">
            <w:pPr>
              <w:spacing w:after="0" w:line="240" w:lineRule="auto"/>
              <w:rPr>
                <w:rFonts w:ascii="Times New Roman" w:hAnsi="Times New Roman" w:cs="Calibri"/>
                <w:sz w:val="20"/>
                <w:szCs w:val="20"/>
              </w:rPr>
            </w:pPr>
            <w:r>
              <w:rPr>
                <w:rFonts w:ascii="Times" w:hAnsi="Times" w:cs="Times"/>
                <w:sz w:val="25"/>
                <w:szCs w:val="25"/>
              </w:rPr>
              <w:t>1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bCs/>
                <w:sz w:val="25"/>
                <w:szCs w:val="25"/>
              </w:rPr>
              <w:t>Rozporové konanie (s kým, kedy, s akým výsledkom)</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bl>
    <w:p w:rsidR="00927118" w:rsidRPr="00024402" w:rsidRDefault="00927118" w:rsidP="00927118">
      <w:pPr>
        <w:spacing w:after="0" w:line="240" w:lineRule="auto"/>
        <w:rPr>
          <w:rFonts w:ascii="Times New Roman" w:hAnsi="Times New Roman" w:cs="Calibri"/>
          <w:b/>
          <w:sz w:val="20"/>
          <w:szCs w:val="20"/>
        </w:rPr>
      </w:pPr>
    </w:p>
    <w:p w:rsidR="00927118" w:rsidRPr="000032C8" w:rsidRDefault="00927118" w:rsidP="00927118">
      <w:pPr>
        <w:spacing w:after="0" w:line="240" w:lineRule="auto"/>
        <w:rPr>
          <w:sz w:val="25"/>
          <w:szCs w:val="25"/>
        </w:rPr>
      </w:pPr>
      <w:r w:rsidRPr="000032C8">
        <w:rPr>
          <w:rFonts w:ascii="Times New Roman" w:hAnsi="Times New Roman" w:cs="Calibri"/>
          <w:sz w:val="25"/>
          <w:szCs w:val="25"/>
        </w:rPr>
        <w:t>Sumarizácia vznesených pripomienok podľa subjektov</w:t>
      </w:r>
    </w:p>
    <w:p w:rsidR="00AD05E3" w:rsidRDefault="00AD05E3" w:rsidP="00841FA6"/>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3597"/>
        <w:gridCol w:w="1404"/>
        <w:gridCol w:w="1404"/>
        <w:gridCol w:w="1391"/>
        <w:gridCol w:w="932"/>
      </w:tblGrid>
      <w:tr w:rsidR="00AD05E3">
        <w:trPr>
          <w:divId w:val="405955348"/>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Vôbec nezaslali</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Asociácia zamestnávatelských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 (0o,3z)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Konfederácia odborových zväzov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4.</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5.</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 (2o,0z)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Úrad podpredsedu vlády Slovenskej republiky pre investície a informatizáciu</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Úrad pre reguláciu elektronických komunikácií a poštových služieb</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 (3o,0z)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19.</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20.</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21.</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22.</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23.</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Kancelária prezidenta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35.</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Združenie miest a obcí Slovenska</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37.</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Splnomocnenec vlády Slovenskej republiky pre rómske komunity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38.</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39.</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Úrad pre dohľad nad zdravotnou starostlivosťou</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40.</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Konferencia biskupov Slovenska</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41.</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Ministerstvo dopravy a výstavby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x</w:t>
            </w:r>
          </w:p>
        </w:tc>
      </w:tr>
      <w:tr w:rsidR="00AD05E3">
        <w:trPr>
          <w:divId w:val="405955348"/>
          <w:jc w:val="center"/>
        </w:trPr>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21 (18o,3z)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AD05E3" w:rsidRDefault="00AD05E3">
            <w:pPr>
              <w:jc w:val="center"/>
              <w:rPr>
                <w:sz w:val="20"/>
                <w:szCs w:val="20"/>
              </w:rPr>
            </w:pPr>
          </w:p>
        </w:tc>
      </w:tr>
    </w:tbl>
    <w:p w:rsidR="00BF7CE0" w:rsidRPr="00BF7CE0" w:rsidRDefault="00BF7CE0" w:rsidP="00841FA6">
      <w:pPr>
        <w:rPr>
          <w:b/>
          <w:bCs/>
          <w:color w:val="000000"/>
          <w:sz w:val="20"/>
          <w:szCs w:val="20"/>
        </w:rPr>
      </w:pPr>
      <w:r w:rsidRPr="009F7218">
        <w:rPr>
          <w:rFonts w:ascii="Times New Roman" w:eastAsia="Times New Roman" w:hAnsi="Times New Roman" w:cs="Times New Roman"/>
          <w:bCs/>
          <w:color w:val="000000"/>
          <w:sz w:val="25"/>
          <w:szCs w:val="25"/>
          <w:lang w:eastAsia="sk-SK"/>
        </w:rPr>
        <w:t>Vyhodnotenie vecných pripomienok je uvedené v tabuľkovej časti.</w:t>
      </w:r>
    </w:p>
    <w:p w:rsidR="00BF7CE0" w:rsidRPr="00BF7CE0" w:rsidRDefault="00BF7CE0" w:rsidP="00BF7CE0">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BF7CE0" w:rsidTr="00943EB2">
        <w:trPr>
          <w:cantSplit/>
        </w:trPr>
        <w:tc>
          <w:tcPr>
            <w:tcW w:w="4928" w:type="dxa"/>
            <w:gridSpan w:val="2"/>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Vysvetlivky  k použitým skratkám v tabuľke:</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O – obyčajná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A – akceptovaná</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Z – zásadná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N – neakceptovaná</w:t>
            </w:r>
          </w:p>
        </w:tc>
      </w:tr>
      <w:tr w:rsidR="00BF7CE0" w:rsidRPr="00856FFA"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ČA – čiastočne akceptovaná</w:t>
            </w:r>
          </w:p>
        </w:tc>
      </w:tr>
    </w:tbl>
    <w:p w:rsidR="00E85710" w:rsidRDefault="00E85710">
      <w:r>
        <w:br w:type="page"/>
      </w:r>
    </w:p>
    <w:p w:rsidR="00AD05E3" w:rsidRDefault="00AD05E3" w:rsidP="00CE47A6">
      <w:pPr>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377"/>
        <w:gridCol w:w="4347"/>
        <w:gridCol w:w="446"/>
        <w:gridCol w:w="523"/>
        <w:gridCol w:w="2363"/>
      </w:tblGrid>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Vyh.</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Spôsob vyhodnotenia</w:t>
            </w: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 xml:space="preserve">II. Osobitná časť Podľa obsahu návrhu a Predkladacej správy k návrhu 1. cieľom návrhu je stanoviť legislatívne a regulačné zámery na vytvorenie podmienok na poskytovanie poštových služieb s dôrazom na zabezpečenie univerzálnej služby a jej financovanie, ako aj na zabezpečenie úloh vyplývajúcich zo Stratégie pre jednotný digitálny trh v súvislosti s cezhraničným doručovaním balíkov generovaných elektronickým obchodom, 2. návrhom je načrtnuté ďalšie smerovanie poštových služieb pri zohľadnení nových trendov na trhu a meniacich sa potrieb užívateľov poštových služieb s cieľom vytvárať podmienky na ďalšie rozvíjanie hospodárskej súťaže a na poskytovanie kvalitných poštových služieb s osobitným dôrazom na trvalo udržateľnú univerzálnu poštovú službu.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t xml:space="preserve">Predložený podnet sa v zmysle čl.10 bod 5 Smernice na prípravu a predkladanie materiálov na rokovanie vlády SR nepovažuje za pripomienku. </w:t>
            </w: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 xml:space="preserve">Nedostatkom návrhu je, že 1. na podmienky Slovenskej republiky zrozumiteľne, najmä výslovne nedefinuje a) požadovaný rozsah a kvalitu zabezpečenia univerzálnej služby, b) spôsob financovania univerzálnej služby, c) zabezpečenie poskytovania poštových služieb, aj s ohľadom na prudký rozvoj informačno-komunikačných technológií a zmenu štruktúry poštových služieb požadovaných zákazníkmi, d) požiadavky na subjekty poštového trhu, e) rozsah a kvalitu, ktoré sú subjekty poskytujúce poštové služby, povinné vykonávať, 2. skutočnosti podľa bodu 1 písm. a) až e)rozpracúva len spôsobom, že v stati „Legislatívna časť“ je spomenutá Európskou komisiou pripravovaná smernica, pričom sa uvádza, že po prijatí smernice bude potrebné novelizovať zákon o poštových službách. V rámci novelizácie zákona sa budú riešiť oblasti podľa bodu 1 písm. a) až e) vrátane spôsobu financovania vykonávania univerzálnej poštovej služby. 3. sa obmedzuje na očakávanie prijatia legislatívnych zmien na úrovni Európskej únie, pričom až po jej prijatí sa majú, okrem iného, riešiť skutočnosti podľa bodu 1 písm. a) až e). Odporúča sa návrh dopracovať tak, aby už v čase pred prijatím európskej legislatívy na podmienky SR definoval alebo ustanovoval skutočnosti uvedené v bode 1 písm. a) až e). Dôvod: akceptovanie odporúčanej zmeny (doplnenia) zabezpečí, že v návrhu sa premietne obsah pojmu štátna poštová politika.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t xml:space="preserve">K 1 a) a b): Do textu materiálu boli medzi východiská na str. 1 doplnené Požiadavky na kvalitu poskytovania univerzálnej služby a súčasne na str. 8 bol doplnený text s tým, v súčasnosti nie potrebné riešiť rozsah univerzálnej služby a spôsob zabezpečenia jej kvality daný platným legislatívnym rámcom. Spôsob financovania univerzálne služby sa uplatňuje od roku 2012 a prípadné návrhy na jeho optimalizáciu formou legislatívnych a regulačných zmien sa očakávajú z výsledkov štúdie „Zhodnotenie súčasného modelu financovania univerzálnej služby a návrh možností jeho zmeny“. K 1c): Doplnený bol text na str. 10 v časti Zhrnutie s tým, že MDV SR bude podporovať inovácie produktov a služieb, v súvislosti s rozvojom digitalizácie. K 1d) a e): Doplnený bol text na str. 3 s tým, že nastavený legislatívny a regulačný rámec dostatočne zodpovedá súčasným požiadavkám. </w:t>
            </w: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 xml:space="preserve">Všeobecná časť Podľa § 13 ods. (1) písm. a) zákona č. 324/2011 Z. z. o poštových službách a o zmene a doplnení niektorých zákonov v znení neskorších predpisov (ďalej len „zákon č. 324/2011 Z. z.“) ministerstvo vypracúva návrhy štátnej poštovej politiky a koncepcie rozvoja poštových služieb a predkladá ich vláde SR na schválenie. Vzhľadom na text tohto ustanovenia, ak materiál Poštová politika do roku 2021 (ďalej len „návrh“) je návrhom vypracovaným a predkladaným podľa citovaného ustanovenia zákona č. 324/2011 Z. z., odporúča sa návrh označiť názvom „Štátna poštová politika do roku 2021“ podľa § 13 ods. (1) písm. a) zákona č. 324/2011 Z. z. Dôvod, akceptovanie odporúčanej zmeny zabezpečuje kompatibilitu pojmu použitého v zákone č. 324/2011 Z. z. s pojmom použitým v návrhu.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t>Na str. 1 odsek 1 boli slová „smerovanie poštových služieb“ nahradené slovami „smerovanie štátnej poštovej politiky.</w:t>
            </w: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KOZSR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 xml:space="preserve">K materiálu „Poštová politika do roku 2021“ nemám pripomienky. Beriem na vedomie, že materiál nemá vplyv na rozpočet verejnej správy.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NBÚSR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V texte vlastného materiálu je používaný pojem „užívateľ“ aj „používateľ“. Odporúčame používať jeden pojem, pričom podľa pravidiel slovenského jazyka má pojem používateľ význam osoby, ktorá niečo používa (ako nástroj alebo prostriedok) a pojem užívateľ osoby, ktorá niečo užíva alebo má niečo v užívaní (užíva liek, má v užívaní nehnuteľnosť - pôdu, dom, les). - Jazyková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t>V texte je používaný jednotný pojem - "používateľ".</w:t>
            </w: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NBÚSR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Vo vlastnom materiáli v prvom rámčeku navrhujeme nahradiť text „MDV SR pripraví návrh novely zákona o poštových službách, a to za účelom zabezpečenia legislatívnych podmienok na vykonávanie príslušných ustanovení návrhu nariadenia o službách cezhraničného dodávania balíkov vo veci udeľovania sankcií ako aj za účelom spresnenia ustanovení...“ textom „MDV SR pripraví návrh novely zákona o poštových službách, a to s cieľom zabezpečiť legislatívne podmienky vykonávania príslušných ustanovení návrhu nariadenia o službách cezhraničného dodávania balíkov vo veci udeľovania sankcií ako aj s cieľom spresniť ustanovenia...“. - Jazyková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t>Text bol upravený v zmysle pripomienky.</w:t>
            </w: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UpREKaPŠ</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 xml:space="preserve">K vlastnému materiálu: V texte materiálu upraviť pojem balíkobox na „BalíkoBOX“. Potreba zosúladiť názov s obchodným názvom poskytovateľa univerzálnej služby a jeho obchodnými (poštovými) podmienkami.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t>Pojem upravený podľa pripomienky.</w:t>
            </w: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UpREKaPŠ</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K Vlastnému materiálu: V nadväznosti na znenie textu na strane 2 súvisiace s riešením problematiky a prijímania opatrení v oblastí transformácie sietí poskytovateľov univerzálnej služby navrhuje zdôrazniť povinnosť samotného poskytovateľa univerzálnej služby zvyšovať ekonomickú efektívnosť a znižovať nákladovosť nielen rušením a transformáciou pobočiek, ale aj prijímaním iných vhodných a účinných opatrení smerujúcich k udržaniu kvality poskytovania univerzálnej služby vo verejnom záujme.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t>Doplnený bol text na str. 10 v časti Zhrnutie s tým, že MDV SR bude pri plnení úloh súvisiacich s univerzálnou službou a jej poskytovateľom klásť dôraz na ekonomickú návratnosť investícií a podporovať inovácie produktov a služieb, v súvislosti s rozvojom digitalizácie, ako aj vytváranie podmienok na zachovanie trvalo udržateľného charakteru univerzálnej služby a jej primeraného financovania.</w:t>
            </w: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UpREKaPŠ</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 xml:space="preserve">Všeobecne: Poštová politika do roku 2021 predstavuje v zmysle § 13 ods. 1 písm. a) zákona č. 324/2011 Z. z. o poštových službách a o zmene a doplnení niektorých zákonov materiál koncepčného charakteru, ktorý premieta aktuálny vývoj na trhu poštových služieb, zmeny v tejto oblasti v súlade so zabezpečením kvalitného a udržateľného poskytovania univerzálnej služby a následnú spätnú väzbu k problematike spojenej s koncepciou, ďalším smerovaním a vývojom poskytovania poštových služieb v Slovenskej republike. Z tohto dôvodu odporúčame zvážiť, prípadne upraviť niektoré znenia materiálu, ktoré informujú o súčasnej činnosti poskytovateľa univerzálnej služby v oblasti jeho inej podnikateľskej činnosti ako sú poštové služby. Rozvoj v oblasti iných služieb poskytovaných Slovenskou poštou, a.s., prípadne aj v oblasti inovácií rieši samostatne Koncepcia rozvoja Slovenskej pošty, a.s., ako podnikateľského subjektu.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t>Uvedené považujeme za potrebné ponechať v materiáli, a to v súvislosti s informovaním o skutočnosti, že poskytovateľ univerzálnej služby hľadá aj ďalšie možnosti získavania výnosov s cieľom dosiahnutia úspor z rozsahu.</w:t>
            </w:r>
          </w:p>
        </w:tc>
      </w:tr>
      <w:tr w:rsidR="00AD05E3">
        <w:trPr>
          <w:divId w:val="113321387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b/>
                <w:bCs/>
                <w:sz w:val="25"/>
                <w:szCs w:val="25"/>
              </w:rPr>
            </w:pPr>
            <w:r>
              <w:rPr>
                <w:rFonts w:ascii="Times" w:hAnsi="Times" w:cs="Times"/>
                <w:b/>
                <w:bCs/>
                <w:sz w:val="25"/>
                <w:szCs w:val="25"/>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D05E3" w:rsidRDefault="00AD05E3">
            <w:pPr>
              <w:jc w:val="center"/>
              <w:rPr>
                <w:rFonts w:ascii="Times" w:hAnsi="Times" w:cs="Times"/>
                <w:sz w:val="25"/>
                <w:szCs w:val="25"/>
              </w:rPr>
            </w:pPr>
          </w:p>
        </w:tc>
      </w:tr>
    </w:tbl>
    <w:p w:rsidR="00154A91" w:rsidRPr="00154A91" w:rsidRDefault="00154A91" w:rsidP="00CE47A6"/>
    <w:p w:rsidR="00154A91" w:rsidRPr="00024402" w:rsidRDefault="00154A91" w:rsidP="00CE47A6"/>
    <w:sectPr w:rsidR="00154A91" w:rsidRPr="00024402" w:rsidSect="004075B2">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67E" w:rsidRDefault="00B8767E" w:rsidP="000A67D5">
      <w:pPr>
        <w:spacing w:after="0" w:line="240" w:lineRule="auto"/>
      </w:pPr>
      <w:r>
        <w:separator/>
      </w:r>
    </w:p>
  </w:endnote>
  <w:endnote w:type="continuationSeparator" w:id="0">
    <w:p w:rsidR="00B8767E" w:rsidRDefault="00B8767E"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43" w:usb2="00000009" w:usb3="00000000" w:csb0="000001F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67E" w:rsidRDefault="00B8767E" w:rsidP="000A67D5">
      <w:pPr>
        <w:spacing w:after="0" w:line="240" w:lineRule="auto"/>
      </w:pPr>
      <w:r>
        <w:separator/>
      </w:r>
    </w:p>
  </w:footnote>
  <w:footnote w:type="continuationSeparator" w:id="0">
    <w:p w:rsidR="00B8767E" w:rsidRDefault="00B8767E"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8E2844"/>
    <w:rsid w:val="000032C8"/>
    <w:rsid w:val="00024402"/>
    <w:rsid w:val="000324A3"/>
    <w:rsid w:val="0006543E"/>
    <w:rsid w:val="000A67D5"/>
    <w:rsid w:val="000E25CA"/>
    <w:rsid w:val="000F7A42"/>
    <w:rsid w:val="00146547"/>
    <w:rsid w:val="00146B48"/>
    <w:rsid w:val="00150388"/>
    <w:rsid w:val="00154A91"/>
    <w:rsid w:val="002109B0"/>
    <w:rsid w:val="0021228E"/>
    <w:rsid w:val="00230F3C"/>
    <w:rsid w:val="002654AA"/>
    <w:rsid w:val="002827B4"/>
    <w:rsid w:val="002A5577"/>
    <w:rsid w:val="002D7471"/>
    <w:rsid w:val="00310A55"/>
    <w:rsid w:val="00322014"/>
    <w:rsid w:val="0039526D"/>
    <w:rsid w:val="003B435B"/>
    <w:rsid w:val="003D101C"/>
    <w:rsid w:val="003D5E45"/>
    <w:rsid w:val="003E4226"/>
    <w:rsid w:val="004075B2"/>
    <w:rsid w:val="00436C44"/>
    <w:rsid w:val="00474A9D"/>
    <w:rsid w:val="00532574"/>
    <w:rsid w:val="0059081C"/>
    <w:rsid w:val="005E7C53"/>
    <w:rsid w:val="00642FB8"/>
    <w:rsid w:val="006A3681"/>
    <w:rsid w:val="007156F5"/>
    <w:rsid w:val="007A1010"/>
    <w:rsid w:val="007B7F1A"/>
    <w:rsid w:val="007D7AE6"/>
    <w:rsid w:val="007E4294"/>
    <w:rsid w:val="00841FA6"/>
    <w:rsid w:val="008A1964"/>
    <w:rsid w:val="008E2844"/>
    <w:rsid w:val="0090100E"/>
    <w:rsid w:val="009239D9"/>
    <w:rsid w:val="00927118"/>
    <w:rsid w:val="00943EB2"/>
    <w:rsid w:val="0099665B"/>
    <w:rsid w:val="009C6C5C"/>
    <w:rsid w:val="009F7218"/>
    <w:rsid w:val="00A251BF"/>
    <w:rsid w:val="00A54A16"/>
    <w:rsid w:val="00AD05E3"/>
    <w:rsid w:val="00B721A5"/>
    <w:rsid w:val="00B76589"/>
    <w:rsid w:val="00B8767E"/>
    <w:rsid w:val="00BD1FAB"/>
    <w:rsid w:val="00BE7302"/>
    <w:rsid w:val="00BF7CE0"/>
    <w:rsid w:val="00CA44D2"/>
    <w:rsid w:val="00CE47A6"/>
    <w:rsid w:val="00CF3D59"/>
    <w:rsid w:val="00D261C9"/>
    <w:rsid w:val="00D85172"/>
    <w:rsid w:val="00D969AC"/>
    <w:rsid w:val="00DF7085"/>
    <w:rsid w:val="00E85710"/>
    <w:rsid w:val="00EB772A"/>
    <w:rsid w:val="00EF1425"/>
    <w:rsid w:val="00F26A4A"/>
    <w:rsid w:val="00F727F0"/>
    <w:rsid w:val="00F8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424666">
      <w:bodyDiv w:val="1"/>
      <w:marLeft w:val="0"/>
      <w:marRight w:val="0"/>
      <w:marTop w:val="0"/>
      <w:marBottom w:val="0"/>
      <w:divBdr>
        <w:top w:val="none" w:sz="0" w:space="0" w:color="auto"/>
        <w:left w:val="none" w:sz="0" w:space="0" w:color="auto"/>
        <w:bottom w:val="none" w:sz="0" w:space="0" w:color="auto"/>
        <w:right w:val="none" w:sz="0" w:space="0" w:color="auto"/>
      </w:divBdr>
    </w:div>
    <w:div w:id="282227972">
      <w:bodyDiv w:val="1"/>
      <w:marLeft w:val="0"/>
      <w:marRight w:val="0"/>
      <w:marTop w:val="0"/>
      <w:marBottom w:val="0"/>
      <w:divBdr>
        <w:top w:val="none" w:sz="0" w:space="0" w:color="auto"/>
        <w:left w:val="none" w:sz="0" w:space="0" w:color="auto"/>
        <w:bottom w:val="none" w:sz="0" w:space="0" w:color="auto"/>
        <w:right w:val="none" w:sz="0" w:space="0" w:color="auto"/>
      </w:divBdr>
    </w:div>
    <w:div w:id="405955348">
      <w:bodyDiv w:val="1"/>
      <w:marLeft w:val="0"/>
      <w:marRight w:val="0"/>
      <w:marTop w:val="0"/>
      <w:marBottom w:val="0"/>
      <w:divBdr>
        <w:top w:val="none" w:sz="0" w:space="0" w:color="auto"/>
        <w:left w:val="none" w:sz="0" w:space="0" w:color="auto"/>
        <w:bottom w:val="none" w:sz="0" w:space="0" w:color="auto"/>
        <w:right w:val="none" w:sz="0" w:space="0" w:color="auto"/>
      </w:divBdr>
    </w:div>
    <w:div w:id="714814090">
      <w:bodyDiv w:val="1"/>
      <w:marLeft w:val="0"/>
      <w:marRight w:val="0"/>
      <w:marTop w:val="0"/>
      <w:marBottom w:val="0"/>
      <w:divBdr>
        <w:top w:val="none" w:sz="0" w:space="0" w:color="auto"/>
        <w:left w:val="none" w:sz="0" w:space="0" w:color="auto"/>
        <w:bottom w:val="none" w:sz="0" w:space="0" w:color="auto"/>
        <w:right w:val="none" w:sz="0" w:space="0" w:color="auto"/>
      </w:divBdr>
    </w:div>
    <w:div w:id="1133213873">
      <w:bodyDiv w:val="1"/>
      <w:marLeft w:val="0"/>
      <w:marRight w:val="0"/>
      <w:marTop w:val="0"/>
      <w:marBottom w:val="0"/>
      <w:divBdr>
        <w:top w:val="none" w:sz="0" w:space="0" w:color="auto"/>
        <w:left w:val="none" w:sz="0" w:space="0" w:color="auto"/>
        <w:bottom w:val="none" w:sz="0" w:space="0" w:color="auto"/>
        <w:right w:val="none" w:sz="0" w:space="0" w:color="auto"/>
      </w:divBdr>
    </w:div>
    <w:div w:id="1469514622">
      <w:bodyDiv w:val="1"/>
      <w:marLeft w:val="0"/>
      <w:marRight w:val="0"/>
      <w:marTop w:val="0"/>
      <w:marBottom w:val="0"/>
      <w:divBdr>
        <w:top w:val="none" w:sz="0" w:space="0" w:color="auto"/>
        <w:left w:val="none" w:sz="0" w:space="0" w:color="auto"/>
        <w:bottom w:val="none" w:sz="0" w:space="0" w:color="auto"/>
        <w:right w:val="none" w:sz="0" w:space="0" w:color="auto"/>
      </w:divBdr>
    </w:div>
    <w:div w:id="1717700218">
      <w:bodyDiv w:val="1"/>
      <w:marLeft w:val="0"/>
      <w:marRight w:val="0"/>
      <w:marTop w:val="0"/>
      <w:marBottom w:val="0"/>
      <w:divBdr>
        <w:top w:val="none" w:sz="0" w:space="0" w:color="auto"/>
        <w:left w:val="none" w:sz="0" w:space="0" w:color="auto"/>
        <w:bottom w:val="none" w:sz="0" w:space="0" w:color="auto"/>
        <w:right w:val="none" w:sz="0" w:space="0" w:color="auto"/>
      </w:divBdr>
    </w:div>
    <w:div w:id="179779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11.9.2017 12:18:08"/>
    <f:field ref="objchangedby" par="" text="Administrator, System"/>
    <f:field ref="objmodifiedat" par="" text="11.9.2017 12:18:12"/>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https://ovdmasv601/sites/DMS/_layouts/15/DocIdRedir.aspx?ID=WKX3UHSAJ2R6-2-801428</Url>
      <Description>WKX3UHSAJ2R6-2-801428</Description>
    </_dlc_DocIdUrl>
    <_dlc_DocId xmlns="e60a29af-d413-48d4-bd90-fe9d2a897e4b">WKX3UHSAJ2R6-2-801428</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65FA7639-D1F1-4F5E-A6C7-C175E6BA5616}"/>
</file>

<file path=customXml/itemProps3.xml><?xml version="1.0" encoding="utf-8"?>
<ds:datastoreItem xmlns:ds="http://schemas.openxmlformats.org/officeDocument/2006/customXml" ds:itemID="{233990BE-9C9C-4FB3-875E-7046D94F7FC4}"/>
</file>

<file path=customXml/itemProps4.xml><?xml version="1.0" encoding="utf-8"?>
<ds:datastoreItem xmlns:ds="http://schemas.openxmlformats.org/officeDocument/2006/customXml" ds:itemID="{5EB4ADE2-1F7B-4C7B-9DC4-F76DE45D27E3}"/>
</file>

<file path=customXml/itemProps5.xml><?xml version="1.0" encoding="utf-8"?>
<ds:datastoreItem xmlns:ds="http://schemas.openxmlformats.org/officeDocument/2006/customXml" ds:itemID="{EE85AF1D-30C5-4568-B040-80B9805AC45A}"/>
</file>

<file path=docProps/app.xml><?xml version="1.0" encoding="utf-8"?>
<Properties xmlns="http://schemas.openxmlformats.org/officeDocument/2006/extended-properties" xmlns:vt="http://schemas.openxmlformats.org/officeDocument/2006/docPropsVTypes">
  <Template>Normal.dotm</Template>
  <TotalTime>0</TotalTime>
  <Pages>1</Pages>
  <Words>1807</Words>
  <Characters>10304</Characters>
  <Application>Microsoft Office Word</Application>
  <DocSecurity>4</DocSecurity>
  <Lines>85</Lines>
  <Paragraphs>24</Paragraphs>
  <ScaleCrop>false</ScaleCrop>
  <Company/>
  <LinksUpToDate>false</LinksUpToDate>
  <CharactersWithSpaces>12087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2017-09-11T10:18:00Z</dcterms:created>
  <dcterms:modified xsi:type="dcterms:W3CDTF">2017-09-11T10:18:00Z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Pred rokovaním</vt:lpwstr>
  </property>
  <property fmtid="{D5CDD505-2E9C-101B-9397-08002B2CF9AE}" pid="6" name="FSC#SKEDITIONSLOVLEX@103.510:povodpredpis">
    <vt:lpwstr>Slovlex (eLeg)</vt:lpwstr>
  </property>
  <property fmtid="{D5CDD505-2E9C-101B-9397-08002B2CF9AE}" pid="7" name="FSC#SKEDITIONSLOVLEX@103.510:legoblast">
    <vt:lpwstr>Nelegislatívna oblasť_x000d_
Pošta a poštové služby</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Eva Matejková</vt:lpwstr>
  </property>
  <property fmtid="{D5CDD505-2E9C-101B-9397-08002B2CF9AE}" pid="11" name="FSC#SKEDITIONSLOVLEX@103.510:zodppredkladatel">
    <vt:lpwstr>Arpád Érsek</vt:lpwstr>
  </property>
  <property fmtid="{D5CDD505-2E9C-101B-9397-08002B2CF9AE}" pid="12" name="FSC#SKEDITIONSLOVLEX@103.510:dalsipredkladatel">
    <vt:lpwstr/>
  </property>
  <property fmtid="{D5CDD505-2E9C-101B-9397-08002B2CF9AE}" pid="13" name="FSC#SKEDITIONSLOVLEX@103.510:nazovpredpis">
    <vt:lpwstr> Poštová politika do roku 2021</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dopravy a výstavby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z vlastnej iniciatívy</vt:lpwstr>
  </property>
  <property fmtid="{D5CDD505-2E9C-101B-9397-08002B2CF9AE}" pid="22" name="FSC#SKEDITIONSLOVLEX@103.510:plnynazovpredpis">
    <vt:lpwstr> Poštová politika do roku 2021</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23016/2017/SEKPS/56341-M</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LP/2017/601</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
  </property>
  <property fmtid="{D5CDD505-2E9C-101B-9397-08002B2CF9AE}" pid="58" name="FSC#SKEDITIONSLOVLEX@103.510:AttrDateDocPropUkonceniePKK">
    <vt:lpwstr/>
  </property>
  <property fmtid="{D5CDD505-2E9C-101B-9397-08002B2CF9AE}" pid="59" name="FSC#SKEDITIONSLOVLEX@103.510:AttrStrDocPropVplyvRozpocetVS">
    <vt:lpwstr>Žiadne</vt:lpwstr>
  </property>
  <property fmtid="{D5CDD505-2E9C-101B-9397-08002B2CF9AE}" pid="60" name="FSC#SKEDITIONSLOVLEX@103.510:AttrStrDocPropVplyvPodnikatelskeProstr">
    <vt:lpwstr>Žiadne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
  </property>
  <property fmtid="{D5CDD505-2E9C-101B-9397-08002B2CF9AE}" pid="65" name="FSC#SKEDITIONSLOVLEX@103.510:AttrStrListDocPropAltRiesenia">
    <vt:lpwstr/>
  </property>
  <property fmtid="{D5CDD505-2E9C-101B-9397-08002B2CF9AE}" pid="66" name="FSC#SKEDITIONSLOVLEX@103.510:AttrStrListDocPropStanoviskoGest">
    <vt:lpwstr/>
  </property>
  <property fmtid="{D5CDD505-2E9C-101B-9397-08002B2CF9AE}" pid="67" name="FSC#SKEDITIONSLOVLEX@103.510:AttrStrListDocPropTextKomunike">
    <vt:lpwstr>Návrh_x000d_
_x000d_
Komuniké_x000d_
_x000d_
Vláda Slovenskej republiky na svojom rokovaní dňa .................. prerokovala a schválila  materiál „Poštová politika do roku 2021“._x000d_
.</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minister dopravy a výstavby Slovenskej republiky</vt:lpwstr>
  </property>
  <property fmtid="{D5CDD505-2E9C-101B-9397-08002B2CF9AE}" pid="136" name="FSC#SKEDITIONSLOVLEX@103.510:AttrStrListDocPropUznesenieNaVedomie">
    <vt:lpwstr>predseda Úradu pre reguláciu elektronických komunikácií a poštových služieb </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minister dopravy a výstavby Slovenskej republiky</vt:lpwstr>
  </property>
  <property fmtid="{D5CDD505-2E9C-101B-9397-08002B2CF9AE}" pid="141" name="FSC#SKEDITIONSLOVLEX@103.510:funkciaZodpPredAkuzativ">
    <vt:lpwstr>ministra dopravy a výstavby Slovenskej republiky</vt:lpwstr>
  </property>
  <property fmtid="{D5CDD505-2E9C-101B-9397-08002B2CF9AE}" pid="142" name="FSC#SKEDITIONSLOVLEX@103.510:funkciaZodpPredDativ">
    <vt:lpwstr>ministrovi dopravy a výstavby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Arpád Érsek_x000d_
minister dopravy a výstavby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 align="center"&gt;Predkladacia správa&lt;/p&gt;&lt;p&gt;&amp;nbsp;&lt;/p&gt;&lt;p&gt;&amp;nbsp;&lt;/p&gt;&lt;p&gt;Minister dopravy a&amp;nbsp;výstavby Slovenskej republiky predkladá materiál „Poštová politika do roku 2021“ (ďalej len „materiál“) z&amp;nbsp;vlastnej iniciatívy vláde Slovenskej republiky na schválenie. Vypracovať materiál a&amp;nbsp;predložiť ho vláde Slovenskej republiky na schválenie vyplýva Ministerstvu dopravy a výstavby Slovenskej republiky z&amp;nbsp;ustanovenia § 13 ods. 1 písm. a) zákona č. 324/2011 Z. z. o poštových službách a o zmene a doplnení niektorých zákonov&lt;br /&gt;v znení neskorších predpisov.&lt;/p&gt;&lt;p&gt;&amp;nbsp;&lt;/p&gt;&lt;p&gt;Cieľom materiálu je stanoviť legislatívne a regulačné zámery na vytvorenie podmienok poskytovania poštových služieb s dôrazom na zabezpečenie univerzálnej služby a jej financovania, ako aj na zabezpečenie úloh vyplývajúcich zo Stratégie pre jednotný digitálny trh v súvislosti s cezhraničným doručovaním balíkov generovaných elektronickým obchodom.&lt;/p&gt;&lt;p&gt;&amp;nbsp;&lt;/p&gt;&lt;p&gt;V materiáli je načrtnuté ďalšie smerovanie poštových služieb s&amp;nbsp;osobitným dôrazom na trvalo udržateľnú univerzálnu poštovú službu pri zohľadnení nových trendov na trhu&lt;br /&gt;a meniacich sa potrieb používateľov poštových služieb s&amp;nbsp;cieľom vytvárať podmienky na ďalšie rozvíjanie hospodárskej súťaže a&amp;nbsp;na poskytovanie kvalitných poštových služieb.&lt;/p&gt;&lt;p&gt;&amp;nbsp;&lt;/p&gt;&lt;p&gt;&amp;nbsp;&amp;nbsp;&amp;nbsp;&amp;nbsp;&amp;nbsp; Prijatím navrhovaného materiálu sa nepredpokladá vplyv na verejné financie, sociálny vplyv, vplyv na služby verejnej správy pre občana, ani negatívne vplyvy na podnikateľské prostredie, stav životného prostredia ani na informatizáciu spoločnosti.&amp;nbsp;&lt;/p&gt;&lt;p&gt;&amp;nbsp;&lt;/p&gt;&lt;p&gt;&amp;nbsp;&lt;/p&gt;</vt:lpwstr>
  </property>
  <property fmtid="{D5CDD505-2E9C-101B-9397-08002B2CF9AE}" pid="149" name="FSC#COOSYSTEM@1.1:Container">
    <vt:lpwstr>COO.2145.1000.3.2153948</vt:lpwstr>
  </property>
  <property fmtid="{D5CDD505-2E9C-101B-9397-08002B2CF9AE}" pid="150" name="FSC#FSCFOLIO@1.1001:docpropproject">
    <vt:lpwstr/>
  </property>
  <property fmtid="{D5CDD505-2E9C-101B-9397-08002B2CF9AE}" pid="151" name="FSC#SKEDITIONSLOVLEX@103.510:aktualnyrok">
    <vt:lpwstr>2017</vt:lpwstr>
  </property>
  <property fmtid="{D5CDD505-2E9C-101B-9397-08002B2CF9AE}" pid="152" name="FSC#SKEDITIONSLOVLEX@103.510:vytvorenedna">
    <vt:lpwstr>11. 9. 2017</vt:lpwstr>
  </property>
  <property fmtid="{D5CDD505-2E9C-101B-9397-08002B2CF9AE}" pid="153" name="ContentTypeId">
    <vt:lpwstr>0x0101006C0C8C3C1E3DCC44BECE3792677AD011</vt:lpwstr>
  </property>
  <property fmtid="{D5CDD505-2E9C-101B-9397-08002B2CF9AE}" pid="154" name="_dlc_DocIdItemGuid">
    <vt:lpwstr>64216b2b-df68-4088-88d3-90106dd62d26</vt:lpwstr>
  </property>
</Properties>
</file>