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4164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4164F7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4164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4164F7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4164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81708C" w14:paraId="60CEEADD" w14:textId="77777777" w:rsidTr="004164F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D36541" w:rsidRDefault="0081708C" w:rsidP="004164F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654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4164F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D36541" w:rsidRDefault="0081708C" w:rsidP="004164F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36541"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4164F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4164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4164F7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F6BA59A" w14:textId="40EA9EEF" w:rsidR="00023170" w:rsidRDefault="00023170" w:rsidP="00607375">
                  <w:pPr>
                    <w:spacing w:line="276" w:lineRule="auto"/>
                    <w:jc w:val="center"/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Návrh </w:t>
                  </w:r>
                  <w:r w:rsidRPr="0002317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na </w:t>
                  </w:r>
                  <w:r w:rsidR="004164F7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zrušenie</w:t>
                  </w:r>
                  <w:r w:rsidRPr="0002317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uznesenia vlády Slovenskej republiky č. 663 </w:t>
                  </w:r>
                  <w:r w:rsidR="00D3654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br/>
                  </w:r>
                  <w:r w:rsidRPr="0002317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z 13. novembra 2013 k vzniku sprostredkovateľského orgánu pod riadiacim orgánom k 1. januáru 2014 na programové obdobie 2007 - 2013 a</w:t>
                  </w:r>
                  <w:r w:rsidR="004164F7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 Návrh na </w:t>
                  </w:r>
                  <w:r w:rsidR="004C081C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zru</w:t>
                  </w:r>
                  <w:r w:rsidR="00D3654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šenie bodu A.5</w:t>
                  </w:r>
                  <w:r w:rsidR="004164F7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02317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uznesenia vlády č. 175 zo 16. apríla 2014 k </w:t>
                  </w:r>
                  <w:r w:rsidR="00E25E73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</w:t>
                  </w:r>
                  <w:r w:rsidR="00E25E73" w:rsidRPr="0002317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ávrhu </w:t>
                  </w:r>
                  <w:r w:rsidRPr="0002317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Operačného program</w:t>
                  </w:r>
                  <w:r w:rsidR="00886D6D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u Kvalita životného prostredia</w:t>
                  </w:r>
                </w:p>
                <w:p w14:paraId="3A132366" w14:textId="5E76D950" w:rsidR="0081708C" w:rsidRPr="00CA6E29" w:rsidRDefault="0081708C" w:rsidP="0060737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9032FD8" w14:textId="77777777" w:rsidR="0081708C" w:rsidRDefault="0081708C" w:rsidP="004164F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4164F7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4164F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7351A2F5" w:rsidR="0081708C" w:rsidRPr="00CA6E29" w:rsidRDefault="0081708C" w:rsidP="004164F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4164F7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4164F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74EB9E2A" w:rsidR="0081708C" w:rsidRPr="00ED412E" w:rsidRDefault="00ED412E" w:rsidP="004164F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066F1C">
              <w:rPr>
                <w:rFonts w:ascii="Times New Roman" w:hAnsi="Times New Roman" w:cs="Times New Roman"/>
                <w:sz w:val="25"/>
                <w:szCs w:val="25"/>
              </w:rPr>
              <w:t xml:space="preserve">minister </w:t>
            </w:r>
            <w:r w:rsidR="00023170">
              <w:rPr>
                <w:rFonts w:ascii="Times New Roman" w:hAnsi="Times New Roman" w:cs="Times New Roman"/>
                <w:sz w:val="25"/>
                <w:szCs w:val="25"/>
              </w:rPr>
              <w:t>životného prostredia</w:t>
            </w:r>
            <w:r w:rsidR="00066F1C">
              <w:rPr>
                <w:rFonts w:ascii="Times New Roman" w:hAnsi="Times New Roman" w:cs="Times New Roman"/>
                <w:sz w:val="25"/>
                <w:szCs w:val="25"/>
              </w:rPr>
              <w:t xml:space="preserve">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AB5285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04AAD37F" w14:textId="52504AD9" w:rsidR="00607375" w:rsidRDefault="00607375" w:rsidP="0081708C"/>
    <w:tbl>
      <w:tblPr>
        <w:tblW w:w="5425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22"/>
        <w:gridCol w:w="292"/>
        <w:gridCol w:w="694"/>
        <w:gridCol w:w="435"/>
        <w:gridCol w:w="8363"/>
      </w:tblGrid>
      <w:tr w:rsidR="00607375" w14:paraId="2B9382B9" w14:textId="77777777" w:rsidTr="00945ED9">
        <w:trPr>
          <w:divId w:val="238289882"/>
          <w:trHeight w:val="450"/>
          <w:jc w:val="center"/>
        </w:trPr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624E27" w14:textId="10A83FFF" w:rsidR="00607375" w:rsidRDefault="0006520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 xml:space="preserve">   </w:t>
            </w:r>
            <w:r w:rsidR="00607375"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58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FAD1AE" w14:textId="77777777" w:rsidR="002D4400" w:rsidRDefault="002D440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  <w:p w14:paraId="6FB5D1D5" w14:textId="082C1098" w:rsidR="00065205" w:rsidRDefault="006D7E8D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Zrušuje</w:t>
            </w:r>
          </w:p>
          <w:p w14:paraId="11BEEDEC" w14:textId="77777777" w:rsidR="00607375" w:rsidRDefault="0060737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  <w:p w14:paraId="7218AF38" w14:textId="5ACBDF6A" w:rsidR="00731F67" w:rsidRDefault="00731F67" w:rsidP="004C081C">
            <w:pPr>
              <w:ind w:left="1003" w:hanging="1003"/>
              <w:jc w:val="both"/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D36541">
              <w:rPr>
                <w:rFonts w:ascii="Times" w:hAnsi="Times" w:cs="Times"/>
                <w:bCs/>
                <w:sz w:val="25"/>
                <w:szCs w:val="25"/>
              </w:rPr>
              <w:t>A</w:t>
            </w:r>
            <w:r w:rsidR="006D7E8D" w:rsidRPr="00D36541">
              <w:rPr>
                <w:rFonts w:ascii="Times" w:hAnsi="Times" w:cs="Times"/>
                <w:bCs/>
                <w:sz w:val="25"/>
                <w:szCs w:val="25"/>
              </w:rPr>
              <w:t>.1</w:t>
            </w:r>
            <w:r w:rsidR="004C081C" w:rsidRPr="00D36541">
              <w:rPr>
                <w:rFonts w:ascii="Times" w:hAnsi="Times" w:cs="Times"/>
                <w:bCs/>
                <w:sz w:val="25"/>
                <w:szCs w:val="25"/>
              </w:rPr>
              <w:t>.</w:t>
            </w:r>
            <w:r>
              <w:rPr>
                <w:rFonts w:ascii="Times" w:hAnsi="Times" w:cs="Times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Times" w:hAnsi="Times" w:cs="Times"/>
                <w:sz w:val="25"/>
                <w:szCs w:val="25"/>
              </w:rPr>
              <w:t>b</w:t>
            </w:r>
            <w:r w:rsidRPr="00956AFB">
              <w:rPr>
                <w:rFonts w:ascii="Times" w:hAnsi="Times" w:cs="Times"/>
                <w:sz w:val="25"/>
                <w:szCs w:val="25"/>
              </w:rPr>
              <w:t xml:space="preserve">od A.5. uznesenia vlády Slovenskej republiky č. 175 zo 16. </w:t>
            </w:r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Pr="00956AFB">
              <w:rPr>
                <w:rFonts w:ascii="Times" w:hAnsi="Times" w:cs="Times"/>
                <w:sz w:val="25"/>
                <w:szCs w:val="25"/>
              </w:rPr>
              <w:t>apríla 2014 k návrhu Operačného programu Kva</w:t>
            </w:r>
            <w:r w:rsidR="00D36541">
              <w:rPr>
                <w:rFonts w:ascii="Times" w:hAnsi="Times" w:cs="Times"/>
                <w:sz w:val="25"/>
                <w:szCs w:val="25"/>
              </w:rPr>
              <w:t xml:space="preserve">lita životného prostredia, a to </w:t>
            </w:r>
            <w:r w:rsidRPr="00956AFB">
              <w:rPr>
                <w:rFonts w:ascii="Times" w:hAnsi="Times" w:cs="Times"/>
                <w:sz w:val="25"/>
                <w:szCs w:val="25"/>
              </w:rPr>
              <w:t>s účinnosťou od 1. decembra 2023;</w:t>
            </w:r>
          </w:p>
          <w:p w14:paraId="0A5CF79A" w14:textId="36ABA654" w:rsidR="006D7E8D" w:rsidRDefault="006D7E8D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</w:tr>
      <w:tr w:rsidR="00637C55" w14:paraId="4B3E9A58" w14:textId="77777777" w:rsidTr="001D50B0">
        <w:trPr>
          <w:divId w:val="238289882"/>
          <w:trHeight w:val="1756"/>
          <w:jc w:val="center"/>
        </w:trPr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0ABA63" w14:textId="7EDF7EBC" w:rsidR="00607375" w:rsidRDefault="00731F6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4A1590" w14:textId="1C447D30" w:rsidR="00607375" w:rsidRDefault="00607375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A. </w:t>
            </w:r>
            <w:r w:rsidR="006D7E8D">
              <w:rPr>
                <w:rFonts w:ascii="Times" w:hAnsi="Times" w:cs="Times"/>
                <w:sz w:val="25"/>
                <w:szCs w:val="25"/>
              </w:rPr>
              <w:t>2</w:t>
            </w:r>
            <w:r>
              <w:rPr>
                <w:rFonts w:ascii="Times" w:hAnsi="Times" w:cs="Times"/>
                <w:sz w:val="25"/>
                <w:szCs w:val="25"/>
              </w:rPr>
              <w:t>.</w:t>
            </w:r>
          </w:p>
          <w:p w14:paraId="567D74E5" w14:textId="77777777" w:rsidR="004164F7" w:rsidRDefault="004164F7">
            <w:pPr>
              <w:rPr>
                <w:rFonts w:ascii="Times" w:hAnsi="Times" w:cs="Times"/>
                <w:sz w:val="25"/>
                <w:szCs w:val="25"/>
              </w:rPr>
            </w:pPr>
          </w:p>
          <w:p w14:paraId="0E88B9A7" w14:textId="77777777" w:rsidR="004164F7" w:rsidRDefault="004164F7">
            <w:pPr>
              <w:rPr>
                <w:rFonts w:ascii="Times" w:hAnsi="Times" w:cs="Times"/>
                <w:sz w:val="25"/>
                <w:szCs w:val="25"/>
              </w:rPr>
            </w:pPr>
          </w:p>
          <w:p w14:paraId="70A20382" w14:textId="77777777" w:rsidR="004164F7" w:rsidRDefault="004164F7">
            <w:pPr>
              <w:rPr>
                <w:rFonts w:ascii="Times" w:hAnsi="Times" w:cs="Times"/>
                <w:sz w:val="25"/>
                <w:szCs w:val="25"/>
              </w:rPr>
            </w:pPr>
          </w:p>
          <w:p w14:paraId="112CD0FC" w14:textId="77777777" w:rsidR="004164F7" w:rsidRDefault="004164F7">
            <w:pPr>
              <w:rPr>
                <w:rFonts w:ascii="Times" w:hAnsi="Times" w:cs="Times"/>
                <w:sz w:val="25"/>
                <w:szCs w:val="25"/>
              </w:rPr>
            </w:pPr>
          </w:p>
          <w:p w14:paraId="6B48F5A0" w14:textId="77777777" w:rsidR="006D7E8D" w:rsidRPr="00956AFB" w:rsidRDefault="006D7E8D" w:rsidP="006D7E8D">
            <w:pPr>
              <w:ind w:left="588" w:hanging="607"/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14:paraId="3F27BC2F" w14:textId="77777777" w:rsidR="004164F7" w:rsidRDefault="004164F7">
            <w:pPr>
              <w:rPr>
                <w:rFonts w:ascii="Times" w:hAnsi="Times" w:cs="Times"/>
                <w:sz w:val="25"/>
                <w:szCs w:val="25"/>
              </w:rPr>
            </w:pPr>
          </w:p>
          <w:p w14:paraId="179D573C" w14:textId="3AAD6EE1" w:rsidR="004164F7" w:rsidRDefault="004164F7" w:rsidP="00164C8F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286886" w14:textId="7F6848D0" w:rsidR="002D4400" w:rsidRDefault="00731F67" w:rsidP="00371FD7">
            <w:pPr>
              <w:ind w:left="-125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065205">
              <w:rPr>
                <w:rFonts w:ascii="Times" w:hAnsi="Times" w:cs="Times"/>
                <w:sz w:val="25"/>
                <w:szCs w:val="25"/>
              </w:rPr>
              <w:t>uzneseni</w:t>
            </w:r>
            <w:r>
              <w:rPr>
                <w:rFonts w:ascii="Times" w:hAnsi="Times" w:cs="Times"/>
                <w:sz w:val="25"/>
                <w:szCs w:val="25"/>
              </w:rPr>
              <w:t>e</w:t>
            </w:r>
            <w:r w:rsidRPr="00065205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065205" w:rsidRPr="00065205">
              <w:rPr>
                <w:rFonts w:ascii="Times" w:hAnsi="Times" w:cs="Times"/>
                <w:sz w:val="25"/>
                <w:szCs w:val="25"/>
              </w:rPr>
              <w:t xml:space="preserve">vlády Slovenskej republiky č. 663 z 13. novembra 2013 k vzniku sprostredkovateľského orgánu pod riadiacim orgánom  k 1. januáru 2014 na programové obdobie 2007 </w:t>
            </w:r>
            <w:r w:rsidR="00371FD7">
              <w:rPr>
                <w:rFonts w:ascii="Times" w:hAnsi="Times" w:cs="Times"/>
                <w:sz w:val="25"/>
                <w:szCs w:val="25"/>
              </w:rPr>
              <w:t>–</w:t>
            </w:r>
            <w:r w:rsidR="00065205" w:rsidRPr="00065205">
              <w:rPr>
                <w:rFonts w:ascii="Times" w:hAnsi="Times" w:cs="Times"/>
                <w:sz w:val="25"/>
                <w:szCs w:val="25"/>
              </w:rPr>
              <w:t xml:space="preserve"> 2013</w:t>
            </w:r>
            <w:r w:rsidR="00371FD7">
              <w:rPr>
                <w:rFonts w:ascii="Times" w:hAnsi="Times" w:cs="Times"/>
                <w:sz w:val="25"/>
                <w:szCs w:val="25"/>
              </w:rPr>
              <w:t xml:space="preserve">, a to </w:t>
            </w:r>
            <w:r w:rsidR="00371FD7" w:rsidRPr="00956AFB">
              <w:rPr>
                <w:rFonts w:ascii="Times" w:hAnsi="Times" w:cs="Times"/>
                <w:sz w:val="25"/>
                <w:szCs w:val="25"/>
              </w:rPr>
              <w:t>s účinnosťou od 1. decembra 2023</w:t>
            </w:r>
            <w:r w:rsidR="004164F7"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607375" w14:paraId="5B2F3095" w14:textId="77777777" w:rsidTr="00945ED9">
        <w:trPr>
          <w:divId w:val="238289882"/>
          <w:trHeight w:val="450"/>
          <w:jc w:val="center"/>
        </w:trPr>
        <w:tc>
          <w:tcPr>
            <w:tcW w:w="493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C2474" w14:textId="564EAF50" w:rsidR="00DF4004" w:rsidRDefault="00DF4004" w:rsidP="00D01503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607375" w14:paraId="5E8F9E8B" w14:textId="77777777" w:rsidTr="00945ED9">
        <w:trPr>
          <w:divId w:val="238289882"/>
          <w:trHeight w:val="450"/>
          <w:jc w:val="center"/>
        </w:trPr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0A2336" w14:textId="77777777" w:rsidR="002D4400" w:rsidRDefault="002D440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  <w:p w14:paraId="5F616690" w14:textId="77777777" w:rsidR="00582EC9" w:rsidRPr="004C081C" w:rsidRDefault="00582EC9">
            <w:pPr>
              <w:rPr>
                <w:rFonts w:ascii="Times" w:hAnsi="Times" w:cs="Times"/>
                <w:b/>
                <w:bCs/>
                <w:sz w:val="4"/>
                <w:szCs w:val="4"/>
              </w:rPr>
            </w:pPr>
          </w:p>
          <w:p w14:paraId="41627808" w14:textId="77777777" w:rsidR="00582EC9" w:rsidRPr="004C081C" w:rsidRDefault="00582EC9">
            <w:pPr>
              <w:rPr>
                <w:rFonts w:ascii="Times" w:hAnsi="Times" w:cs="Times"/>
                <w:b/>
                <w:bCs/>
                <w:sz w:val="16"/>
                <w:szCs w:val="16"/>
              </w:rPr>
            </w:pPr>
          </w:p>
          <w:p w14:paraId="70A61B7F" w14:textId="23FA46A1" w:rsidR="002D4400" w:rsidRDefault="006D7E8D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</w:t>
            </w:r>
            <w:r w:rsidR="002D4400">
              <w:rPr>
                <w:rFonts w:ascii="Times" w:hAnsi="Times" w:cs="Times"/>
                <w:b/>
                <w:bCs/>
                <w:sz w:val="28"/>
                <w:szCs w:val="28"/>
              </w:rPr>
              <w:t>.</w:t>
            </w:r>
          </w:p>
          <w:p w14:paraId="6D027BE9" w14:textId="77777777" w:rsidR="00936699" w:rsidRDefault="0093669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  <w:p w14:paraId="3C67B80B" w14:textId="2F79C189" w:rsidR="00936699" w:rsidRDefault="0093669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58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02C4D6" w14:textId="77777777" w:rsidR="00065205" w:rsidRDefault="0006520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  <w:p w14:paraId="1E020D17" w14:textId="77777777" w:rsidR="00936699" w:rsidRPr="00936699" w:rsidRDefault="00936699" w:rsidP="00936699">
            <w:pPr>
              <w:rPr>
                <w:rFonts w:ascii="Times" w:hAnsi="Times" w:cs="Times"/>
                <w:b/>
                <w:bCs/>
                <w:sz w:val="16"/>
                <w:szCs w:val="16"/>
              </w:rPr>
            </w:pPr>
          </w:p>
          <w:p w14:paraId="7DA64A9E" w14:textId="44C03D72" w:rsidR="00607375" w:rsidRPr="00B9639C" w:rsidRDefault="002D4400" w:rsidP="0093669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B9639C">
              <w:rPr>
                <w:rFonts w:ascii="Times" w:hAnsi="Times" w:cs="Times"/>
                <w:b/>
                <w:bCs/>
                <w:sz w:val="28"/>
                <w:szCs w:val="28"/>
              </w:rPr>
              <w:t>U</w:t>
            </w:r>
            <w:r w:rsidR="00637C55" w:rsidRPr="00B9639C">
              <w:rPr>
                <w:rFonts w:ascii="Times" w:hAnsi="Times" w:cs="Times"/>
                <w:b/>
                <w:bCs/>
                <w:sz w:val="28"/>
                <w:szCs w:val="28"/>
              </w:rPr>
              <w:t>kladá</w:t>
            </w:r>
          </w:p>
          <w:p w14:paraId="7186CB2C" w14:textId="77777777" w:rsidR="00637C55" w:rsidRDefault="00637C55" w:rsidP="00637C55">
            <w:pPr>
              <w:ind w:firstLine="19"/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  <w:p w14:paraId="720C57C2" w14:textId="5EBE4707" w:rsidR="00637C55" w:rsidRDefault="00637C55" w:rsidP="00371FD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 xml:space="preserve">ministrovi životného prostredia </w:t>
            </w:r>
          </w:p>
        </w:tc>
      </w:tr>
      <w:tr w:rsidR="00637C55" w14:paraId="68086C5D" w14:textId="77777777" w:rsidTr="00945ED9">
        <w:trPr>
          <w:divId w:val="238289882"/>
          <w:trHeight w:val="450"/>
          <w:jc w:val="center"/>
        </w:trPr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A47B6B" w14:textId="77777777" w:rsidR="00637C55" w:rsidRDefault="00637C55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4DB9B8" w14:textId="7DDA696E" w:rsidR="00637C55" w:rsidRDefault="00637C55" w:rsidP="00637C55">
            <w:pPr>
              <w:ind w:left="-258" w:hanging="198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B.1.</w:t>
            </w:r>
          </w:p>
          <w:p w14:paraId="7006B8ED" w14:textId="77777777" w:rsidR="00637C55" w:rsidRDefault="00637C55" w:rsidP="00637C55">
            <w:pPr>
              <w:ind w:left="-258" w:hanging="1980"/>
              <w:rPr>
                <w:rFonts w:ascii="Times" w:hAnsi="Times" w:cs="Times"/>
                <w:sz w:val="25"/>
                <w:szCs w:val="25"/>
              </w:rPr>
            </w:pPr>
          </w:p>
          <w:p w14:paraId="618BB1DC" w14:textId="77777777" w:rsidR="00637C55" w:rsidRDefault="00637C55" w:rsidP="00637C55">
            <w:pPr>
              <w:ind w:left="-258" w:hanging="1980"/>
              <w:rPr>
                <w:rFonts w:ascii="Times" w:hAnsi="Times" w:cs="Times"/>
                <w:sz w:val="25"/>
                <w:szCs w:val="25"/>
              </w:rPr>
            </w:pPr>
          </w:p>
          <w:p w14:paraId="11EA7117" w14:textId="77777777" w:rsidR="00637C55" w:rsidRDefault="00637C55" w:rsidP="00637C55">
            <w:pPr>
              <w:ind w:left="-258" w:hanging="1980"/>
              <w:rPr>
                <w:rFonts w:ascii="Times" w:hAnsi="Times" w:cs="Times"/>
                <w:sz w:val="25"/>
                <w:szCs w:val="25"/>
              </w:rPr>
            </w:pPr>
          </w:p>
          <w:p w14:paraId="4A5E4EAE" w14:textId="77777777" w:rsidR="00637C55" w:rsidRDefault="00637C55" w:rsidP="00637C55">
            <w:pPr>
              <w:ind w:left="-258" w:hanging="1980"/>
              <w:rPr>
                <w:rFonts w:ascii="Times" w:hAnsi="Times" w:cs="Times"/>
                <w:sz w:val="25"/>
                <w:szCs w:val="25"/>
              </w:rPr>
            </w:pPr>
          </w:p>
          <w:p w14:paraId="76E225CB" w14:textId="77777777" w:rsidR="00637C55" w:rsidRDefault="00637C55" w:rsidP="00637C55">
            <w:pPr>
              <w:ind w:left="-258" w:hanging="1980"/>
              <w:rPr>
                <w:rFonts w:ascii="Times" w:hAnsi="Times" w:cs="Times"/>
                <w:sz w:val="25"/>
                <w:szCs w:val="25"/>
              </w:rPr>
            </w:pPr>
          </w:p>
          <w:p w14:paraId="540104B7" w14:textId="77777777" w:rsidR="00637C55" w:rsidRDefault="00637C55" w:rsidP="00637C55">
            <w:pPr>
              <w:ind w:left="-258" w:hanging="1980"/>
              <w:rPr>
                <w:rFonts w:ascii="Times" w:hAnsi="Times" w:cs="Times"/>
                <w:sz w:val="25"/>
                <w:szCs w:val="25"/>
              </w:rPr>
            </w:pPr>
          </w:p>
          <w:p w14:paraId="259C396B" w14:textId="77777777" w:rsidR="00637C55" w:rsidRDefault="00637C55" w:rsidP="00637C55">
            <w:pPr>
              <w:ind w:left="-258" w:hanging="1980"/>
              <w:rPr>
                <w:rFonts w:ascii="Times" w:hAnsi="Times" w:cs="Times"/>
                <w:sz w:val="25"/>
                <w:szCs w:val="25"/>
              </w:rPr>
            </w:pPr>
          </w:p>
          <w:p w14:paraId="1F217EA2" w14:textId="77777777" w:rsidR="00637C55" w:rsidRDefault="00637C55" w:rsidP="00637C55">
            <w:pPr>
              <w:ind w:left="-258" w:hanging="1980"/>
              <w:rPr>
                <w:rFonts w:ascii="Times" w:hAnsi="Times" w:cs="Times"/>
                <w:sz w:val="25"/>
                <w:szCs w:val="25"/>
              </w:rPr>
            </w:pPr>
          </w:p>
          <w:p w14:paraId="244C0D4A" w14:textId="77777777" w:rsidR="00637C55" w:rsidRDefault="00637C55" w:rsidP="00637C55">
            <w:pPr>
              <w:ind w:left="-258" w:hanging="1980"/>
              <w:rPr>
                <w:rFonts w:ascii="Times" w:hAnsi="Times" w:cs="Times"/>
                <w:sz w:val="25"/>
                <w:szCs w:val="25"/>
              </w:rPr>
            </w:pPr>
          </w:p>
          <w:p w14:paraId="56BEC76A" w14:textId="77777777" w:rsidR="00637C55" w:rsidRDefault="00637C55" w:rsidP="00637C55">
            <w:pPr>
              <w:ind w:left="-258" w:hanging="1980"/>
              <w:rPr>
                <w:rFonts w:ascii="Times" w:hAnsi="Times" w:cs="Times"/>
                <w:sz w:val="25"/>
                <w:szCs w:val="25"/>
              </w:rPr>
            </w:pPr>
          </w:p>
          <w:p w14:paraId="29410F50" w14:textId="77777777" w:rsidR="00637C55" w:rsidRDefault="00637C55" w:rsidP="00637C55">
            <w:pPr>
              <w:ind w:left="-258" w:hanging="1980"/>
              <w:rPr>
                <w:rFonts w:ascii="Times" w:hAnsi="Times" w:cs="Times"/>
                <w:sz w:val="25"/>
                <w:szCs w:val="25"/>
              </w:rPr>
            </w:pPr>
          </w:p>
          <w:p w14:paraId="0C1F935D" w14:textId="3CB980C2" w:rsidR="00637C55" w:rsidRDefault="00637C55" w:rsidP="00637C55">
            <w:pPr>
              <w:ind w:left="-258" w:hanging="198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B.2.</w:t>
            </w:r>
          </w:p>
        </w:tc>
        <w:tc>
          <w:tcPr>
            <w:tcW w:w="431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E4A83A" w14:textId="788A4117" w:rsidR="00637C55" w:rsidRDefault="00731F67" w:rsidP="00945ED9">
            <w:pPr>
              <w:pStyle w:val="Default"/>
              <w:ind w:left="161" w:right="15" w:hanging="283"/>
              <w:jc w:val="both"/>
            </w:pPr>
            <w:r>
              <w:rPr>
                <w:rFonts w:ascii="Times" w:hAnsi="Times" w:cs="Times"/>
                <w:sz w:val="25"/>
                <w:szCs w:val="25"/>
              </w:rPr>
              <w:t>B</w:t>
            </w:r>
            <w:r w:rsidR="009972AA">
              <w:rPr>
                <w:rFonts w:ascii="Times" w:hAnsi="Times" w:cs="Times"/>
                <w:sz w:val="25"/>
                <w:szCs w:val="25"/>
              </w:rPr>
              <w:t xml:space="preserve">.1. </w:t>
            </w:r>
            <w:r w:rsidR="00637C55" w:rsidRPr="00C72C26">
              <w:rPr>
                <w:rFonts w:ascii="Times" w:eastAsia="Arial" w:hAnsi="Times" w:cs="Times"/>
                <w:color w:val="auto"/>
                <w:sz w:val="25"/>
                <w:szCs w:val="25"/>
              </w:rPr>
              <w:t>zabezpečiť uzatvorenie Dohody o prechode práv a povinností vyplývajúcich z</w:t>
            </w:r>
            <w:r w:rsidR="002D4400">
              <w:rPr>
                <w:rFonts w:ascii="Times" w:eastAsia="Arial" w:hAnsi="Times" w:cs="Times"/>
                <w:color w:val="auto"/>
                <w:sz w:val="25"/>
                <w:szCs w:val="25"/>
              </w:rPr>
              <w:t> </w:t>
            </w:r>
            <w:r w:rsidR="00637C55" w:rsidRPr="00C72C26">
              <w:rPr>
                <w:rFonts w:ascii="Times" w:eastAsia="Arial" w:hAnsi="Times" w:cs="Times"/>
                <w:color w:val="auto"/>
                <w:sz w:val="25"/>
                <w:szCs w:val="25"/>
              </w:rPr>
              <w:t xml:space="preserve">pracovnoprávnych a iných právnych vzťahov zamestnancov </w:t>
            </w:r>
            <w:r w:rsidR="00987C36" w:rsidRPr="00C72C26">
              <w:rPr>
                <w:rFonts w:ascii="Times" w:eastAsia="Arial" w:hAnsi="Times" w:cs="Times"/>
                <w:color w:val="auto"/>
                <w:sz w:val="25"/>
                <w:szCs w:val="25"/>
              </w:rPr>
              <w:t xml:space="preserve">Slovenskej agentúry životného prostredia (ďalej aj ako „SAŽP“) </w:t>
            </w:r>
            <w:r w:rsidR="00637C55" w:rsidRPr="00C72C26">
              <w:rPr>
                <w:rFonts w:ascii="Times" w:eastAsia="Arial" w:hAnsi="Times" w:cs="Times"/>
                <w:color w:val="auto"/>
                <w:sz w:val="25"/>
                <w:szCs w:val="25"/>
              </w:rPr>
              <w:t xml:space="preserve">zabezpečujúcich výkon kompetencií sprostredkovateľského orgánu pre Operačný program </w:t>
            </w:r>
            <w:r w:rsidR="00945ED9">
              <w:rPr>
                <w:rFonts w:ascii="Times" w:eastAsia="Arial" w:hAnsi="Times" w:cs="Times"/>
                <w:color w:val="auto"/>
                <w:sz w:val="25"/>
                <w:szCs w:val="25"/>
              </w:rPr>
              <w:t>Ž</w:t>
            </w:r>
            <w:r w:rsidR="00637C55" w:rsidRPr="00C72C26">
              <w:rPr>
                <w:rFonts w:ascii="Times" w:eastAsia="Arial" w:hAnsi="Times" w:cs="Times"/>
                <w:color w:val="auto"/>
                <w:sz w:val="25"/>
                <w:szCs w:val="25"/>
              </w:rPr>
              <w:t>ivotné prostredie (PO  2007</w:t>
            </w:r>
            <w:r w:rsidR="00D36541">
              <w:rPr>
                <w:rFonts w:ascii="Times" w:eastAsia="Arial" w:hAnsi="Times" w:cs="Times"/>
                <w:color w:val="auto"/>
                <w:sz w:val="25"/>
                <w:szCs w:val="25"/>
              </w:rPr>
              <w:br/>
            </w:r>
            <w:r w:rsidR="00637C55" w:rsidRPr="00C72C26">
              <w:rPr>
                <w:rFonts w:ascii="Times" w:eastAsia="Arial" w:hAnsi="Times" w:cs="Times"/>
                <w:color w:val="auto"/>
                <w:sz w:val="25"/>
                <w:szCs w:val="25"/>
              </w:rPr>
              <w:t>-</w:t>
            </w:r>
            <w:r w:rsidR="00D36541">
              <w:rPr>
                <w:rFonts w:ascii="Times" w:eastAsia="Arial" w:hAnsi="Times" w:cs="Times"/>
                <w:color w:val="auto"/>
                <w:sz w:val="25"/>
                <w:szCs w:val="25"/>
              </w:rPr>
              <w:t xml:space="preserve"> </w:t>
            </w:r>
            <w:r w:rsidR="00637C55" w:rsidRPr="00C72C26">
              <w:rPr>
                <w:rFonts w:ascii="Times" w:eastAsia="Arial" w:hAnsi="Times" w:cs="Times"/>
                <w:color w:val="auto"/>
                <w:sz w:val="25"/>
                <w:szCs w:val="25"/>
              </w:rPr>
              <w:t xml:space="preserve">2013) a Operačný program </w:t>
            </w:r>
            <w:r w:rsidR="00945ED9">
              <w:rPr>
                <w:rFonts w:ascii="Times" w:eastAsia="Arial" w:hAnsi="Times" w:cs="Times"/>
                <w:color w:val="auto"/>
                <w:sz w:val="25"/>
                <w:szCs w:val="25"/>
              </w:rPr>
              <w:t>K</w:t>
            </w:r>
            <w:r w:rsidR="00637C55" w:rsidRPr="00C72C26">
              <w:rPr>
                <w:rFonts w:ascii="Times" w:eastAsia="Arial" w:hAnsi="Times" w:cs="Times"/>
                <w:color w:val="auto"/>
                <w:sz w:val="25"/>
                <w:szCs w:val="25"/>
              </w:rPr>
              <w:t>valita životného prostredia (PO 2014-2020)</w:t>
            </w:r>
            <w:r w:rsidR="00BC67FD" w:rsidRPr="00BC67FD">
              <w:rPr>
                <w:rFonts w:ascii="Times" w:eastAsia="Arial" w:hAnsi="Times" w:cs="Times"/>
                <w:color w:val="auto"/>
                <w:sz w:val="25"/>
                <w:szCs w:val="25"/>
              </w:rPr>
              <w:t xml:space="preserve"> vrátane</w:t>
            </w:r>
            <w:r w:rsidR="00834502">
              <w:rPr>
                <w:rFonts w:ascii="Times" w:eastAsia="Arial" w:hAnsi="Times" w:cs="Times"/>
                <w:color w:val="auto"/>
                <w:sz w:val="25"/>
                <w:szCs w:val="25"/>
              </w:rPr>
              <w:t xml:space="preserve"> prechodu</w:t>
            </w:r>
            <w:r w:rsidR="00BC67FD" w:rsidRPr="00C72C26">
              <w:rPr>
                <w:rFonts w:ascii="Times" w:eastAsia="Arial" w:hAnsi="Times" w:cs="Times"/>
                <w:color w:val="auto"/>
                <w:sz w:val="25"/>
                <w:szCs w:val="25"/>
              </w:rPr>
              <w:t xml:space="preserve"> finančného, technického a materiálneho zabezpečenia a spisovej agendy zo </w:t>
            </w:r>
            <w:r w:rsidR="00BC67FD" w:rsidRPr="00184A21">
              <w:rPr>
                <w:rFonts w:ascii="Times" w:eastAsia="Arial" w:hAnsi="Times" w:cs="Times"/>
                <w:color w:val="auto"/>
                <w:sz w:val="25"/>
                <w:szCs w:val="25"/>
              </w:rPr>
              <w:t>SAŽP</w:t>
            </w:r>
            <w:r w:rsidR="00BC67FD" w:rsidRPr="00C72C26">
              <w:rPr>
                <w:rFonts w:ascii="Times" w:eastAsia="Arial" w:hAnsi="Times" w:cs="Times"/>
                <w:color w:val="auto"/>
                <w:sz w:val="25"/>
                <w:szCs w:val="25"/>
              </w:rPr>
              <w:t xml:space="preserve"> </w:t>
            </w:r>
            <w:r w:rsidR="00637C55" w:rsidRPr="00C72C26">
              <w:rPr>
                <w:rFonts w:ascii="Times" w:eastAsia="Arial" w:hAnsi="Times" w:cs="Times"/>
                <w:color w:val="auto"/>
                <w:sz w:val="25"/>
                <w:szCs w:val="25"/>
              </w:rPr>
              <w:t>na Ministerstvo životného prostredia</w:t>
            </w:r>
            <w:r w:rsidR="002D4400">
              <w:rPr>
                <w:rFonts w:ascii="Times" w:eastAsia="Arial" w:hAnsi="Times" w:cs="Times"/>
                <w:color w:val="auto"/>
                <w:sz w:val="25"/>
                <w:szCs w:val="25"/>
              </w:rPr>
              <w:t xml:space="preserve"> SR</w:t>
            </w:r>
            <w:r w:rsidR="00637C55" w:rsidRPr="00C72C26">
              <w:rPr>
                <w:rFonts w:ascii="Times" w:eastAsia="Arial" w:hAnsi="Times" w:cs="Times"/>
                <w:color w:val="auto"/>
                <w:sz w:val="25"/>
                <w:szCs w:val="25"/>
              </w:rPr>
              <w:t xml:space="preserve"> </w:t>
            </w:r>
            <w:r w:rsidR="00945ED9" w:rsidRPr="00945ED9">
              <w:rPr>
                <w:rFonts w:ascii="Times" w:eastAsia="Arial" w:hAnsi="Times" w:cs="Times"/>
                <w:color w:val="auto"/>
                <w:sz w:val="25"/>
                <w:szCs w:val="25"/>
              </w:rPr>
              <w:t>(ďalej aj ako „MŽP SR“)</w:t>
            </w:r>
            <w:r w:rsidR="00945ED9">
              <w:rPr>
                <w:rFonts w:ascii="Times" w:eastAsia="Arial" w:hAnsi="Times" w:cs="Times"/>
                <w:color w:val="auto"/>
                <w:sz w:val="25"/>
                <w:szCs w:val="25"/>
              </w:rPr>
              <w:t xml:space="preserve"> </w:t>
            </w:r>
            <w:r w:rsidR="00637C55" w:rsidRPr="00C72C26">
              <w:rPr>
                <w:rFonts w:ascii="Times" w:eastAsia="Arial" w:hAnsi="Times" w:cs="Times"/>
                <w:color w:val="auto"/>
                <w:sz w:val="25"/>
                <w:szCs w:val="25"/>
              </w:rPr>
              <w:t>prostredníctvom delimitácie</w:t>
            </w:r>
            <w:r w:rsidR="002D4400">
              <w:rPr>
                <w:rFonts w:ascii="Times" w:eastAsia="Arial" w:hAnsi="Times" w:cs="Times"/>
                <w:color w:val="auto"/>
                <w:sz w:val="25"/>
                <w:szCs w:val="25"/>
              </w:rPr>
              <w:t>,</w:t>
            </w:r>
            <w:r w:rsidR="00987C36" w:rsidRPr="00C72C26">
              <w:rPr>
                <w:rFonts w:ascii="Times" w:eastAsia="Arial" w:hAnsi="Times" w:cs="Times"/>
                <w:color w:val="auto"/>
                <w:sz w:val="25"/>
                <w:szCs w:val="25"/>
              </w:rPr>
              <w:t xml:space="preserve"> </w:t>
            </w:r>
          </w:p>
          <w:p w14:paraId="49842E79" w14:textId="62690717" w:rsidR="00945ED9" w:rsidRDefault="00945ED9" w:rsidP="00945ED9">
            <w:pPr>
              <w:ind w:right="15"/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14:paraId="7241E02F" w14:textId="77777777" w:rsidR="00945ED9" w:rsidRDefault="00945ED9" w:rsidP="00945ED9">
            <w:pPr>
              <w:ind w:right="15"/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14:paraId="3CEBC57D" w14:textId="0C437EEC" w:rsidR="00637C55" w:rsidRDefault="00637C55" w:rsidP="00945ED9">
            <w:pPr>
              <w:ind w:left="303" w:right="15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C72C26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do </w:t>
            </w:r>
            <w:r w:rsidR="00C72C26" w:rsidRPr="00C72C26">
              <w:rPr>
                <w:rFonts w:ascii="Times" w:hAnsi="Times" w:cs="Times"/>
                <w:i/>
                <w:iCs/>
                <w:sz w:val="25"/>
                <w:szCs w:val="25"/>
              </w:rPr>
              <w:t>30</w:t>
            </w:r>
            <w:r w:rsidRPr="00C72C26">
              <w:rPr>
                <w:rFonts w:ascii="Times" w:hAnsi="Times" w:cs="Times"/>
                <w:i/>
                <w:iCs/>
                <w:sz w:val="25"/>
                <w:szCs w:val="25"/>
              </w:rPr>
              <w:t>. novembra  2023</w:t>
            </w:r>
            <w:r w:rsidR="00987C36" w:rsidRPr="00C72C26">
              <w:rPr>
                <w:rFonts w:ascii="Times" w:hAnsi="Times" w:cs="Times"/>
                <w:sz w:val="25"/>
                <w:szCs w:val="25"/>
              </w:rPr>
              <w:t>;</w:t>
            </w:r>
          </w:p>
          <w:p w14:paraId="05B1C69C" w14:textId="6EF7AE32" w:rsidR="00637C55" w:rsidRDefault="00637C55" w:rsidP="00945ED9">
            <w:pPr>
              <w:ind w:left="303" w:right="15"/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14:paraId="2EE2B6FE" w14:textId="77777777" w:rsidR="00945ED9" w:rsidRDefault="00945ED9" w:rsidP="00945ED9">
            <w:pPr>
              <w:ind w:left="303" w:right="15"/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14:paraId="12DCC069" w14:textId="5ECFC966" w:rsidR="00637C55" w:rsidRDefault="00731F67" w:rsidP="00945ED9">
            <w:pPr>
              <w:ind w:left="303" w:right="15" w:hanging="425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</w:t>
            </w:r>
            <w:r w:rsidR="00637C55">
              <w:rPr>
                <w:rFonts w:ascii="Times" w:hAnsi="Times" w:cs="Times"/>
                <w:sz w:val="25"/>
                <w:szCs w:val="25"/>
              </w:rPr>
              <w:t xml:space="preserve">.2. </w:t>
            </w:r>
            <w:r w:rsidR="00336009" w:rsidRPr="00184A21">
              <w:rPr>
                <w:rFonts w:ascii="Times" w:hAnsi="Times" w:cs="Times"/>
                <w:sz w:val="25"/>
                <w:szCs w:val="25"/>
              </w:rPr>
              <w:t>zabezpečiť uzatvorenie Dohody</w:t>
            </w:r>
            <w:r w:rsidR="00637C55">
              <w:rPr>
                <w:rFonts w:ascii="Times" w:hAnsi="Times" w:cs="Times"/>
                <w:sz w:val="25"/>
                <w:szCs w:val="25"/>
              </w:rPr>
              <w:t xml:space="preserve"> o ukončení Splnomocnenia</w:t>
            </w:r>
            <w:r w:rsidR="00945ED9">
              <w:rPr>
                <w:rFonts w:ascii="Times" w:hAnsi="Times" w:cs="Times"/>
                <w:sz w:val="25"/>
                <w:szCs w:val="25"/>
              </w:rPr>
              <w:t xml:space="preserve"> zo dňa 17. decembra </w:t>
            </w:r>
            <w:r w:rsidR="00637C55" w:rsidRPr="00023170">
              <w:rPr>
                <w:rFonts w:ascii="Times" w:hAnsi="Times" w:cs="Times"/>
                <w:sz w:val="25"/>
                <w:szCs w:val="25"/>
              </w:rPr>
              <w:t>2013</w:t>
            </w:r>
            <w:r w:rsidR="00D36541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637C55">
              <w:rPr>
                <w:rFonts w:ascii="Times" w:hAnsi="Times" w:cs="Times"/>
                <w:sz w:val="25"/>
                <w:szCs w:val="25"/>
              </w:rPr>
              <w:t>s</w:t>
            </w:r>
            <w:r w:rsidR="00637C55" w:rsidRPr="00023170">
              <w:rPr>
                <w:rFonts w:ascii="Times" w:hAnsi="Times" w:cs="Times"/>
                <w:sz w:val="25"/>
                <w:szCs w:val="25"/>
              </w:rPr>
              <w:t>p</w:t>
            </w:r>
            <w:r w:rsidR="00637C55">
              <w:rPr>
                <w:rFonts w:ascii="Times" w:hAnsi="Times" w:cs="Times"/>
                <w:sz w:val="25"/>
                <w:szCs w:val="25"/>
              </w:rPr>
              <w:t>rostredkovateľského orgánu pod r</w:t>
            </w:r>
            <w:r w:rsidR="00637C55" w:rsidRPr="00023170">
              <w:rPr>
                <w:rFonts w:ascii="Times" w:hAnsi="Times" w:cs="Times"/>
                <w:sz w:val="25"/>
                <w:szCs w:val="25"/>
              </w:rPr>
              <w:t>iadiacim orgánom na plnenie úloh riadiaceho orgánu,</w:t>
            </w:r>
            <w:r w:rsidR="00637C55">
              <w:rPr>
                <w:rFonts w:ascii="Times" w:hAnsi="Times" w:cs="Times"/>
                <w:sz w:val="25"/>
                <w:szCs w:val="25"/>
              </w:rPr>
              <w:t xml:space="preserve"> v ktorom </w:t>
            </w:r>
            <w:r w:rsidR="00637C55" w:rsidRPr="00023170">
              <w:rPr>
                <w:rFonts w:ascii="Times" w:hAnsi="Times" w:cs="Times"/>
                <w:sz w:val="25"/>
                <w:szCs w:val="25"/>
              </w:rPr>
              <w:t xml:space="preserve">MŽP SR ako riadiaci orgán pre Operačný program Životné prostredie splnomocnil </w:t>
            </w:r>
            <w:r w:rsidR="00834502" w:rsidRPr="00184A21">
              <w:rPr>
                <w:rFonts w:ascii="Times" w:hAnsi="Times" w:cs="Times"/>
                <w:sz w:val="25"/>
                <w:szCs w:val="25"/>
              </w:rPr>
              <w:t>SAŽP</w:t>
            </w:r>
            <w:r w:rsidR="00637C55" w:rsidRPr="00023170">
              <w:rPr>
                <w:rFonts w:ascii="Times" w:hAnsi="Times" w:cs="Times"/>
                <w:sz w:val="25"/>
                <w:szCs w:val="25"/>
              </w:rPr>
              <w:t xml:space="preserve"> ako sprostredkovateľský orgán pre Operačný program Životné prostredie plnením niektorých úloh riadiaceho orgánu</w:t>
            </w:r>
            <w:r w:rsidR="00637C55">
              <w:rPr>
                <w:rFonts w:ascii="Times" w:hAnsi="Times" w:cs="Times"/>
                <w:sz w:val="25"/>
                <w:szCs w:val="25"/>
              </w:rPr>
              <w:t>;</w:t>
            </w:r>
          </w:p>
          <w:p w14:paraId="00C5CA99" w14:textId="305F6E02" w:rsidR="00945ED9" w:rsidRDefault="00945ED9" w:rsidP="00945ED9">
            <w:pPr>
              <w:ind w:right="15"/>
              <w:jc w:val="both"/>
              <w:rPr>
                <w:rFonts w:ascii="Times" w:hAnsi="Times" w:cs="Times"/>
                <w:i/>
                <w:iCs/>
                <w:sz w:val="25"/>
                <w:szCs w:val="25"/>
              </w:rPr>
            </w:pPr>
          </w:p>
          <w:p w14:paraId="580C1406" w14:textId="77777777" w:rsidR="00945ED9" w:rsidRDefault="00945ED9" w:rsidP="00945ED9">
            <w:pPr>
              <w:ind w:right="15"/>
              <w:jc w:val="both"/>
              <w:rPr>
                <w:rFonts w:ascii="Times" w:hAnsi="Times" w:cs="Times"/>
                <w:i/>
                <w:iCs/>
                <w:sz w:val="25"/>
                <w:szCs w:val="25"/>
              </w:rPr>
            </w:pPr>
          </w:p>
          <w:p w14:paraId="205ADD30" w14:textId="3F2B1A09" w:rsidR="00987C36" w:rsidRDefault="00987C36" w:rsidP="00945ED9">
            <w:pPr>
              <w:ind w:left="303" w:right="15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C72C26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do </w:t>
            </w:r>
            <w:r w:rsidR="00C72C26" w:rsidRPr="00C72C26">
              <w:rPr>
                <w:rFonts w:ascii="Times" w:hAnsi="Times" w:cs="Times"/>
                <w:i/>
                <w:iCs/>
                <w:sz w:val="25"/>
                <w:szCs w:val="25"/>
              </w:rPr>
              <w:t>30</w:t>
            </w:r>
            <w:r w:rsidRPr="00C72C26">
              <w:rPr>
                <w:rFonts w:ascii="Times" w:hAnsi="Times" w:cs="Times"/>
                <w:i/>
                <w:iCs/>
                <w:sz w:val="25"/>
                <w:szCs w:val="25"/>
              </w:rPr>
              <w:t>. novembra  2023</w:t>
            </w:r>
            <w:r w:rsidRPr="00C72C26">
              <w:rPr>
                <w:rFonts w:ascii="Times" w:hAnsi="Times" w:cs="Times"/>
                <w:sz w:val="25"/>
                <w:szCs w:val="25"/>
              </w:rPr>
              <w:t>;</w:t>
            </w:r>
          </w:p>
          <w:p w14:paraId="44277AA2" w14:textId="6DE55AE4" w:rsidR="00637C55" w:rsidRDefault="00637C55" w:rsidP="00945ED9">
            <w:pPr>
              <w:ind w:right="15"/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14:paraId="264CDACE" w14:textId="77777777" w:rsidR="00637C55" w:rsidRDefault="00637C55" w:rsidP="00945ED9">
            <w:pPr>
              <w:ind w:left="303" w:right="15"/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14:paraId="326501F2" w14:textId="037E7E20" w:rsidR="00637C55" w:rsidRDefault="00731F67" w:rsidP="00945ED9">
            <w:pPr>
              <w:ind w:left="303" w:right="15" w:hanging="425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</w:t>
            </w:r>
            <w:r w:rsidR="00987C36">
              <w:rPr>
                <w:rFonts w:ascii="Times" w:hAnsi="Times" w:cs="Times"/>
                <w:sz w:val="25"/>
                <w:szCs w:val="25"/>
              </w:rPr>
              <w:t xml:space="preserve">.3. </w:t>
            </w:r>
            <w:r w:rsidR="00336009" w:rsidRPr="00184A21">
              <w:rPr>
                <w:rFonts w:ascii="Times" w:hAnsi="Times" w:cs="Times"/>
                <w:sz w:val="25"/>
                <w:szCs w:val="25"/>
              </w:rPr>
              <w:t>zabezpečiť uzatvorenie Dohody</w:t>
            </w:r>
            <w:r w:rsidR="00637C55" w:rsidRPr="00023170">
              <w:rPr>
                <w:rFonts w:ascii="Times" w:hAnsi="Times" w:cs="Times"/>
                <w:sz w:val="25"/>
                <w:szCs w:val="25"/>
              </w:rPr>
              <w:t xml:space="preserve"> o ukončení Zmluvy o vykonávaní časti úloh riadiaceho orgánu sprostredkovateľským orgánom č. 22/2015/5.1 zo dňa 13.</w:t>
            </w:r>
            <w:r w:rsidR="00945ED9">
              <w:rPr>
                <w:rFonts w:ascii="Times" w:hAnsi="Times" w:cs="Times"/>
                <w:sz w:val="25"/>
                <w:szCs w:val="25"/>
              </w:rPr>
              <w:t xml:space="preserve"> apríla </w:t>
            </w:r>
            <w:r w:rsidR="00637C55" w:rsidRPr="00023170">
              <w:rPr>
                <w:rFonts w:ascii="Times" w:hAnsi="Times" w:cs="Times"/>
                <w:sz w:val="25"/>
                <w:szCs w:val="25"/>
              </w:rPr>
              <w:t xml:space="preserve">2015, prostredníctvom ktorej MŽP SR ako riadiaci orgán pre Operačný program Kvalita životného prostredia splnomocnil </w:t>
            </w:r>
            <w:r w:rsidR="00834502">
              <w:rPr>
                <w:rFonts w:ascii="Times" w:hAnsi="Times" w:cs="Times"/>
                <w:sz w:val="25"/>
                <w:szCs w:val="25"/>
              </w:rPr>
              <w:t>SAŽP</w:t>
            </w:r>
            <w:r w:rsidR="00637C55" w:rsidRPr="00023170">
              <w:rPr>
                <w:rFonts w:ascii="Times" w:hAnsi="Times" w:cs="Times"/>
                <w:sz w:val="25"/>
                <w:szCs w:val="25"/>
              </w:rPr>
              <w:t xml:space="preserve"> ako sprostredkovateľský orgán pre Operačný program Kvalita životného prostredia plnením niektorých úloh riadiaceho orgánu</w:t>
            </w:r>
            <w:r w:rsidR="00637C55"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637C55" w14:paraId="50A2A66B" w14:textId="77777777" w:rsidTr="00945ED9">
        <w:trPr>
          <w:divId w:val="238289882"/>
          <w:trHeight w:val="450"/>
          <w:jc w:val="center"/>
        </w:trPr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2289E" w14:textId="77777777" w:rsidR="00637C55" w:rsidRDefault="00637C55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4D0066" w14:textId="77777777" w:rsidR="00637C55" w:rsidRDefault="00637C55" w:rsidP="00945ED9">
            <w:pPr>
              <w:ind w:right="15"/>
            </w:pPr>
          </w:p>
        </w:tc>
        <w:tc>
          <w:tcPr>
            <w:tcW w:w="40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A9B01B" w14:textId="2005A29B" w:rsidR="00637C55" w:rsidRDefault="00637C55" w:rsidP="00945ED9">
            <w:pPr>
              <w:ind w:right="15"/>
              <w:rPr>
                <w:rFonts w:ascii="Times" w:hAnsi="Times" w:cs="Times"/>
                <w:i/>
                <w:iCs/>
                <w:sz w:val="25"/>
                <w:szCs w:val="25"/>
              </w:rPr>
            </w:pPr>
          </w:p>
          <w:p w14:paraId="57C7E08E" w14:textId="26B94015" w:rsidR="00637C55" w:rsidRDefault="00637C55" w:rsidP="00945ED9">
            <w:pPr>
              <w:ind w:right="15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C72C26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do </w:t>
            </w:r>
            <w:r w:rsidR="00C72C26" w:rsidRPr="00C72C26">
              <w:rPr>
                <w:rFonts w:ascii="Times" w:hAnsi="Times" w:cs="Times"/>
                <w:i/>
                <w:iCs/>
                <w:sz w:val="25"/>
                <w:szCs w:val="25"/>
              </w:rPr>
              <w:t>30</w:t>
            </w:r>
            <w:r w:rsidRPr="00C72C26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. </w:t>
            </w:r>
            <w:r w:rsidR="00987C36" w:rsidRPr="00C72C26">
              <w:rPr>
                <w:rFonts w:ascii="Times" w:hAnsi="Times" w:cs="Times"/>
                <w:i/>
                <w:iCs/>
                <w:sz w:val="25"/>
                <w:szCs w:val="25"/>
              </w:rPr>
              <w:t>novembra</w:t>
            </w:r>
            <w:r w:rsidRPr="00C72C26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 2023</w:t>
            </w:r>
            <w:r w:rsidR="00987C36" w:rsidRPr="00C72C26">
              <w:rPr>
                <w:rFonts w:ascii="Times" w:hAnsi="Times" w:cs="Times"/>
                <w:sz w:val="25"/>
                <w:szCs w:val="25"/>
              </w:rPr>
              <w:t>;</w:t>
            </w:r>
          </w:p>
          <w:p w14:paraId="3E154270" w14:textId="10438644" w:rsidR="00637C55" w:rsidRDefault="00637C55" w:rsidP="00945ED9">
            <w:pPr>
              <w:ind w:right="15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637C55" w14:paraId="07BAF5B1" w14:textId="77777777" w:rsidTr="00945ED9">
        <w:trPr>
          <w:divId w:val="238289882"/>
          <w:trHeight w:val="450"/>
          <w:jc w:val="center"/>
        </w:trPr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421D00" w14:textId="77777777" w:rsidR="00637C55" w:rsidRDefault="00637C55"/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A72E9A" w14:textId="2BDC30C9" w:rsidR="00637C55" w:rsidRDefault="00987C36" w:rsidP="00945ED9">
            <w:pPr>
              <w:ind w:right="15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       </w:t>
            </w:r>
            <w:r w:rsidR="00731F67">
              <w:rPr>
                <w:rFonts w:ascii="Times" w:hAnsi="Times" w:cs="Times"/>
                <w:sz w:val="25"/>
                <w:szCs w:val="25"/>
              </w:rPr>
              <w:t>B</w:t>
            </w:r>
            <w:r w:rsidR="00637C55">
              <w:rPr>
                <w:rFonts w:ascii="Times" w:hAnsi="Times" w:cs="Times"/>
                <w:sz w:val="25"/>
                <w:szCs w:val="25"/>
              </w:rPr>
              <w:t>.</w:t>
            </w:r>
            <w:r>
              <w:rPr>
                <w:rFonts w:ascii="Times" w:hAnsi="Times" w:cs="Times"/>
                <w:sz w:val="25"/>
                <w:szCs w:val="25"/>
              </w:rPr>
              <w:t>4</w:t>
            </w:r>
            <w:r w:rsidR="00637C55">
              <w:rPr>
                <w:rFonts w:ascii="Times" w:hAnsi="Times" w:cs="Times"/>
                <w:sz w:val="25"/>
                <w:szCs w:val="25"/>
              </w:rPr>
              <w:t>.</w:t>
            </w:r>
          </w:p>
          <w:p w14:paraId="61C27FB0" w14:textId="7DA97008" w:rsidR="00637C55" w:rsidRDefault="00637C55" w:rsidP="00945ED9">
            <w:pPr>
              <w:ind w:right="15"/>
              <w:rPr>
                <w:rFonts w:ascii="Times" w:hAnsi="Times" w:cs="Times"/>
                <w:sz w:val="25"/>
                <w:szCs w:val="25"/>
              </w:rPr>
            </w:pPr>
          </w:p>
          <w:p w14:paraId="683BCEBA" w14:textId="59769E18" w:rsidR="00637C55" w:rsidRDefault="00637C55" w:rsidP="00945ED9">
            <w:pPr>
              <w:ind w:right="15"/>
              <w:rPr>
                <w:rFonts w:ascii="Times" w:hAnsi="Times" w:cs="Times"/>
                <w:sz w:val="25"/>
                <w:szCs w:val="25"/>
              </w:rPr>
            </w:pPr>
          </w:p>
          <w:p w14:paraId="369BE778" w14:textId="160BBDE3" w:rsidR="00637C55" w:rsidRDefault="00637C55" w:rsidP="00945ED9">
            <w:pPr>
              <w:ind w:right="15"/>
              <w:rPr>
                <w:rFonts w:ascii="Times" w:hAnsi="Times" w:cs="Times"/>
                <w:sz w:val="25"/>
                <w:szCs w:val="25"/>
              </w:rPr>
            </w:pPr>
          </w:p>
          <w:p w14:paraId="5B807864" w14:textId="6A9786BE" w:rsidR="00637C55" w:rsidRDefault="00637C55" w:rsidP="00945ED9">
            <w:pPr>
              <w:ind w:right="15"/>
              <w:rPr>
                <w:rFonts w:ascii="Times" w:hAnsi="Times" w:cs="Times"/>
                <w:sz w:val="25"/>
                <w:szCs w:val="25"/>
              </w:rPr>
            </w:pPr>
          </w:p>
          <w:p w14:paraId="64836055" w14:textId="77777777" w:rsidR="00637C55" w:rsidRDefault="00637C55" w:rsidP="00945ED9">
            <w:pPr>
              <w:ind w:right="15"/>
              <w:rPr>
                <w:rFonts w:ascii="Times" w:hAnsi="Times" w:cs="Times"/>
                <w:sz w:val="25"/>
                <w:szCs w:val="25"/>
              </w:rPr>
            </w:pPr>
          </w:p>
          <w:p w14:paraId="4A4DD08A" w14:textId="77777777" w:rsidR="00637C55" w:rsidRDefault="00637C55" w:rsidP="00945ED9">
            <w:pPr>
              <w:ind w:right="15"/>
              <w:rPr>
                <w:rFonts w:ascii="Times" w:hAnsi="Times" w:cs="Times"/>
                <w:sz w:val="25"/>
                <w:szCs w:val="25"/>
              </w:rPr>
            </w:pPr>
          </w:p>
          <w:p w14:paraId="5C79DEF9" w14:textId="77777777" w:rsidR="00637C55" w:rsidRDefault="00637C55" w:rsidP="00945ED9">
            <w:pPr>
              <w:ind w:right="15"/>
              <w:rPr>
                <w:rFonts w:ascii="Times" w:hAnsi="Times" w:cs="Times"/>
                <w:sz w:val="25"/>
                <w:szCs w:val="25"/>
              </w:rPr>
            </w:pPr>
          </w:p>
          <w:p w14:paraId="52190EE0" w14:textId="078536C7" w:rsidR="00637C55" w:rsidRDefault="00637C55" w:rsidP="00945ED9">
            <w:pPr>
              <w:ind w:right="15"/>
              <w:rPr>
                <w:rFonts w:ascii="Times" w:hAnsi="Times" w:cs="Times"/>
                <w:sz w:val="25"/>
                <w:szCs w:val="25"/>
              </w:rPr>
            </w:pPr>
          </w:p>
          <w:p w14:paraId="2E5C25D9" w14:textId="77777777" w:rsidR="00987C36" w:rsidRDefault="00987C36" w:rsidP="00945ED9">
            <w:pPr>
              <w:ind w:left="21" w:right="15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                     </w:t>
            </w:r>
          </w:p>
          <w:p w14:paraId="495F769F" w14:textId="3948499D" w:rsidR="00637C55" w:rsidRDefault="00987C36" w:rsidP="00731F67">
            <w:pPr>
              <w:ind w:left="21" w:right="15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      </w:t>
            </w:r>
            <w:r w:rsidR="00731F67">
              <w:rPr>
                <w:rFonts w:ascii="Times" w:hAnsi="Times" w:cs="Times"/>
                <w:sz w:val="25"/>
                <w:szCs w:val="25"/>
              </w:rPr>
              <w:t>B</w:t>
            </w:r>
            <w:r>
              <w:rPr>
                <w:rFonts w:ascii="Times" w:hAnsi="Times" w:cs="Times"/>
                <w:sz w:val="25"/>
                <w:szCs w:val="25"/>
              </w:rPr>
              <w:t xml:space="preserve">.5. </w:t>
            </w:r>
          </w:p>
        </w:tc>
        <w:tc>
          <w:tcPr>
            <w:tcW w:w="40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EBD42A" w14:textId="1D68A7B4" w:rsidR="00637C55" w:rsidRDefault="00637C55" w:rsidP="00945ED9">
            <w:pPr>
              <w:ind w:right="15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lastRenderedPageBreak/>
              <w:t>z</w:t>
            </w:r>
            <w:r w:rsidRPr="00C44055">
              <w:rPr>
                <w:rFonts w:ascii="Times" w:hAnsi="Times" w:cs="Times"/>
                <w:sz w:val="25"/>
                <w:szCs w:val="25"/>
              </w:rPr>
              <w:t>abezpečiť</w:t>
            </w:r>
            <w:r>
              <w:rPr>
                <w:rFonts w:ascii="Times" w:hAnsi="Times" w:cs="Times"/>
                <w:sz w:val="25"/>
                <w:szCs w:val="25"/>
              </w:rPr>
              <w:t xml:space="preserve"> vysporiadanie vzájomných vzťahov MŽP SR a SAŽP v nadväznosti na dohody špecifikované v bode </w:t>
            </w:r>
            <w:r w:rsidR="00D36541">
              <w:rPr>
                <w:rFonts w:ascii="Times" w:hAnsi="Times" w:cs="Times"/>
                <w:sz w:val="25"/>
                <w:szCs w:val="25"/>
              </w:rPr>
              <w:t>B</w:t>
            </w:r>
            <w:r>
              <w:rPr>
                <w:rFonts w:ascii="Times" w:hAnsi="Times" w:cs="Times"/>
                <w:sz w:val="25"/>
                <w:szCs w:val="25"/>
              </w:rPr>
              <w:t>.1.</w:t>
            </w:r>
            <w:r w:rsidR="00987C36">
              <w:rPr>
                <w:rFonts w:ascii="Times" w:hAnsi="Times" w:cs="Times"/>
                <w:sz w:val="25"/>
                <w:szCs w:val="25"/>
              </w:rPr>
              <w:t xml:space="preserve">, </w:t>
            </w:r>
            <w:r w:rsidR="00D36541">
              <w:rPr>
                <w:rFonts w:ascii="Times" w:hAnsi="Times" w:cs="Times"/>
                <w:sz w:val="25"/>
                <w:szCs w:val="25"/>
              </w:rPr>
              <w:t>B</w:t>
            </w:r>
            <w:r>
              <w:rPr>
                <w:rFonts w:ascii="Times" w:hAnsi="Times" w:cs="Times"/>
                <w:sz w:val="25"/>
                <w:szCs w:val="25"/>
              </w:rPr>
              <w:t>.2.</w:t>
            </w:r>
            <w:r w:rsidR="00987C36">
              <w:rPr>
                <w:rFonts w:ascii="Times" w:hAnsi="Times" w:cs="Times"/>
                <w:sz w:val="25"/>
                <w:szCs w:val="25"/>
              </w:rPr>
              <w:t xml:space="preserve">, </w:t>
            </w:r>
            <w:r w:rsidR="00D36541">
              <w:rPr>
                <w:rFonts w:ascii="Times" w:hAnsi="Times" w:cs="Times"/>
                <w:sz w:val="25"/>
                <w:szCs w:val="25"/>
              </w:rPr>
              <w:t>B</w:t>
            </w:r>
            <w:r w:rsidR="00987C36">
              <w:rPr>
                <w:rFonts w:ascii="Times" w:hAnsi="Times" w:cs="Times"/>
                <w:sz w:val="25"/>
                <w:szCs w:val="25"/>
              </w:rPr>
              <w:t>.3.</w:t>
            </w:r>
            <w:r>
              <w:rPr>
                <w:rFonts w:ascii="Times" w:hAnsi="Times" w:cs="Times"/>
                <w:sz w:val="25"/>
                <w:szCs w:val="25"/>
              </w:rPr>
              <w:t xml:space="preserve"> tohto uznesenia</w:t>
            </w:r>
            <w:r w:rsidRPr="00C44055">
              <w:rPr>
                <w:rFonts w:ascii="Times" w:hAnsi="Times" w:cs="Times"/>
                <w:sz w:val="25"/>
                <w:szCs w:val="25"/>
              </w:rPr>
              <w:t xml:space="preserve"> </w:t>
            </w:r>
            <w:r>
              <w:rPr>
                <w:rFonts w:ascii="Times" w:hAnsi="Times" w:cs="Times"/>
                <w:sz w:val="25"/>
                <w:szCs w:val="25"/>
              </w:rPr>
              <w:t xml:space="preserve">(najmä </w:t>
            </w:r>
            <w:r w:rsidRPr="00C44055">
              <w:rPr>
                <w:rFonts w:ascii="Times" w:hAnsi="Times" w:cs="Times"/>
                <w:sz w:val="25"/>
                <w:szCs w:val="25"/>
              </w:rPr>
              <w:t>prechod pracovnoprávnych vzťahov a iných právnych vzťahov zamestnancov</w:t>
            </w:r>
            <w:r>
              <w:rPr>
                <w:rFonts w:ascii="Times" w:hAnsi="Times" w:cs="Times"/>
                <w:sz w:val="25"/>
                <w:szCs w:val="25"/>
              </w:rPr>
              <w:t xml:space="preserve"> SAŽP</w:t>
            </w:r>
            <w:r w:rsidRPr="00C44055">
              <w:rPr>
                <w:rFonts w:ascii="Times" w:hAnsi="Times" w:cs="Times"/>
                <w:sz w:val="25"/>
                <w:szCs w:val="25"/>
              </w:rPr>
              <w:t xml:space="preserve">, finančného, technického a materiálneho zabezpečenia a spisovej agendy zo </w:t>
            </w:r>
            <w:r w:rsidR="00336009">
              <w:rPr>
                <w:rFonts w:ascii="Times" w:hAnsi="Times" w:cs="Times"/>
                <w:sz w:val="25"/>
                <w:szCs w:val="25"/>
              </w:rPr>
              <w:t xml:space="preserve">SAŽP </w:t>
            </w:r>
            <w:r w:rsidRPr="00C44055">
              <w:rPr>
                <w:rFonts w:ascii="Times" w:hAnsi="Times" w:cs="Times"/>
                <w:sz w:val="25"/>
                <w:szCs w:val="25"/>
              </w:rPr>
              <w:t xml:space="preserve">na </w:t>
            </w:r>
            <w:r w:rsidR="00336009">
              <w:rPr>
                <w:rFonts w:ascii="Times" w:hAnsi="Times" w:cs="Times"/>
                <w:sz w:val="25"/>
                <w:szCs w:val="25"/>
              </w:rPr>
              <w:t>MŽP SR</w:t>
            </w:r>
            <w:r>
              <w:rPr>
                <w:rFonts w:ascii="Times" w:hAnsi="Times" w:cs="Times"/>
                <w:sz w:val="25"/>
                <w:szCs w:val="25"/>
              </w:rPr>
              <w:t>;</w:t>
            </w:r>
          </w:p>
          <w:p w14:paraId="45751C12" w14:textId="3EF9FC51" w:rsidR="00D01503" w:rsidRDefault="00D01503" w:rsidP="00945ED9">
            <w:pPr>
              <w:ind w:right="15"/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14:paraId="175173C4" w14:textId="77777777" w:rsidR="00945ED9" w:rsidRDefault="00945ED9" w:rsidP="00945ED9">
            <w:pPr>
              <w:ind w:right="15"/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14:paraId="6DD9C1D8" w14:textId="67D730B9" w:rsidR="00987C36" w:rsidRDefault="00637C55" w:rsidP="00945ED9">
            <w:pPr>
              <w:ind w:right="15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C72C26">
              <w:rPr>
                <w:rFonts w:ascii="Times" w:hAnsi="Times" w:cs="Times"/>
                <w:i/>
                <w:iCs/>
                <w:sz w:val="25"/>
                <w:szCs w:val="25"/>
              </w:rPr>
              <w:lastRenderedPageBreak/>
              <w:t xml:space="preserve">do </w:t>
            </w:r>
            <w:r w:rsidR="00C72C26" w:rsidRPr="00C72C26">
              <w:rPr>
                <w:rFonts w:ascii="Times" w:hAnsi="Times" w:cs="Times"/>
                <w:i/>
                <w:iCs/>
                <w:sz w:val="25"/>
                <w:szCs w:val="25"/>
              </w:rPr>
              <w:t>30</w:t>
            </w:r>
            <w:r w:rsidRPr="00C72C26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. </w:t>
            </w:r>
            <w:r w:rsidR="00987C36" w:rsidRPr="00C72C26">
              <w:rPr>
                <w:rFonts w:ascii="Times" w:hAnsi="Times" w:cs="Times"/>
                <w:i/>
                <w:iCs/>
                <w:sz w:val="25"/>
                <w:szCs w:val="25"/>
              </w:rPr>
              <w:t>novemb</w:t>
            </w:r>
            <w:r w:rsidRPr="00C72C26">
              <w:rPr>
                <w:rFonts w:ascii="Times" w:hAnsi="Times" w:cs="Times"/>
                <w:i/>
                <w:iCs/>
                <w:sz w:val="25"/>
                <w:szCs w:val="25"/>
              </w:rPr>
              <w:t>ra  2023</w:t>
            </w:r>
            <w:r w:rsidR="00987C36" w:rsidRPr="00C72C26">
              <w:rPr>
                <w:rFonts w:ascii="Times" w:hAnsi="Times" w:cs="Times"/>
                <w:sz w:val="25"/>
                <w:szCs w:val="25"/>
              </w:rPr>
              <w:t>;</w:t>
            </w:r>
          </w:p>
          <w:p w14:paraId="291135E0" w14:textId="1A8EA843" w:rsidR="00637C55" w:rsidRDefault="00637C55" w:rsidP="00945ED9">
            <w:pPr>
              <w:ind w:right="15"/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14:paraId="7D5C92C0" w14:textId="77777777" w:rsidR="00637C55" w:rsidRDefault="00637C55" w:rsidP="00945ED9">
            <w:pPr>
              <w:ind w:right="15"/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14:paraId="370F6D67" w14:textId="77777777" w:rsidR="00637C55" w:rsidRDefault="00637C55" w:rsidP="00945ED9">
            <w:pPr>
              <w:ind w:right="15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zabezpečiť delimitáciu finančných prostriedkov účelovo určených na výkon úloh sprostredkovateľského orgánu pod riadiacim orgánom pre Operačný program Kvalita životného prostredia na programové obdobie 2014 – 2020 v rámci kapitoly </w:t>
            </w:r>
            <w:r w:rsidR="00336009">
              <w:rPr>
                <w:rFonts w:ascii="Times" w:hAnsi="Times" w:cs="Times"/>
                <w:sz w:val="25"/>
                <w:szCs w:val="25"/>
              </w:rPr>
              <w:t>MŽP SR</w:t>
            </w:r>
            <w:r>
              <w:rPr>
                <w:rFonts w:ascii="Times" w:hAnsi="Times" w:cs="Times"/>
                <w:sz w:val="25"/>
                <w:szCs w:val="25"/>
              </w:rPr>
              <w:t>;</w:t>
            </w:r>
          </w:p>
          <w:p w14:paraId="6E5681B5" w14:textId="6ADCE378" w:rsidR="00960CDB" w:rsidRDefault="00960CDB" w:rsidP="00945ED9">
            <w:pPr>
              <w:ind w:right="15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637C55" w14:paraId="408A6B55" w14:textId="77777777" w:rsidTr="00945ED9">
        <w:trPr>
          <w:divId w:val="238289882"/>
          <w:trHeight w:val="450"/>
          <w:jc w:val="center"/>
        </w:trPr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0415F" w14:textId="77777777" w:rsidR="00637C55" w:rsidRDefault="00637C55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88AA96" w14:textId="77777777" w:rsidR="00637C55" w:rsidRDefault="00637C55"/>
        </w:tc>
        <w:tc>
          <w:tcPr>
            <w:tcW w:w="40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72A5CE" w14:textId="4A4695FA" w:rsidR="00987C36" w:rsidRDefault="00637C55" w:rsidP="00987C36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 </w:t>
            </w:r>
            <w:r w:rsidRPr="00C72C26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do </w:t>
            </w:r>
            <w:r w:rsidR="00C72C26" w:rsidRPr="00C72C26">
              <w:rPr>
                <w:rFonts w:ascii="Times" w:hAnsi="Times" w:cs="Times"/>
                <w:i/>
                <w:iCs/>
                <w:sz w:val="25"/>
                <w:szCs w:val="25"/>
              </w:rPr>
              <w:t>30</w:t>
            </w:r>
            <w:r w:rsidRPr="00C72C26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. </w:t>
            </w:r>
            <w:r w:rsidR="00987C36" w:rsidRPr="00C72C26">
              <w:rPr>
                <w:rFonts w:ascii="Times" w:hAnsi="Times" w:cs="Times"/>
                <w:i/>
                <w:iCs/>
                <w:sz w:val="25"/>
                <w:szCs w:val="25"/>
              </w:rPr>
              <w:t>novem</w:t>
            </w:r>
            <w:r w:rsidRPr="00C72C26">
              <w:rPr>
                <w:rFonts w:ascii="Times" w:hAnsi="Times" w:cs="Times"/>
                <w:i/>
                <w:iCs/>
                <w:sz w:val="25"/>
                <w:szCs w:val="25"/>
              </w:rPr>
              <w:t>bra  2023</w:t>
            </w:r>
            <w:r w:rsidR="00987C36" w:rsidRPr="00C72C26">
              <w:rPr>
                <w:rFonts w:ascii="Times" w:hAnsi="Times" w:cs="Times"/>
                <w:sz w:val="25"/>
                <w:szCs w:val="25"/>
              </w:rPr>
              <w:t>;</w:t>
            </w:r>
          </w:p>
          <w:p w14:paraId="38CEB6D1" w14:textId="34373ED8" w:rsidR="00637C55" w:rsidRDefault="00637C55" w:rsidP="00841921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14:paraId="29050480" w14:textId="746DF14B" w:rsidR="00637C55" w:rsidRDefault="00637C55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637C55" w14:paraId="6FD58300" w14:textId="77777777" w:rsidTr="00945ED9">
        <w:trPr>
          <w:divId w:val="238289882"/>
          <w:trHeight w:val="450"/>
          <w:jc w:val="center"/>
        </w:trPr>
        <w:tc>
          <w:tcPr>
            <w:tcW w:w="493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464A3" w14:textId="77777777" w:rsidR="00637C55" w:rsidRDefault="00637C55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637C55" w14:paraId="4BC82554" w14:textId="77777777" w:rsidTr="00945ED9">
        <w:trPr>
          <w:divId w:val="238289882"/>
          <w:trHeight w:val="450"/>
          <w:jc w:val="center"/>
        </w:trPr>
        <w:tc>
          <w:tcPr>
            <w:tcW w:w="493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F1E62FB" w14:textId="77777777" w:rsidR="00637C55" w:rsidRDefault="00637C55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637C55" w14:paraId="48A9FB73" w14:textId="77777777" w:rsidTr="00945ED9">
        <w:trPr>
          <w:divId w:val="238289882"/>
          <w:trHeight w:val="450"/>
          <w:jc w:val="center"/>
        </w:trPr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4CE1F4" w14:textId="77777777" w:rsidR="00637C55" w:rsidRDefault="00637C55"/>
        </w:tc>
        <w:tc>
          <w:tcPr>
            <w:tcW w:w="458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F81A9D" w14:textId="44B7ADEF" w:rsidR="00637C55" w:rsidRDefault="00637C55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ministrovi financií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podpredsedníčke</w:t>
            </w:r>
            <w:r w:rsidRPr="00DF4004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vlády pre Plán obnovy a odolnosti a využívanie eurofondov</w:t>
            </w:r>
          </w:p>
          <w:p w14:paraId="188530B3" w14:textId="597B25D9" w:rsidR="00637C55" w:rsidRDefault="00637C55" w:rsidP="00371FD7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ministrovi </w:t>
            </w:r>
            <w:r w:rsidRPr="00DF4004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investícií, regionálneho rozvoja a informatizácie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</w:r>
          </w:p>
        </w:tc>
      </w:tr>
      <w:tr w:rsidR="00637C55" w14:paraId="335BFB5E" w14:textId="77777777" w:rsidTr="00945ED9">
        <w:trPr>
          <w:divId w:val="238289882"/>
          <w:trHeight w:val="450"/>
          <w:jc w:val="center"/>
        </w:trPr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203C00" w14:textId="77777777" w:rsidR="00637C55" w:rsidRDefault="00637C55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AAA1F1" w14:textId="253CE786" w:rsidR="00637C55" w:rsidRDefault="00731F67" w:rsidP="004C081C">
            <w:pPr>
              <w:jc w:val="right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</w:t>
            </w:r>
            <w:r w:rsidR="00637C55">
              <w:rPr>
                <w:rFonts w:ascii="Times" w:hAnsi="Times" w:cs="Times"/>
                <w:sz w:val="25"/>
                <w:szCs w:val="25"/>
              </w:rPr>
              <w:t>.</w:t>
            </w:r>
            <w:r w:rsidR="00987C36">
              <w:rPr>
                <w:rFonts w:ascii="Times" w:hAnsi="Times" w:cs="Times"/>
                <w:sz w:val="25"/>
                <w:szCs w:val="25"/>
              </w:rPr>
              <w:t>6</w:t>
            </w:r>
            <w:r w:rsidR="00637C55">
              <w:rPr>
                <w:rFonts w:ascii="Times" w:hAnsi="Times" w:cs="Times"/>
                <w:sz w:val="25"/>
                <w:szCs w:val="25"/>
              </w:rPr>
              <w:t>.</w:t>
            </w:r>
          </w:p>
        </w:tc>
        <w:tc>
          <w:tcPr>
            <w:tcW w:w="40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138181" w14:textId="6467D92F" w:rsidR="00637C55" w:rsidRDefault="00637C55" w:rsidP="00371FD7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poskytnúť súčinnosť ministrovi životného prostredia súvisiacu s plnením úloh </w:t>
            </w:r>
            <w:r w:rsidR="00731F67">
              <w:rPr>
                <w:rFonts w:ascii="Times" w:hAnsi="Times" w:cs="Times"/>
                <w:sz w:val="25"/>
                <w:szCs w:val="25"/>
              </w:rPr>
              <w:t>B</w:t>
            </w:r>
            <w:r>
              <w:rPr>
                <w:rFonts w:ascii="Times" w:hAnsi="Times" w:cs="Times"/>
                <w:sz w:val="25"/>
                <w:szCs w:val="25"/>
              </w:rPr>
              <w:t xml:space="preserve">.1., </w:t>
            </w:r>
            <w:r w:rsidR="00731F67">
              <w:rPr>
                <w:rFonts w:ascii="Times" w:hAnsi="Times" w:cs="Times"/>
                <w:sz w:val="25"/>
                <w:szCs w:val="25"/>
              </w:rPr>
              <w:t>B</w:t>
            </w:r>
            <w:r>
              <w:rPr>
                <w:rFonts w:ascii="Times" w:hAnsi="Times" w:cs="Times"/>
                <w:sz w:val="25"/>
                <w:szCs w:val="25"/>
              </w:rPr>
              <w:t xml:space="preserve">.2., </w:t>
            </w:r>
            <w:r w:rsidR="00731F67">
              <w:rPr>
                <w:rFonts w:ascii="Times" w:hAnsi="Times" w:cs="Times"/>
                <w:sz w:val="25"/>
                <w:szCs w:val="25"/>
              </w:rPr>
              <w:t>B</w:t>
            </w:r>
            <w:r w:rsidR="00987C36">
              <w:rPr>
                <w:rFonts w:ascii="Times" w:hAnsi="Times" w:cs="Times"/>
                <w:sz w:val="25"/>
                <w:szCs w:val="25"/>
              </w:rPr>
              <w:t xml:space="preserve">.3., </w:t>
            </w:r>
            <w:r w:rsidR="00731F67">
              <w:rPr>
                <w:rFonts w:ascii="Times" w:hAnsi="Times" w:cs="Times"/>
                <w:sz w:val="25"/>
                <w:szCs w:val="25"/>
              </w:rPr>
              <w:t>B</w:t>
            </w:r>
            <w:r>
              <w:rPr>
                <w:rFonts w:ascii="Times" w:hAnsi="Times" w:cs="Times"/>
                <w:sz w:val="25"/>
                <w:szCs w:val="25"/>
              </w:rPr>
              <w:t>.4.</w:t>
            </w:r>
            <w:r w:rsidR="00987C36">
              <w:rPr>
                <w:rFonts w:ascii="Times" w:hAnsi="Times" w:cs="Times"/>
                <w:sz w:val="25"/>
                <w:szCs w:val="25"/>
              </w:rPr>
              <w:t xml:space="preserve"> a </w:t>
            </w:r>
            <w:r w:rsidR="00731F67">
              <w:rPr>
                <w:rFonts w:ascii="Times" w:hAnsi="Times" w:cs="Times"/>
                <w:sz w:val="25"/>
                <w:szCs w:val="25"/>
              </w:rPr>
              <w:t>B</w:t>
            </w:r>
            <w:r w:rsidR="00987C36">
              <w:rPr>
                <w:rFonts w:ascii="Times" w:hAnsi="Times" w:cs="Times"/>
                <w:sz w:val="25"/>
                <w:szCs w:val="25"/>
              </w:rPr>
              <w:t>.5</w:t>
            </w:r>
            <w:r w:rsidR="00371FD7">
              <w:rPr>
                <w:rFonts w:ascii="Times" w:hAnsi="Times" w:cs="Times"/>
                <w:sz w:val="25"/>
                <w:szCs w:val="25"/>
              </w:rPr>
              <w:t xml:space="preserve"> tohto uznesenia</w:t>
            </w:r>
            <w:r w:rsidR="00987C36">
              <w:rPr>
                <w:rFonts w:ascii="Times" w:hAnsi="Times" w:cs="Times"/>
                <w:sz w:val="25"/>
                <w:szCs w:val="25"/>
              </w:rPr>
              <w:t>.</w:t>
            </w:r>
          </w:p>
        </w:tc>
      </w:tr>
      <w:tr w:rsidR="00637C55" w14:paraId="22BAC228" w14:textId="77777777" w:rsidTr="00945ED9">
        <w:trPr>
          <w:divId w:val="238289882"/>
          <w:trHeight w:val="450"/>
          <w:jc w:val="center"/>
        </w:trPr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72641" w14:textId="77777777" w:rsidR="00637C55" w:rsidRDefault="00637C55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137509" w14:textId="77777777" w:rsidR="00637C55" w:rsidRDefault="00637C55"/>
        </w:tc>
        <w:tc>
          <w:tcPr>
            <w:tcW w:w="40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7DC9FE" w14:textId="1DC3B980" w:rsidR="00637C55" w:rsidRDefault="00371FD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30. novembra 2023</w:t>
            </w:r>
            <w:r w:rsidR="00AB5285" w:rsidRPr="00C72C26">
              <w:rPr>
                <w:rFonts w:ascii="Times" w:hAnsi="Times" w:cs="Times"/>
                <w:sz w:val="25"/>
                <w:szCs w:val="25"/>
              </w:rPr>
              <w:t>;</w:t>
            </w:r>
            <w:bookmarkStart w:id="0" w:name="_GoBack"/>
            <w:bookmarkEnd w:id="0"/>
          </w:p>
        </w:tc>
      </w:tr>
      <w:tr w:rsidR="00637C55" w14:paraId="1FBD853F" w14:textId="77777777" w:rsidTr="00945ED9">
        <w:trPr>
          <w:divId w:val="238289882"/>
          <w:trHeight w:val="450"/>
          <w:jc w:val="center"/>
        </w:trPr>
        <w:tc>
          <w:tcPr>
            <w:tcW w:w="493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74ACD" w14:textId="77777777" w:rsidR="00637C55" w:rsidRDefault="00637C55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6D5438E0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722237D7" w14:textId="12EDE5FC" w:rsidR="00347D7F" w:rsidRDefault="00DF4004" w:rsidP="00347D7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životného prostredia</w:t>
            </w:r>
            <w:r w:rsidR="00886D6D">
              <w:rPr>
                <w:rFonts w:ascii="Times" w:hAnsi="Times" w:cs="Times"/>
                <w:sz w:val="25"/>
                <w:szCs w:val="25"/>
              </w:rPr>
              <w:t xml:space="preserve"> </w:t>
            </w:r>
          </w:p>
          <w:p w14:paraId="36A1CA39" w14:textId="4B9CB85B" w:rsidR="00347D7F" w:rsidRDefault="00347D7F" w:rsidP="00347D7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minister financií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podpredsedníčka</w:t>
            </w:r>
            <w:r w:rsidRPr="00DF4004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vlády pre Plán obnovy a odolnosti a využívanie eurofondov</w:t>
            </w:r>
          </w:p>
          <w:p w14:paraId="7B9DFC7F" w14:textId="476F7FEC" w:rsidR="00557779" w:rsidRPr="00557779" w:rsidRDefault="00347D7F" w:rsidP="00174C5F"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minister </w:t>
            </w:r>
            <w:r w:rsidRPr="00DF4004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investícií, regionálneho rozvoja a informatizácie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5B76CEB1" w:rsidR="00557779" w:rsidRPr="0010780A" w:rsidRDefault="00607375" w:rsidP="0060737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73AE579E" w:rsidR="00557779" w:rsidRDefault="00886D6D" w:rsidP="00607375">
            <w:r>
              <w:rPr>
                <w:rFonts w:ascii="Times" w:hAnsi="Times" w:cs="Times"/>
                <w:sz w:val="25"/>
                <w:szCs w:val="25"/>
              </w:rPr>
              <w:t>g</w:t>
            </w:r>
            <w:r w:rsidR="00DF4004">
              <w:rPr>
                <w:rFonts w:ascii="Times" w:hAnsi="Times" w:cs="Times"/>
                <w:sz w:val="25"/>
                <w:szCs w:val="25"/>
              </w:rPr>
              <w:t>enerálny riaditeľ Slovenskej agentúry životného prostredia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8405E"/>
    <w:multiLevelType w:val="hybridMultilevel"/>
    <w:tmpl w:val="406866E4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23170"/>
    <w:rsid w:val="00035E72"/>
    <w:rsid w:val="00061FED"/>
    <w:rsid w:val="00065205"/>
    <w:rsid w:val="00066F1C"/>
    <w:rsid w:val="00074658"/>
    <w:rsid w:val="000D36DD"/>
    <w:rsid w:val="0010780A"/>
    <w:rsid w:val="00164C8F"/>
    <w:rsid w:val="00174C5F"/>
    <w:rsid w:val="00175B8A"/>
    <w:rsid w:val="001D495F"/>
    <w:rsid w:val="001D50B0"/>
    <w:rsid w:val="00266B00"/>
    <w:rsid w:val="002B0D08"/>
    <w:rsid w:val="002D4400"/>
    <w:rsid w:val="00336009"/>
    <w:rsid w:val="00347D7F"/>
    <w:rsid w:val="00356199"/>
    <w:rsid w:val="00371FD7"/>
    <w:rsid w:val="00372BCE"/>
    <w:rsid w:val="00376D2B"/>
    <w:rsid w:val="00402F32"/>
    <w:rsid w:val="004164F7"/>
    <w:rsid w:val="00456D57"/>
    <w:rsid w:val="00486902"/>
    <w:rsid w:val="004C081C"/>
    <w:rsid w:val="00513A46"/>
    <w:rsid w:val="005151A4"/>
    <w:rsid w:val="00545757"/>
    <w:rsid w:val="00557779"/>
    <w:rsid w:val="00582EC9"/>
    <w:rsid w:val="00596D02"/>
    <w:rsid w:val="005E1E88"/>
    <w:rsid w:val="00607375"/>
    <w:rsid w:val="00637C55"/>
    <w:rsid w:val="006454F4"/>
    <w:rsid w:val="00653D00"/>
    <w:rsid w:val="006740F9"/>
    <w:rsid w:val="006A2A39"/>
    <w:rsid w:val="006B6F58"/>
    <w:rsid w:val="006D7E8D"/>
    <w:rsid w:val="006F2EA0"/>
    <w:rsid w:val="006F3C1D"/>
    <w:rsid w:val="006F6506"/>
    <w:rsid w:val="00731F67"/>
    <w:rsid w:val="007C2AD6"/>
    <w:rsid w:val="0081708C"/>
    <w:rsid w:val="00834502"/>
    <w:rsid w:val="00841921"/>
    <w:rsid w:val="008462F5"/>
    <w:rsid w:val="00886D6D"/>
    <w:rsid w:val="008C3A96"/>
    <w:rsid w:val="0092640A"/>
    <w:rsid w:val="00936699"/>
    <w:rsid w:val="00945ED9"/>
    <w:rsid w:val="00956AFB"/>
    <w:rsid w:val="00960CDB"/>
    <w:rsid w:val="00976A51"/>
    <w:rsid w:val="00987C36"/>
    <w:rsid w:val="009964F3"/>
    <w:rsid w:val="009972AA"/>
    <w:rsid w:val="009C47DB"/>
    <w:rsid w:val="009C4F6D"/>
    <w:rsid w:val="00A3474E"/>
    <w:rsid w:val="00AB5285"/>
    <w:rsid w:val="00B07CB6"/>
    <w:rsid w:val="00B53689"/>
    <w:rsid w:val="00B9639C"/>
    <w:rsid w:val="00BC67FD"/>
    <w:rsid w:val="00BD2459"/>
    <w:rsid w:val="00BD562D"/>
    <w:rsid w:val="00BE47B1"/>
    <w:rsid w:val="00C0662A"/>
    <w:rsid w:val="00C44055"/>
    <w:rsid w:val="00C532A5"/>
    <w:rsid w:val="00C604FB"/>
    <w:rsid w:val="00C72C26"/>
    <w:rsid w:val="00C82652"/>
    <w:rsid w:val="00C858E5"/>
    <w:rsid w:val="00CC3A18"/>
    <w:rsid w:val="00D01503"/>
    <w:rsid w:val="00D26F72"/>
    <w:rsid w:val="00D30B43"/>
    <w:rsid w:val="00D36541"/>
    <w:rsid w:val="00D57D4F"/>
    <w:rsid w:val="00D912E3"/>
    <w:rsid w:val="00DF4004"/>
    <w:rsid w:val="00E1093F"/>
    <w:rsid w:val="00E20519"/>
    <w:rsid w:val="00E22B67"/>
    <w:rsid w:val="00E25E73"/>
    <w:rsid w:val="00EA65D1"/>
    <w:rsid w:val="00EB7612"/>
    <w:rsid w:val="00EB7696"/>
    <w:rsid w:val="00EC66EA"/>
    <w:rsid w:val="00ED412E"/>
    <w:rsid w:val="00F20E89"/>
    <w:rsid w:val="00F660A9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E64BC887-ADEA-4D56-A01A-13ACC668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99"/>
    <w:qFormat/>
    <w:rsid w:val="004164F7"/>
    <w:pPr>
      <w:ind w:left="720"/>
      <w:contextualSpacing/>
    </w:pPr>
  </w:style>
  <w:style w:type="paragraph" w:customStyle="1" w:styleId="Default">
    <w:name w:val="Default"/>
    <w:rsid w:val="00637C55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image" Target="media/image1.wmf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-uznesenia-vlády"/>
    <f:field ref="objsubject" par="" edit="true" text=""/>
    <f:field ref="objcreatedby" par="" text="Keliar, Miroslav, Mgr."/>
    <f:field ref="objcreatedat" par="" text="23.8.2023 17:51:00"/>
    <f:field ref="objchangedby" par="" text="Administrator, System"/>
    <f:field ref="objmodifiedat" par="" text="23.8.2023 17:51:0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https://ovdmasv601/sites/DMS/_layouts/15/DocIdRedir.aspx?ID=WKX3UHSAJ2R6-2-1246723</Url>
      <Description>WKX3UHSAJ2R6-2-1246723</Description>
    </_dlc_DocIdUrl>
    <_dlc_DocId xmlns="e60a29af-d413-48d4-bd90-fe9d2a897e4b">WKX3UHSAJ2R6-2-1246723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7E24BB5-E18B-4AC1-9FC1-A0BC3073FC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208521-8C12-4A40-ACBB-2ABBB1778086}"/>
</file>

<file path=customXml/itemProps4.xml><?xml version="1.0" encoding="utf-8"?>
<ds:datastoreItem xmlns:ds="http://schemas.openxmlformats.org/officeDocument/2006/customXml" ds:itemID="{32043F80-2CE7-44C1-9E80-AA3BF96AB17D}"/>
</file>

<file path=customXml/itemProps5.xml><?xml version="1.0" encoding="utf-8"?>
<ds:datastoreItem xmlns:ds="http://schemas.openxmlformats.org/officeDocument/2006/customXml" ds:itemID="{FD199824-616E-4B0D-8D62-C517CDC3E865}"/>
</file>

<file path=customXml/itemProps6.xml><?xml version="1.0" encoding="utf-8"?>
<ds:datastoreItem xmlns:ds="http://schemas.openxmlformats.org/officeDocument/2006/customXml" ds:itemID="{82D0F383-DD75-4248-A35F-8A66022978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478</Words>
  <Characters>3287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Gibala</dc:creator>
  <cp:keywords/>
  <dc:description/>
  <cp:lastModifiedBy>Autor</cp:lastModifiedBy>
  <cp:revision>7</cp:revision>
  <cp:lastPrinted>2023-09-11T13:42:00Z</cp:lastPrinted>
  <dcterms:created xsi:type="dcterms:W3CDTF">2023-09-08T05:40:00Z</dcterms:created>
  <dcterms:modified xsi:type="dcterms:W3CDTF">2023-09-11T13:42:00Z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COO.2145.1000.3.5805649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Miroslav Keliar</vt:lpwstr>
  </property>
  <property fmtid="{D5CDD505-2E9C-101B-9397-08002B2CF9AE}" pid="11" name="FSC#SKEDITIONSLOVLEX@103.510:zodppredkladatel">
    <vt:lpwstr>Mgr. Milan Chrenko</vt:lpwstr>
  </property>
  <property fmtid="{D5CDD505-2E9C-101B-9397-08002B2CF9AE}" pid="12" name="FSC#SKEDITIONSLOVLEX@103.510:nazovpredpis">
    <vt:lpwstr> Návrh na zrušenie uznesenia vlády Slovenskej republiky č. 663 z 13. novembra 2013 k vzniku sprostredkovateľského orgánu pod riadiacim orgánom k 1. januáru 2014 na programové obdobie 2007 - 2013 a Návrh na zrušenie bodu A.5 uznesenia vlády č. 175 zo 16. a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Návrh na zrušenie uznesenia vlády Slovenskej republiky č. 663 z 13. novembra 2013 k vzniku sprostredkovateľského orgánu pod riadiacim orgánom k 1. januáru 2014 na programové obdobie 2007 - 2013 a Návrh na zrušenie bodu A.5 uznesenia vlády č. 175 zo 16. a</vt:lpwstr>
  </property>
  <property fmtid="{D5CDD505-2E9C-101B-9397-08002B2CF9AE}" pid="19" name="FSC#SKEDITIONSLOVLEX@103.510:rezortcislopredpis">
    <vt:lpwstr>67765/2023, 8774/2023-7.8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LP/2023/522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&lt;p&gt;&lt;strong&gt;Predkladaný materiál je nelegislatívnym materiálom, z&amp;nbsp;ktorého nevplývajú žiadne vybrané vplyvy na jednotlivé oblasti v&amp;nbsp;zmysle Jednotnej metodiky na posudzovanie vybraných vplyvov.&lt;/strong&gt;&lt;/p&gt;</vt:lpwstr>
  </property>
  <property fmtid="{D5CDD505-2E9C-101B-9397-08002B2CF9AE}" pid="58" name="FSC#SKEDITIONSLOVLEX@103.510:AttrStrListDocPropAltRiesenia">
    <vt:lpwstr>Neboli posudzované alternatívne riešenia vzhľadom na: 1. vysoké riziko prepúšťania zamestnancov Slovenskej agentúry životného prostredia od roku 2024 odôvodnené nasledovnými skutočnosťami: a) blížiaci sa koniec programového obdobia 2014 – 2020, v dôsledku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minister životného prostredia SR _x000d_
minister financií SR_x000d_
podpredsedníčka vlády pre Plán obnovy a odolnosti a využívanie eurofondov_x000d_
minister investícií, regionálneho rozvoja a informatizácie SR_x000d_
ministerka práce, sociálnych vecí a rodiny SR</vt:lpwstr>
  </property>
  <property fmtid="{D5CDD505-2E9C-101B-9397-08002B2CF9AE}" pid="129" name="FSC#SKEDITIONSLOVLEX@103.510:AttrStrListDocPropUznesenieNaVedomie">
    <vt:lpwstr>generálny riaditeľ Slovenskej agentúry životného prostredia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justify;"&gt;Návrh na zrušenie uznesenia vlády Slovenskej republiky č. 663 z 13. novembra 2013 k vzniku sprostredkovateľského orgánu pod riadiacim orgánom&amp;nbsp; k 1. januáru 2014 na programové obdobie 2007 - 2013 a Návrh na zrušenie bod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manažér pre metodiku a právnik</vt:lpwstr>
  </property>
  <property fmtid="{D5CDD505-2E9C-101B-9397-08002B2CF9AE}" pid="134" name="FSC#SKEDITIONSLOVLEX@103.510:funkciaPredAkuzativ">
    <vt:lpwstr>manažéra pre metodiku a právnika</vt:lpwstr>
  </property>
  <property fmtid="{D5CDD505-2E9C-101B-9397-08002B2CF9AE}" pid="135" name="FSC#SKEDITIONSLOVLEX@103.510:funkciaPredDativ">
    <vt:lpwstr>manažérovi pre metodiku a právnikovi</vt:lpwstr>
  </property>
  <property fmtid="{D5CDD505-2E9C-101B-9397-08002B2CF9AE}" pid="136" name="FSC#SKEDITIONSLOVLEX@103.510:funkciaZodpPred">
    <vt:lpwstr>Minister životného prostredia Slovenskej republiky</vt:lpwstr>
  </property>
  <property fmtid="{D5CDD505-2E9C-101B-9397-08002B2CF9AE}" pid="137" name="FSC#SKEDITIONSLOVLEX@103.510:funkciaZodpPredAkuzativ">
    <vt:lpwstr>Ministra životného prostredia Slovenskej republiky</vt:lpwstr>
  </property>
  <property fmtid="{D5CDD505-2E9C-101B-9397-08002B2CF9AE}" pid="138" name="FSC#SKEDITIONSLOVLEX@103.510:funkciaZodpPredDativ">
    <vt:lpwstr>Ministrovi životného prostredia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Mgr. Milan Chrenko_x000d_
Minister životného prostredia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>príla 2014 k návrhu Operačného programu Kvalita životného prostredia </vt:lpwstr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príla 2014 k návrhu Operačného programu Kvalita životného prostredia 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2023</vt:lpwstr>
  </property>
  <property fmtid="{D5CDD505-2E9C-101B-9397-08002B2CF9AE}" pid="152" name="FSC#SKEDITIONSLOVLEX@103.510:vytvorenedna">
    <vt:lpwstr>23. 8. 2023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b22b1868-d438-4711-8b7a-741900ca8941</vt:lpwstr>
  </property>
</Properties>
</file>