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8DE" w:rsidRDefault="00D378DE" w:rsidP="00D378DE">
      <w:pPr>
        <w:spacing w:after="0"/>
        <w:jc w:val="center"/>
        <w:rPr>
          <w:b/>
          <w:sz w:val="28"/>
          <w:szCs w:val="28"/>
        </w:rPr>
      </w:pPr>
      <w:r w:rsidRPr="00D378DE">
        <w:rPr>
          <w:b/>
          <w:sz w:val="28"/>
          <w:szCs w:val="28"/>
        </w:rPr>
        <w:t xml:space="preserve">Údaje o výkone a financovaní samosprávnych pôsobností </w:t>
      </w:r>
    </w:p>
    <w:p w:rsidR="008B65B4" w:rsidRPr="00D378DE" w:rsidRDefault="00D378DE" w:rsidP="00D378DE">
      <w:pPr>
        <w:spacing w:after="360"/>
        <w:jc w:val="center"/>
        <w:rPr>
          <w:b/>
          <w:sz w:val="28"/>
          <w:szCs w:val="28"/>
        </w:rPr>
      </w:pPr>
      <w:r w:rsidRPr="00D378DE">
        <w:rPr>
          <w:b/>
          <w:sz w:val="28"/>
          <w:szCs w:val="28"/>
        </w:rPr>
        <w:t>podľa jednotlivých ministerstiev</w:t>
      </w:r>
    </w:p>
    <w:p w:rsidR="00D378DE" w:rsidRPr="00D378DE" w:rsidRDefault="00D378DE" w:rsidP="00F56357">
      <w:pPr>
        <w:keepNext/>
        <w:shd w:val="clear" w:color="auto" w:fill="F2F2F2" w:themeFill="background1" w:themeFillShade="F2"/>
        <w:spacing w:before="240" w:after="240" w:line="240" w:lineRule="auto"/>
        <w:jc w:val="both"/>
        <w:rPr>
          <w:rFonts w:cs="Times New Roman"/>
          <w:b/>
          <w:szCs w:val="24"/>
        </w:rPr>
      </w:pPr>
      <w:r w:rsidRPr="00D378DE">
        <w:rPr>
          <w:rFonts w:cs="Times New Roman"/>
          <w:b/>
          <w:szCs w:val="24"/>
        </w:rPr>
        <w:t>Ministerstvo dopravy, výstavby a regionálneho rozvoja Slovenskej republiky</w:t>
      </w:r>
    </w:p>
    <w:p w:rsidR="00B67413" w:rsidRDefault="00753168" w:rsidP="00B67413">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u w:val="single"/>
          <w:lang w:eastAsia="cs-CZ"/>
        </w:rPr>
      </w:pPr>
      <w:r>
        <w:rPr>
          <w:rFonts w:eastAsia="Times New Roman" w:cs="Times New Roman"/>
          <w:sz w:val="22"/>
          <w:u w:val="single"/>
          <w:lang w:eastAsia="cs-CZ"/>
        </w:rPr>
        <w:t>2</w:t>
      </w:r>
      <w:r w:rsidR="00B67413" w:rsidRPr="00D861B9">
        <w:rPr>
          <w:rFonts w:eastAsia="Times New Roman" w:cs="Times New Roman"/>
          <w:sz w:val="22"/>
          <w:u w:val="single"/>
          <w:lang w:eastAsia="cs-CZ"/>
        </w:rPr>
        <w:t>.1.</w:t>
      </w:r>
      <w:r w:rsidR="00B67413" w:rsidRPr="00D861B9">
        <w:rPr>
          <w:rFonts w:eastAsia="Times New Roman" w:cs="Times New Roman"/>
          <w:sz w:val="22"/>
          <w:u w:val="single"/>
          <w:lang w:eastAsia="cs-CZ"/>
        </w:rPr>
        <w:tab/>
        <w:t xml:space="preserve">Katalóg </w:t>
      </w:r>
      <w:r w:rsidR="00B67413">
        <w:rPr>
          <w:rFonts w:eastAsia="Times New Roman" w:cs="Times New Roman"/>
          <w:sz w:val="22"/>
          <w:u w:val="single"/>
          <w:lang w:eastAsia="cs-CZ"/>
        </w:rPr>
        <w:t>samosprávnych</w:t>
      </w:r>
      <w:r w:rsidR="00B67413" w:rsidRPr="00D861B9">
        <w:rPr>
          <w:rFonts w:eastAsia="Times New Roman" w:cs="Times New Roman"/>
          <w:sz w:val="22"/>
          <w:u w:val="single"/>
          <w:lang w:eastAsia="cs-CZ"/>
        </w:rPr>
        <w:t xml:space="preserve"> pôsobností</w:t>
      </w:r>
    </w:p>
    <w:p w:rsidR="00B67413" w:rsidRPr="00D861B9" w:rsidRDefault="00B67413" w:rsidP="00B67413">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D861B9">
        <w:rPr>
          <w:rFonts w:eastAsia="Times New Roman" w:cs="Times New Roman"/>
          <w:sz w:val="22"/>
          <w:lang w:eastAsia="cs-CZ"/>
        </w:rPr>
        <w:t>Zoznam úsekov</w:t>
      </w:r>
      <w:r>
        <w:rPr>
          <w:rFonts w:eastAsia="Times New Roman" w:cs="Times New Roman"/>
          <w:sz w:val="22"/>
          <w:lang w:eastAsia="cs-CZ"/>
        </w:rPr>
        <w:t>,</w:t>
      </w:r>
      <w:r w:rsidRPr="00D861B9">
        <w:rPr>
          <w:rFonts w:eastAsia="Times New Roman" w:cs="Times New Roman"/>
          <w:sz w:val="22"/>
          <w:lang w:eastAsia="cs-CZ"/>
        </w:rPr>
        <w:t xml:space="preserve"> </w:t>
      </w:r>
      <w:r w:rsidRPr="00B67413">
        <w:rPr>
          <w:rFonts w:eastAsia="Times New Roman" w:cs="Times New Roman"/>
          <w:sz w:val="22"/>
          <w:lang w:eastAsia="cs-CZ"/>
        </w:rPr>
        <w:t>na ktorých obce a samosprávne kraje vykonávajú samosprávne pôsobnosti</w:t>
      </w:r>
      <w:r>
        <w:rPr>
          <w:rFonts w:eastAsia="Times New Roman" w:cs="Times New Roman"/>
          <w:sz w:val="22"/>
          <w:lang w:eastAsia="cs-CZ"/>
        </w:rPr>
        <w:t>,</w:t>
      </w:r>
      <w:r w:rsidRPr="00D861B9">
        <w:rPr>
          <w:rFonts w:eastAsia="Times New Roman" w:cs="Times New Roman"/>
          <w:sz w:val="22"/>
          <w:lang w:eastAsia="cs-CZ"/>
        </w:rPr>
        <w:t xml:space="preserve"> </w:t>
      </w:r>
      <w:r>
        <w:rPr>
          <w:rFonts w:eastAsia="Times New Roman" w:cs="Times New Roman"/>
          <w:sz w:val="22"/>
          <w:lang w:eastAsia="cs-CZ"/>
        </w:rPr>
        <w:t>a údaje o počte úloh:</w:t>
      </w:r>
    </w:p>
    <w:tbl>
      <w:tblPr>
        <w:tblStyle w:val="Mriekatabuky"/>
        <w:tblW w:w="0" w:type="auto"/>
        <w:jc w:val="center"/>
        <w:tblLook w:val="04A0" w:firstRow="1" w:lastRow="0" w:firstColumn="1" w:lastColumn="0" w:noHBand="0" w:noVBand="1"/>
      </w:tblPr>
      <w:tblGrid>
        <w:gridCol w:w="2061"/>
        <w:gridCol w:w="2430"/>
        <w:gridCol w:w="1221"/>
        <w:gridCol w:w="1545"/>
      </w:tblGrid>
      <w:tr w:rsidR="00B67413" w:rsidRPr="00D861B9" w:rsidTr="00B67413">
        <w:trPr>
          <w:jc w:val="center"/>
        </w:trPr>
        <w:tc>
          <w:tcPr>
            <w:tcW w:w="2061" w:type="dxa"/>
            <w:shd w:val="clear" w:color="auto" w:fill="F2F2F2" w:themeFill="background1" w:themeFillShade="F2"/>
          </w:tcPr>
          <w:p w:rsidR="00B67413" w:rsidRPr="009766D2" w:rsidRDefault="00B67413" w:rsidP="000F47FA">
            <w:pPr>
              <w:shd w:val="clear" w:color="auto" w:fill="F2F2F2" w:themeFill="background1" w:themeFillShade="F2"/>
              <w:spacing w:before="120" w:after="60"/>
              <w:jc w:val="left"/>
              <w:rPr>
                <w:b/>
                <w:sz w:val="16"/>
                <w:szCs w:val="16"/>
              </w:rPr>
            </w:pPr>
            <w:r w:rsidRPr="009766D2">
              <w:rPr>
                <w:b/>
                <w:sz w:val="16"/>
                <w:szCs w:val="16"/>
              </w:rPr>
              <w:t>obce</w:t>
            </w:r>
          </w:p>
        </w:tc>
        <w:tc>
          <w:tcPr>
            <w:tcW w:w="2430" w:type="dxa"/>
            <w:shd w:val="clear" w:color="auto" w:fill="F2F2F2" w:themeFill="background1" w:themeFillShade="F2"/>
          </w:tcPr>
          <w:p w:rsidR="00B67413" w:rsidRPr="009766D2" w:rsidRDefault="00B67413" w:rsidP="000F47FA">
            <w:pPr>
              <w:shd w:val="clear" w:color="auto" w:fill="F2F2F2" w:themeFill="background1" w:themeFillShade="F2"/>
              <w:spacing w:before="120" w:after="60"/>
              <w:rPr>
                <w:b/>
                <w:sz w:val="16"/>
                <w:szCs w:val="16"/>
              </w:rPr>
            </w:pPr>
            <w:r w:rsidRPr="009766D2">
              <w:rPr>
                <w:b/>
                <w:sz w:val="16"/>
                <w:szCs w:val="16"/>
              </w:rPr>
              <w:t>samosprávne kraje</w:t>
            </w:r>
          </w:p>
        </w:tc>
        <w:tc>
          <w:tcPr>
            <w:tcW w:w="1221" w:type="dxa"/>
            <w:shd w:val="clear" w:color="auto" w:fill="F2F2F2" w:themeFill="background1" w:themeFillShade="F2"/>
          </w:tcPr>
          <w:p w:rsidR="00B67413" w:rsidRPr="009766D2" w:rsidRDefault="00B67413" w:rsidP="000F47FA">
            <w:pPr>
              <w:shd w:val="clear" w:color="auto" w:fill="F2F2F2" w:themeFill="background1" w:themeFillShade="F2"/>
              <w:spacing w:before="120" w:after="60"/>
              <w:rPr>
                <w:b/>
                <w:sz w:val="16"/>
                <w:szCs w:val="16"/>
              </w:rPr>
            </w:pPr>
            <w:r w:rsidRPr="009766D2">
              <w:rPr>
                <w:b/>
                <w:sz w:val="16"/>
                <w:szCs w:val="16"/>
              </w:rPr>
              <w:t>obce</w:t>
            </w:r>
          </w:p>
        </w:tc>
        <w:tc>
          <w:tcPr>
            <w:tcW w:w="1545" w:type="dxa"/>
            <w:shd w:val="clear" w:color="auto" w:fill="F2F2F2" w:themeFill="background1" w:themeFillShade="F2"/>
          </w:tcPr>
          <w:p w:rsidR="00B67413" w:rsidRPr="009766D2" w:rsidRDefault="00B67413" w:rsidP="000F47FA">
            <w:pPr>
              <w:shd w:val="clear" w:color="auto" w:fill="F2F2F2" w:themeFill="background1" w:themeFillShade="F2"/>
              <w:spacing w:before="120" w:after="60"/>
              <w:rPr>
                <w:b/>
                <w:sz w:val="16"/>
                <w:szCs w:val="16"/>
              </w:rPr>
            </w:pPr>
            <w:r w:rsidRPr="009766D2">
              <w:rPr>
                <w:b/>
                <w:sz w:val="16"/>
                <w:szCs w:val="16"/>
              </w:rPr>
              <w:t>samosprávne kraje</w:t>
            </w:r>
          </w:p>
        </w:tc>
      </w:tr>
      <w:tr w:rsidR="00B67413" w:rsidRPr="00D861B9" w:rsidTr="00B67413">
        <w:trPr>
          <w:jc w:val="center"/>
        </w:trPr>
        <w:tc>
          <w:tcPr>
            <w:tcW w:w="2061" w:type="dxa"/>
            <w:shd w:val="clear" w:color="auto" w:fill="F2F2F2" w:themeFill="background1" w:themeFillShade="F2"/>
            <w:vAlign w:val="center"/>
          </w:tcPr>
          <w:p w:rsidR="00B67413" w:rsidRPr="009766D2" w:rsidRDefault="00B67413" w:rsidP="000F47FA">
            <w:pPr>
              <w:spacing w:before="120" w:after="60"/>
              <w:rPr>
                <w:sz w:val="16"/>
                <w:szCs w:val="16"/>
              </w:rPr>
            </w:pPr>
            <w:r>
              <w:rPr>
                <w:sz w:val="16"/>
                <w:szCs w:val="16"/>
              </w:rPr>
              <w:t>-</w:t>
            </w:r>
          </w:p>
        </w:tc>
        <w:tc>
          <w:tcPr>
            <w:tcW w:w="2430" w:type="dxa"/>
            <w:shd w:val="clear" w:color="auto" w:fill="F2F2F2" w:themeFill="background1" w:themeFillShade="F2"/>
            <w:vAlign w:val="center"/>
          </w:tcPr>
          <w:p w:rsidR="00B67413" w:rsidRPr="009766D2" w:rsidRDefault="00B67413" w:rsidP="000F47FA">
            <w:pPr>
              <w:spacing w:before="120" w:after="60"/>
              <w:rPr>
                <w:sz w:val="16"/>
                <w:szCs w:val="16"/>
              </w:rPr>
            </w:pPr>
            <w:r>
              <w:rPr>
                <w:sz w:val="16"/>
                <w:szCs w:val="16"/>
              </w:rPr>
              <w:t>úsek dráh</w:t>
            </w:r>
          </w:p>
        </w:tc>
        <w:tc>
          <w:tcPr>
            <w:tcW w:w="1221" w:type="dxa"/>
            <w:shd w:val="clear" w:color="auto" w:fill="F2F2F2" w:themeFill="background1" w:themeFillShade="F2"/>
            <w:vAlign w:val="center"/>
          </w:tcPr>
          <w:p w:rsidR="00B67413" w:rsidRPr="009766D2" w:rsidRDefault="00B67413" w:rsidP="000F47FA">
            <w:pPr>
              <w:spacing w:before="120" w:after="60"/>
              <w:jc w:val="right"/>
              <w:rPr>
                <w:sz w:val="16"/>
                <w:szCs w:val="16"/>
              </w:rPr>
            </w:pPr>
            <w:r>
              <w:rPr>
                <w:sz w:val="16"/>
                <w:szCs w:val="16"/>
              </w:rPr>
              <w:t>-</w:t>
            </w:r>
          </w:p>
        </w:tc>
        <w:tc>
          <w:tcPr>
            <w:tcW w:w="1545" w:type="dxa"/>
            <w:shd w:val="clear" w:color="auto" w:fill="F2F2F2" w:themeFill="background1" w:themeFillShade="F2"/>
            <w:vAlign w:val="center"/>
          </w:tcPr>
          <w:p w:rsidR="00B67413" w:rsidRPr="009766D2" w:rsidRDefault="00B67413" w:rsidP="000F47FA">
            <w:pPr>
              <w:spacing w:before="120" w:after="60"/>
              <w:jc w:val="right"/>
              <w:rPr>
                <w:sz w:val="16"/>
                <w:szCs w:val="16"/>
              </w:rPr>
            </w:pPr>
            <w:r>
              <w:rPr>
                <w:sz w:val="16"/>
                <w:szCs w:val="16"/>
              </w:rPr>
              <w:t>2A/ 2V</w:t>
            </w:r>
          </w:p>
        </w:tc>
      </w:tr>
      <w:tr w:rsidR="00B67413" w:rsidRPr="00D861B9" w:rsidTr="00B67413">
        <w:trPr>
          <w:jc w:val="center"/>
        </w:trPr>
        <w:tc>
          <w:tcPr>
            <w:tcW w:w="2061" w:type="dxa"/>
            <w:shd w:val="clear" w:color="auto" w:fill="F2F2F2" w:themeFill="background1" w:themeFillShade="F2"/>
            <w:vAlign w:val="center"/>
          </w:tcPr>
          <w:p w:rsidR="00B67413" w:rsidRPr="009766D2" w:rsidRDefault="00B67413" w:rsidP="000F47FA">
            <w:pPr>
              <w:spacing w:before="120" w:after="60"/>
              <w:rPr>
                <w:sz w:val="16"/>
                <w:szCs w:val="16"/>
              </w:rPr>
            </w:pPr>
            <w:r>
              <w:rPr>
                <w:sz w:val="16"/>
                <w:szCs w:val="16"/>
              </w:rPr>
              <w:t>-</w:t>
            </w:r>
          </w:p>
        </w:tc>
        <w:tc>
          <w:tcPr>
            <w:tcW w:w="2430" w:type="dxa"/>
            <w:shd w:val="clear" w:color="auto" w:fill="F2F2F2" w:themeFill="background1" w:themeFillShade="F2"/>
            <w:vAlign w:val="center"/>
          </w:tcPr>
          <w:p w:rsidR="00B67413" w:rsidRPr="00ED0134" w:rsidRDefault="00B67413" w:rsidP="000F47FA">
            <w:pPr>
              <w:spacing w:before="120" w:after="60"/>
              <w:rPr>
                <w:sz w:val="16"/>
                <w:szCs w:val="16"/>
              </w:rPr>
            </w:pPr>
            <w:r w:rsidRPr="00ED0134">
              <w:rPr>
                <w:sz w:val="16"/>
                <w:szCs w:val="16"/>
              </w:rPr>
              <w:t>úsek cestnej dopravy</w:t>
            </w:r>
          </w:p>
        </w:tc>
        <w:tc>
          <w:tcPr>
            <w:tcW w:w="1221" w:type="dxa"/>
            <w:shd w:val="clear" w:color="auto" w:fill="F2F2F2" w:themeFill="background1" w:themeFillShade="F2"/>
            <w:vAlign w:val="center"/>
          </w:tcPr>
          <w:p w:rsidR="00B67413" w:rsidRPr="009766D2" w:rsidRDefault="00B67413" w:rsidP="000F47FA">
            <w:pPr>
              <w:spacing w:before="120" w:after="60"/>
              <w:jc w:val="right"/>
              <w:rPr>
                <w:sz w:val="16"/>
                <w:szCs w:val="16"/>
              </w:rPr>
            </w:pPr>
            <w:r>
              <w:rPr>
                <w:sz w:val="16"/>
                <w:szCs w:val="16"/>
              </w:rPr>
              <w:t>-</w:t>
            </w:r>
          </w:p>
        </w:tc>
        <w:tc>
          <w:tcPr>
            <w:tcW w:w="1545" w:type="dxa"/>
            <w:shd w:val="clear" w:color="auto" w:fill="F2F2F2" w:themeFill="background1" w:themeFillShade="F2"/>
            <w:vAlign w:val="center"/>
          </w:tcPr>
          <w:p w:rsidR="00B67413" w:rsidRPr="009766D2" w:rsidRDefault="00B67413" w:rsidP="000F47FA">
            <w:pPr>
              <w:spacing w:before="120" w:after="60"/>
              <w:jc w:val="right"/>
              <w:rPr>
                <w:sz w:val="16"/>
                <w:szCs w:val="16"/>
              </w:rPr>
            </w:pPr>
            <w:r>
              <w:rPr>
                <w:sz w:val="16"/>
                <w:szCs w:val="16"/>
              </w:rPr>
              <w:t>6A/ 11V</w:t>
            </w:r>
          </w:p>
        </w:tc>
      </w:tr>
      <w:tr w:rsidR="00B67413" w:rsidRPr="00D861B9" w:rsidTr="00B67413">
        <w:trPr>
          <w:jc w:val="center"/>
        </w:trPr>
        <w:tc>
          <w:tcPr>
            <w:tcW w:w="2061" w:type="dxa"/>
            <w:shd w:val="clear" w:color="auto" w:fill="F2F2F2" w:themeFill="background1" w:themeFillShade="F2"/>
            <w:vAlign w:val="center"/>
          </w:tcPr>
          <w:p w:rsidR="00B67413" w:rsidRPr="001A04CB" w:rsidRDefault="00B67413" w:rsidP="000F47FA">
            <w:pPr>
              <w:spacing w:before="120" w:after="60"/>
              <w:rPr>
                <w:sz w:val="16"/>
                <w:szCs w:val="16"/>
                <w:highlight w:val="green"/>
              </w:rPr>
            </w:pPr>
            <w:r w:rsidRPr="00983641">
              <w:rPr>
                <w:sz w:val="16"/>
                <w:szCs w:val="16"/>
              </w:rPr>
              <w:t>úsek územného plánovania</w:t>
            </w:r>
          </w:p>
        </w:tc>
        <w:tc>
          <w:tcPr>
            <w:tcW w:w="2430" w:type="dxa"/>
            <w:shd w:val="clear" w:color="auto" w:fill="F2F2F2" w:themeFill="background1" w:themeFillShade="F2"/>
            <w:vAlign w:val="center"/>
          </w:tcPr>
          <w:p w:rsidR="00B67413" w:rsidRPr="001A04CB" w:rsidRDefault="00B67413" w:rsidP="000F47FA">
            <w:pPr>
              <w:spacing w:before="120" w:after="60"/>
              <w:rPr>
                <w:sz w:val="16"/>
                <w:szCs w:val="16"/>
                <w:highlight w:val="green"/>
              </w:rPr>
            </w:pPr>
            <w:r w:rsidRPr="00983641">
              <w:rPr>
                <w:sz w:val="16"/>
                <w:szCs w:val="16"/>
              </w:rPr>
              <w:t>úsek územného plánovania</w:t>
            </w:r>
          </w:p>
        </w:tc>
        <w:tc>
          <w:tcPr>
            <w:tcW w:w="1221" w:type="dxa"/>
            <w:shd w:val="clear" w:color="auto" w:fill="F2F2F2" w:themeFill="background1" w:themeFillShade="F2"/>
            <w:vAlign w:val="center"/>
          </w:tcPr>
          <w:p w:rsidR="00B67413" w:rsidRPr="009766D2" w:rsidRDefault="00B67413" w:rsidP="000F47FA">
            <w:pPr>
              <w:spacing w:before="120" w:after="60"/>
              <w:jc w:val="right"/>
              <w:rPr>
                <w:sz w:val="16"/>
                <w:szCs w:val="16"/>
              </w:rPr>
            </w:pPr>
            <w:r>
              <w:rPr>
                <w:sz w:val="16"/>
                <w:szCs w:val="16"/>
              </w:rPr>
              <w:t>4A/3V</w:t>
            </w:r>
          </w:p>
        </w:tc>
        <w:tc>
          <w:tcPr>
            <w:tcW w:w="1545" w:type="dxa"/>
            <w:shd w:val="clear" w:color="auto" w:fill="F2F2F2" w:themeFill="background1" w:themeFillShade="F2"/>
            <w:vAlign w:val="center"/>
          </w:tcPr>
          <w:p w:rsidR="00B67413" w:rsidRPr="009766D2" w:rsidRDefault="00B67413" w:rsidP="000F47FA">
            <w:pPr>
              <w:spacing w:before="120" w:after="60"/>
              <w:jc w:val="right"/>
              <w:rPr>
                <w:sz w:val="16"/>
                <w:szCs w:val="16"/>
              </w:rPr>
            </w:pPr>
            <w:r>
              <w:rPr>
                <w:sz w:val="16"/>
                <w:szCs w:val="16"/>
              </w:rPr>
              <w:t>3A/ 2V</w:t>
            </w:r>
          </w:p>
        </w:tc>
      </w:tr>
    </w:tbl>
    <w:p w:rsidR="00D378DE" w:rsidRPr="00D378DE" w:rsidRDefault="00D378DE" w:rsidP="00F56357">
      <w:pPr>
        <w:shd w:val="clear" w:color="auto" w:fill="F2F2F2" w:themeFill="background1" w:themeFillShade="F2"/>
        <w:spacing w:before="120" w:after="120" w:line="240" w:lineRule="auto"/>
        <w:ind w:firstLine="709"/>
        <w:jc w:val="both"/>
        <w:rPr>
          <w:rFonts w:eastAsia="Times New Roman" w:cs="Times New Roman"/>
          <w:sz w:val="22"/>
          <w:lang w:eastAsia="cs-CZ"/>
        </w:rPr>
      </w:pPr>
      <w:r w:rsidRPr="00D378DE">
        <w:rPr>
          <w:rFonts w:eastAsia="Times New Roman" w:cs="Times New Roman"/>
          <w:sz w:val="22"/>
          <w:lang w:eastAsia="cs-CZ"/>
        </w:rPr>
        <w:t>Ministerstvo dopravy</w:t>
      </w:r>
      <w:r w:rsidR="00FE6D2B">
        <w:rPr>
          <w:rFonts w:eastAsia="Times New Roman" w:cs="Times New Roman"/>
          <w:sz w:val="22"/>
          <w:lang w:eastAsia="cs-CZ"/>
        </w:rPr>
        <w:t xml:space="preserve"> </w:t>
      </w:r>
      <w:r w:rsidR="00FE6D2B" w:rsidRPr="00FE6D2B">
        <w:rPr>
          <w:rFonts w:eastAsia="Times New Roman" w:cs="Times New Roman"/>
          <w:sz w:val="22"/>
          <w:lang w:eastAsia="cs-CZ"/>
        </w:rPr>
        <w:t>Slovenskej republiky</w:t>
      </w:r>
      <w:r w:rsidR="00FE6D2B">
        <w:rPr>
          <w:rFonts w:eastAsia="Times New Roman" w:cs="Times New Roman"/>
          <w:sz w:val="22"/>
          <w:lang w:eastAsia="cs-CZ"/>
        </w:rPr>
        <w:t xml:space="preserve"> (ďalej len „ministerstvo dopravy“)</w:t>
      </w:r>
      <w:r w:rsidRPr="00D378DE">
        <w:rPr>
          <w:rFonts w:eastAsia="Times New Roman" w:cs="Times New Roman"/>
          <w:sz w:val="22"/>
          <w:lang w:eastAsia="cs-CZ"/>
        </w:rPr>
        <w:t xml:space="preserve"> získalo údaje na úseku cestnej dopravy od obcí prostredníctvom obvodných úradov pre cestnú dopravu a pozemné komunikácie, na úseku územného plánovania od obcí a obvodných úradov v sídle kraja a na úseku dráh od samosprávnych krajov.</w:t>
      </w:r>
    </w:p>
    <w:p w:rsidR="00D378DE" w:rsidRPr="00D378DE" w:rsidRDefault="00D378DE" w:rsidP="00F56357">
      <w:pPr>
        <w:keepNext/>
        <w:shd w:val="clear" w:color="auto" w:fill="F2F2F2" w:themeFill="background1" w:themeFillShade="F2"/>
        <w:tabs>
          <w:tab w:val="left" w:pos="1276"/>
        </w:tabs>
        <w:spacing w:before="120" w:after="0" w:line="240" w:lineRule="auto"/>
        <w:ind w:firstLine="709"/>
        <w:jc w:val="both"/>
        <w:rPr>
          <w:rFonts w:eastAsia="Times New Roman" w:cs="Times New Roman"/>
          <w:sz w:val="22"/>
          <w:u w:val="single"/>
          <w:lang w:eastAsia="cs-CZ"/>
        </w:rPr>
      </w:pPr>
      <w:r w:rsidRPr="00D378DE">
        <w:rPr>
          <w:rFonts w:eastAsia="Times New Roman" w:cs="Times New Roman"/>
          <w:sz w:val="22"/>
          <w:u w:val="single"/>
          <w:lang w:eastAsia="cs-CZ"/>
        </w:rPr>
        <w:t>2.2.</w:t>
      </w:r>
      <w:r w:rsidRPr="00D378DE">
        <w:rPr>
          <w:rFonts w:eastAsia="Times New Roman" w:cs="Times New Roman"/>
          <w:sz w:val="22"/>
          <w:u w:val="single"/>
          <w:lang w:eastAsia="cs-CZ"/>
        </w:rPr>
        <w:tab/>
        <w:t>Zhodnotenie kvality výkonu samosprávnych pôsobností</w:t>
      </w:r>
    </w:p>
    <w:p w:rsidR="00D378DE" w:rsidRPr="00D378DE" w:rsidRDefault="00D378DE" w:rsidP="00F56357">
      <w:pPr>
        <w:shd w:val="clear" w:color="auto" w:fill="F2F2F2" w:themeFill="background1" w:themeFillShade="F2"/>
        <w:spacing w:before="120" w:after="120" w:line="240" w:lineRule="auto"/>
        <w:ind w:firstLine="709"/>
        <w:jc w:val="both"/>
        <w:rPr>
          <w:rFonts w:eastAsia="Times New Roman" w:cs="Times New Roman"/>
          <w:sz w:val="22"/>
          <w:lang w:eastAsia="cs-CZ"/>
        </w:rPr>
      </w:pPr>
      <w:r w:rsidRPr="00D378DE">
        <w:rPr>
          <w:rFonts w:eastAsia="Times New Roman" w:cs="Times New Roman"/>
          <w:sz w:val="22"/>
          <w:lang w:eastAsia="cs-CZ"/>
        </w:rPr>
        <w:t>Nakoľko neboli zaznamenané žiadne závažné problémy s realizáciou originálnych pôsobností, výkon sa na úsekoch dráh, cestnej dopravy a územného plánovania (špecifický charakter spočíva vo</w:t>
      </w:r>
      <w:r w:rsidR="00FE6D2B">
        <w:rPr>
          <w:rFonts w:eastAsia="Times New Roman" w:cs="Times New Roman"/>
          <w:sz w:val="22"/>
          <w:lang w:eastAsia="cs-CZ"/>
        </w:rPr>
        <w:t> </w:t>
      </w:r>
      <w:r w:rsidRPr="00D378DE">
        <w:rPr>
          <w:rFonts w:eastAsia="Times New Roman" w:cs="Times New Roman"/>
          <w:sz w:val="22"/>
          <w:lang w:eastAsia="cs-CZ"/>
        </w:rPr>
        <w:t>výkone úloh na tomto úseku iba v prípade potreby) hodnotí ako kvalitný.</w:t>
      </w:r>
    </w:p>
    <w:p w:rsidR="00D378DE" w:rsidRPr="00D378DE" w:rsidRDefault="00D378DE" w:rsidP="00B67413">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u w:val="single"/>
          <w:lang w:eastAsia="cs-CZ"/>
        </w:rPr>
      </w:pPr>
      <w:r w:rsidRPr="00D378DE">
        <w:rPr>
          <w:rFonts w:eastAsia="Times New Roman" w:cs="Times New Roman"/>
          <w:sz w:val="22"/>
          <w:u w:val="single"/>
          <w:lang w:eastAsia="cs-CZ"/>
        </w:rPr>
        <w:t>2.3.</w:t>
      </w:r>
      <w:r w:rsidRPr="00D378DE">
        <w:rPr>
          <w:rFonts w:eastAsia="Times New Roman" w:cs="Times New Roman"/>
          <w:sz w:val="22"/>
          <w:u w:val="single"/>
          <w:lang w:eastAsia="cs-CZ"/>
        </w:rPr>
        <w:tab/>
        <w:t>Financovanie výkonu samosprávnych pôsobností</w:t>
      </w:r>
    </w:p>
    <w:p w:rsidR="002C6981" w:rsidRPr="008B2167" w:rsidRDefault="002C6981" w:rsidP="00B67413">
      <w:pPr>
        <w:shd w:val="clear" w:color="auto" w:fill="F2F2F2" w:themeFill="background1" w:themeFillShade="F2"/>
        <w:spacing w:before="120" w:after="120" w:line="240" w:lineRule="auto"/>
        <w:ind w:firstLine="709"/>
        <w:jc w:val="both"/>
        <w:rPr>
          <w:rFonts w:eastAsia="Times New Roman" w:cs="Times New Roman"/>
          <w:sz w:val="22"/>
          <w:lang w:eastAsia="cs-CZ"/>
        </w:rPr>
      </w:pPr>
      <w:r w:rsidRPr="008B2167">
        <w:rPr>
          <w:rFonts w:eastAsia="Times New Roman" w:cs="Times New Roman"/>
          <w:sz w:val="22"/>
          <w:lang w:eastAsia="cs-CZ"/>
        </w:rPr>
        <w:t>Informácie o financovaní pre oblasť samosprávnych pôsobností týkajúcich sa pozemných komunikácií uviedli jednotlivé samosprávne kraje veľmi rozdielne, podľa ministerstva dopravy z dôvodu, že v jednotnej metodike pre výkon auditu nebol podrobne uvedený popis, ktoré údaje mali byť započítané k výkonu samosprávnych pôsobností. Niektoré samosprávne kraje poskytli iba sumár financií za jednotlivé roky</w:t>
      </w:r>
      <w:r w:rsidR="008B2167" w:rsidRPr="008B2167">
        <w:rPr>
          <w:rFonts w:eastAsia="Times New Roman" w:cs="Times New Roman"/>
          <w:sz w:val="22"/>
          <w:lang w:eastAsia="cs-CZ"/>
        </w:rPr>
        <w:t xml:space="preserve"> a neuviedli podrobnejší rozpis financovania</w:t>
      </w:r>
      <w:r w:rsidRPr="008B2167">
        <w:rPr>
          <w:rFonts w:eastAsia="Times New Roman" w:cs="Times New Roman"/>
          <w:sz w:val="22"/>
          <w:lang w:eastAsia="cs-CZ"/>
        </w:rPr>
        <w:t>.</w:t>
      </w:r>
    </w:p>
    <w:p w:rsidR="008B2167" w:rsidRDefault="002C6981" w:rsidP="00B67413">
      <w:pPr>
        <w:shd w:val="clear" w:color="auto" w:fill="F2F2F2" w:themeFill="background1" w:themeFillShade="F2"/>
        <w:spacing w:before="120" w:after="120" w:line="240" w:lineRule="auto"/>
        <w:ind w:firstLine="709"/>
        <w:jc w:val="both"/>
        <w:rPr>
          <w:rFonts w:eastAsia="Times New Roman" w:cs="Times New Roman"/>
          <w:sz w:val="22"/>
          <w:lang w:eastAsia="cs-CZ"/>
        </w:rPr>
      </w:pPr>
      <w:r w:rsidRPr="008B2167">
        <w:rPr>
          <w:rFonts w:eastAsia="Times New Roman" w:cs="Times New Roman"/>
          <w:sz w:val="22"/>
          <w:lang w:eastAsia="cs-CZ"/>
        </w:rPr>
        <w:t xml:space="preserve">Samosprávne kraje zabezpečujú činnosť na úseku územného plánovania </w:t>
      </w:r>
      <w:r w:rsidR="008B2167" w:rsidRPr="008B2167">
        <w:rPr>
          <w:rFonts w:eastAsia="Times New Roman" w:cs="Times New Roman"/>
          <w:sz w:val="22"/>
          <w:lang w:eastAsia="cs-CZ"/>
        </w:rPr>
        <w:t>z rozpočtu samosprávneho kraja.</w:t>
      </w:r>
    </w:p>
    <w:p w:rsidR="002C6981" w:rsidRDefault="002C6981" w:rsidP="00B67413">
      <w:pPr>
        <w:shd w:val="clear" w:color="auto" w:fill="F2F2F2" w:themeFill="background1" w:themeFillShade="F2"/>
        <w:spacing w:before="120" w:after="120" w:line="240" w:lineRule="auto"/>
        <w:ind w:firstLine="709"/>
        <w:jc w:val="both"/>
        <w:rPr>
          <w:rFonts w:eastAsia="Times New Roman" w:cs="Times New Roman"/>
          <w:sz w:val="22"/>
          <w:lang w:eastAsia="cs-CZ"/>
        </w:rPr>
      </w:pPr>
      <w:r w:rsidRPr="002C6981">
        <w:rPr>
          <w:rFonts w:eastAsia="Times New Roman" w:cs="Times New Roman"/>
          <w:sz w:val="22"/>
          <w:lang w:eastAsia="cs-CZ"/>
        </w:rPr>
        <w:t>Niektoré operačné programy umožňujú použitie fondov na spracovanie územnoplánovacích dokumentácií.</w:t>
      </w:r>
    </w:p>
    <w:p w:rsidR="00041868" w:rsidRPr="008C4C33" w:rsidRDefault="00041868" w:rsidP="00041868">
      <w:pPr>
        <w:shd w:val="clear" w:color="auto" w:fill="F2F2F2" w:themeFill="background1" w:themeFillShade="F2"/>
        <w:spacing w:before="120" w:after="120" w:line="240" w:lineRule="auto"/>
        <w:ind w:firstLine="709"/>
        <w:jc w:val="both"/>
        <w:rPr>
          <w:rFonts w:eastAsia="Times New Roman" w:cs="Times New Roman"/>
          <w:sz w:val="22"/>
          <w:lang w:eastAsia="cs-CZ"/>
        </w:rPr>
      </w:pPr>
      <w:r w:rsidRPr="008C4C33">
        <w:rPr>
          <w:rFonts w:eastAsia="Times New Roman" w:cs="Times New Roman"/>
          <w:sz w:val="22"/>
          <w:lang w:eastAsia="cs-CZ"/>
        </w:rPr>
        <w:t xml:space="preserve">Obec môže požadovať čiastočnú úhradu nákladov za obstaranie územnoplánovacej dokumentácie od orgánov štátnej správy. Ministerstvo dopravy podporuje spracovanie územnoplánovacej dokumentácie obcí poskytovaním dotácií na čiastočnú úhradu nákladov na ich obstarávanie až do výšky 80% z celkových nákladov na spracovanie územného plánu obce. </w:t>
      </w:r>
    </w:p>
    <w:p w:rsidR="00041868" w:rsidRPr="008C4C33" w:rsidRDefault="00041868" w:rsidP="00041868">
      <w:pPr>
        <w:shd w:val="clear" w:color="auto" w:fill="F2F2F2" w:themeFill="background1" w:themeFillShade="F2"/>
        <w:spacing w:before="120" w:after="120" w:line="240" w:lineRule="auto"/>
        <w:ind w:firstLine="709"/>
        <w:jc w:val="both"/>
        <w:rPr>
          <w:rFonts w:eastAsia="Times New Roman" w:cs="Times New Roman"/>
          <w:sz w:val="22"/>
          <w:lang w:eastAsia="cs-CZ"/>
        </w:rPr>
      </w:pPr>
      <w:r w:rsidRPr="008C4C33">
        <w:rPr>
          <w:rFonts w:eastAsia="Times New Roman" w:cs="Times New Roman"/>
          <w:sz w:val="22"/>
          <w:lang w:eastAsia="cs-CZ"/>
        </w:rPr>
        <w:t xml:space="preserve">Samosprávne kraje na úseku územného plánovania vynaložili zo svojich rozpočtov v roku 2011 výdavky vo výške 803 tis. </w:t>
      </w:r>
      <w:r w:rsidR="00BE62EA">
        <w:rPr>
          <w:rFonts w:eastAsia="Times New Roman" w:cs="Times New Roman"/>
          <w:sz w:val="22"/>
          <w:lang w:eastAsia="cs-CZ"/>
        </w:rPr>
        <w:t>eur</w:t>
      </w:r>
      <w:r w:rsidRPr="008C4C33">
        <w:rPr>
          <w:rFonts w:eastAsia="Times New Roman" w:cs="Times New Roman"/>
          <w:sz w:val="22"/>
          <w:lang w:eastAsia="cs-CZ"/>
        </w:rPr>
        <w:t xml:space="preserve">, na  úseku dráhovej dopravy15 tis. </w:t>
      </w:r>
      <w:r w:rsidR="00BE62EA">
        <w:rPr>
          <w:rFonts w:eastAsia="Times New Roman" w:cs="Times New Roman"/>
          <w:sz w:val="22"/>
          <w:lang w:eastAsia="cs-CZ"/>
        </w:rPr>
        <w:t>eur</w:t>
      </w:r>
      <w:r w:rsidRPr="008C4C33">
        <w:rPr>
          <w:rFonts w:eastAsia="Times New Roman" w:cs="Times New Roman"/>
          <w:sz w:val="22"/>
          <w:lang w:eastAsia="cs-CZ"/>
        </w:rPr>
        <w:t>.</w:t>
      </w:r>
    </w:p>
    <w:p w:rsidR="00D378DE" w:rsidRPr="00D378DE" w:rsidRDefault="00D378DE" w:rsidP="00F56357">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u w:val="single"/>
          <w:lang w:eastAsia="cs-CZ"/>
        </w:rPr>
      </w:pPr>
      <w:r w:rsidRPr="00D378DE">
        <w:rPr>
          <w:rFonts w:eastAsia="Times New Roman" w:cs="Times New Roman"/>
          <w:sz w:val="22"/>
          <w:u w:val="single"/>
          <w:lang w:eastAsia="cs-CZ"/>
        </w:rPr>
        <w:t>2.4.</w:t>
      </w:r>
      <w:r w:rsidRPr="00D378DE">
        <w:rPr>
          <w:rFonts w:eastAsia="Times New Roman" w:cs="Times New Roman"/>
          <w:sz w:val="22"/>
          <w:u w:val="single"/>
          <w:lang w:eastAsia="cs-CZ"/>
        </w:rPr>
        <w:tab/>
        <w:t>Návrhy opatrení</w:t>
      </w:r>
    </w:p>
    <w:p w:rsidR="00D378DE" w:rsidRPr="00D378DE" w:rsidRDefault="00D378DE" w:rsidP="00F56357">
      <w:pPr>
        <w:shd w:val="clear" w:color="auto" w:fill="F2F2F2" w:themeFill="background1" w:themeFillShade="F2"/>
        <w:spacing w:before="120" w:after="0"/>
        <w:jc w:val="both"/>
        <w:rPr>
          <w:rFonts w:cs="Times New Roman"/>
          <w:sz w:val="22"/>
        </w:rPr>
      </w:pPr>
      <w:r w:rsidRPr="00D378DE">
        <w:rPr>
          <w:rFonts w:cs="Times New Roman"/>
          <w:sz w:val="22"/>
        </w:rPr>
        <w:tab/>
        <w:t xml:space="preserve">Na jednotlivých úsekoch samosprávnych pôsobností ministerstvo dopravy nenavrhuje žiadne zásadné zmeny alebo opatrenia. Na úseku cestnej dopravy navrhuje zavedenie centrálneho registra dopravných licencií. </w:t>
      </w:r>
    </w:p>
    <w:p w:rsidR="00D378DE" w:rsidRPr="00D378DE" w:rsidRDefault="00D378DE" w:rsidP="00F56357">
      <w:pPr>
        <w:keepNext/>
        <w:shd w:val="clear" w:color="auto" w:fill="F2F2F2" w:themeFill="background1" w:themeFillShade="F2"/>
        <w:tabs>
          <w:tab w:val="left" w:pos="1276"/>
        </w:tabs>
        <w:spacing w:before="120" w:after="120" w:line="240" w:lineRule="auto"/>
        <w:ind w:firstLine="709"/>
        <w:rPr>
          <w:rFonts w:eastAsia="Times New Roman" w:cs="Times New Roman"/>
          <w:sz w:val="22"/>
          <w:u w:val="single"/>
          <w:lang w:eastAsia="cs-CZ"/>
        </w:rPr>
      </w:pPr>
      <w:r w:rsidRPr="00D378DE">
        <w:rPr>
          <w:rFonts w:eastAsia="Times New Roman" w:cs="Times New Roman"/>
          <w:sz w:val="22"/>
          <w:u w:val="single"/>
          <w:lang w:eastAsia="cs-CZ"/>
        </w:rPr>
        <w:t>Kritické stanovisko</w:t>
      </w:r>
    </w:p>
    <w:p w:rsidR="00D378DE" w:rsidRPr="00D378DE" w:rsidRDefault="00D378DE" w:rsidP="00F56357">
      <w:pPr>
        <w:shd w:val="clear" w:color="auto" w:fill="F2F2F2" w:themeFill="background1" w:themeFillShade="F2"/>
        <w:spacing w:before="120" w:after="120" w:line="240" w:lineRule="auto"/>
        <w:ind w:firstLine="709"/>
        <w:jc w:val="both"/>
        <w:rPr>
          <w:rFonts w:eastAsia="Times New Roman" w:cs="Times New Roman"/>
          <w:sz w:val="22"/>
          <w:lang w:eastAsia="cs-CZ"/>
        </w:rPr>
      </w:pPr>
      <w:r w:rsidRPr="00D378DE">
        <w:rPr>
          <w:rFonts w:eastAsia="Times New Roman" w:cs="Times New Roman"/>
          <w:sz w:val="22"/>
          <w:lang w:eastAsia="cs-CZ"/>
        </w:rPr>
        <w:t>Na úseku pozemných komunikácií chýba zhodnotenie kvality</w:t>
      </w:r>
      <w:r w:rsidR="00FE6D2B">
        <w:rPr>
          <w:rFonts w:eastAsia="Times New Roman" w:cs="Times New Roman"/>
          <w:sz w:val="22"/>
          <w:lang w:eastAsia="cs-CZ"/>
        </w:rPr>
        <w:t>,</w:t>
      </w:r>
      <w:r w:rsidRPr="00D378DE">
        <w:rPr>
          <w:rFonts w:eastAsia="Times New Roman" w:cs="Times New Roman"/>
          <w:sz w:val="22"/>
          <w:lang w:eastAsia="cs-CZ"/>
        </w:rPr>
        <w:t xml:space="preserve"> a to tak jeho stručné popisné definovanie, ako aj definovanie kritérií kvality (na všetkých úsekoch). Ďalej, ministerstvo dopravy </w:t>
      </w:r>
      <w:r w:rsidRPr="00D378DE">
        <w:rPr>
          <w:rFonts w:eastAsia="Times New Roman" w:cs="Times New Roman"/>
          <w:sz w:val="22"/>
          <w:lang w:eastAsia="cs-CZ"/>
        </w:rPr>
        <w:lastRenderedPageBreak/>
        <w:t xml:space="preserve">neuvádza žiadne samosprávne pôsobností obcí na úseku pozemných komunikácií, pričom obce na danom úseku úlohy vykonávajú. Preto údaje poskytnuté ministerstvom dopravy sú neúplné. </w:t>
      </w:r>
    </w:p>
    <w:p w:rsidR="00D378DE" w:rsidRPr="00D378DE" w:rsidRDefault="00D378DE" w:rsidP="00F56357">
      <w:pPr>
        <w:shd w:val="clear" w:color="auto" w:fill="F2F2F2" w:themeFill="background1" w:themeFillShade="F2"/>
        <w:spacing w:before="120" w:after="120" w:line="240" w:lineRule="auto"/>
        <w:ind w:firstLine="709"/>
        <w:jc w:val="both"/>
        <w:rPr>
          <w:rFonts w:eastAsia="Times New Roman" w:cs="Times New Roman"/>
          <w:sz w:val="22"/>
          <w:lang w:eastAsia="cs-CZ"/>
        </w:rPr>
      </w:pPr>
      <w:r w:rsidRPr="00D378DE">
        <w:rPr>
          <w:rFonts w:eastAsia="Times New Roman" w:cs="Times New Roman"/>
          <w:sz w:val="22"/>
          <w:lang w:eastAsia="cs-CZ"/>
        </w:rPr>
        <w:t xml:space="preserve">V správach poskytnutých ministerstvom dopravy nie sú uvedené komentáre ohľadom zhodnotenia decentralizácie a taktiež chýba vyjadrenie názoru na vytvorenie spoločných obecných úradov. </w:t>
      </w:r>
    </w:p>
    <w:p w:rsidR="00D378DE" w:rsidRPr="00D378DE" w:rsidRDefault="00D378DE" w:rsidP="00F56357">
      <w:pPr>
        <w:keepNext/>
        <w:spacing w:before="240" w:after="240" w:line="240" w:lineRule="auto"/>
        <w:rPr>
          <w:rFonts w:cs="Times New Roman"/>
          <w:b/>
          <w:szCs w:val="24"/>
        </w:rPr>
      </w:pPr>
      <w:r w:rsidRPr="00D378DE">
        <w:rPr>
          <w:rFonts w:cs="Times New Roman"/>
          <w:b/>
          <w:szCs w:val="24"/>
        </w:rPr>
        <w:t>Ministerstvo financií Slovenskej republiky</w:t>
      </w:r>
    </w:p>
    <w:p w:rsidR="00B67413" w:rsidRDefault="00753168" w:rsidP="00B67413">
      <w:pPr>
        <w:keepNext/>
        <w:shd w:val="clear" w:color="auto" w:fill="FFFFFF" w:themeFill="background1"/>
        <w:tabs>
          <w:tab w:val="left" w:pos="1276"/>
        </w:tabs>
        <w:spacing w:before="120" w:after="120" w:line="240" w:lineRule="auto"/>
        <w:ind w:firstLine="709"/>
        <w:jc w:val="both"/>
        <w:rPr>
          <w:rFonts w:eastAsia="Times New Roman" w:cs="Times New Roman"/>
          <w:sz w:val="22"/>
          <w:u w:val="single"/>
          <w:lang w:eastAsia="cs-CZ"/>
        </w:rPr>
      </w:pPr>
      <w:r>
        <w:rPr>
          <w:rFonts w:eastAsia="Times New Roman" w:cs="Times New Roman"/>
          <w:sz w:val="22"/>
          <w:u w:val="single"/>
          <w:lang w:eastAsia="cs-CZ"/>
        </w:rPr>
        <w:t>2</w:t>
      </w:r>
      <w:r w:rsidR="00B67413" w:rsidRPr="00D861B9">
        <w:rPr>
          <w:rFonts w:eastAsia="Times New Roman" w:cs="Times New Roman"/>
          <w:sz w:val="22"/>
          <w:u w:val="single"/>
          <w:lang w:eastAsia="cs-CZ"/>
        </w:rPr>
        <w:t>.1.</w:t>
      </w:r>
      <w:r w:rsidR="00B67413" w:rsidRPr="00D861B9">
        <w:rPr>
          <w:rFonts w:eastAsia="Times New Roman" w:cs="Times New Roman"/>
          <w:sz w:val="22"/>
          <w:u w:val="single"/>
          <w:lang w:eastAsia="cs-CZ"/>
        </w:rPr>
        <w:tab/>
        <w:t xml:space="preserve">Katalóg </w:t>
      </w:r>
      <w:r w:rsidR="00B67413">
        <w:rPr>
          <w:rFonts w:eastAsia="Times New Roman" w:cs="Times New Roman"/>
          <w:sz w:val="22"/>
          <w:u w:val="single"/>
          <w:lang w:eastAsia="cs-CZ"/>
        </w:rPr>
        <w:t>samosprávnych</w:t>
      </w:r>
      <w:r w:rsidR="00B67413" w:rsidRPr="00D861B9">
        <w:rPr>
          <w:rFonts w:eastAsia="Times New Roman" w:cs="Times New Roman"/>
          <w:sz w:val="22"/>
          <w:u w:val="single"/>
          <w:lang w:eastAsia="cs-CZ"/>
        </w:rPr>
        <w:t xml:space="preserve"> pôsobností</w:t>
      </w:r>
    </w:p>
    <w:p w:rsidR="00B67413" w:rsidRPr="00D861B9" w:rsidRDefault="00B67413" w:rsidP="00B67413">
      <w:pPr>
        <w:keepNext/>
        <w:shd w:val="clear" w:color="auto" w:fill="FFFFFF" w:themeFill="background1"/>
        <w:tabs>
          <w:tab w:val="left" w:pos="1276"/>
        </w:tabs>
        <w:spacing w:before="120" w:after="120" w:line="240" w:lineRule="auto"/>
        <w:ind w:firstLine="709"/>
        <w:jc w:val="both"/>
        <w:rPr>
          <w:rFonts w:eastAsia="Times New Roman" w:cs="Times New Roman"/>
          <w:sz w:val="22"/>
          <w:lang w:eastAsia="cs-CZ"/>
        </w:rPr>
      </w:pPr>
      <w:r w:rsidRPr="00D861B9">
        <w:rPr>
          <w:rFonts w:eastAsia="Times New Roman" w:cs="Times New Roman"/>
          <w:sz w:val="22"/>
          <w:lang w:eastAsia="cs-CZ"/>
        </w:rPr>
        <w:t>Zoznam úsekov</w:t>
      </w:r>
      <w:r>
        <w:rPr>
          <w:rFonts w:eastAsia="Times New Roman" w:cs="Times New Roman"/>
          <w:sz w:val="22"/>
          <w:lang w:eastAsia="cs-CZ"/>
        </w:rPr>
        <w:t>,</w:t>
      </w:r>
      <w:r w:rsidRPr="00D861B9">
        <w:rPr>
          <w:rFonts w:eastAsia="Times New Roman" w:cs="Times New Roman"/>
          <w:sz w:val="22"/>
          <w:lang w:eastAsia="cs-CZ"/>
        </w:rPr>
        <w:t xml:space="preserve"> </w:t>
      </w:r>
      <w:r w:rsidRPr="00B67413">
        <w:rPr>
          <w:rFonts w:eastAsia="Times New Roman" w:cs="Times New Roman"/>
          <w:sz w:val="22"/>
          <w:lang w:eastAsia="cs-CZ"/>
        </w:rPr>
        <w:t>na ktorých obce a samosprávne kraje vykonávajú samosprávne pôsobnosti</w:t>
      </w:r>
      <w:r>
        <w:rPr>
          <w:rFonts w:eastAsia="Times New Roman" w:cs="Times New Roman"/>
          <w:sz w:val="22"/>
          <w:lang w:eastAsia="cs-CZ"/>
        </w:rPr>
        <w:t>,</w:t>
      </w:r>
      <w:r w:rsidRPr="00D861B9">
        <w:rPr>
          <w:rFonts w:eastAsia="Times New Roman" w:cs="Times New Roman"/>
          <w:sz w:val="22"/>
          <w:lang w:eastAsia="cs-CZ"/>
        </w:rPr>
        <w:t xml:space="preserve"> </w:t>
      </w:r>
      <w:r>
        <w:rPr>
          <w:rFonts w:eastAsia="Times New Roman" w:cs="Times New Roman"/>
          <w:sz w:val="22"/>
          <w:lang w:eastAsia="cs-CZ"/>
        </w:rPr>
        <w:t>a údaje o počte úloh:</w:t>
      </w:r>
    </w:p>
    <w:tbl>
      <w:tblPr>
        <w:tblStyle w:val="Mriekatabuky"/>
        <w:tblW w:w="0" w:type="auto"/>
        <w:jc w:val="center"/>
        <w:tblLook w:val="04A0" w:firstRow="1" w:lastRow="0" w:firstColumn="1" w:lastColumn="0" w:noHBand="0" w:noVBand="1"/>
      </w:tblPr>
      <w:tblGrid>
        <w:gridCol w:w="2061"/>
        <w:gridCol w:w="2430"/>
        <w:gridCol w:w="1221"/>
        <w:gridCol w:w="1545"/>
      </w:tblGrid>
      <w:tr w:rsidR="00B67413" w:rsidRPr="00D861B9" w:rsidTr="00552583">
        <w:trPr>
          <w:jc w:val="center"/>
        </w:trPr>
        <w:tc>
          <w:tcPr>
            <w:tcW w:w="2061" w:type="dxa"/>
            <w:shd w:val="clear" w:color="auto" w:fill="auto"/>
          </w:tcPr>
          <w:p w:rsidR="00B67413" w:rsidRPr="009766D2" w:rsidRDefault="00B67413" w:rsidP="00B67413">
            <w:pPr>
              <w:shd w:val="clear" w:color="auto" w:fill="FFFFFF" w:themeFill="background1"/>
              <w:spacing w:before="120" w:after="60"/>
              <w:jc w:val="left"/>
              <w:rPr>
                <w:b/>
                <w:sz w:val="16"/>
                <w:szCs w:val="16"/>
              </w:rPr>
            </w:pPr>
            <w:r w:rsidRPr="009766D2">
              <w:rPr>
                <w:b/>
                <w:sz w:val="16"/>
                <w:szCs w:val="16"/>
              </w:rPr>
              <w:t>obce</w:t>
            </w:r>
          </w:p>
        </w:tc>
        <w:tc>
          <w:tcPr>
            <w:tcW w:w="2430" w:type="dxa"/>
            <w:shd w:val="clear" w:color="auto" w:fill="auto"/>
          </w:tcPr>
          <w:p w:rsidR="00B67413" w:rsidRPr="009766D2" w:rsidRDefault="00B67413" w:rsidP="00B67413">
            <w:pPr>
              <w:shd w:val="clear" w:color="auto" w:fill="FFFFFF" w:themeFill="background1"/>
              <w:spacing w:before="120" w:after="60"/>
              <w:rPr>
                <w:b/>
                <w:sz w:val="16"/>
                <w:szCs w:val="16"/>
              </w:rPr>
            </w:pPr>
            <w:r w:rsidRPr="009766D2">
              <w:rPr>
                <w:b/>
                <w:sz w:val="16"/>
                <w:szCs w:val="16"/>
              </w:rPr>
              <w:t>samosprávne kraje</w:t>
            </w:r>
          </w:p>
        </w:tc>
        <w:tc>
          <w:tcPr>
            <w:tcW w:w="1221" w:type="dxa"/>
            <w:shd w:val="clear" w:color="auto" w:fill="auto"/>
          </w:tcPr>
          <w:p w:rsidR="00B67413" w:rsidRPr="009766D2" w:rsidRDefault="00B67413" w:rsidP="00B67413">
            <w:pPr>
              <w:shd w:val="clear" w:color="auto" w:fill="FFFFFF" w:themeFill="background1"/>
              <w:spacing w:before="120" w:after="60"/>
              <w:rPr>
                <w:b/>
                <w:sz w:val="16"/>
                <w:szCs w:val="16"/>
              </w:rPr>
            </w:pPr>
            <w:r w:rsidRPr="009766D2">
              <w:rPr>
                <w:b/>
                <w:sz w:val="16"/>
                <w:szCs w:val="16"/>
              </w:rPr>
              <w:t>obce</w:t>
            </w:r>
          </w:p>
        </w:tc>
        <w:tc>
          <w:tcPr>
            <w:tcW w:w="1545" w:type="dxa"/>
            <w:shd w:val="clear" w:color="auto" w:fill="auto"/>
          </w:tcPr>
          <w:p w:rsidR="00B67413" w:rsidRPr="009766D2" w:rsidRDefault="00B67413" w:rsidP="00B67413">
            <w:pPr>
              <w:shd w:val="clear" w:color="auto" w:fill="FFFFFF" w:themeFill="background1"/>
              <w:spacing w:before="120" w:after="60"/>
              <w:rPr>
                <w:b/>
                <w:sz w:val="16"/>
                <w:szCs w:val="16"/>
              </w:rPr>
            </w:pPr>
            <w:r w:rsidRPr="009766D2">
              <w:rPr>
                <w:b/>
                <w:sz w:val="16"/>
                <w:szCs w:val="16"/>
              </w:rPr>
              <w:t>samosprávne kraje</w:t>
            </w:r>
          </w:p>
        </w:tc>
      </w:tr>
      <w:tr w:rsidR="00B67413" w:rsidRPr="00D861B9" w:rsidTr="00552583">
        <w:trPr>
          <w:jc w:val="center"/>
        </w:trPr>
        <w:tc>
          <w:tcPr>
            <w:tcW w:w="2061" w:type="dxa"/>
            <w:shd w:val="clear" w:color="auto" w:fill="auto"/>
          </w:tcPr>
          <w:p w:rsidR="00B67413" w:rsidRPr="009766D2" w:rsidRDefault="00B67413" w:rsidP="00B67413">
            <w:pPr>
              <w:shd w:val="clear" w:color="auto" w:fill="FFFFFF" w:themeFill="background1"/>
              <w:spacing w:before="120" w:after="60"/>
              <w:jc w:val="left"/>
              <w:rPr>
                <w:sz w:val="16"/>
                <w:szCs w:val="16"/>
              </w:rPr>
            </w:pPr>
            <w:r>
              <w:rPr>
                <w:sz w:val="16"/>
                <w:szCs w:val="16"/>
              </w:rPr>
              <w:t>úsek rozpočtu</w:t>
            </w:r>
          </w:p>
        </w:tc>
        <w:tc>
          <w:tcPr>
            <w:tcW w:w="2430" w:type="dxa"/>
            <w:shd w:val="clear" w:color="auto" w:fill="auto"/>
          </w:tcPr>
          <w:p w:rsidR="00B67413" w:rsidRPr="009766D2" w:rsidRDefault="00B67413" w:rsidP="00B67413">
            <w:pPr>
              <w:shd w:val="clear" w:color="auto" w:fill="FFFFFF" w:themeFill="background1"/>
              <w:spacing w:before="120" w:after="60"/>
              <w:jc w:val="left"/>
              <w:rPr>
                <w:sz w:val="16"/>
                <w:szCs w:val="16"/>
              </w:rPr>
            </w:pPr>
            <w:r>
              <w:rPr>
                <w:sz w:val="16"/>
                <w:szCs w:val="16"/>
              </w:rPr>
              <w:t>úsek rozpočtu</w:t>
            </w:r>
          </w:p>
        </w:tc>
        <w:tc>
          <w:tcPr>
            <w:tcW w:w="1221"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34 A</w:t>
            </w:r>
          </w:p>
        </w:tc>
        <w:tc>
          <w:tcPr>
            <w:tcW w:w="1545"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24 A</w:t>
            </w:r>
          </w:p>
        </w:tc>
      </w:tr>
      <w:tr w:rsidR="00B67413" w:rsidRPr="00D861B9" w:rsidTr="00552583">
        <w:trPr>
          <w:jc w:val="center"/>
        </w:trPr>
        <w:tc>
          <w:tcPr>
            <w:tcW w:w="2061" w:type="dxa"/>
            <w:shd w:val="clear" w:color="auto" w:fill="auto"/>
          </w:tcPr>
          <w:p w:rsidR="00B67413" w:rsidRPr="009766D2" w:rsidRDefault="00B67413" w:rsidP="00B67413">
            <w:pPr>
              <w:shd w:val="clear" w:color="auto" w:fill="FFFFFF" w:themeFill="background1"/>
              <w:spacing w:before="120" w:after="60"/>
              <w:jc w:val="left"/>
              <w:rPr>
                <w:sz w:val="16"/>
                <w:szCs w:val="16"/>
              </w:rPr>
            </w:pPr>
            <w:r>
              <w:rPr>
                <w:sz w:val="16"/>
                <w:szCs w:val="16"/>
              </w:rPr>
              <w:t>úsek správy majetku</w:t>
            </w:r>
          </w:p>
        </w:tc>
        <w:tc>
          <w:tcPr>
            <w:tcW w:w="2430" w:type="dxa"/>
            <w:shd w:val="clear" w:color="auto" w:fill="auto"/>
          </w:tcPr>
          <w:p w:rsidR="00B67413" w:rsidRPr="009766D2" w:rsidRDefault="00B67413" w:rsidP="00B67413">
            <w:pPr>
              <w:shd w:val="clear" w:color="auto" w:fill="FFFFFF" w:themeFill="background1"/>
              <w:spacing w:before="120" w:after="60"/>
              <w:jc w:val="left"/>
              <w:rPr>
                <w:sz w:val="16"/>
                <w:szCs w:val="16"/>
              </w:rPr>
            </w:pPr>
            <w:r>
              <w:rPr>
                <w:sz w:val="16"/>
                <w:szCs w:val="16"/>
              </w:rPr>
              <w:t>úsek správy majetku</w:t>
            </w:r>
          </w:p>
        </w:tc>
        <w:tc>
          <w:tcPr>
            <w:tcW w:w="1221"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10 A</w:t>
            </w:r>
          </w:p>
        </w:tc>
        <w:tc>
          <w:tcPr>
            <w:tcW w:w="1545"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7 A</w:t>
            </w:r>
          </w:p>
        </w:tc>
      </w:tr>
      <w:tr w:rsidR="00B67413" w:rsidRPr="00D861B9" w:rsidTr="00552583">
        <w:trPr>
          <w:jc w:val="center"/>
        </w:trPr>
        <w:tc>
          <w:tcPr>
            <w:tcW w:w="2061" w:type="dxa"/>
            <w:shd w:val="clear" w:color="auto" w:fill="auto"/>
          </w:tcPr>
          <w:p w:rsidR="00B67413" w:rsidRPr="009766D2" w:rsidRDefault="00B67413" w:rsidP="00B67413">
            <w:pPr>
              <w:shd w:val="clear" w:color="auto" w:fill="FFFFFF" w:themeFill="background1"/>
              <w:spacing w:before="120" w:after="60"/>
              <w:jc w:val="left"/>
              <w:rPr>
                <w:sz w:val="16"/>
                <w:szCs w:val="16"/>
              </w:rPr>
            </w:pPr>
            <w:r>
              <w:rPr>
                <w:sz w:val="16"/>
                <w:szCs w:val="16"/>
              </w:rPr>
              <w:t>úsek účtovníctva a výkazníctva</w:t>
            </w:r>
          </w:p>
        </w:tc>
        <w:tc>
          <w:tcPr>
            <w:tcW w:w="2430" w:type="dxa"/>
            <w:shd w:val="clear" w:color="auto" w:fill="auto"/>
          </w:tcPr>
          <w:p w:rsidR="00B67413" w:rsidRPr="009766D2" w:rsidRDefault="00B67413" w:rsidP="00B67413">
            <w:pPr>
              <w:shd w:val="clear" w:color="auto" w:fill="FFFFFF" w:themeFill="background1"/>
              <w:spacing w:before="120" w:after="60"/>
              <w:jc w:val="left"/>
              <w:rPr>
                <w:sz w:val="16"/>
                <w:szCs w:val="16"/>
              </w:rPr>
            </w:pPr>
            <w:r>
              <w:rPr>
                <w:sz w:val="16"/>
                <w:szCs w:val="16"/>
              </w:rPr>
              <w:t>úsek účtovníctva a výkazníctva</w:t>
            </w:r>
          </w:p>
        </w:tc>
        <w:tc>
          <w:tcPr>
            <w:tcW w:w="1221"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3 A</w:t>
            </w:r>
          </w:p>
        </w:tc>
        <w:tc>
          <w:tcPr>
            <w:tcW w:w="1545"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3 A</w:t>
            </w:r>
          </w:p>
        </w:tc>
      </w:tr>
      <w:tr w:rsidR="00B67413" w:rsidRPr="00D861B9" w:rsidTr="00552583">
        <w:trPr>
          <w:jc w:val="center"/>
        </w:trPr>
        <w:tc>
          <w:tcPr>
            <w:tcW w:w="2061" w:type="dxa"/>
            <w:shd w:val="clear" w:color="auto" w:fill="auto"/>
          </w:tcPr>
          <w:p w:rsidR="00B67413" w:rsidRPr="009766D2" w:rsidRDefault="00B67413" w:rsidP="00B67413">
            <w:pPr>
              <w:shd w:val="clear" w:color="auto" w:fill="FFFFFF" w:themeFill="background1"/>
              <w:spacing w:before="120" w:after="60"/>
              <w:jc w:val="left"/>
              <w:rPr>
                <w:sz w:val="16"/>
                <w:szCs w:val="16"/>
              </w:rPr>
            </w:pPr>
            <w:r>
              <w:rPr>
                <w:sz w:val="16"/>
                <w:szCs w:val="16"/>
              </w:rPr>
              <w:t>úsek hazardných hier</w:t>
            </w:r>
          </w:p>
        </w:tc>
        <w:tc>
          <w:tcPr>
            <w:tcW w:w="2430" w:type="dxa"/>
            <w:shd w:val="clear" w:color="auto" w:fill="auto"/>
          </w:tcPr>
          <w:p w:rsidR="00B67413" w:rsidRPr="009766D2" w:rsidRDefault="00B67413" w:rsidP="00B67413">
            <w:pPr>
              <w:shd w:val="clear" w:color="auto" w:fill="FFFFFF" w:themeFill="background1"/>
              <w:spacing w:before="120" w:after="60"/>
              <w:jc w:val="left"/>
              <w:rPr>
                <w:sz w:val="16"/>
                <w:szCs w:val="16"/>
              </w:rPr>
            </w:pPr>
            <w:r>
              <w:rPr>
                <w:sz w:val="16"/>
                <w:szCs w:val="16"/>
              </w:rPr>
              <w:t>-</w:t>
            </w:r>
          </w:p>
        </w:tc>
        <w:tc>
          <w:tcPr>
            <w:tcW w:w="1221"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12 A</w:t>
            </w:r>
          </w:p>
        </w:tc>
        <w:tc>
          <w:tcPr>
            <w:tcW w:w="1545"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w:t>
            </w:r>
          </w:p>
        </w:tc>
      </w:tr>
      <w:tr w:rsidR="00B67413" w:rsidRPr="00D861B9" w:rsidTr="00552583">
        <w:trPr>
          <w:jc w:val="center"/>
        </w:trPr>
        <w:tc>
          <w:tcPr>
            <w:tcW w:w="2061" w:type="dxa"/>
            <w:shd w:val="clear" w:color="auto" w:fill="auto"/>
          </w:tcPr>
          <w:p w:rsidR="00B67413" w:rsidRPr="009766D2" w:rsidRDefault="00B67413" w:rsidP="00B67413">
            <w:pPr>
              <w:shd w:val="clear" w:color="auto" w:fill="FFFFFF" w:themeFill="background1"/>
              <w:spacing w:before="120" w:after="60"/>
              <w:jc w:val="left"/>
              <w:rPr>
                <w:sz w:val="16"/>
                <w:szCs w:val="16"/>
              </w:rPr>
            </w:pPr>
            <w:r>
              <w:rPr>
                <w:sz w:val="16"/>
                <w:szCs w:val="16"/>
              </w:rPr>
              <w:t>úsek správnych poplatkov</w:t>
            </w:r>
          </w:p>
        </w:tc>
        <w:tc>
          <w:tcPr>
            <w:tcW w:w="2430" w:type="dxa"/>
            <w:shd w:val="clear" w:color="auto" w:fill="auto"/>
          </w:tcPr>
          <w:p w:rsidR="00B67413" w:rsidRPr="009766D2" w:rsidRDefault="00B67413" w:rsidP="00B67413">
            <w:pPr>
              <w:shd w:val="clear" w:color="auto" w:fill="FFFFFF" w:themeFill="background1"/>
              <w:spacing w:before="120" w:after="60"/>
              <w:jc w:val="left"/>
              <w:rPr>
                <w:sz w:val="16"/>
                <w:szCs w:val="16"/>
              </w:rPr>
            </w:pPr>
            <w:r>
              <w:rPr>
                <w:sz w:val="16"/>
                <w:szCs w:val="16"/>
              </w:rPr>
              <w:t>úsek správnych poplatkov</w:t>
            </w:r>
          </w:p>
        </w:tc>
        <w:tc>
          <w:tcPr>
            <w:tcW w:w="1221"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6 A</w:t>
            </w:r>
          </w:p>
        </w:tc>
        <w:tc>
          <w:tcPr>
            <w:tcW w:w="1545"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7 A</w:t>
            </w:r>
          </w:p>
        </w:tc>
      </w:tr>
      <w:tr w:rsidR="00B67413" w:rsidRPr="00D861B9" w:rsidTr="00552583">
        <w:trPr>
          <w:jc w:val="center"/>
        </w:trPr>
        <w:tc>
          <w:tcPr>
            <w:tcW w:w="2061" w:type="dxa"/>
            <w:shd w:val="clear" w:color="auto" w:fill="auto"/>
          </w:tcPr>
          <w:p w:rsidR="00B67413" w:rsidRDefault="00B67413" w:rsidP="00B67413">
            <w:pPr>
              <w:shd w:val="clear" w:color="auto" w:fill="FFFFFF" w:themeFill="background1"/>
              <w:spacing w:before="120" w:after="60"/>
              <w:jc w:val="left"/>
              <w:rPr>
                <w:sz w:val="16"/>
                <w:szCs w:val="16"/>
              </w:rPr>
            </w:pPr>
            <w:r>
              <w:rPr>
                <w:sz w:val="16"/>
                <w:szCs w:val="16"/>
              </w:rPr>
              <w:t>úsek finančnej kontroly</w:t>
            </w:r>
          </w:p>
        </w:tc>
        <w:tc>
          <w:tcPr>
            <w:tcW w:w="2430" w:type="dxa"/>
            <w:shd w:val="clear" w:color="auto" w:fill="auto"/>
          </w:tcPr>
          <w:p w:rsidR="00B67413" w:rsidRPr="009766D2" w:rsidRDefault="00B67413" w:rsidP="00B67413">
            <w:pPr>
              <w:shd w:val="clear" w:color="auto" w:fill="FFFFFF" w:themeFill="background1"/>
              <w:spacing w:before="120" w:after="60"/>
              <w:jc w:val="left"/>
              <w:rPr>
                <w:sz w:val="16"/>
                <w:szCs w:val="16"/>
              </w:rPr>
            </w:pPr>
            <w:r>
              <w:rPr>
                <w:sz w:val="16"/>
                <w:szCs w:val="16"/>
              </w:rPr>
              <w:t>úsek finančnej kontroly</w:t>
            </w:r>
          </w:p>
        </w:tc>
        <w:tc>
          <w:tcPr>
            <w:tcW w:w="1221"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5 A</w:t>
            </w:r>
          </w:p>
        </w:tc>
        <w:tc>
          <w:tcPr>
            <w:tcW w:w="1545"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5 A</w:t>
            </w:r>
          </w:p>
        </w:tc>
      </w:tr>
      <w:tr w:rsidR="00B67413" w:rsidRPr="00D861B9" w:rsidTr="00552583">
        <w:trPr>
          <w:jc w:val="center"/>
        </w:trPr>
        <w:tc>
          <w:tcPr>
            <w:tcW w:w="2061" w:type="dxa"/>
            <w:shd w:val="clear" w:color="auto" w:fill="auto"/>
          </w:tcPr>
          <w:p w:rsidR="00B67413" w:rsidRDefault="00B67413" w:rsidP="00B67413">
            <w:pPr>
              <w:shd w:val="clear" w:color="auto" w:fill="FFFFFF" w:themeFill="background1"/>
              <w:spacing w:before="120" w:after="60"/>
              <w:jc w:val="left"/>
              <w:rPr>
                <w:sz w:val="16"/>
                <w:szCs w:val="16"/>
              </w:rPr>
            </w:pPr>
            <w:r>
              <w:rPr>
                <w:sz w:val="16"/>
                <w:szCs w:val="16"/>
              </w:rPr>
              <w:t>úsek štátnej pomoci</w:t>
            </w:r>
          </w:p>
        </w:tc>
        <w:tc>
          <w:tcPr>
            <w:tcW w:w="2430" w:type="dxa"/>
            <w:shd w:val="clear" w:color="auto" w:fill="auto"/>
          </w:tcPr>
          <w:p w:rsidR="00B67413" w:rsidRPr="009766D2" w:rsidRDefault="00B67413" w:rsidP="00B67413">
            <w:pPr>
              <w:shd w:val="clear" w:color="auto" w:fill="FFFFFF" w:themeFill="background1"/>
              <w:spacing w:before="120" w:after="60"/>
              <w:jc w:val="left"/>
              <w:rPr>
                <w:sz w:val="16"/>
                <w:szCs w:val="16"/>
              </w:rPr>
            </w:pPr>
            <w:r>
              <w:rPr>
                <w:sz w:val="16"/>
                <w:szCs w:val="16"/>
              </w:rPr>
              <w:t>úsek štátnej pomoci</w:t>
            </w:r>
          </w:p>
        </w:tc>
        <w:tc>
          <w:tcPr>
            <w:tcW w:w="1221"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5 A</w:t>
            </w:r>
          </w:p>
        </w:tc>
        <w:tc>
          <w:tcPr>
            <w:tcW w:w="1545"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4 A</w:t>
            </w:r>
          </w:p>
        </w:tc>
      </w:tr>
      <w:tr w:rsidR="00B67413" w:rsidRPr="00D861B9" w:rsidTr="00552583">
        <w:trPr>
          <w:jc w:val="center"/>
        </w:trPr>
        <w:tc>
          <w:tcPr>
            <w:tcW w:w="2061" w:type="dxa"/>
            <w:shd w:val="clear" w:color="auto" w:fill="auto"/>
          </w:tcPr>
          <w:p w:rsidR="00B67413" w:rsidRDefault="00B67413" w:rsidP="00B67413">
            <w:pPr>
              <w:shd w:val="clear" w:color="auto" w:fill="FFFFFF" w:themeFill="background1"/>
              <w:spacing w:before="120" w:after="60"/>
              <w:jc w:val="left"/>
              <w:rPr>
                <w:sz w:val="16"/>
                <w:szCs w:val="16"/>
              </w:rPr>
            </w:pPr>
            <w:r>
              <w:rPr>
                <w:sz w:val="16"/>
                <w:szCs w:val="16"/>
              </w:rPr>
              <w:t>úsek štátnej pokladnice</w:t>
            </w:r>
          </w:p>
        </w:tc>
        <w:tc>
          <w:tcPr>
            <w:tcW w:w="2430" w:type="dxa"/>
            <w:shd w:val="clear" w:color="auto" w:fill="auto"/>
          </w:tcPr>
          <w:p w:rsidR="00B67413" w:rsidRDefault="00B67413" w:rsidP="00B67413">
            <w:pPr>
              <w:shd w:val="clear" w:color="auto" w:fill="FFFFFF" w:themeFill="background1"/>
              <w:spacing w:before="120" w:after="60"/>
              <w:jc w:val="left"/>
              <w:rPr>
                <w:sz w:val="16"/>
                <w:szCs w:val="16"/>
              </w:rPr>
            </w:pPr>
            <w:r>
              <w:rPr>
                <w:sz w:val="16"/>
                <w:szCs w:val="16"/>
              </w:rPr>
              <w:t>úsek štátnej pokladnice</w:t>
            </w:r>
          </w:p>
        </w:tc>
        <w:tc>
          <w:tcPr>
            <w:tcW w:w="1221"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1 A</w:t>
            </w:r>
          </w:p>
        </w:tc>
        <w:tc>
          <w:tcPr>
            <w:tcW w:w="1545"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4 A</w:t>
            </w:r>
          </w:p>
        </w:tc>
      </w:tr>
      <w:tr w:rsidR="00B67413" w:rsidRPr="00D861B9" w:rsidTr="00552583">
        <w:trPr>
          <w:jc w:val="center"/>
        </w:trPr>
        <w:tc>
          <w:tcPr>
            <w:tcW w:w="2061" w:type="dxa"/>
            <w:shd w:val="clear" w:color="auto" w:fill="auto"/>
          </w:tcPr>
          <w:p w:rsidR="00B67413" w:rsidRDefault="00B67413" w:rsidP="00B67413">
            <w:pPr>
              <w:shd w:val="clear" w:color="auto" w:fill="FFFFFF" w:themeFill="background1"/>
              <w:spacing w:before="120" w:after="60"/>
              <w:jc w:val="left"/>
              <w:rPr>
                <w:sz w:val="16"/>
                <w:szCs w:val="16"/>
              </w:rPr>
            </w:pPr>
            <w:r>
              <w:rPr>
                <w:sz w:val="16"/>
                <w:szCs w:val="16"/>
              </w:rPr>
              <w:t>úsek  miestnych daní a poplatkov za komunálny odpad</w:t>
            </w:r>
          </w:p>
        </w:tc>
        <w:tc>
          <w:tcPr>
            <w:tcW w:w="2430" w:type="dxa"/>
            <w:shd w:val="clear" w:color="auto" w:fill="auto"/>
          </w:tcPr>
          <w:p w:rsidR="00B67413" w:rsidRDefault="00B67413" w:rsidP="00B67413">
            <w:pPr>
              <w:shd w:val="clear" w:color="auto" w:fill="FFFFFF" w:themeFill="background1"/>
              <w:spacing w:before="120" w:after="60"/>
              <w:jc w:val="left"/>
              <w:rPr>
                <w:sz w:val="16"/>
                <w:szCs w:val="16"/>
              </w:rPr>
            </w:pPr>
            <w:r>
              <w:rPr>
                <w:sz w:val="16"/>
                <w:szCs w:val="16"/>
              </w:rPr>
              <w:t>úsek  miestnych daní a poplatkov za komunálny odpad</w:t>
            </w:r>
          </w:p>
        </w:tc>
        <w:tc>
          <w:tcPr>
            <w:tcW w:w="1221"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10 A</w:t>
            </w:r>
          </w:p>
        </w:tc>
        <w:tc>
          <w:tcPr>
            <w:tcW w:w="1545"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3 A</w:t>
            </w:r>
          </w:p>
        </w:tc>
      </w:tr>
      <w:tr w:rsidR="00B67413" w:rsidRPr="00D861B9" w:rsidTr="00552583">
        <w:trPr>
          <w:jc w:val="center"/>
        </w:trPr>
        <w:tc>
          <w:tcPr>
            <w:tcW w:w="2061" w:type="dxa"/>
            <w:shd w:val="clear" w:color="auto" w:fill="auto"/>
          </w:tcPr>
          <w:p w:rsidR="00B67413" w:rsidRDefault="00B67413" w:rsidP="00B67413">
            <w:pPr>
              <w:shd w:val="clear" w:color="auto" w:fill="FFFFFF" w:themeFill="background1"/>
              <w:spacing w:before="120" w:after="60"/>
              <w:jc w:val="left"/>
              <w:rPr>
                <w:sz w:val="16"/>
                <w:szCs w:val="16"/>
              </w:rPr>
            </w:pPr>
            <w:r>
              <w:rPr>
                <w:sz w:val="16"/>
                <w:szCs w:val="16"/>
              </w:rPr>
              <w:t>úsek dohľadu nad finančným trhom</w:t>
            </w:r>
          </w:p>
        </w:tc>
        <w:tc>
          <w:tcPr>
            <w:tcW w:w="2430" w:type="dxa"/>
            <w:shd w:val="clear" w:color="auto" w:fill="auto"/>
          </w:tcPr>
          <w:p w:rsidR="00B67413" w:rsidRPr="009766D2" w:rsidRDefault="00B67413" w:rsidP="00B67413">
            <w:pPr>
              <w:shd w:val="clear" w:color="auto" w:fill="FFFFFF" w:themeFill="background1"/>
              <w:spacing w:before="120" w:after="60"/>
              <w:jc w:val="left"/>
              <w:rPr>
                <w:sz w:val="16"/>
                <w:szCs w:val="16"/>
              </w:rPr>
            </w:pPr>
            <w:r>
              <w:rPr>
                <w:sz w:val="16"/>
                <w:szCs w:val="16"/>
              </w:rPr>
              <w:t>úsek dohľadu nad finančným trhom</w:t>
            </w:r>
          </w:p>
        </w:tc>
        <w:tc>
          <w:tcPr>
            <w:tcW w:w="1221"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1 A</w:t>
            </w:r>
          </w:p>
        </w:tc>
        <w:tc>
          <w:tcPr>
            <w:tcW w:w="1545"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1 A</w:t>
            </w:r>
          </w:p>
        </w:tc>
      </w:tr>
      <w:tr w:rsidR="00B67413" w:rsidRPr="00D861B9" w:rsidTr="00552583">
        <w:trPr>
          <w:jc w:val="center"/>
        </w:trPr>
        <w:tc>
          <w:tcPr>
            <w:tcW w:w="2061" w:type="dxa"/>
            <w:shd w:val="clear" w:color="auto" w:fill="auto"/>
          </w:tcPr>
          <w:p w:rsidR="00B67413" w:rsidRDefault="00B67413" w:rsidP="00B67413">
            <w:pPr>
              <w:shd w:val="clear" w:color="auto" w:fill="FFFFFF" w:themeFill="background1"/>
              <w:spacing w:before="120" w:after="60"/>
              <w:jc w:val="left"/>
              <w:rPr>
                <w:sz w:val="16"/>
                <w:szCs w:val="16"/>
              </w:rPr>
            </w:pPr>
            <w:r>
              <w:rPr>
                <w:sz w:val="16"/>
                <w:szCs w:val="16"/>
              </w:rPr>
              <w:t>úsek informatizácie</w:t>
            </w:r>
          </w:p>
        </w:tc>
        <w:tc>
          <w:tcPr>
            <w:tcW w:w="2430" w:type="dxa"/>
            <w:shd w:val="clear" w:color="auto" w:fill="auto"/>
          </w:tcPr>
          <w:p w:rsidR="00B67413" w:rsidRDefault="00B67413" w:rsidP="00B67413">
            <w:pPr>
              <w:shd w:val="clear" w:color="auto" w:fill="FFFFFF" w:themeFill="background1"/>
              <w:spacing w:before="120" w:after="60"/>
              <w:jc w:val="left"/>
              <w:rPr>
                <w:sz w:val="16"/>
                <w:szCs w:val="16"/>
              </w:rPr>
            </w:pPr>
            <w:r>
              <w:rPr>
                <w:sz w:val="16"/>
                <w:szCs w:val="16"/>
              </w:rPr>
              <w:t>úsek informatizácie</w:t>
            </w:r>
          </w:p>
        </w:tc>
        <w:tc>
          <w:tcPr>
            <w:tcW w:w="1221"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8 A</w:t>
            </w:r>
          </w:p>
        </w:tc>
        <w:tc>
          <w:tcPr>
            <w:tcW w:w="1545"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8 A</w:t>
            </w:r>
          </w:p>
        </w:tc>
      </w:tr>
      <w:tr w:rsidR="00B67413" w:rsidRPr="00D861B9" w:rsidTr="00552583">
        <w:trPr>
          <w:jc w:val="center"/>
        </w:trPr>
        <w:tc>
          <w:tcPr>
            <w:tcW w:w="2061" w:type="dxa"/>
            <w:shd w:val="clear" w:color="auto" w:fill="auto"/>
          </w:tcPr>
          <w:p w:rsidR="00B67413" w:rsidRDefault="00B67413" w:rsidP="00B67413">
            <w:pPr>
              <w:shd w:val="clear" w:color="auto" w:fill="FFFFFF" w:themeFill="background1"/>
              <w:spacing w:before="120" w:after="60"/>
              <w:jc w:val="left"/>
              <w:rPr>
                <w:sz w:val="16"/>
                <w:szCs w:val="16"/>
              </w:rPr>
            </w:pPr>
            <w:r>
              <w:rPr>
                <w:sz w:val="16"/>
                <w:szCs w:val="16"/>
              </w:rPr>
              <w:t>úsek ciel</w:t>
            </w:r>
          </w:p>
        </w:tc>
        <w:tc>
          <w:tcPr>
            <w:tcW w:w="2430" w:type="dxa"/>
            <w:shd w:val="clear" w:color="auto" w:fill="auto"/>
          </w:tcPr>
          <w:p w:rsidR="00B67413" w:rsidRPr="009766D2" w:rsidRDefault="00B67413" w:rsidP="00B67413">
            <w:pPr>
              <w:shd w:val="clear" w:color="auto" w:fill="FFFFFF" w:themeFill="background1"/>
              <w:spacing w:before="120" w:after="60"/>
              <w:jc w:val="left"/>
              <w:rPr>
                <w:sz w:val="16"/>
                <w:szCs w:val="16"/>
              </w:rPr>
            </w:pPr>
            <w:r>
              <w:rPr>
                <w:sz w:val="16"/>
                <w:szCs w:val="16"/>
              </w:rPr>
              <w:t>úsek ciel</w:t>
            </w:r>
          </w:p>
        </w:tc>
        <w:tc>
          <w:tcPr>
            <w:tcW w:w="1221"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2 A</w:t>
            </w:r>
          </w:p>
        </w:tc>
        <w:tc>
          <w:tcPr>
            <w:tcW w:w="1545"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2 A</w:t>
            </w:r>
          </w:p>
        </w:tc>
      </w:tr>
      <w:tr w:rsidR="00B67413" w:rsidRPr="00D861B9" w:rsidTr="00552583">
        <w:trPr>
          <w:jc w:val="center"/>
        </w:trPr>
        <w:tc>
          <w:tcPr>
            <w:tcW w:w="2061" w:type="dxa"/>
            <w:shd w:val="clear" w:color="auto" w:fill="auto"/>
          </w:tcPr>
          <w:p w:rsidR="00B67413" w:rsidRDefault="00B67413" w:rsidP="00B67413">
            <w:pPr>
              <w:shd w:val="clear" w:color="auto" w:fill="FFFFFF" w:themeFill="background1"/>
              <w:spacing w:before="120" w:after="60"/>
              <w:jc w:val="left"/>
              <w:rPr>
                <w:sz w:val="16"/>
                <w:szCs w:val="16"/>
              </w:rPr>
            </w:pPr>
            <w:r>
              <w:rPr>
                <w:sz w:val="16"/>
                <w:szCs w:val="16"/>
              </w:rPr>
              <w:t>úsek Národnej banky Slovenska</w:t>
            </w:r>
          </w:p>
        </w:tc>
        <w:tc>
          <w:tcPr>
            <w:tcW w:w="2430" w:type="dxa"/>
            <w:shd w:val="clear" w:color="auto" w:fill="auto"/>
          </w:tcPr>
          <w:p w:rsidR="00B67413" w:rsidRPr="009766D2" w:rsidRDefault="00B67413" w:rsidP="00B67413">
            <w:pPr>
              <w:shd w:val="clear" w:color="auto" w:fill="FFFFFF" w:themeFill="background1"/>
              <w:spacing w:before="120" w:after="60"/>
              <w:jc w:val="left"/>
              <w:rPr>
                <w:sz w:val="16"/>
                <w:szCs w:val="16"/>
              </w:rPr>
            </w:pPr>
            <w:r>
              <w:rPr>
                <w:sz w:val="16"/>
                <w:szCs w:val="16"/>
              </w:rPr>
              <w:t>úsek Národnej banky Slovenska</w:t>
            </w:r>
          </w:p>
        </w:tc>
        <w:tc>
          <w:tcPr>
            <w:tcW w:w="1221"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1 A</w:t>
            </w:r>
          </w:p>
        </w:tc>
        <w:tc>
          <w:tcPr>
            <w:tcW w:w="1545"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1 A</w:t>
            </w:r>
          </w:p>
        </w:tc>
      </w:tr>
      <w:tr w:rsidR="00B67413" w:rsidRPr="00D861B9" w:rsidTr="00552583">
        <w:trPr>
          <w:jc w:val="center"/>
        </w:trPr>
        <w:tc>
          <w:tcPr>
            <w:tcW w:w="2061" w:type="dxa"/>
            <w:shd w:val="clear" w:color="auto" w:fill="auto"/>
          </w:tcPr>
          <w:p w:rsidR="00B67413" w:rsidRDefault="00B67413" w:rsidP="00B67413">
            <w:pPr>
              <w:shd w:val="clear" w:color="auto" w:fill="FFFFFF" w:themeFill="background1"/>
              <w:spacing w:before="120" w:after="60"/>
              <w:jc w:val="left"/>
              <w:rPr>
                <w:sz w:val="16"/>
                <w:szCs w:val="16"/>
              </w:rPr>
            </w:pPr>
            <w:r>
              <w:rPr>
                <w:sz w:val="16"/>
                <w:szCs w:val="16"/>
              </w:rPr>
              <w:t>úsek vlastníctva bytov a nebytových priestorov</w:t>
            </w:r>
          </w:p>
        </w:tc>
        <w:tc>
          <w:tcPr>
            <w:tcW w:w="2430" w:type="dxa"/>
            <w:shd w:val="clear" w:color="auto" w:fill="auto"/>
          </w:tcPr>
          <w:p w:rsidR="00B67413" w:rsidRPr="009766D2" w:rsidRDefault="00B67413" w:rsidP="00B67413">
            <w:pPr>
              <w:shd w:val="clear" w:color="auto" w:fill="FFFFFF" w:themeFill="background1"/>
              <w:spacing w:before="120" w:after="60"/>
              <w:jc w:val="left"/>
              <w:rPr>
                <w:sz w:val="16"/>
                <w:szCs w:val="16"/>
              </w:rPr>
            </w:pPr>
            <w:r>
              <w:rPr>
                <w:sz w:val="16"/>
                <w:szCs w:val="16"/>
              </w:rPr>
              <w:t>-</w:t>
            </w:r>
          </w:p>
        </w:tc>
        <w:tc>
          <w:tcPr>
            <w:tcW w:w="1221"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4 A</w:t>
            </w:r>
          </w:p>
        </w:tc>
        <w:tc>
          <w:tcPr>
            <w:tcW w:w="1545"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w:t>
            </w:r>
          </w:p>
        </w:tc>
      </w:tr>
      <w:tr w:rsidR="00B67413" w:rsidRPr="00D861B9" w:rsidTr="00552583">
        <w:trPr>
          <w:jc w:val="center"/>
        </w:trPr>
        <w:tc>
          <w:tcPr>
            <w:tcW w:w="2061" w:type="dxa"/>
            <w:shd w:val="clear" w:color="auto" w:fill="auto"/>
          </w:tcPr>
          <w:p w:rsidR="00B67413" w:rsidRDefault="00B67413" w:rsidP="00B67413">
            <w:pPr>
              <w:shd w:val="clear" w:color="auto" w:fill="FFFFFF" w:themeFill="background1"/>
              <w:spacing w:before="120" w:after="60"/>
              <w:jc w:val="left"/>
              <w:rPr>
                <w:sz w:val="16"/>
                <w:szCs w:val="16"/>
              </w:rPr>
            </w:pPr>
            <w:r>
              <w:rPr>
                <w:sz w:val="16"/>
                <w:szCs w:val="16"/>
              </w:rPr>
              <w:t>úsek cien</w:t>
            </w:r>
          </w:p>
        </w:tc>
        <w:tc>
          <w:tcPr>
            <w:tcW w:w="2430" w:type="dxa"/>
            <w:shd w:val="clear" w:color="auto" w:fill="auto"/>
          </w:tcPr>
          <w:p w:rsidR="00B67413" w:rsidRPr="009766D2" w:rsidRDefault="00B67413" w:rsidP="00B67413">
            <w:pPr>
              <w:shd w:val="clear" w:color="auto" w:fill="FFFFFF" w:themeFill="background1"/>
              <w:spacing w:before="120" w:after="60"/>
              <w:jc w:val="left"/>
              <w:rPr>
                <w:sz w:val="16"/>
                <w:szCs w:val="16"/>
              </w:rPr>
            </w:pPr>
            <w:r>
              <w:rPr>
                <w:sz w:val="16"/>
                <w:szCs w:val="16"/>
              </w:rPr>
              <w:t>úsek cien</w:t>
            </w:r>
          </w:p>
        </w:tc>
        <w:tc>
          <w:tcPr>
            <w:tcW w:w="1221"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4 A</w:t>
            </w:r>
          </w:p>
        </w:tc>
        <w:tc>
          <w:tcPr>
            <w:tcW w:w="1545"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5 A</w:t>
            </w:r>
          </w:p>
        </w:tc>
      </w:tr>
      <w:tr w:rsidR="00B67413" w:rsidRPr="00D861B9" w:rsidTr="00552583">
        <w:trPr>
          <w:jc w:val="center"/>
        </w:trPr>
        <w:tc>
          <w:tcPr>
            <w:tcW w:w="2061" w:type="dxa"/>
            <w:shd w:val="clear" w:color="auto" w:fill="auto"/>
          </w:tcPr>
          <w:p w:rsidR="00B67413" w:rsidRDefault="00B67413" w:rsidP="00B67413">
            <w:pPr>
              <w:shd w:val="clear" w:color="auto" w:fill="FFFFFF" w:themeFill="background1"/>
              <w:spacing w:before="120" w:after="60"/>
              <w:jc w:val="left"/>
              <w:rPr>
                <w:sz w:val="16"/>
                <w:szCs w:val="16"/>
              </w:rPr>
            </w:pPr>
            <w:r>
              <w:rPr>
                <w:sz w:val="16"/>
                <w:szCs w:val="16"/>
              </w:rPr>
              <w:t>úsek správy daní</w:t>
            </w:r>
          </w:p>
        </w:tc>
        <w:tc>
          <w:tcPr>
            <w:tcW w:w="2430" w:type="dxa"/>
            <w:shd w:val="clear" w:color="auto" w:fill="auto"/>
          </w:tcPr>
          <w:p w:rsidR="00B67413" w:rsidRPr="009766D2" w:rsidRDefault="00B67413" w:rsidP="00B67413">
            <w:pPr>
              <w:shd w:val="clear" w:color="auto" w:fill="FFFFFF" w:themeFill="background1"/>
              <w:spacing w:before="120" w:after="60"/>
              <w:jc w:val="left"/>
              <w:rPr>
                <w:sz w:val="16"/>
                <w:szCs w:val="16"/>
              </w:rPr>
            </w:pPr>
            <w:r>
              <w:rPr>
                <w:sz w:val="16"/>
                <w:szCs w:val="16"/>
              </w:rPr>
              <w:t>-</w:t>
            </w:r>
          </w:p>
        </w:tc>
        <w:tc>
          <w:tcPr>
            <w:tcW w:w="1221"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28 A</w:t>
            </w:r>
          </w:p>
        </w:tc>
        <w:tc>
          <w:tcPr>
            <w:tcW w:w="1545"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w:t>
            </w:r>
          </w:p>
        </w:tc>
      </w:tr>
      <w:tr w:rsidR="00B67413" w:rsidRPr="00D861B9" w:rsidTr="00552583">
        <w:trPr>
          <w:jc w:val="center"/>
        </w:trPr>
        <w:tc>
          <w:tcPr>
            <w:tcW w:w="2061" w:type="dxa"/>
            <w:shd w:val="clear" w:color="auto" w:fill="auto"/>
          </w:tcPr>
          <w:p w:rsidR="00B67413" w:rsidRDefault="00B67413" w:rsidP="00B67413">
            <w:pPr>
              <w:shd w:val="clear" w:color="auto" w:fill="FFFFFF" w:themeFill="background1"/>
              <w:spacing w:before="120" w:after="60"/>
              <w:jc w:val="left"/>
              <w:rPr>
                <w:sz w:val="16"/>
                <w:szCs w:val="16"/>
              </w:rPr>
            </w:pPr>
            <w:r>
              <w:rPr>
                <w:sz w:val="16"/>
                <w:szCs w:val="16"/>
              </w:rPr>
              <w:t>-</w:t>
            </w:r>
          </w:p>
        </w:tc>
        <w:tc>
          <w:tcPr>
            <w:tcW w:w="2430" w:type="dxa"/>
            <w:shd w:val="clear" w:color="auto" w:fill="auto"/>
          </w:tcPr>
          <w:p w:rsidR="00B67413" w:rsidRPr="009766D2" w:rsidRDefault="00B67413" w:rsidP="00B67413">
            <w:pPr>
              <w:shd w:val="clear" w:color="auto" w:fill="FFFFFF" w:themeFill="background1"/>
              <w:spacing w:before="120" w:after="60"/>
              <w:jc w:val="left"/>
              <w:rPr>
                <w:sz w:val="16"/>
                <w:szCs w:val="16"/>
              </w:rPr>
            </w:pPr>
            <w:r>
              <w:rPr>
                <w:sz w:val="16"/>
                <w:szCs w:val="16"/>
              </w:rPr>
              <w:t>úsek pomoci z fondov EÚ</w:t>
            </w:r>
          </w:p>
        </w:tc>
        <w:tc>
          <w:tcPr>
            <w:tcW w:w="1221"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w:t>
            </w:r>
          </w:p>
        </w:tc>
        <w:tc>
          <w:tcPr>
            <w:tcW w:w="1545" w:type="dxa"/>
            <w:shd w:val="clear" w:color="auto" w:fill="auto"/>
            <w:vAlign w:val="center"/>
          </w:tcPr>
          <w:p w:rsidR="00B67413" w:rsidRPr="009766D2" w:rsidRDefault="00B67413" w:rsidP="00B67413">
            <w:pPr>
              <w:shd w:val="clear" w:color="auto" w:fill="FFFFFF" w:themeFill="background1"/>
              <w:spacing w:before="120" w:after="60"/>
              <w:jc w:val="right"/>
              <w:rPr>
                <w:sz w:val="16"/>
                <w:szCs w:val="16"/>
              </w:rPr>
            </w:pPr>
            <w:r>
              <w:rPr>
                <w:sz w:val="16"/>
                <w:szCs w:val="16"/>
              </w:rPr>
              <w:t>1 A</w:t>
            </w:r>
          </w:p>
        </w:tc>
      </w:tr>
    </w:tbl>
    <w:p w:rsidR="00D378DE" w:rsidRPr="00D378DE" w:rsidRDefault="00D378DE" w:rsidP="00B67413">
      <w:pPr>
        <w:spacing w:before="120" w:after="0" w:line="240" w:lineRule="auto"/>
        <w:ind w:firstLine="709"/>
        <w:jc w:val="both"/>
        <w:rPr>
          <w:rFonts w:cs="Times New Roman"/>
          <w:sz w:val="22"/>
        </w:rPr>
      </w:pPr>
      <w:r w:rsidRPr="00D378DE">
        <w:rPr>
          <w:rFonts w:cs="Times New Roman"/>
          <w:sz w:val="22"/>
        </w:rPr>
        <w:t>Ministerstvo financií</w:t>
      </w:r>
      <w:r w:rsidR="00FE6D2B">
        <w:rPr>
          <w:rFonts w:cs="Times New Roman"/>
          <w:sz w:val="22"/>
        </w:rPr>
        <w:t xml:space="preserve"> </w:t>
      </w:r>
      <w:r w:rsidR="00FE6D2B" w:rsidRPr="00FE6D2B">
        <w:rPr>
          <w:rFonts w:cs="Times New Roman"/>
          <w:sz w:val="22"/>
        </w:rPr>
        <w:t>Slovenskej republiky</w:t>
      </w:r>
      <w:r w:rsidR="00FE6D2B">
        <w:rPr>
          <w:rFonts w:cs="Times New Roman"/>
          <w:sz w:val="22"/>
        </w:rPr>
        <w:t xml:space="preserve"> (ďalej len „ministerstvo financií“)</w:t>
      </w:r>
      <w:r w:rsidRPr="00D378DE">
        <w:rPr>
          <w:rFonts w:cs="Times New Roman"/>
          <w:sz w:val="22"/>
        </w:rPr>
        <w:t xml:space="preserve"> vychádzalo z</w:t>
      </w:r>
      <w:r w:rsidR="00FE6D2B">
        <w:rPr>
          <w:rFonts w:cs="Times New Roman"/>
          <w:sz w:val="22"/>
        </w:rPr>
        <w:t> </w:t>
      </w:r>
      <w:r w:rsidRPr="00D378DE">
        <w:rPr>
          <w:rFonts w:cs="Times New Roman"/>
          <w:sz w:val="22"/>
        </w:rPr>
        <w:t xml:space="preserve">výstupov rezortnej štatistiky cestou </w:t>
      </w:r>
      <w:proofErr w:type="spellStart"/>
      <w:r w:rsidRPr="00D378DE">
        <w:rPr>
          <w:rFonts w:cs="Times New Roman"/>
          <w:sz w:val="22"/>
        </w:rPr>
        <w:t>DataCentra</w:t>
      </w:r>
      <w:proofErr w:type="spellEnd"/>
      <w:r w:rsidRPr="00D378DE">
        <w:rPr>
          <w:rFonts w:cs="Times New Roman"/>
          <w:sz w:val="22"/>
        </w:rPr>
        <w:t xml:space="preserve"> a Štátnej pokladnice, z doterajších vlastných poznatkov a skúsenosti, z poznatkov Správy finančnej kontroly Bratislava, Zvolen a</w:t>
      </w:r>
      <w:r w:rsidR="00FE6D2B">
        <w:rPr>
          <w:rFonts w:cs="Times New Roman"/>
          <w:sz w:val="22"/>
        </w:rPr>
        <w:t> </w:t>
      </w:r>
      <w:r w:rsidRPr="00D378DE">
        <w:rPr>
          <w:rFonts w:cs="Times New Roman"/>
          <w:sz w:val="22"/>
        </w:rPr>
        <w:t>Košice</w:t>
      </w:r>
      <w:r w:rsidR="00FE6D2B">
        <w:rPr>
          <w:rFonts w:cs="Times New Roman"/>
          <w:sz w:val="22"/>
        </w:rPr>
        <w:t>,</w:t>
      </w:r>
      <w:r w:rsidRPr="00D378DE">
        <w:rPr>
          <w:rFonts w:cs="Times New Roman"/>
          <w:sz w:val="22"/>
        </w:rPr>
        <w:t xml:space="preserve"> z kontrol a</w:t>
      </w:r>
      <w:r w:rsidR="00FE6D2B">
        <w:rPr>
          <w:rFonts w:cs="Times New Roman"/>
          <w:sz w:val="22"/>
        </w:rPr>
        <w:t> </w:t>
      </w:r>
      <w:r w:rsidRPr="00D378DE">
        <w:rPr>
          <w:rFonts w:cs="Times New Roman"/>
          <w:sz w:val="22"/>
        </w:rPr>
        <w:t>vládnych auditov prostriedkov rozpočtu a prostriedkov EÚ v obciach a mestách, z poznatkov a</w:t>
      </w:r>
      <w:r w:rsidR="00FE6D2B">
        <w:rPr>
          <w:rFonts w:cs="Times New Roman"/>
          <w:sz w:val="22"/>
        </w:rPr>
        <w:t> </w:t>
      </w:r>
      <w:r w:rsidRPr="00D378DE">
        <w:rPr>
          <w:rFonts w:cs="Times New Roman"/>
          <w:sz w:val="22"/>
        </w:rPr>
        <w:t>skúsenosti Finančnej správy SR a z podkladov poskytnutých ZMOS a SK8.</w:t>
      </w:r>
    </w:p>
    <w:p w:rsidR="00D378DE" w:rsidRPr="00D378DE" w:rsidRDefault="00D378DE" w:rsidP="00D378DE">
      <w:pPr>
        <w:tabs>
          <w:tab w:val="left" w:pos="1276"/>
        </w:tabs>
        <w:spacing w:before="120" w:after="0" w:line="240" w:lineRule="auto"/>
        <w:ind w:firstLine="709"/>
        <w:jc w:val="both"/>
        <w:rPr>
          <w:rFonts w:eastAsia="Times New Roman" w:cs="Times New Roman"/>
          <w:sz w:val="22"/>
          <w:u w:val="single"/>
          <w:lang w:eastAsia="cs-CZ"/>
        </w:rPr>
      </w:pPr>
      <w:r w:rsidRPr="00D378DE">
        <w:rPr>
          <w:rFonts w:eastAsia="Times New Roman" w:cs="Times New Roman"/>
          <w:sz w:val="22"/>
          <w:u w:val="single"/>
          <w:lang w:eastAsia="cs-CZ"/>
        </w:rPr>
        <w:t>2.2.</w:t>
      </w:r>
      <w:r w:rsidRPr="00D378DE">
        <w:rPr>
          <w:rFonts w:eastAsia="Times New Roman" w:cs="Times New Roman"/>
          <w:sz w:val="22"/>
          <w:u w:val="single"/>
          <w:lang w:eastAsia="cs-CZ"/>
        </w:rPr>
        <w:tab/>
        <w:t>Zhodnotenie kvality výkonu samosprávnych pôsobností</w:t>
      </w:r>
    </w:p>
    <w:p w:rsidR="00D378DE" w:rsidRPr="00D378DE" w:rsidRDefault="00D378DE" w:rsidP="00D378DE">
      <w:pPr>
        <w:spacing w:before="120" w:after="0" w:line="240" w:lineRule="auto"/>
        <w:ind w:firstLine="709"/>
        <w:jc w:val="both"/>
        <w:rPr>
          <w:rFonts w:cs="Times New Roman"/>
          <w:sz w:val="22"/>
        </w:rPr>
      </w:pPr>
      <w:r w:rsidRPr="00D378DE">
        <w:rPr>
          <w:rFonts w:cs="Times New Roman"/>
          <w:sz w:val="22"/>
        </w:rPr>
        <w:t xml:space="preserve">V rezorte financií je 17 úsekov. Nekvalitné plnenie bolo zistené na 4 úsekoch: </w:t>
      </w:r>
    </w:p>
    <w:p w:rsidR="00D378DE" w:rsidRPr="00D378DE" w:rsidRDefault="00D378DE" w:rsidP="00D378DE">
      <w:pPr>
        <w:numPr>
          <w:ilvl w:val="0"/>
          <w:numId w:val="1"/>
        </w:numPr>
        <w:spacing w:before="60" w:after="0" w:line="240" w:lineRule="auto"/>
        <w:ind w:hanging="357"/>
        <w:contextualSpacing/>
        <w:jc w:val="both"/>
        <w:rPr>
          <w:rFonts w:cs="Times New Roman"/>
          <w:sz w:val="22"/>
        </w:rPr>
      </w:pPr>
      <w:r w:rsidRPr="00D378DE">
        <w:rPr>
          <w:rFonts w:cs="Times New Roman"/>
          <w:sz w:val="22"/>
        </w:rPr>
        <w:t xml:space="preserve">na úseku rozpočtu (bolo zistené nedodržiavanie rozpočtových pravidiel), </w:t>
      </w:r>
    </w:p>
    <w:p w:rsidR="00D378DE" w:rsidRPr="00D378DE" w:rsidRDefault="00D378DE" w:rsidP="00D378DE">
      <w:pPr>
        <w:numPr>
          <w:ilvl w:val="0"/>
          <w:numId w:val="1"/>
        </w:numPr>
        <w:spacing w:before="60" w:after="0" w:line="240" w:lineRule="auto"/>
        <w:ind w:hanging="357"/>
        <w:contextualSpacing/>
        <w:jc w:val="both"/>
        <w:rPr>
          <w:rFonts w:cs="Times New Roman"/>
          <w:sz w:val="22"/>
        </w:rPr>
      </w:pPr>
      <w:r w:rsidRPr="00D378DE">
        <w:rPr>
          <w:rFonts w:cs="Times New Roman"/>
          <w:sz w:val="22"/>
        </w:rPr>
        <w:t>na úseku finančnej kontroly (boli zistené nedostatky pri hospodárení s verejnými prostriedkami),</w:t>
      </w:r>
    </w:p>
    <w:p w:rsidR="00D378DE" w:rsidRPr="00D378DE" w:rsidRDefault="00D378DE" w:rsidP="00D378DE">
      <w:pPr>
        <w:numPr>
          <w:ilvl w:val="0"/>
          <w:numId w:val="1"/>
        </w:numPr>
        <w:spacing w:before="60" w:after="0" w:line="240" w:lineRule="auto"/>
        <w:ind w:hanging="357"/>
        <w:contextualSpacing/>
        <w:jc w:val="both"/>
        <w:rPr>
          <w:rFonts w:cs="Times New Roman"/>
          <w:sz w:val="22"/>
        </w:rPr>
      </w:pPr>
      <w:r w:rsidRPr="00D378DE">
        <w:rPr>
          <w:rFonts w:cs="Times New Roman"/>
          <w:sz w:val="22"/>
        </w:rPr>
        <w:lastRenderedPageBreak/>
        <w:t xml:space="preserve">na úseku miestnych daní a poplatkov (chyby v rozhodovaní obcí, ako správcov dane), </w:t>
      </w:r>
    </w:p>
    <w:p w:rsidR="00D378DE" w:rsidRPr="00D378DE" w:rsidRDefault="00D378DE" w:rsidP="00D378DE">
      <w:pPr>
        <w:numPr>
          <w:ilvl w:val="0"/>
          <w:numId w:val="1"/>
        </w:numPr>
        <w:spacing w:before="60" w:after="0" w:line="240" w:lineRule="auto"/>
        <w:ind w:hanging="357"/>
        <w:contextualSpacing/>
        <w:jc w:val="both"/>
        <w:rPr>
          <w:rFonts w:cs="Times New Roman"/>
          <w:sz w:val="22"/>
        </w:rPr>
      </w:pPr>
      <w:r w:rsidRPr="00D378DE">
        <w:rPr>
          <w:rFonts w:cs="Times New Roman"/>
          <w:sz w:val="22"/>
        </w:rPr>
        <w:t>na úseku cien (bola zistená nespokojnosť cestujúcej verejnosti).</w:t>
      </w:r>
    </w:p>
    <w:p w:rsidR="00D378DE" w:rsidRPr="00D378DE" w:rsidRDefault="00D378DE" w:rsidP="00D378DE">
      <w:pPr>
        <w:keepNext/>
        <w:tabs>
          <w:tab w:val="left" w:pos="1276"/>
        </w:tabs>
        <w:spacing w:before="120" w:after="120" w:line="240" w:lineRule="auto"/>
        <w:ind w:firstLine="709"/>
        <w:jc w:val="both"/>
        <w:rPr>
          <w:rFonts w:cs="Times New Roman"/>
          <w:sz w:val="22"/>
          <w:u w:val="single"/>
        </w:rPr>
      </w:pPr>
      <w:r w:rsidRPr="00D378DE">
        <w:rPr>
          <w:rFonts w:cs="Times New Roman"/>
          <w:sz w:val="22"/>
          <w:u w:val="single"/>
        </w:rPr>
        <w:t>2.3.</w:t>
      </w:r>
      <w:r w:rsidRPr="00D378DE">
        <w:rPr>
          <w:rFonts w:cs="Times New Roman"/>
          <w:sz w:val="22"/>
          <w:u w:val="single"/>
        </w:rPr>
        <w:tab/>
        <w:t>Financovanie výkonu samosprávnych pôsobností</w:t>
      </w:r>
    </w:p>
    <w:p w:rsidR="00D378DE" w:rsidRPr="00D378DE" w:rsidRDefault="00A24ACD" w:rsidP="00D378DE">
      <w:pPr>
        <w:spacing w:before="120" w:after="120" w:line="240" w:lineRule="auto"/>
        <w:ind w:firstLine="709"/>
        <w:jc w:val="both"/>
        <w:rPr>
          <w:rFonts w:eastAsia="Times New Roman" w:cs="Times New Roman"/>
          <w:sz w:val="22"/>
          <w:lang w:eastAsia="cs-CZ"/>
        </w:rPr>
      </w:pPr>
      <w:r>
        <w:rPr>
          <w:rFonts w:eastAsia="Times New Roman" w:cs="Times New Roman"/>
          <w:sz w:val="22"/>
          <w:lang w:eastAsia="cs-CZ"/>
        </w:rPr>
        <w:t>Ministerstvo financ</w:t>
      </w:r>
      <w:r w:rsidR="00F978F1">
        <w:rPr>
          <w:rFonts w:eastAsia="Times New Roman" w:cs="Times New Roman"/>
          <w:sz w:val="22"/>
          <w:lang w:eastAsia="cs-CZ"/>
        </w:rPr>
        <w:t>i</w:t>
      </w:r>
      <w:r>
        <w:rPr>
          <w:rFonts w:eastAsia="Times New Roman" w:cs="Times New Roman"/>
          <w:sz w:val="22"/>
          <w:lang w:eastAsia="cs-CZ"/>
        </w:rPr>
        <w:t>í</w:t>
      </w:r>
      <w:r w:rsidR="00D378DE" w:rsidRPr="00D378DE">
        <w:rPr>
          <w:rFonts w:eastAsia="Times New Roman" w:cs="Times New Roman"/>
          <w:sz w:val="22"/>
          <w:lang w:eastAsia="cs-CZ"/>
        </w:rPr>
        <w:t xml:space="preserve"> skonštatovalo, že v súčasnosti neexistuje prístup k údajom patriacich k referenčným rokom z dôvodu toho, že výkazníctvo neobsahuje v predpísaných výkazoch potrebu špecifikovania výdavkov spojených s podrobným rozpisom na výkon jednotlivých kompetencií.</w:t>
      </w:r>
    </w:p>
    <w:p w:rsidR="00D378DE" w:rsidRPr="00D378DE" w:rsidRDefault="00D378DE" w:rsidP="00D378DE">
      <w:pPr>
        <w:keepNext/>
        <w:tabs>
          <w:tab w:val="left" w:pos="1276"/>
        </w:tabs>
        <w:spacing w:before="120" w:after="120" w:line="240" w:lineRule="auto"/>
        <w:ind w:firstLine="709"/>
        <w:jc w:val="both"/>
        <w:rPr>
          <w:rFonts w:cs="Times New Roman"/>
          <w:sz w:val="22"/>
          <w:u w:val="single"/>
        </w:rPr>
      </w:pPr>
      <w:r w:rsidRPr="00D378DE">
        <w:rPr>
          <w:rFonts w:cs="Times New Roman"/>
          <w:sz w:val="22"/>
          <w:u w:val="single"/>
        </w:rPr>
        <w:t>2.4.</w:t>
      </w:r>
      <w:r w:rsidRPr="00D378DE">
        <w:rPr>
          <w:rFonts w:cs="Times New Roman"/>
          <w:sz w:val="22"/>
          <w:u w:val="single"/>
        </w:rPr>
        <w:tab/>
        <w:t>Návrhy opatrení</w:t>
      </w:r>
    </w:p>
    <w:p w:rsidR="00D378DE" w:rsidRPr="00D378DE" w:rsidRDefault="00D378DE" w:rsidP="00D378DE">
      <w:pPr>
        <w:tabs>
          <w:tab w:val="left" w:pos="1276"/>
        </w:tabs>
        <w:spacing w:before="120" w:after="120" w:line="240" w:lineRule="auto"/>
        <w:ind w:firstLine="709"/>
        <w:jc w:val="both"/>
        <w:rPr>
          <w:rFonts w:cs="Times New Roman"/>
          <w:sz w:val="22"/>
        </w:rPr>
      </w:pPr>
      <w:r w:rsidRPr="00D378DE">
        <w:rPr>
          <w:rFonts w:cs="Times New Roman"/>
          <w:sz w:val="22"/>
        </w:rPr>
        <w:t>Ministerstvo financií navrhuje viaceré opatrenia pre etapy očakávaného vývoja v oblasti financovania územnej samosprávy, pre miestne dane, pre informačné systémy verejnej správy a</w:t>
      </w:r>
      <w:r w:rsidR="00FE6D2B">
        <w:rPr>
          <w:rFonts w:cs="Times New Roman"/>
          <w:sz w:val="22"/>
        </w:rPr>
        <w:t> </w:t>
      </w:r>
      <w:r w:rsidRPr="00D378DE">
        <w:rPr>
          <w:rFonts w:cs="Times New Roman"/>
          <w:sz w:val="22"/>
        </w:rPr>
        <w:t>informatizáciu, pre oblasť kontroly a pre oblasť cien.</w:t>
      </w:r>
    </w:p>
    <w:p w:rsidR="00D378DE" w:rsidRPr="00D378DE" w:rsidRDefault="00D378DE" w:rsidP="00D378DE">
      <w:pPr>
        <w:keepNext/>
        <w:tabs>
          <w:tab w:val="left" w:pos="1276"/>
        </w:tabs>
        <w:spacing w:before="120" w:after="120" w:line="240" w:lineRule="auto"/>
        <w:ind w:firstLine="709"/>
        <w:jc w:val="both"/>
        <w:rPr>
          <w:rFonts w:cs="Times New Roman"/>
          <w:sz w:val="22"/>
          <w:u w:val="single"/>
        </w:rPr>
      </w:pPr>
      <w:r w:rsidRPr="00D378DE">
        <w:rPr>
          <w:rFonts w:cs="Times New Roman"/>
          <w:sz w:val="22"/>
          <w:u w:val="single"/>
        </w:rPr>
        <w:t>Kritické stanovisko</w:t>
      </w:r>
    </w:p>
    <w:p w:rsidR="00D378DE" w:rsidRPr="00D378DE" w:rsidRDefault="00D378DE" w:rsidP="00D378DE">
      <w:pPr>
        <w:spacing w:before="120" w:after="0" w:line="240" w:lineRule="auto"/>
        <w:ind w:firstLine="709"/>
        <w:jc w:val="both"/>
        <w:rPr>
          <w:rFonts w:cs="Times New Roman"/>
          <w:sz w:val="22"/>
        </w:rPr>
      </w:pPr>
      <w:r w:rsidRPr="00D378DE">
        <w:rPr>
          <w:rFonts w:cs="Times New Roman"/>
          <w:sz w:val="22"/>
        </w:rPr>
        <w:t>Ministerstvo financií pri vykonaní auditu vychádzalo z jednotnej metodiky a zozbieralo údaje potrebné na zhodnotenie kvality. Poskytnuté podklady okomentovalo. Zhodnotilo v stručnej podobe fiškálnu decentralizáciu. Problematiku financovania kompetencií vnímajú ako dlhodobejší veľmi náročný proces približovania názorových pozícií štátu a samosprávy z pohľadu organizačných, odborných i koordinačných potrieb. V zásade jediným nedostatkom správy ministerstva financií je, že neuviedli pri  návrhoch opatrení termíny ich plnenia.</w:t>
      </w:r>
    </w:p>
    <w:p w:rsidR="00D378DE" w:rsidRPr="00D378DE" w:rsidRDefault="00D378DE" w:rsidP="00F56357">
      <w:pPr>
        <w:keepNext/>
        <w:shd w:val="clear" w:color="auto" w:fill="F2F2F2" w:themeFill="background1" w:themeFillShade="F2"/>
        <w:spacing w:before="240" w:after="240" w:line="240" w:lineRule="auto"/>
        <w:jc w:val="both"/>
        <w:rPr>
          <w:rFonts w:cs="Times New Roman"/>
          <w:b/>
          <w:szCs w:val="24"/>
        </w:rPr>
      </w:pPr>
      <w:r w:rsidRPr="00D378DE">
        <w:rPr>
          <w:rFonts w:cs="Times New Roman"/>
          <w:b/>
          <w:szCs w:val="24"/>
        </w:rPr>
        <w:t>Ministerstvo hospodárstva Slovenskej republiky</w:t>
      </w:r>
    </w:p>
    <w:p w:rsidR="000F47FA" w:rsidRDefault="00753168" w:rsidP="000F47FA">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u w:val="single"/>
          <w:lang w:eastAsia="cs-CZ"/>
        </w:rPr>
      </w:pPr>
      <w:r>
        <w:rPr>
          <w:rFonts w:eastAsia="Times New Roman" w:cs="Times New Roman"/>
          <w:sz w:val="22"/>
          <w:u w:val="single"/>
          <w:lang w:eastAsia="cs-CZ"/>
        </w:rPr>
        <w:t>2</w:t>
      </w:r>
      <w:r w:rsidR="000F47FA" w:rsidRPr="00D861B9">
        <w:rPr>
          <w:rFonts w:eastAsia="Times New Roman" w:cs="Times New Roman"/>
          <w:sz w:val="22"/>
          <w:u w:val="single"/>
          <w:lang w:eastAsia="cs-CZ"/>
        </w:rPr>
        <w:t>.1.</w:t>
      </w:r>
      <w:r w:rsidR="000F47FA" w:rsidRPr="00D861B9">
        <w:rPr>
          <w:rFonts w:eastAsia="Times New Roman" w:cs="Times New Roman"/>
          <w:sz w:val="22"/>
          <w:u w:val="single"/>
          <w:lang w:eastAsia="cs-CZ"/>
        </w:rPr>
        <w:tab/>
        <w:t xml:space="preserve">Katalóg </w:t>
      </w:r>
      <w:r w:rsidR="000F47FA">
        <w:rPr>
          <w:rFonts w:eastAsia="Times New Roman" w:cs="Times New Roman"/>
          <w:sz w:val="22"/>
          <w:u w:val="single"/>
          <w:lang w:eastAsia="cs-CZ"/>
        </w:rPr>
        <w:t>samosprávnych</w:t>
      </w:r>
      <w:r w:rsidR="000F47FA" w:rsidRPr="00D861B9">
        <w:rPr>
          <w:rFonts w:eastAsia="Times New Roman" w:cs="Times New Roman"/>
          <w:sz w:val="22"/>
          <w:u w:val="single"/>
          <w:lang w:eastAsia="cs-CZ"/>
        </w:rPr>
        <w:t xml:space="preserve"> pôsobností</w:t>
      </w:r>
    </w:p>
    <w:p w:rsidR="000F47FA" w:rsidRPr="00D861B9" w:rsidRDefault="000F47FA" w:rsidP="000F47FA">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D861B9">
        <w:rPr>
          <w:rFonts w:eastAsia="Times New Roman" w:cs="Times New Roman"/>
          <w:sz w:val="22"/>
          <w:lang w:eastAsia="cs-CZ"/>
        </w:rPr>
        <w:t>Zoznam úsekov</w:t>
      </w:r>
      <w:r>
        <w:rPr>
          <w:rFonts w:eastAsia="Times New Roman" w:cs="Times New Roman"/>
          <w:sz w:val="22"/>
          <w:lang w:eastAsia="cs-CZ"/>
        </w:rPr>
        <w:t>,</w:t>
      </w:r>
      <w:r w:rsidRPr="00D861B9">
        <w:rPr>
          <w:rFonts w:eastAsia="Times New Roman" w:cs="Times New Roman"/>
          <w:sz w:val="22"/>
          <w:lang w:eastAsia="cs-CZ"/>
        </w:rPr>
        <w:t xml:space="preserve"> </w:t>
      </w:r>
      <w:r w:rsidRPr="00B67413">
        <w:rPr>
          <w:rFonts w:eastAsia="Times New Roman" w:cs="Times New Roman"/>
          <w:sz w:val="22"/>
          <w:lang w:eastAsia="cs-CZ"/>
        </w:rPr>
        <w:t>na ktorých obce a samosprávne kraje vykonávajú samosprávne pôsobnosti</w:t>
      </w:r>
      <w:r>
        <w:rPr>
          <w:rFonts w:eastAsia="Times New Roman" w:cs="Times New Roman"/>
          <w:sz w:val="22"/>
          <w:lang w:eastAsia="cs-CZ"/>
        </w:rPr>
        <w:t>,</w:t>
      </w:r>
      <w:r w:rsidRPr="00D861B9">
        <w:rPr>
          <w:rFonts w:eastAsia="Times New Roman" w:cs="Times New Roman"/>
          <w:sz w:val="22"/>
          <w:lang w:eastAsia="cs-CZ"/>
        </w:rPr>
        <w:t xml:space="preserve"> </w:t>
      </w:r>
      <w:r>
        <w:rPr>
          <w:rFonts w:eastAsia="Times New Roman" w:cs="Times New Roman"/>
          <w:sz w:val="22"/>
          <w:lang w:eastAsia="cs-CZ"/>
        </w:rPr>
        <w:t>a údaje o počte úloh:</w:t>
      </w:r>
    </w:p>
    <w:tbl>
      <w:tblPr>
        <w:tblStyle w:val="Mriekatabuky"/>
        <w:tblW w:w="0" w:type="auto"/>
        <w:jc w:val="center"/>
        <w:tblLook w:val="04A0" w:firstRow="1" w:lastRow="0" w:firstColumn="1" w:lastColumn="0" w:noHBand="0" w:noVBand="1"/>
      </w:tblPr>
      <w:tblGrid>
        <w:gridCol w:w="2061"/>
        <w:gridCol w:w="2430"/>
        <w:gridCol w:w="1221"/>
        <w:gridCol w:w="1545"/>
      </w:tblGrid>
      <w:tr w:rsidR="000F47FA" w:rsidRPr="00D861B9" w:rsidTr="000F47FA">
        <w:trPr>
          <w:jc w:val="center"/>
        </w:trPr>
        <w:tc>
          <w:tcPr>
            <w:tcW w:w="2061" w:type="dxa"/>
            <w:shd w:val="clear" w:color="auto" w:fill="F2F2F2" w:themeFill="background1" w:themeFillShade="F2"/>
          </w:tcPr>
          <w:p w:rsidR="000F47FA" w:rsidRPr="009766D2" w:rsidRDefault="000F47FA" w:rsidP="000F47FA">
            <w:pPr>
              <w:shd w:val="clear" w:color="auto" w:fill="F2F2F2" w:themeFill="background1" w:themeFillShade="F2"/>
              <w:spacing w:before="120" w:after="60"/>
              <w:jc w:val="left"/>
              <w:rPr>
                <w:b/>
                <w:sz w:val="16"/>
                <w:szCs w:val="16"/>
              </w:rPr>
            </w:pPr>
            <w:r w:rsidRPr="009766D2">
              <w:rPr>
                <w:b/>
                <w:sz w:val="16"/>
                <w:szCs w:val="16"/>
              </w:rPr>
              <w:t>obce</w:t>
            </w:r>
          </w:p>
        </w:tc>
        <w:tc>
          <w:tcPr>
            <w:tcW w:w="2430" w:type="dxa"/>
            <w:shd w:val="clear" w:color="auto" w:fill="F2F2F2" w:themeFill="background1" w:themeFillShade="F2"/>
          </w:tcPr>
          <w:p w:rsidR="000F47FA" w:rsidRPr="009766D2" w:rsidRDefault="000F47FA" w:rsidP="000F47FA">
            <w:pPr>
              <w:shd w:val="clear" w:color="auto" w:fill="F2F2F2" w:themeFill="background1" w:themeFillShade="F2"/>
              <w:spacing w:before="120" w:after="60"/>
              <w:rPr>
                <w:b/>
                <w:sz w:val="16"/>
                <w:szCs w:val="16"/>
              </w:rPr>
            </w:pPr>
            <w:r w:rsidRPr="009766D2">
              <w:rPr>
                <w:b/>
                <w:sz w:val="16"/>
                <w:szCs w:val="16"/>
              </w:rPr>
              <w:t>samosprávne kraje</w:t>
            </w:r>
          </w:p>
        </w:tc>
        <w:tc>
          <w:tcPr>
            <w:tcW w:w="1221" w:type="dxa"/>
            <w:shd w:val="clear" w:color="auto" w:fill="F2F2F2" w:themeFill="background1" w:themeFillShade="F2"/>
          </w:tcPr>
          <w:p w:rsidR="000F47FA" w:rsidRPr="009766D2" w:rsidRDefault="000F47FA" w:rsidP="000F47FA">
            <w:pPr>
              <w:shd w:val="clear" w:color="auto" w:fill="F2F2F2" w:themeFill="background1" w:themeFillShade="F2"/>
              <w:spacing w:before="120" w:after="60"/>
              <w:rPr>
                <w:b/>
                <w:sz w:val="16"/>
                <w:szCs w:val="16"/>
              </w:rPr>
            </w:pPr>
            <w:r w:rsidRPr="009766D2">
              <w:rPr>
                <w:b/>
                <w:sz w:val="16"/>
                <w:szCs w:val="16"/>
              </w:rPr>
              <w:t>obce</w:t>
            </w:r>
          </w:p>
        </w:tc>
        <w:tc>
          <w:tcPr>
            <w:tcW w:w="1545" w:type="dxa"/>
            <w:shd w:val="clear" w:color="auto" w:fill="F2F2F2" w:themeFill="background1" w:themeFillShade="F2"/>
          </w:tcPr>
          <w:p w:rsidR="000F47FA" w:rsidRPr="009766D2" w:rsidRDefault="000F47FA" w:rsidP="000F47FA">
            <w:pPr>
              <w:shd w:val="clear" w:color="auto" w:fill="F2F2F2" w:themeFill="background1" w:themeFillShade="F2"/>
              <w:spacing w:before="120" w:after="60"/>
              <w:rPr>
                <w:b/>
                <w:sz w:val="16"/>
                <w:szCs w:val="16"/>
              </w:rPr>
            </w:pPr>
            <w:r w:rsidRPr="009766D2">
              <w:rPr>
                <w:b/>
                <w:sz w:val="16"/>
                <w:szCs w:val="16"/>
              </w:rPr>
              <w:t>samosprávne kraje</w:t>
            </w:r>
          </w:p>
        </w:tc>
      </w:tr>
      <w:tr w:rsidR="000F47FA" w:rsidRPr="00D861B9" w:rsidTr="000F47FA">
        <w:trPr>
          <w:jc w:val="center"/>
        </w:trPr>
        <w:tc>
          <w:tcPr>
            <w:tcW w:w="2061" w:type="dxa"/>
            <w:shd w:val="clear" w:color="auto" w:fill="F2F2F2" w:themeFill="background1" w:themeFillShade="F2"/>
          </w:tcPr>
          <w:p w:rsidR="000F47FA" w:rsidRPr="009766D2" w:rsidRDefault="000F47FA" w:rsidP="000F47FA">
            <w:pPr>
              <w:spacing w:before="120" w:after="60"/>
              <w:jc w:val="left"/>
              <w:rPr>
                <w:sz w:val="16"/>
                <w:szCs w:val="16"/>
              </w:rPr>
            </w:pPr>
            <w:r>
              <w:rPr>
                <w:sz w:val="16"/>
                <w:szCs w:val="16"/>
              </w:rPr>
              <w:t>energetika</w:t>
            </w:r>
          </w:p>
        </w:tc>
        <w:tc>
          <w:tcPr>
            <w:tcW w:w="2430" w:type="dxa"/>
            <w:shd w:val="clear" w:color="auto" w:fill="F2F2F2" w:themeFill="background1" w:themeFillShade="F2"/>
          </w:tcPr>
          <w:p w:rsidR="000F47FA" w:rsidRPr="009766D2" w:rsidRDefault="000F47FA" w:rsidP="000F47FA">
            <w:pPr>
              <w:spacing w:before="120" w:after="60"/>
              <w:jc w:val="left"/>
              <w:rPr>
                <w:sz w:val="16"/>
                <w:szCs w:val="16"/>
              </w:rPr>
            </w:pPr>
            <w:r>
              <w:rPr>
                <w:sz w:val="16"/>
                <w:szCs w:val="16"/>
              </w:rPr>
              <w:t>-</w:t>
            </w:r>
          </w:p>
        </w:tc>
        <w:tc>
          <w:tcPr>
            <w:tcW w:w="1221"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5 A/2 V</w:t>
            </w:r>
          </w:p>
        </w:tc>
        <w:tc>
          <w:tcPr>
            <w:tcW w:w="1545"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w:t>
            </w:r>
          </w:p>
        </w:tc>
      </w:tr>
      <w:tr w:rsidR="000F47FA" w:rsidRPr="00D861B9" w:rsidTr="000F47FA">
        <w:trPr>
          <w:jc w:val="center"/>
        </w:trPr>
        <w:tc>
          <w:tcPr>
            <w:tcW w:w="2061" w:type="dxa"/>
            <w:shd w:val="clear" w:color="auto" w:fill="F2F2F2" w:themeFill="background1" w:themeFillShade="F2"/>
          </w:tcPr>
          <w:p w:rsidR="000F47FA" w:rsidRPr="009766D2" w:rsidRDefault="000F47FA" w:rsidP="000F47FA">
            <w:pPr>
              <w:spacing w:before="120" w:after="60"/>
              <w:jc w:val="left"/>
              <w:rPr>
                <w:sz w:val="16"/>
                <w:szCs w:val="16"/>
              </w:rPr>
            </w:pPr>
            <w:r>
              <w:rPr>
                <w:sz w:val="16"/>
                <w:szCs w:val="16"/>
              </w:rPr>
              <w:t>ochrana spotrebiteľa</w:t>
            </w:r>
          </w:p>
        </w:tc>
        <w:tc>
          <w:tcPr>
            <w:tcW w:w="2430" w:type="dxa"/>
            <w:shd w:val="clear" w:color="auto" w:fill="F2F2F2" w:themeFill="background1" w:themeFillShade="F2"/>
          </w:tcPr>
          <w:p w:rsidR="000F47FA" w:rsidRPr="009766D2" w:rsidRDefault="000F47FA" w:rsidP="000F47FA">
            <w:pPr>
              <w:spacing w:before="120" w:after="60"/>
              <w:jc w:val="left"/>
              <w:rPr>
                <w:sz w:val="16"/>
                <w:szCs w:val="16"/>
              </w:rPr>
            </w:pPr>
            <w:r>
              <w:rPr>
                <w:sz w:val="16"/>
                <w:szCs w:val="16"/>
              </w:rPr>
              <w:t>-</w:t>
            </w:r>
          </w:p>
        </w:tc>
        <w:tc>
          <w:tcPr>
            <w:tcW w:w="1221"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1 A/8 V</w:t>
            </w:r>
          </w:p>
        </w:tc>
        <w:tc>
          <w:tcPr>
            <w:tcW w:w="1545"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w:t>
            </w:r>
          </w:p>
        </w:tc>
      </w:tr>
      <w:tr w:rsidR="000F47FA" w:rsidRPr="00D861B9" w:rsidTr="000F47FA">
        <w:trPr>
          <w:jc w:val="center"/>
        </w:trPr>
        <w:tc>
          <w:tcPr>
            <w:tcW w:w="2061" w:type="dxa"/>
            <w:shd w:val="clear" w:color="auto" w:fill="F2F2F2" w:themeFill="background1" w:themeFillShade="F2"/>
          </w:tcPr>
          <w:p w:rsidR="000F47FA" w:rsidRPr="009766D2" w:rsidRDefault="000F47FA" w:rsidP="000F47FA">
            <w:pPr>
              <w:spacing w:before="120" w:after="60"/>
              <w:jc w:val="left"/>
              <w:rPr>
                <w:sz w:val="16"/>
                <w:szCs w:val="16"/>
              </w:rPr>
            </w:pPr>
            <w:proofErr w:type="spellStart"/>
            <w:r>
              <w:rPr>
                <w:sz w:val="16"/>
                <w:szCs w:val="16"/>
              </w:rPr>
              <w:t>ohňostrojné</w:t>
            </w:r>
            <w:proofErr w:type="spellEnd"/>
            <w:r>
              <w:rPr>
                <w:sz w:val="16"/>
                <w:szCs w:val="16"/>
              </w:rPr>
              <w:t xml:space="preserve"> práce</w:t>
            </w:r>
          </w:p>
        </w:tc>
        <w:tc>
          <w:tcPr>
            <w:tcW w:w="2430" w:type="dxa"/>
            <w:shd w:val="clear" w:color="auto" w:fill="F2F2F2" w:themeFill="background1" w:themeFillShade="F2"/>
          </w:tcPr>
          <w:p w:rsidR="000F47FA" w:rsidRPr="009766D2" w:rsidRDefault="000F47FA" w:rsidP="000F47FA">
            <w:pPr>
              <w:spacing w:before="120" w:after="60"/>
              <w:jc w:val="left"/>
              <w:rPr>
                <w:sz w:val="16"/>
                <w:szCs w:val="16"/>
              </w:rPr>
            </w:pPr>
            <w:r>
              <w:rPr>
                <w:sz w:val="16"/>
                <w:szCs w:val="16"/>
              </w:rPr>
              <w:t>-</w:t>
            </w:r>
          </w:p>
        </w:tc>
        <w:tc>
          <w:tcPr>
            <w:tcW w:w="1221"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1 V</w:t>
            </w:r>
          </w:p>
        </w:tc>
        <w:tc>
          <w:tcPr>
            <w:tcW w:w="1545"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w:t>
            </w:r>
          </w:p>
        </w:tc>
      </w:tr>
    </w:tbl>
    <w:p w:rsidR="00D378DE" w:rsidRPr="00D378DE" w:rsidRDefault="00D378DE" w:rsidP="00F56357">
      <w:pPr>
        <w:shd w:val="clear" w:color="auto" w:fill="F2F2F2" w:themeFill="background1" w:themeFillShade="F2"/>
        <w:spacing w:before="120" w:after="0" w:line="240" w:lineRule="auto"/>
        <w:ind w:firstLine="709"/>
        <w:jc w:val="both"/>
        <w:rPr>
          <w:rFonts w:cs="Times New Roman"/>
          <w:sz w:val="22"/>
        </w:rPr>
      </w:pPr>
      <w:r w:rsidRPr="00D378DE">
        <w:rPr>
          <w:rFonts w:cs="Times New Roman"/>
          <w:sz w:val="22"/>
        </w:rPr>
        <w:t xml:space="preserve">Na vypracovanie auditu použilo </w:t>
      </w:r>
      <w:r w:rsidR="00FE6D2B">
        <w:rPr>
          <w:rFonts w:cs="Times New Roman"/>
          <w:sz w:val="22"/>
        </w:rPr>
        <w:t>M</w:t>
      </w:r>
      <w:r w:rsidRPr="00D378DE">
        <w:rPr>
          <w:rFonts w:cs="Times New Roman"/>
          <w:sz w:val="22"/>
        </w:rPr>
        <w:t xml:space="preserve">inisterstvo hospodárstva </w:t>
      </w:r>
      <w:r w:rsidR="00FE6D2B" w:rsidRPr="00FE6D2B">
        <w:rPr>
          <w:rFonts w:cs="Times New Roman"/>
          <w:sz w:val="22"/>
        </w:rPr>
        <w:t xml:space="preserve">Slovenskej republiky </w:t>
      </w:r>
      <w:r w:rsidR="00FE6D2B">
        <w:rPr>
          <w:rFonts w:cs="Times New Roman"/>
          <w:sz w:val="22"/>
        </w:rPr>
        <w:t xml:space="preserve">(ďalej len „ministerstvo hospodárstva“) </w:t>
      </w:r>
      <w:r w:rsidRPr="00D378DE">
        <w:rPr>
          <w:rFonts w:cs="Times New Roman"/>
          <w:sz w:val="22"/>
        </w:rPr>
        <w:t>vlastné údaje a dokumentáciu, analýzu všeobecne záväzných právnych predpisov, komunikáciu s obcami a internet.</w:t>
      </w:r>
    </w:p>
    <w:p w:rsidR="00D378DE" w:rsidRPr="00D378DE" w:rsidRDefault="00D378DE" w:rsidP="00F56357">
      <w:pPr>
        <w:keepNext/>
        <w:shd w:val="clear" w:color="auto" w:fill="F2F2F2" w:themeFill="background1" w:themeFillShade="F2"/>
        <w:tabs>
          <w:tab w:val="left" w:pos="1276"/>
        </w:tabs>
        <w:spacing w:before="60" w:after="0" w:line="240" w:lineRule="auto"/>
        <w:ind w:firstLine="709"/>
        <w:jc w:val="both"/>
        <w:rPr>
          <w:rFonts w:cs="Times New Roman"/>
          <w:sz w:val="22"/>
        </w:rPr>
      </w:pPr>
      <w:r w:rsidRPr="00D378DE">
        <w:rPr>
          <w:rFonts w:eastAsia="Times New Roman" w:cs="Times New Roman"/>
          <w:sz w:val="22"/>
          <w:u w:val="single"/>
          <w:lang w:eastAsia="cs-CZ"/>
        </w:rPr>
        <w:t>2.2.</w:t>
      </w:r>
      <w:r w:rsidRPr="00D378DE">
        <w:rPr>
          <w:rFonts w:eastAsia="Times New Roman" w:cs="Times New Roman"/>
          <w:sz w:val="22"/>
          <w:u w:val="single"/>
          <w:lang w:eastAsia="cs-CZ"/>
        </w:rPr>
        <w:tab/>
        <w:t>Zhodnotenie kvality výkonu samosprávnych pôsobností</w:t>
      </w:r>
      <w:r w:rsidRPr="00D378DE">
        <w:rPr>
          <w:rFonts w:cs="Times New Roman"/>
          <w:sz w:val="22"/>
        </w:rPr>
        <w:t xml:space="preserve"> </w:t>
      </w:r>
    </w:p>
    <w:p w:rsidR="00D378DE" w:rsidRPr="00D378DE" w:rsidRDefault="00D378DE" w:rsidP="00F56357">
      <w:pPr>
        <w:shd w:val="clear" w:color="auto" w:fill="F2F2F2" w:themeFill="background1" w:themeFillShade="F2"/>
        <w:spacing w:before="120" w:after="0" w:line="240" w:lineRule="auto"/>
        <w:ind w:firstLine="709"/>
        <w:jc w:val="both"/>
        <w:rPr>
          <w:rFonts w:cs="Times New Roman"/>
          <w:sz w:val="22"/>
        </w:rPr>
      </w:pPr>
      <w:r w:rsidRPr="00D378DE">
        <w:rPr>
          <w:rFonts w:cs="Times New Roman"/>
          <w:sz w:val="22"/>
        </w:rPr>
        <w:t xml:space="preserve">Hlavným ukazovateľom hodnotenia kvality na úseku ochrany spotrebiteľa bol počet vykonaných kontrol na trhoviskách. Kontrolu na trhoviskách vykonávajú obce ako orgán dozoru podľa §12 zákona č. 178/1998 Z. z. o podmienkach predaja výrobkov a poskytovania služieb na trhových miestach. </w:t>
      </w:r>
    </w:p>
    <w:p w:rsidR="00D378DE" w:rsidRPr="00D378DE" w:rsidRDefault="00D378DE" w:rsidP="00F56357">
      <w:pPr>
        <w:shd w:val="clear" w:color="auto" w:fill="F2F2F2" w:themeFill="background1" w:themeFillShade="F2"/>
        <w:spacing w:before="120" w:after="0" w:line="240" w:lineRule="auto"/>
        <w:ind w:firstLine="709"/>
        <w:jc w:val="both"/>
        <w:rPr>
          <w:rFonts w:cs="Times New Roman"/>
          <w:sz w:val="22"/>
        </w:rPr>
      </w:pPr>
      <w:r w:rsidRPr="00D378DE">
        <w:rPr>
          <w:rFonts w:cs="Times New Roman"/>
          <w:sz w:val="22"/>
        </w:rPr>
        <w:t xml:space="preserve">Ministerstvo hospodárstva nedisponuje dostatočným prehľadom o kvalite plnenia na úseku energetiky, ani na úseku </w:t>
      </w:r>
      <w:proofErr w:type="spellStart"/>
      <w:r w:rsidRPr="00D378DE">
        <w:rPr>
          <w:rFonts w:cs="Times New Roman"/>
          <w:sz w:val="22"/>
        </w:rPr>
        <w:t>ohňostrojných</w:t>
      </w:r>
      <w:proofErr w:type="spellEnd"/>
      <w:r w:rsidRPr="00D378DE">
        <w:rPr>
          <w:rFonts w:cs="Times New Roman"/>
          <w:sz w:val="22"/>
        </w:rPr>
        <w:t xml:space="preserve"> prác. </w:t>
      </w:r>
    </w:p>
    <w:p w:rsidR="00D378DE" w:rsidRPr="00D378DE" w:rsidRDefault="00D378DE" w:rsidP="00F56357">
      <w:pPr>
        <w:shd w:val="clear" w:color="auto" w:fill="F2F2F2" w:themeFill="background1" w:themeFillShade="F2"/>
        <w:spacing w:before="120" w:after="0" w:line="240" w:lineRule="auto"/>
        <w:ind w:firstLine="709"/>
        <w:jc w:val="both"/>
        <w:rPr>
          <w:rFonts w:cs="Times New Roman"/>
          <w:sz w:val="22"/>
        </w:rPr>
      </w:pPr>
      <w:r w:rsidRPr="00D378DE">
        <w:rPr>
          <w:rFonts w:cs="Times New Roman"/>
          <w:sz w:val="22"/>
        </w:rPr>
        <w:t>Vzhľadom na to, že ministerstvo hospodárstva nedisponuje negatívnou informáciou o tom, že niektorá z obcí si nesplnila povinnosť, výkon samosprávnych pôsobností na všetkých troch úsekoch, ktoré patria do pôsobnosti tohto rezortu, je potrebné považovať za kvalitný.</w:t>
      </w:r>
    </w:p>
    <w:p w:rsidR="00D378DE" w:rsidRPr="00D378DE" w:rsidRDefault="00D378DE" w:rsidP="00F56357">
      <w:pPr>
        <w:keepNext/>
        <w:shd w:val="clear" w:color="auto" w:fill="F2F2F2" w:themeFill="background1" w:themeFillShade="F2"/>
        <w:tabs>
          <w:tab w:val="left" w:pos="1276"/>
        </w:tabs>
        <w:spacing w:before="120" w:after="120" w:line="240" w:lineRule="auto"/>
        <w:ind w:firstLine="709"/>
        <w:jc w:val="both"/>
        <w:rPr>
          <w:rFonts w:cs="Times New Roman"/>
          <w:sz w:val="22"/>
          <w:u w:val="single"/>
        </w:rPr>
      </w:pPr>
      <w:r w:rsidRPr="00D378DE">
        <w:rPr>
          <w:rFonts w:cs="Times New Roman"/>
          <w:sz w:val="22"/>
          <w:u w:val="single"/>
        </w:rPr>
        <w:lastRenderedPageBreak/>
        <w:t>2.3.</w:t>
      </w:r>
      <w:r w:rsidRPr="00D378DE">
        <w:rPr>
          <w:rFonts w:cs="Times New Roman"/>
          <w:sz w:val="22"/>
          <w:u w:val="single"/>
        </w:rPr>
        <w:tab/>
        <w:t>Financovanie výkonu samosprávnych pôsobností</w:t>
      </w:r>
    </w:p>
    <w:p w:rsidR="005875DC" w:rsidRDefault="005875DC" w:rsidP="00F56357">
      <w:pPr>
        <w:keepNext/>
        <w:shd w:val="clear" w:color="auto" w:fill="F2F2F2" w:themeFill="background1" w:themeFillShade="F2"/>
        <w:tabs>
          <w:tab w:val="left" w:pos="1276"/>
        </w:tabs>
        <w:spacing w:before="120" w:after="120" w:line="240" w:lineRule="auto"/>
        <w:ind w:firstLine="709"/>
        <w:jc w:val="both"/>
        <w:rPr>
          <w:rFonts w:eastAsia="Calibri" w:cs="Times New Roman"/>
          <w:sz w:val="22"/>
        </w:rPr>
      </w:pPr>
      <w:r w:rsidRPr="005875DC">
        <w:rPr>
          <w:rFonts w:eastAsia="Calibri" w:cs="Times New Roman"/>
          <w:sz w:val="22"/>
        </w:rPr>
        <w:t>Obce a mestá zabezpečujú plnenie úloh prostredníctvom svojich zamestnancov, ktorí vykonávajú úlohy vo viacerých oblastiach, pričom plnenie úloh financujú z vlastných zdrojov. Ministerstvo hospodárstva nedisponuje informáciami o skutočne vynaložených ročných výdavkoch orgánov územnej samosprávy pri plnení samosprávnych pôsobností.</w:t>
      </w:r>
    </w:p>
    <w:p w:rsidR="006806A5" w:rsidRPr="008C4C33" w:rsidRDefault="006806A5" w:rsidP="006806A5">
      <w:pPr>
        <w:keepNext/>
        <w:shd w:val="clear" w:color="auto" w:fill="F2F2F2" w:themeFill="background1" w:themeFillShade="F2"/>
        <w:tabs>
          <w:tab w:val="left" w:pos="1276"/>
        </w:tabs>
        <w:spacing w:before="120" w:after="120" w:line="240" w:lineRule="auto"/>
        <w:ind w:firstLine="709"/>
        <w:jc w:val="both"/>
        <w:rPr>
          <w:rFonts w:eastAsia="Calibri" w:cs="Times New Roman"/>
          <w:sz w:val="22"/>
        </w:rPr>
      </w:pPr>
      <w:r w:rsidRPr="008C4C33">
        <w:rPr>
          <w:rFonts w:eastAsia="Calibri" w:cs="Times New Roman"/>
          <w:sz w:val="22"/>
        </w:rPr>
        <w:t xml:space="preserve">Výnimkou boli výdavky spojené s obstaraním koncepcie rozvoja obce v tepelnej energetike, ktorú mali obce spracovať do 31.12.2007. Obce si túto povinnosť plnili v roku 2007, preto sa táto skutočnosť neprejavila vo výdavkoch v rokoch 2005 a 2011. </w:t>
      </w:r>
    </w:p>
    <w:p w:rsidR="00D378DE" w:rsidRPr="00D378DE" w:rsidRDefault="00D378DE" w:rsidP="00F56357">
      <w:pPr>
        <w:keepNext/>
        <w:shd w:val="clear" w:color="auto" w:fill="F2F2F2" w:themeFill="background1" w:themeFillShade="F2"/>
        <w:tabs>
          <w:tab w:val="left" w:pos="1276"/>
        </w:tabs>
        <w:spacing w:before="120" w:after="120" w:line="240" w:lineRule="auto"/>
        <w:ind w:firstLine="709"/>
        <w:jc w:val="both"/>
        <w:rPr>
          <w:rFonts w:cs="Times New Roman"/>
          <w:sz w:val="22"/>
          <w:u w:val="single"/>
        </w:rPr>
      </w:pPr>
      <w:r w:rsidRPr="00D378DE">
        <w:rPr>
          <w:rFonts w:cs="Times New Roman"/>
          <w:sz w:val="22"/>
          <w:u w:val="single"/>
        </w:rPr>
        <w:t>2.4.</w:t>
      </w:r>
      <w:r w:rsidRPr="00D378DE">
        <w:rPr>
          <w:rFonts w:cs="Times New Roman"/>
          <w:sz w:val="22"/>
          <w:u w:val="single"/>
        </w:rPr>
        <w:tab/>
        <w:t>Návrhy opatrení</w:t>
      </w:r>
    </w:p>
    <w:p w:rsidR="00D378DE" w:rsidRPr="00D378DE" w:rsidRDefault="00D378DE" w:rsidP="000F47FA">
      <w:pPr>
        <w:shd w:val="clear" w:color="auto" w:fill="F2F2F2" w:themeFill="background1" w:themeFillShade="F2"/>
        <w:tabs>
          <w:tab w:val="left" w:pos="1276"/>
        </w:tabs>
        <w:spacing w:before="120" w:after="120" w:line="240" w:lineRule="auto"/>
        <w:ind w:firstLine="709"/>
        <w:jc w:val="both"/>
        <w:rPr>
          <w:rFonts w:cs="Times New Roman"/>
          <w:sz w:val="22"/>
        </w:rPr>
      </w:pPr>
      <w:r w:rsidRPr="00D378DE">
        <w:rPr>
          <w:rFonts w:cs="Times New Roman"/>
          <w:sz w:val="22"/>
        </w:rPr>
        <w:t>Ministerstvo hospodárstva nepredložilo žiadne návrhy opatrení.</w:t>
      </w:r>
    </w:p>
    <w:p w:rsidR="00D378DE" w:rsidRPr="00D378DE" w:rsidRDefault="00D378DE" w:rsidP="00F56357">
      <w:pPr>
        <w:keepNext/>
        <w:shd w:val="clear" w:color="auto" w:fill="F2F2F2" w:themeFill="background1" w:themeFillShade="F2"/>
        <w:tabs>
          <w:tab w:val="left" w:pos="1276"/>
        </w:tabs>
        <w:spacing w:before="120" w:after="120" w:line="240" w:lineRule="auto"/>
        <w:ind w:firstLine="709"/>
        <w:jc w:val="both"/>
        <w:rPr>
          <w:rFonts w:cs="Times New Roman"/>
          <w:sz w:val="22"/>
          <w:u w:val="single"/>
        </w:rPr>
      </w:pPr>
      <w:r w:rsidRPr="00D378DE">
        <w:rPr>
          <w:rFonts w:cs="Times New Roman"/>
          <w:sz w:val="22"/>
          <w:u w:val="single"/>
        </w:rPr>
        <w:t>Kritické stanovisko</w:t>
      </w:r>
    </w:p>
    <w:p w:rsidR="00D378DE" w:rsidRPr="00D378DE" w:rsidRDefault="00D378DE" w:rsidP="00F56357">
      <w:pPr>
        <w:shd w:val="clear" w:color="auto" w:fill="F2F2F2" w:themeFill="background1" w:themeFillShade="F2"/>
        <w:spacing w:before="120" w:after="0" w:line="240" w:lineRule="auto"/>
        <w:ind w:firstLine="709"/>
        <w:jc w:val="both"/>
        <w:rPr>
          <w:rFonts w:eastAsia="Times New Roman" w:cs="Times New Roman"/>
          <w:sz w:val="22"/>
          <w:lang w:eastAsia="cs-CZ"/>
        </w:rPr>
      </w:pPr>
      <w:r w:rsidRPr="00D378DE">
        <w:rPr>
          <w:rFonts w:eastAsia="Times New Roman" w:cs="Times New Roman"/>
          <w:sz w:val="22"/>
          <w:lang w:eastAsia="cs-CZ"/>
        </w:rPr>
        <w:t xml:space="preserve">Výpovedná hodnota vyhodnotenia kvality je otázna, pretože z troch sledovaných úsekov samosprávnych pôsobností sa hodnotí len jeden (úsek </w:t>
      </w:r>
      <w:r w:rsidRPr="00D378DE">
        <w:rPr>
          <w:rFonts w:cs="Times New Roman"/>
          <w:sz w:val="22"/>
        </w:rPr>
        <w:t>ochrany spotrebiteľa)</w:t>
      </w:r>
      <w:r w:rsidRPr="00D378DE">
        <w:rPr>
          <w:rFonts w:eastAsia="Times New Roman" w:cs="Times New Roman"/>
          <w:sz w:val="22"/>
          <w:lang w:eastAsia="cs-CZ"/>
        </w:rPr>
        <w:t>, aj to len z hľadiska počtu vykonaných kontrol.</w:t>
      </w:r>
    </w:p>
    <w:p w:rsidR="00D378DE" w:rsidRPr="00D378DE" w:rsidRDefault="00D378DE" w:rsidP="00F56357">
      <w:pPr>
        <w:keepNext/>
        <w:spacing w:before="240" w:after="240" w:line="240" w:lineRule="auto"/>
        <w:jc w:val="both"/>
        <w:rPr>
          <w:rFonts w:cs="Times New Roman"/>
          <w:b/>
          <w:szCs w:val="24"/>
        </w:rPr>
      </w:pPr>
      <w:r w:rsidRPr="00D378DE">
        <w:rPr>
          <w:rFonts w:cs="Times New Roman"/>
          <w:b/>
          <w:szCs w:val="24"/>
        </w:rPr>
        <w:t>Ministerstvo kultúry Slovenskej republiky</w:t>
      </w:r>
    </w:p>
    <w:p w:rsidR="000F47FA" w:rsidRDefault="00753168" w:rsidP="000F47FA">
      <w:pPr>
        <w:keepNext/>
        <w:shd w:val="clear" w:color="auto" w:fill="FFFFFF" w:themeFill="background1"/>
        <w:tabs>
          <w:tab w:val="left" w:pos="1276"/>
        </w:tabs>
        <w:spacing w:before="120" w:after="120" w:line="240" w:lineRule="auto"/>
        <w:ind w:firstLine="709"/>
        <w:jc w:val="both"/>
        <w:rPr>
          <w:rFonts w:eastAsia="Times New Roman" w:cs="Times New Roman"/>
          <w:sz w:val="22"/>
          <w:u w:val="single"/>
          <w:lang w:eastAsia="cs-CZ"/>
        </w:rPr>
      </w:pPr>
      <w:r>
        <w:rPr>
          <w:rFonts w:eastAsia="Times New Roman" w:cs="Times New Roman"/>
          <w:sz w:val="22"/>
          <w:u w:val="single"/>
          <w:lang w:eastAsia="cs-CZ"/>
        </w:rPr>
        <w:t>2</w:t>
      </w:r>
      <w:r w:rsidR="000F47FA" w:rsidRPr="00D861B9">
        <w:rPr>
          <w:rFonts w:eastAsia="Times New Roman" w:cs="Times New Roman"/>
          <w:sz w:val="22"/>
          <w:u w:val="single"/>
          <w:lang w:eastAsia="cs-CZ"/>
        </w:rPr>
        <w:t>.1.</w:t>
      </w:r>
      <w:r w:rsidR="000F47FA" w:rsidRPr="00D861B9">
        <w:rPr>
          <w:rFonts w:eastAsia="Times New Roman" w:cs="Times New Roman"/>
          <w:sz w:val="22"/>
          <w:u w:val="single"/>
          <w:lang w:eastAsia="cs-CZ"/>
        </w:rPr>
        <w:tab/>
        <w:t xml:space="preserve">Katalóg </w:t>
      </w:r>
      <w:r w:rsidR="000F47FA">
        <w:rPr>
          <w:rFonts w:eastAsia="Times New Roman" w:cs="Times New Roman"/>
          <w:sz w:val="22"/>
          <w:u w:val="single"/>
          <w:lang w:eastAsia="cs-CZ"/>
        </w:rPr>
        <w:t>samosprávnych</w:t>
      </w:r>
      <w:r w:rsidR="000F47FA" w:rsidRPr="00D861B9">
        <w:rPr>
          <w:rFonts w:eastAsia="Times New Roman" w:cs="Times New Roman"/>
          <w:sz w:val="22"/>
          <w:u w:val="single"/>
          <w:lang w:eastAsia="cs-CZ"/>
        </w:rPr>
        <w:t xml:space="preserve"> pôsobností</w:t>
      </w:r>
    </w:p>
    <w:p w:rsidR="000F47FA" w:rsidRPr="00D861B9" w:rsidRDefault="000F47FA" w:rsidP="000F47FA">
      <w:pPr>
        <w:keepNext/>
        <w:shd w:val="clear" w:color="auto" w:fill="FFFFFF" w:themeFill="background1"/>
        <w:tabs>
          <w:tab w:val="left" w:pos="1276"/>
        </w:tabs>
        <w:spacing w:before="120" w:after="120" w:line="240" w:lineRule="auto"/>
        <w:ind w:firstLine="709"/>
        <w:jc w:val="both"/>
        <w:rPr>
          <w:rFonts w:eastAsia="Times New Roman" w:cs="Times New Roman"/>
          <w:sz w:val="22"/>
          <w:lang w:eastAsia="cs-CZ"/>
        </w:rPr>
      </w:pPr>
      <w:r w:rsidRPr="00D861B9">
        <w:rPr>
          <w:rFonts w:eastAsia="Times New Roman" w:cs="Times New Roman"/>
          <w:sz w:val="22"/>
          <w:lang w:eastAsia="cs-CZ"/>
        </w:rPr>
        <w:t>Zoznam úsekov</w:t>
      </w:r>
      <w:r>
        <w:rPr>
          <w:rFonts w:eastAsia="Times New Roman" w:cs="Times New Roman"/>
          <w:sz w:val="22"/>
          <w:lang w:eastAsia="cs-CZ"/>
        </w:rPr>
        <w:t>,</w:t>
      </w:r>
      <w:r w:rsidRPr="00D861B9">
        <w:rPr>
          <w:rFonts w:eastAsia="Times New Roman" w:cs="Times New Roman"/>
          <w:sz w:val="22"/>
          <w:lang w:eastAsia="cs-CZ"/>
        </w:rPr>
        <w:t xml:space="preserve"> </w:t>
      </w:r>
      <w:r w:rsidRPr="00B67413">
        <w:rPr>
          <w:rFonts w:eastAsia="Times New Roman" w:cs="Times New Roman"/>
          <w:sz w:val="22"/>
          <w:lang w:eastAsia="cs-CZ"/>
        </w:rPr>
        <w:t>na ktorých obce a samosprávne kraje vykonávajú samosprávne pôsobnosti</w:t>
      </w:r>
      <w:r>
        <w:rPr>
          <w:rFonts w:eastAsia="Times New Roman" w:cs="Times New Roman"/>
          <w:sz w:val="22"/>
          <w:lang w:eastAsia="cs-CZ"/>
        </w:rPr>
        <w:t>,</w:t>
      </w:r>
      <w:r w:rsidRPr="00D861B9">
        <w:rPr>
          <w:rFonts w:eastAsia="Times New Roman" w:cs="Times New Roman"/>
          <w:sz w:val="22"/>
          <w:lang w:eastAsia="cs-CZ"/>
        </w:rPr>
        <w:t xml:space="preserve"> </w:t>
      </w:r>
      <w:r>
        <w:rPr>
          <w:rFonts w:eastAsia="Times New Roman" w:cs="Times New Roman"/>
          <w:sz w:val="22"/>
          <w:lang w:eastAsia="cs-CZ"/>
        </w:rPr>
        <w:t>a údaje o počte úloh:</w:t>
      </w:r>
    </w:p>
    <w:tbl>
      <w:tblPr>
        <w:tblStyle w:val="Mriekatabuky"/>
        <w:tblW w:w="0" w:type="auto"/>
        <w:jc w:val="center"/>
        <w:tblLook w:val="04A0" w:firstRow="1" w:lastRow="0" w:firstColumn="1" w:lastColumn="0" w:noHBand="0" w:noVBand="1"/>
      </w:tblPr>
      <w:tblGrid>
        <w:gridCol w:w="2061"/>
        <w:gridCol w:w="2430"/>
        <w:gridCol w:w="1221"/>
        <w:gridCol w:w="1545"/>
      </w:tblGrid>
      <w:tr w:rsidR="000F47FA" w:rsidRPr="00D861B9" w:rsidTr="000F47FA">
        <w:trPr>
          <w:jc w:val="center"/>
        </w:trPr>
        <w:tc>
          <w:tcPr>
            <w:tcW w:w="2061" w:type="dxa"/>
            <w:shd w:val="clear" w:color="auto" w:fill="auto"/>
          </w:tcPr>
          <w:p w:rsidR="000F47FA" w:rsidRPr="009766D2" w:rsidRDefault="000F47FA" w:rsidP="000F47FA">
            <w:pPr>
              <w:shd w:val="clear" w:color="auto" w:fill="FFFFFF" w:themeFill="background1"/>
              <w:spacing w:before="120" w:after="60"/>
              <w:jc w:val="left"/>
              <w:rPr>
                <w:b/>
                <w:sz w:val="16"/>
                <w:szCs w:val="16"/>
              </w:rPr>
            </w:pPr>
            <w:r w:rsidRPr="009766D2">
              <w:rPr>
                <w:b/>
                <w:sz w:val="16"/>
                <w:szCs w:val="16"/>
              </w:rPr>
              <w:t>obce</w:t>
            </w:r>
          </w:p>
        </w:tc>
        <w:tc>
          <w:tcPr>
            <w:tcW w:w="2430" w:type="dxa"/>
            <w:shd w:val="clear" w:color="auto" w:fill="auto"/>
          </w:tcPr>
          <w:p w:rsidR="000F47FA" w:rsidRPr="009766D2" w:rsidRDefault="000F47FA" w:rsidP="000F47FA">
            <w:pPr>
              <w:shd w:val="clear" w:color="auto" w:fill="FFFFFF" w:themeFill="background1"/>
              <w:spacing w:before="120" w:after="60"/>
              <w:rPr>
                <w:b/>
                <w:sz w:val="16"/>
                <w:szCs w:val="16"/>
              </w:rPr>
            </w:pPr>
            <w:r w:rsidRPr="009766D2">
              <w:rPr>
                <w:b/>
                <w:sz w:val="16"/>
                <w:szCs w:val="16"/>
              </w:rPr>
              <w:t>samosprávne kraje</w:t>
            </w:r>
          </w:p>
        </w:tc>
        <w:tc>
          <w:tcPr>
            <w:tcW w:w="1221" w:type="dxa"/>
            <w:shd w:val="clear" w:color="auto" w:fill="auto"/>
          </w:tcPr>
          <w:p w:rsidR="000F47FA" w:rsidRPr="009766D2" w:rsidRDefault="000F47FA" w:rsidP="000F47FA">
            <w:pPr>
              <w:shd w:val="clear" w:color="auto" w:fill="FFFFFF" w:themeFill="background1"/>
              <w:spacing w:before="120" w:after="60"/>
              <w:rPr>
                <w:b/>
                <w:sz w:val="16"/>
                <w:szCs w:val="16"/>
              </w:rPr>
            </w:pPr>
            <w:r w:rsidRPr="009766D2">
              <w:rPr>
                <w:b/>
                <w:sz w:val="16"/>
                <w:szCs w:val="16"/>
              </w:rPr>
              <w:t>obce</w:t>
            </w:r>
          </w:p>
        </w:tc>
        <w:tc>
          <w:tcPr>
            <w:tcW w:w="1545" w:type="dxa"/>
            <w:shd w:val="clear" w:color="auto" w:fill="auto"/>
          </w:tcPr>
          <w:p w:rsidR="000F47FA" w:rsidRPr="009766D2" w:rsidRDefault="000F47FA" w:rsidP="000F47FA">
            <w:pPr>
              <w:shd w:val="clear" w:color="auto" w:fill="FFFFFF" w:themeFill="background1"/>
              <w:spacing w:before="120" w:after="60"/>
              <w:rPr>
                <w:b/>
                <w:sz w:val="16"/>
                <w:szCs w:val="16"/>
              </w:rPr>
            </w:pPr>
            <w:r w:rsidRPr="009766D2">
              <w:rPr>
                <w:b/>
                <w:sz w:val="16"/>
                <w:szCs w:val="16"/>
              </w:rPr>
              <w:t>samosprávne kraje</w:t>
            </w:r>
          </w:p>
        </w:tc>
      </w:tr>
      <w:tr w:rsidR="000F47FA" w:rsidRPr="00D861B9" w:rsidTr="000F47FA">
        <w:trPr>
          <w:jc w:val="center"/>
        </w:trPr>
        <w:tc>
          <w:tcPr>
            <w:tcW w:w="2061" w:type="dxa"/>
            <w:shd w:val="clear" w:color="auto" w:fill="auto"/>
          </w:tcPr>
          <w:p w:rsidR="000F47FA" w:rsidRPr="009766D2" w:rsidRDefault="000F47FA" w:rsidP="000F47FA">
            <w:pPr>
              <w:spacing w:before="120" w:after="60"/>
              <w:jc w:val="left"/>
              <w:rPr>
                <w:sz w:val="16"/>
                <w:szCs w:val="16"/>
              </w:rPr>
            </w:pPr>
            <w:r>
              <w:rPr>
                <w:sz w:val="16"/>
                <w:szCs w:val="16"/>
              </w:rPr>
              <w:t>úsek inštitucionálnej kultúry (zriaďovanie, zlučovanie a zrušovanie kultúrnych inštitúcií)</w:t>
            </w:r>
          </w:p>
        </w:tc>
        <w:tc>
          <w:tcPr>
            <w:tcW w:w="2430" w:type="dxa"/>
            <w:shd w:val="clear" w:color="auto" w:fill="auto"/>
          </w:tcPr>
          <w:p w:rsidR="000F47FA" w:rsidRPr="009766D2" w:rsidRDefault="000F47FA" w:rsidP="000F47FA">
            <w:pPr>
              <w:spacing w:before="120" w:after="60"/>
              <w:jc w:val="left"/>
              <w:rPr>
                <w:sz w:val="16"/>
                <w:szCs w:val="16"/>
              </w:rPr>
            </w:pPr>
            <w:r>
              <w:rPr>
                <w:sz w:val="16"/>
                <w:szCs w:val="16"/>
              </w:rPr>
              <w:t>úsek inštitucionálnej kultúry (zriaďovanie, zlučovanie a zrušovanie kultúrnych inštitúcií)</w:t>
            </w:r>
          </w:p>
        </w:tc>
        <w:tc>
          <w:tcPr>
            <w:tcW w:w="1221" w:type="dxa"/>
            <w:shd w:val="clear" w:color="auto" w:fill="auto"/>
            <w:vAlign w:val="center"/>
          </w:tcPr>
          <w:p w:rsidR="000F47FA" w:rsidRPr="009766D2" w:rsidRDefault="000F47FA" w:rsidP="000F47FA">
            <w:pPr>
              <w:spacing w:before="120" w:after="60"/>
              <w:jc w:val="right"/>
              <w:rPr>
                <w:sz w:val="16"/>
                <w:szCs w:val="16"/>
              </w:rPr>
            </w:pPr>
            <w:r>
              <w:rPr>
                <w:sz w:val="16"/>
                <w:szCs w:val="16"/>
              </w:rPr>
              <w:t>4 oblasti V</w:t>
            </w:r>
          </w:p>
        </w:tc>
        <w:tc>
          <w:tcPr>
            <w:tcW w:w="1545" w:type="dxa"/>
            <w:shd w:val="clear" w:color="auto" w:fill="auto"/>
            <w:vAlign w:val="center"/>
          </w:tcPr>
          <w:p w:rsidR="000F47FA" w:rsidRPr="009766D2" w:rsidRDefault="000F47FA" w:rsidP="000F47FA">
            <w:pPr>
              <w:spacing w:before="120" w:after="60"/>
              <w:jc w:val="right"/>
              <w:rPr>
                <w:sz w:val="16"/>
                <w:szCs w:val="16"/>
              </w:rPr>
            </w:pPr>
            <w:r>
              <w:rPr>
                <w:sz w:val="16"/>
                <w:szCs w:val="16"/>
              </w:rPr>
              <w:t>5 oblasti V</w:t>
            </w:r>
          </w:p>
        </w:tc>
      </w:tr>
    </w:tbl>
    <w:p w:rsidR="00D378DE" w:rsidRPr="00D378DE" w:rsidRDefault="00D378DE" w:rsidP="00D378DE">
      <w:pPr>
        <w:keepNext/>
        <w:tabs>
          <w:tab w:val="left" w:pos="1276"/>
        </w:tabs>
        <w:spacing w:before="120" w:after="120" w:line="240" w:lineRule="auto"/>
        <w:ind w:firstLine="709"/>
        <w:jc w:val="both"/>
        <w:rPr>
          <w:rFonts w:eastAsia="Times New Roman" w:cs="Times New Roman"/>
          <w:sz w:val="22"/>
          <w:lang w:eastAsia="cs-CZ"/>
        </w:rPr>
      </w:pPr>
      <w:r w:rsidRPr="00D378DE">
        <w:rPr>
          <w:rFonts w:eastAsia="Times New Roman" w:cs="Times New Roman"/>
          <w:sz w:val="22"/>
          <w:lang w:eastAsia="cs-CZ"/>
        </w:rPr>
        <w:t>Ministerstvo kultúry</w:t>
      </w:r>
      <w:r w:rsidR="00FE6D2B">
        <w:rPr>
          <w:rFonts w:eastAsia="Times New Roman" w:cs="Times New Roman"/>
          <w:sz w:val="22"/>
          <w:lang w:eastAsia="cs-CZ"/>
        </w:rPr>
        <w:t xml:space="preserve"> </w:t>
      </w:r>
      <w:r w:rsidR="00FE6D2B" w:rsidRPr="00FE6D2B">
        <w:rPr>
          <w:rFonts w:eastAsia="Times New Roman" w:cs="Times New Roman"/>
          <w:sz w:val="22"/>
          <w:lang w:eastAsia="cs-CZ"/>
        </w:rPr>
        <w:t>Slovenskej republiky</w:t>
      </w:r>
      <w:r w:rsidR="00FE6D2B">
        <w:rPr>
          <w:rFonts w:eastAsia="Times New Roman" w:cs="Times New Roman"/>
          <w:sz w:val="22"/>
          <w:lang w:eastAsia="cs-CZ"/>
        </w:rPr>
        <w:t xml:space="preserve"> (ďalej len „ministerstvo kultúry“)</w:t>
      </w:r>
      <w:r w:rsidRPr="00D378DE">
        <w:rPr>
          <w:rFonts w:eastAsia="Times New Roman" w:cs="Times New Roman"/>
          <w:sz w:val="22"/>
          <w:lang w:eastAsia="cs-CZ"/>
        </w:rPr>
        <w:t xml:space="preserve"> neuviedlo (výnimkou je financovanie výkonu samosprávnych pôsobností), odkiaľ čerpali údaje. Možno len predpokladať, že využili údaje zo štátnej a rezortnej štatistiky a vlastné poznatky a skúsenosti.</w:t>
      </w:r>
    </w:p>
    <w:p w:rsidR="00D378DE" w:rsidRPr="00D378DE" w:rsidRDefault="00D378DE" w:rsidP="00D378DE">
      <w:pPr>
        <w:keepNext/>
        <w:tabs>
          <w:tab w:val="left" w:pos="1276"/>
        </w:tabs>
        <w:spacing w:before="120" w:after="120" w:line="240" w:lineRule="auto"/>
        <w:ind w:firstLine="709"/>
        <w:jc w:val="both"/>
        <w:rPr>
          <w:rFonts w:cs="Times New Roman"/>
          <w:sz w:val="22"/>
        </w:rPr>
      </w:pPr>
      <w:r w:rsidRPr="00D378DE">
        <w:rPr>
          <w:rFonts w:eastAsia="Times New Roman" w:cs="Times New Roman"/>
          <w:sz w:val="22"/>
          <w:u w:val="single"/>
          <w:lang w:eastAsia="cs-CZ"/>
        </w:rPr>
        <w:t>2.2.</w:t>
      </w:r>
      <w:r w:rsidRPr="00D378DE">
        <w:rPr>
          <w:rFonts w:eastAsia="Times New Roman" w:cs="Times New Roman"/>
          <w:sz w:val="22"/>
          <w:u w:val="single"/>
          <w:lang w:eastAsia="cs-CZ"/>
        </w:rPr>
        <w:tab/>
        <w:t>Zhodnotenie kvality výkonu samosprávnych pôsobností</w:t>
      </w:r>
      <w:r w:rsidRPr="00D378DE">
        <w:rPr>
          <w:rFonts w:cs="Times New Roman"/>
          <w:sz w:val="22"/>
        </w:rPr>
        <w:t xml:space="preserve"> </w:t>
      </w:r>
    </w:p>
    <w:p w:rsidR="00D378DE" w:rsidRPr="00D378DE" w:rsidRDefault="00D378DE" w:rsidP="00D378DE">
      <w:pPr>
        <w:spacing w:before="120" w:after="0" w:line="240" w:lineRule="auto"/>
        <w:ind w:firstLine="709"/>
        <w:jc w:val="both"/>
        <w:rPr>
          <w:rFonts w:cs="Times New Roman"/>
          <w:sz w:val="22"/>
        </w:rPr>
      </w:pPr>
      <w:r w:rsidRPr="00D378DE">
        <w:rPr>
          <w:rFonts w:cs="Times New Roman"/>
          <w:sz w:val="22"/>
        </w:rPr>
        <w:t>V rezorte kultúry bola po decentralizácii zachovaná kvalita. Bol zachovaný počet kultúrnych inštitúcií zriaďovaných vyššími územnými celkami (nedošlo k zrušeniu žiadnej z nich). Minimálne turbulencie boli na úseku kultúrnej infraštruktúry zriaďovanej a zabezpečovanej obcami, ale súviseli s optimalizáciou celej sústavy a nemali vplyv na rozsah a kvalitu poskytovaných kultúrnych služieb.</w:t>
      </w:r>
    </w:p>
    <w:p w:rsidR="00D378DE" w:rsidRPr="00D378DE" w:rsidRDefault="00D378DE" w:rsidP="00D378DE">
      <w:pPr>
        <w:keepNext/>
        <w:tabs>
          <w:tab w:val="left" w:pos="1276"/>
        </w:tabs>
        <w:spacing w:before="120" w:after="120" w:line="240" w:lineRule="auto"/>
        <w:ind w:firstLine="709"/>
        <w:jc w:val="both"/>
        <w:rPr>
          <w:rFonts w:cs="Times New Roman"/>
          <w:sz w:val="22"/>
          <w:u w:val="single"/>
        </w:rPr>
      </w:pPr>
      <w:r w:rsidRPr="00D378DE">
        <w:rPr>
          <w:rFonts w:cs="Times New Roman"/>
          <w:sz w:val="22"/>
          <w:u w:val="single"/>
        </w:rPr>
        <w:t>2.3.</w:t>
      </w:r>
      <w:r w:rsidRPr="00D378DE">
        <w:rPr>
          <w:rFonts w:cs="Times New Roman"/>
          <w:sz w:val="22"/>
          <w:u w:val="single"/>
        </w:rPr>
        <w:tab/>
        <w:t>Financovanie výkonu samosprávnych pôsobností</w:t>
      </w:r>
    </w:p>
    <w:p w:rsidR="00D378DE" w:rsidRPr="00D378DE" w:rsidRDefault="0050664C" w:rsidP="00D378DE">
      <w:pPr>
        <w:spacing w:before="120" w:after="0" w:line="240" w:lineRule="auto"/>
        <w:ind w:firstLine="709"/>
        <w:jc w:val="both"/>
        <w:rPr>
          <w:rFonts w:cs="Times New Roman"/>
          <w:sz w:val="22"/>
        </w:rPr>
      </w:pPr>
      <w:r>
        <w:rPr>
          <w:rFonts w:cs="Times New Roman"/>
          <w:sz w:val="22"/>
        </w:rPr>
        <w:t>Ministerstvo kultúry</w:t>
      </w:r>
      <w:r w:rsidR="00D378DE" w:rsidRPr="00D378DE">
        <w:rPr>
          <w:rFonts w:cs="Times New Roman"/>
          <w:sz w:val="22"/>
        </w:rPr>
        <w:t xml:space="preserve"> poskytlo informácie k porovnaniu financovania osobitne podľa zdrojov štátneho rozpočtu, obcí a samosprávnych krajov za roky 2001, 2005 a 201</w:t>
      </w:r>
      <w:r w:rsidR="001251BD">
        <w:rPr>
          <w:rFonts w:cs="Times New Roman"/>
          <w:sz w:val="22"/>
        </w:rPr>
        <w:t>1</w:t>
      </w:r>
      <w:r w:rsidR="00D378DE" w:rsidRPr="00D378DE">
        <w:rPr>
          <w:rFonts w:cs="Times New Roman"/>
          <w:sz w:val="22"/>
        </w:rPr>
        <w:t>.</w:t>
      </w:r>
    </w:p>
    <w:p w:rsidR="00084EAD" w:rsidRPr="008C4C33" w:rsidRDefault="0050664C" w:rsidP="00084EAD">
      <w:pPr>
        <w:spacing w:before="120" w:after="0" w:line="240" w:lineRule="auto"/>
        <w:ind w:firstLine="709"/>
        <w:jc w:val="both"/>
        <w:rPr>
          <w:rFonts w:cs="Times New Roman"/>
          <w:sz w:val="22"/>
        </w:rPr>
      </w:pPr>
      <w:r>
        <w:rPr>
          <w:rFonts w:cs="Times New Roman"/>
          <w:sz w:val="22"/>
        </w:rPr>
        <w:t>V</w:t>
      </w:r>
      <w:r w:rsidR="00D378DE" w:rsidRPr="00D378DE">
        <w:rPr>
          <w:rFonts w:cs="Times New Roman"/>
          <w:sz w:val="22"/>
        </w:rPr>
        <w:t>ýdavky na kultúru možno od r. 2002 charakterizovať vzrastajúcou tendenciou. Na priaznivý vývoj mala vplyv hlavne fiškálna decentralizácia.</w:t>
      </w:r>
      <w:r w:rsidR="00084EAD" w:rsidRPr="00084EAD">
        <w:rPr>
          <w:rFonts w:cs="Times New Roman"/>
          <w:sz w:val="22"/>
        </w:rPr>
        <w:t xml:space="preserve"> </w:t>
      </w:r>
      <w:r w:rsidR="00084EAD" w:rsidRPr="008C4C33">
        <w:rPr>
          <w:rFonts w:cs="Times New Roman"/>
          <w:sz w:val="22"/>
        </w:rPr>
        <w:t>Po roku 2002 v dôsledku decentralizačných vplyvov sa začali výrazne zvyšovať aj výdavky na kultúru obcí, ktoré vzrástli do roku 2010 takmer trojnásobne. Analyzovaný stav  rokov 2001, 2005</w:t>
      </w:r>
      <w:r w:rsidR="001251BD">
        <w:rPr>
          <w:rFonts w:cs="Times New Roman"/>
          <w:sz w:val="22"/>
        </w:rPr>
        <w:t xml:space="preserve"> a</w:t>
      </w:r>
      <w:r w:rsidR="00084EAD" w:rsidRPr="008C4C33">
        <w:rPr>
          <w:rFonts w:cs="Times New Roman"/>
          <w:sz w:val="22"/>
        </w:rPr>
        <w:t xml:space="preserve"> 2011 poukazuje na rastúci trend výdavkov, index rastu medzi rokom 2005 a 2011 je </w:t>
      </w:r>
      <w:r w:rsidR="00FE6D2B">
        <w:rPr>
          <w:rFonts w:cs="Times New Roman"/>
          <w:sz w:val="22"/>
        </w:rPr>
        <w:t>na</w:t>
      </w:r>
      <w:r w:rsidR="00084EAD" w:rsidRPr="008C4C33">
        <w:rPr>
          <w:rFonts w:cs="Times New Roman"/>
          <w:sz w:val="22"/>
        </w:rPr>
        <w:t xml:space="preserve"> hodnote 158. Podľa jednotlivých oblastí sa pohybujú indexy od hodnoty 113 na knižničnú činnosť až po 651 na osvetovú činnosť. V tejto súvislosti treba uviesť, že v rámci osvetovej činnosti je zahrnutý aj šport, a preto nie je možné z dostupných zdrojov vyčísliť iba výdavky osobitne na osvetovú činnosť.   </w:t>
      </w:r>
    </w:p>
    <w:p w:rsidR="00084EAD" w:rsidRPr="008C4C33" w:rsidRDefault="00084EAD" w:rsidP="00084EAD">
      <w:pPr>
        <w:spacing w:before="120" w:after="0" w:line="240" w:lineRule="auto"/>
        <w:ind w:firstLine="709"/>
        <w:jc w:val="both"/>
        <w:rPr>
          <w:rFonts w:cs="Times New Roman"/>
          <w:sz w:val="22"/>
        </w:rPr>
      </w:pPr>
      <w:r w:rsidRPr="008C4C33">
        <w:rPr>
          <w:rFonts w:cs="Times New Roman"/>
          <w:sz w:val="22"/>
        </w:rPr>
        <w:t xml:space="preserve">Výdavky na kultúru samosprávnych krajov možno od roku 2002 charakterizovať vzrastajúcou tendenciou. Rast bol zaznamenaný v každej činnosti. Najvyšší trend rastu bol v oblasti galerijnej činnosti. </w:t>
      </w:r>
    </w:p>
    <w:p w:rsidR="00084EAD" w:rsidRPr="008C4C33" w:rsidRDefault="00084EAD" w:rsidP="00084EAD">
      <w:pPr>
        <w:spacing w:before="120" w:after="0" w:line="240" w:lineRule="auto"/>
        <w:ind w:firstLine="709"/>
        <w:jc w:val="both"/>
        <w:rPr>
          <w:rFonts w:cs="Times New Roman"/>
          <w:sz w:val="22"/>
        </w:rPr>
      </w:pPr>
      <w:r w:rsidRPr="008C4C33">
        <w:rPr>
          <w:rFonts w:cs="Times New Roman"/>
          <w:sz w:val="22"/>
        </w:rPr>
        <w:lastRenderedPageBreak/>
        <w:t xml:space="preserve">Na priaznivý vývoj mala vplyv hlavne fiškálna decentralizácia.  </w:t>
      </w:r>
    </w:p>
    <w:p w:rsidR="00D378DE" w:rsidRPr="00D378DE" w:rsidRDefault="00D378DE" w:rsidP="00D378DE">
      <w:pPr>
        <w:keepNext/>
        <w:tabs>
          <w:tab w:val="left" w:pos="1276"/>
        </w:tabs>
        <w:spacing w:before="120" w:after="120" w:line="240" w:lineRule="auto"/>
        <w:ind w:firstLine="709"/>
        <w:jc w:val="both"/>
        <w:rPr>
          <w:rFonts w:cs="Times New Roman"/>
          <w:sz w:val="22"/>
          <w:u w:val="single"/>
        </w:rPr>
      </w:pPr>
      <w:r w:rsidRPr="00D378DE">
        <w:rPr>
          <w:rFonts w:cs="Times New Roman"/>
          <w:sz w:val="22"/>
          <w:u w:val="single"/>
        </w:rPr>
        <w:t>2.4.</w:t>
      </w:r>
      <w:r w:rsidRPr="00D378DE">
        <w:rPr>
          <w:rFonts w:cs="Times New Roman"/>
          <w:sz w:val="22"/>
          <w:u w:val="single"/>
        </w:rPr>
        <w:tab/>
        <w:t>Návrhy opatrení</w:t>
      </w:r>
    </w:p>
    <w:p w:rsidR="00D378DE" w:rsidRPr="00D378DE" w:rsidRDefault="00D378DE" w:rsidP="00D378DE">
      <w:pPr>
        <w:spacing w:before="120" w:after="120" w:line="240" w:lineRule="auto"/>
        <w:ind w:firstLine="709"/>
        <w:jc w:val="both"/>
        <w:rPr>
          <w:rFonts w:cs="Times New Roman"/>
          <w:sz w:val="22"/>
        </w:rPr>
      </w:pPr>
      <w:r w:rsidRPr="00D378DE">
        <w:rPr>
          <w:rFonts w:cs="Times New Roman"/>
          <w:sz w:val="22"/>
        </w:rPr>
        <w:t>Ministerstvo kultúry nenavrhlo žiadne opatrenia.</w:t>
      </w:r>
    </w:p>
    <w:p w:rsidR="00D378DE" w:rsidRPr="00D378DE" w:rsidRDefault="00D378DE" w:rsidP="00D378DE">
      <w:pPr>
        <w:keepNext/>
        <w:tabs>
          <w:tab w:val="left" w:pos="1276"/>
        </w:tabs>
        <w:spacing w:before="120" w:after="120" w:line="240" w:lineRule="auto"/>
        <w:ind w:firstLine="709"/>
        <w:jc w:val="both"/>
        <w:rPr>
          <w:rFonts w:cs="Times New Roman"/>
          <w:sz w:val="22"/>
          <w:u w:val="single"/>
        </w:rPr>
      </w:pPr>
      <w:r w:rsidRPr="00D378DE">
        <w:rPr>
          <w:rFonts w:cs="Times New Roman"/>
          <w:sz w:val="22"/>
          <w:u w:val="single"/>
        </w:rPr>
        <w:t>Kritické stanovisko</w:t>
      </w:r>
    </w:p>
    <w:p w:rsidR="00D378DE" w:rsidRPr="00D378DE" w:rsidRDefault="00D378DE" w:rsidP="00D378DE">
      <w:pPr>
        <w:spacing w:before="120" w:after="0" w:line="240" w:lineRule="auto"/>
        <w:ind w:firstLine="709"/>
        <w:jc w:val="both"/>
        <w:rPr>
          <w:rFonts w:cs="Times New Roman"/>
          <w:sz w:val="22"/>
        </w:rPr>
      </w:pPr>
      <w:r w:rsidRPr="00D378DE">
        <w:rPr>
          <w:rFonts w:cs="Times New Roman"/>
          <w:sz w:val="22"/>
        </w:rPr>
        <w:t>Ministerstvo kultúry v správe neposkytlo kompletné údaje požadované jednotnou metodikou. V katalógu samosprávnych pôsobností ministerstvo kultúry neuviedlo úlohy; v rámci úseku uviedlo len oblasti, v ktorých obce a samosprávne kraje plnia jednu alebo viacero úloh. Poskytnuté podklady podrobne neokomentovalo. Ako ukazovateľ kvality použilo zachovanie výkonu odborných činností, či zachovanie počtu kultúrnych inštitúcií. Možno teda pochybovať či má zhodnotenie kvality dostatočnú hĺbku. Správa neobsahuje žiadne návrhy opatrení a ani náznaky možnej optimalizácie.</w:t>
      </w:r>
    </w:p>
    <w:p w:rsidR="00D378DE" w:rsidRPr="00D378DE" w:rsidRDefault="00D378DE" w:rsidP="00F56357">
      <w:pPr>
        <w:keepNext/>
        <w:shd w:val="clear" w:color="auto" w:fill="F2F2F2" w:themeFill="background1" w:themeFillShade="F2"/>
        <w:spacing w:before="240" w:after="240" w:line="240" w:lineRule="auto"/>
        <w:jc w:val="both"/>
        <w:rPr>
          <w:rFonts w:cs="Times New Roman"/>
          <w:b/>
          <w:szCs w:val="24"/>
        </w:rPr>
      </w:pPr>
      <w:r w:rsidRPr="00D378DE">
        <w:rPr>
          <w:rFonts w:cs="Times New Roman"/>
          <w:b/>
          <w:szCs w:val="24"/>
        </w:rPr>
        <w:t>Ministerstvo práce, sociálnych vecí a rodiny Slovenskej republiky</w:t>
      </w:r>
    </w:p>
    <w:p w:rsidR="000F47FA" w:rsidRDefault="00753168" w:rsidP="000F47FA">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u w:val="single"/>
          <w:lang w:eastAsia="cs-CZ"/>
        </w:rPr>
      </w:pPr>
      <w:r>
        <w:rPr>
          <w:rFonts w:eastAsia="Times New Roman" w:cs="Times New Roman"/>
          <w:sz w:val="22"/>
          <w:u w:val="single"/>
          <w:lang w:eastAsia="cs-CZ"/>
        </w:rPr>
        <w:t>2</w:t>
      </w:r>
      <w:r w:rsidR="000F47FA" w:rsidRPr="00D861B9">
        <w:rPr>
          <w:rFonts w:eastAsia="Times New Roman" w:cs="Times New Roman"/>
          <w:sz w:val="22"/>
          <w:u w:val="single"/>
          <w:lang w:eastAsia="cs-CZ"/>
        </w:rPr>
        <w:t>.1.</w:t>
      </w:r>
      <w:r w:rsidR="000F47FA" w:rsidRPr="00D861B9">
        <w:rPr>
          <w:rFonts w:eastAsia="Times New Roman" w:cs="Times New Roman"/>
          <w:sz w:val="22"/>
          <w:u w:val="single"/>
          <w:lang w:eastAsia="cs-CZ"/>
        </w:rPr>
        <w:tab/>
        <w:t xml:space="preserve">Katalóg </w:t>
      </w:r>
      <w:r w:rsidR="000F47FA">
        <w:rPr>
          <w:rFonts w:eastAsia="Times New Roman" w:cs="Times New Roman"/>
          <w:sz w:val="22"/>
          <w:u w:val="single"/>
          <w:lang w:eastAsia="cs-CZ"/>
        </w:rPr>
        <w:t>samosprávnych</w:t>
      </w:r>
      <w:r w:rsidR="000F47FA" w:rsidRPr="00D861B9">
        <w:rPr>
          <w:rFonts w:eastAsia="Times New Roman" w:cs="Times New Roman"/>
          <w:sz w:val="22"/>
          <w:u w:val="single"/>
          <w:lang w:eastAsia="cs-CZ"/>
        </w:rPr>
        <w:t xml:space="preserve"> pôsobností</w:t>
      </w:r>
    </w:p>
    <w:p w:rsidR="000F47FA" w:rsidRPr="00D861B9" w:rsidRDefault="000F47FA" w:rsidP="000F47FA">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D861B9">
        <w:rPr>
          <w:rFonts w:eastAsia="Times New Roman" w:cs="Times New Roman"/>
          <w:sz w:val="22"/>
          <w:lang w:eastAsia="cs-CZ"/>
        </w:rPr>
        <w:t>Zoznam úsekov</w:t>
      </w:r>
      <w:r>
        <w:rPr>
          <w:rFonts w:eastAsia="Times New Roman" w:cs="Times New Roman"/>
          <w:sz w:val="22"/>
          <w:lang w:eastAsia="cs-CZ"/>
        </w:rPr>
        <w:t>,</w:t>
      </w:r>
      <w:r w:rsidRPr="00D861B9">
        <w:rPr>
          <w:rFonts w:eastAsia="Times New Roman" w:cs="Times New Roman"/>
          <w:sz w:val="22"/>
          <w:lang w:eastAsia="cs-CZ"/>
        </w:rPr>
        <w:t xml:space="preserve"> </w:t>
      </w:r>
      <w:r w:rsidRPr="00B67413">
        <w:rPr>
          <w:rFonts w:eastAsia="Times New Roman" w:cs="Times New Roman"/>
          <w:sz w:val="22"/>
          <w:lang w:eastAsia="cs-CZ"/>
        </w:rPr>
        <w:t>na ktorých obce a samosprávne kraje vykonávajú samosprávne pôsobnosti</w:t>
      </w:r>
      <w:r>
        <w:rPr>
          <w:rFonts w:eastAsia="Times New Roman" w:cs="Times New Roman"/>
          <w:sz w:val="22"/>
          <w:lang w:eastAsia="cs-CZ"/>
        </w:rPr>
        <w:t>,</w:t>
      </w:r>
      <w:r w:rsidRPr="00D861B9">
        <w:rPr>
          <w:rFonts w:eastAsia="Times New Roman" w:cs="Times New Roman"/>
          <w:sz w:val="22"/>
          <w:lang w:eastAsia="cs-CZ"/>
        </w:rPr>
        <w:t xml:space="preserve"> </w:t>
      </w:r>
      <w:r>
        <w:rPr>
          <w:rFonts w:eastAsia="Times New Roman" w:cs="Times New Roman"/>
          <w:sz w:val="22"/>
          <w:lang w:eastAsia="cs-CZ"/>
        </w:rPr>
        <w:t>a údaje o počte úloh:</w:t>
      </w:r>
    </w:p>
    <w:tbl>
      <w:tblPr>
        <w:tblStyle w:val="Mriekatabuky"/>
        <w:tblW w:w="0" w:type="auto"/>
        <w:jc w:val="center"/>
        <w:tblLook w:val="04A0" w:firstRow="1" w:lastRow="0" w:firstColumn="1" w:lastColumn="0" w:noHBand="0" w:noVBand="1"/>
      </w:tblPr>
      <w:tblGrid>
        <w:gridCol w:w="2061"/>
        <w:gridCol w:w="2430"/>
        <w:gridCol w:w="1221"/>
        <w:gridCol w:w="1545"/>
      </w:tblGrid>
      <w:tr w:rsidR="000F47FA" w:rsidRPr="00D861B9" w:rsidTr="000F47FA">
        <w:trPr>
          <w:jc w:val="center"/>
        </w:trPr>
        <w:tc>
          <w:tcPr>
            <w:tcW w:w="2061" w:type="dxa"/>
            <w:shd w:val="clear" w:color="auto" w:fill="F2F2F2" w:themeFill="background1" w:themeFillShade="F2"/>
          </w:tcPr>
          <w:p w:rsidR="000F47FA" w:rsidRPr="009766D2" w:rsidRDefault="000F47FA" w:rsidP="000F47FA">
            <w:pPr>
              <w:shd w:val="clear" w:color="auto" w:fill="F2F2F2" w:themeFill="background1" w:themeFillShade="F2"/>
              <w:spacing w:before="120" w:after="60"/>
              <w:jc w:val="left"/>
              <w:rPr>
                <w:b/>
                <w:sz w:val="16"/>
                <w:szCs w:val="16"/>
              </w:rPr>
            </w:pPr>
            <w:r w:rsidRPr="009766D2">
              <w:rPr>
                <w:b/>
                <w:sz w:val="16"/>
                <w:szCs w:val="16"/>
              </w:rPr>
              <w:t>obce</w:t>
            </w:r>
          </w:p>
        </w:tc>
        <w:tc>
          <w:tcPr>
            <w:tcW w:w="2430" w:type="dxa"/>
            <w:shd w:val="clear" w:color="auto" w:fill="F2F2F2" w:themeFill="background1" w:themeFillShade="F2"/>
          </w:tcPr>
          <w:p w:rsidR="000F47FA" w:rsidRPr="009766D2" w:rsidRDefault="000F47FA" w:rsidP="000F47FA">
            <w:pPr>
              <w:shd w:val="clear" w:color="auto" w:fill="F2F2F2" w:themeFill="background1" w:themeFillShade="F2"/>
              <w:spacing w:before="120" w:after="60"/>
              <w:rPr>
                <w:b/>
                <w:sz w:val="16"/>
                <w:szCs w:val="16"/>
              </w:rPr>
            </w:pPr>
            <w:r w:rsidRPr="009766D2">
              <w:rPr>
                <w:b/>
                <w:sz w:val="16"/>
                <w:szCs w:val="16"/>
              </w:rPr>
              <w:t>samosprávne kraje</w:t>
            </w:r>
          </w:p>
        </w:tc>
        <w:tc>
          <w:tcPr>
            <w:tcW w:w="1221" w:type="dxa"/>
            <w:shd w:val="clear" w:color="auto" w:fill="F2F2F2" w:themeFill="background1" w:themeFillShade="F2"/>
          </w:tcPr>
          <w:p w:rsidR="000F47FA" w:rsidRPr="009766D2" w:rsidRDefault="000F47FA" w:rsidP="000F47FA">
            <w:pPr>
              <w:shd w:val="clear" w:color="auto" w:fill="F2F2F2" w:themeFill="background1" w:themeFillShade="F2"/>
              <w:spacing w:before="120" w:after="60"/>
              <w:rPr>
                <w:b/>
                <w:sz w:val="16"/>
                <w:szCs w:val="16"/>
              </w:rPr>
            </w:pPr>
            <w:r w:rsidRPr="009766D2">
              <w:rPr>
                <w:b/>
                <w:sz w:val="16"/>
                <w:szCs w:val="16"/>
              </w:rPr>
              <w:t>obce</w:t>
            </w:r>
          </w:p>
        </w:tc>
        <w:tc>
          <w:tcPr>
            <w:tcW w:w="1545" w:type="dxa"/>
            <w:shd w:val="clear" w:color="auto" w:fill="F2F2F2" w:themeFill="background1" w:themeFillShade="F2"/>
          </w:tcPr>
          <w:p w:rsidR="000F47FA" w:rsidRPr="009766D2" w:rsidRDefault="000F47FA" w:rsidP="000F47FA">
            <w:pPr>
              <w:shd w:val="clear" w:color="auto" w:fill="F2F2F2" w:themeFill="background1" w:themeFillShade="F2"/>
              <w:spacing w:before="120" w:after="60"/>
              <w:rPr>
                <w:b/>
                <w:sz w:val="16"/>
                <w:szCs w:val="16"/>
              </w:rPr>
            </w:pPr>
            <w:r w:rsidRPr="009766D2">
              <w:rPr>
                <w:b/>
                <w:sz w:val="16"/>
                <w:szCs w:val="16"/>
              </w:rPr>
              <w:t>samosprávne kraje</w:t>
            </w:r>
          </w:p>
        </w:tc>
      </w:tr>
      <w:tr w:rsidR="000F47FA" w:rsidRPr="00D861B9" w:rsidTr="000F47FA">
        <w:trPr>
          <w:jc w:val="center"/>
        </w:trPr>
        <w:tc>
          <w:tcPr>
            <w:tcW w:w="2061" w:type="dxa"/>
            <w:shd w:val="clear" w:color="auto" w:fill="F2F2F2" w:themeFill="background1" w:themeFillShade="F2"/>
          </w:tcPr>
          <w:p w:rsidR="000F47FA" w:rsidRPr="009766D2" w:rsidRDefault="000F47FA" w:rsidP="000F47FA">
            <w:pPr>
              <w:spacing w:before="120" w:after="60"/>
              <w:jc w:val="left"/>
              <w:rPr>
                <w:sz w:val="16"/>
                <w:szCs w:val="16"/>
              </w:rPr>
            </w:pPr>
            <w:r>
              <w:rPr>
                <w:sz w:val="16"/>
                <w:szCs w:val="16"/>
              </w:rPr>
              <w:t>úsek sociálnych služieb</w:t>
            </w:r>
          </w:p>
        </w:tc>
        <w:tc>
          <w:tcPr>
            <w:tcW w:w="2430" w:type="dxa"/>
            <w:shd w:val="clear" w:color="auto" w:fill="F2F2F2" w:themeFill="background1" w:themeFillShade="F2"/>
          </w:tcPr>
          <w:p w:rsidR="000F47FA" w:rsidRPr="009766D2" w:rsidRDefault="000F47FA" w:rsidP="000F47FA">
            <w:pPr>
              <w:spacing w:before="120" w:after="60"/>
              <w:jc w:val="left"/>
              <w:rPr>
                <w:sz w:val="16"/>
                <w:szCs w:val="16"/>
              </w:rPr>
            </w:pPr>
            <w:r>
              <w:rPr>
                <w:sz w:val="16"/>
                <w:szCs w:val="16"/>
              </w:rPr>
              <w:t>úsek sociálnych služieb</w:t>
            </w:r>
          </w:p>
        </w:tc>
        <w:tc>
          <w:tcPr>
            <w:tcW w:w="1221"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6 A/4 V</w:t>
            </w:r>
          </w:p>
        </w:tc>
        <w:tc>
          <w:tcPr>
            <w:tcW w:w="1545"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7 A/3 V</w:t>
            </w:r>
          </w:p>
        </w:tc>
      </w:tr>
      <w:tr w:rsidR="000F47FA" w:rsidRPr="00D861B9" w:rsidTr="000F47FA">
        <w:trPr>
          <w:jc w:val="center"/>
        </w:trPr>
        <w:tc>
          <w:tcPr>
            <w:tcW w:w="2061" w:type="dxa"/>
            <w:shd w:val="clear" w:color="auto" w:fill="F2F2F2" w:themeFill="background1" w:themeFillShade="F2"/>
          </w:tcPr>
          <w:p w:rsidR="000F47FA" w:rsidRPr="009766D2" w:rsidRDefault="000F47FA" w:rsidP="000F47FA">
            <w:pPr>
              <w:spacing w:before="120" w:after="60"/>
              <w:jc w:val="left"/>
              <w:rPr>
                <w:sz w:val="16"/>
                <w:szCs w:val="16"/>
              </w:rPr>
            </w:pPr>
            <w:r>
              <w:rPr>
                <w:sz w:val="16"/>
                <w:szCs w:val="16"/>
              </w:rPr>
              <w:t>úsek sociálnoprávnej ochrany detí a sociálnej kurately</w:t>
            </w:r>
          </w:p>
        </w:tc>
        <w:tc>
          <w:tcPr>
            <w:tcW w:w="2430" w:type="dxa"/>
            <w:shd w:val="clear" w:color="auto" w:fill="F2F2F2" w:themeFill="background1" w:themeFillShade="F2"/>
          </w:tcPr>
          <w:p w:rsidR="000F47FA" w:rsidRPr="009766D2" w:rsidRDefault="000F47FA" w:rsidP="000F47FA">
            <w:pPr>
              <w:spacing w:before="120" w:after="60"/>
              <w:jc w:val="left"/>
              <w:rPr>
                <w:sz w:val="16"/>
                <w:szCs w:val="16"/>
              </w:rPr>
            </w:pPr>
            <w:r>
              <w:rPr>
                <w:sz w:val="16"/>
                <w:szCs w:val="16"/>
              </w:rPr>
              <w:t>úsek sociálnoprávnej ochrany detí a sociálnej kurately</w:t>
            </w:r>
          </w:p>
        </w:tc>
        <w:tc>
          <w:tcPr>
            <w:tcW w:w="1221"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13 A</w:t>
            </w:r>
          </w:p>
        </w:tc>
        <w:tc>
          <w:tcPr>
            <w:tcW w:w="1545"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8 A</w:t>
            </w:r>
          </w:p>
        </w:tc>
      </w:tr>
    </w:tbl>
    <w:p w:rsidR="00D378DE" w:rsidRPr="00D378DE" w:rsidRDefault="00D378DE" w:rsidP="00F56357">
      <w:pPr>
        <w:keepNext/>
        <w:shd w:val="clear" w:color="auto" w:fill="F2F2F2" w:themeFill="background1" w:themeFillShade="F2"/>
        <w:spacing w:before="120" w:after="0" w:line="240" w:lineRule="auto"/>
        <w:ind w:firstLine="709"/>
        <w:jc w:val="both"/>
        <w:rPr>
          <w:rFonts w:cs="Times New Roman"/>
          <w:sz w:val="22"/>
        </w:rPr>
      </w:pPr>
      <w:r w:rsidRPr="00D378DE">
        <w:rPr>
          <w:rFonts w:cs="Times New Roman"/>
          <w:sz w:val="22"/>
        </w:rPr>
        <w:t xml:space="preserve">Ministerstvo práce, sociálnych vecí a rodiny </w:t>
      </w:r>
      <w:r w:rsidR="00FE6D2B" w:rsidRPr="00FE6D2B">
        <w:rPr>
          <w:rFonts w:cs="Times New Roman"/>
          <w:sz w:val="22"/>
        </w:rPr>
        <w:t>Slovenskej republiky</w:t>
      </w:r>
      <w:r w:rsidR="00FE6D2B">
        <w:rPr>
          <w:rFonts w:cs="Times New Roman"/>
          <w:sz w:val="22"/>
        </w:rPr>
        <w:t xml:space="preserve"> (ďalej len „ministerstvo práce, </w:t>
      </w:r>
      <w:r w:rsidR="00FE6D2B" w:rsidRPr="00D378DE">
        <w:rPr>
          <w:rFonts w:cs="Times New Roman"/>
          <w:sz w:val="22"/>
        </w:rPr>
        <w:t>sociálnych vecí a rodiny</w:t>
      </w:r>
      <w:r w:rsidR="00FE6D2B">
        <w:rPr>
          <w:rFonts w:cs="Times New Roman"/>
          <w:sz w:val="22"/>
        </w:rPr>
        <w:t xml:space="preserve">“) </w:t>
      </w:r>
      <w:r w:rsidRPr="00D378DE">
        <w:rPr>
          <w:rFonts w:cs="Times New Roman"/>
          <w:sz w:val="22"/>
        </w:rPr>
        <w:t xml:space="preserve">vychádzalo z výstupov rezortnej štatistiky, z vlastných skúseností a vyžiadali si doplňujúce údaje k výkazom za obce a samosprávne kraje od </w:t>
      </w:r>
      <w:proofErr w:type="spellStart"/>
      <w:r w:rsidRPr="00D378DE">
        <w:rPr>
          <w:rFonts w:cs="Times New Roman"/>
          <w:sz w:val="22"/>
        </w:rPr>
        <w:t>DataCentra</w:t>
      </w:r>
      <w:proofErr w:type="spellEnd"/>
      <w:r w:rsidRPr="00D378DE">
        <w:rPr>
          <w:rFonts w:cs="Times New Roman"/>
          <w:sz w:val="22"/>
        </w:rPr>
        <w:t xml:space="preserve"> a od Štátnej pokladnice.</w:t>
      </w:r>
    </w:p>
    <w:p w:rsidR="00D378DE" w:rsidRPr="00D378DE" w:rsidRDefault="00D378DE" w:rsidP="00F56357">
      <w:pPr>
        <w:keepNext/>
        <w:shd w:val="clear" w:color="auto" w:fill="F2F2F2" w:themeFill="background1" w:themeFillShade="F2"/>
        <w:tabs>
          <w:tab w:val="left" w:pos="1276"/>
        </w:tabs>
        <w:spacing w:before="120" w:after="120" w:line="240" w:lineRule="auto"/>
        <w:ind w:firstLine="709"/>
        <w:jc w:val="both"/>
        <w:rPr>
          <w:rFonts w:cs="Times New Roman"/>
          <w:sz w:val="22"/>
        </w:rPr>
      </w:pPr>
      <w:r w:rsidRPr="00D378DE">
        <w:rPr>
          <w:rFonts w:eastAsia="Times New Roman" w:cs="Times New Roman"/>
          <w:sz w:val="22"/>
          <w:u w:val="single"/>
          <w:lang w:eastAsia="cs-CZ"/>
        </w:rPr>
        <w:t>2.2.</w:t>
      </w:r>
      <w:r w:rsidRPr="00D378DE">
        <w:rPr>
          <w:rFonts w:eastAsia="Times New Roman" w:cs="Times New Roman"/>
          <w:sz w:val="22"/>
          <w:u w:val="single"/>
          <w:lang w:eastAsia="cs-CZ"/>
        </w:rPr>
        <w:tab/>
        <w:t>Zhodnotenie kvality výkonu samosprávnych pôsobností</w:t>
      </w:r>
      <w:r w:rsidRPr="00D378DE">
        <w:rPr>
          <w:rFonts w:cs="Times New Roman"/>
          <w:sz w:val="22"/>
        </w:rPr>
        <w:t xml:space="preserve"> </w:t>
      </w:r>
    </w:p>
    <w:p w:rsidR="00D378DE" w:rsidRPr="00D378DE" w:rsidRDefault="00D378DE" w:rsidP="00F56357">
      <w:pPr>
        <w:shd w:val="clear" w:color="auto" w:fill="F2F2F2" w:themeFill="background1" w:themeFillShade="F2"/>
        <w:spacing w:before="120" w:after="0" w:line="240" w:lineRule="auto"/>
        <w:ind w:firstLine="709"/>
        <w:jc w:val="both"/>
        <w:rPr>
          <w:rFonts w:cs="Times New Roman"/>
          <w:sz w:val="22"/>
        </w:rPr>
      </w:pPr>
      <w:r w:rsidRPr="00D378DE">
        <w:rPr>
          <w:rFonts w:cs="Times New Roman"/>
          <w:sz w:val="22"/>
        </w:rPr>
        <w:t>Decentralizáciou opatrovateľskej služby na obce došlo k postupnému poklesu počtu opatrovaných osôb a počtu opatrovateľov, a to napriek nepriaznivým demografickým zmenám a</w:t>
      </w:r>
      <w:r w:rsidR="00D671FE">
        <w:rPr>
          <w:rFonts w:cs="Times New Roman"/>
          <w:sz w:val="22"/>
        </w:rPr>
        <w:t> </w:t>
      </w:r>
      <w:r w:rsidRPr="00D378DE">
        <w:rPr>
          <w:rFonts w:cs="Times New Roman"/>
          <w:sz w:val="22"/>
        </w:rPr>
        <w:t>zvyšujúce</w:t>
      </w:r>
      <w:r w:rsidR="001251BD">
        <w:rPr>
          <w:rFonts w:cs="Times New Roman"/>
          <w:sz w:val="22"/>
        </w:rPr>
        <w:t>mu</w:t>
      </w:r>
      <w:r w:rsidRPr="00D378DE">
        <w:rPr>
          <w:rFonts w:cs="Times New Roman"/>
          <w:sz w:val="22"/>
        </w:rPr>
        <w:t xml:space="preserve"> sa dopytu po tejto sociálnej službe, ktoré bolo spôsobené najmä nedostatkom finančných prostriedkov, ako to odôvodňovali zástupcovia obcí.</w:t>
      </w:r>
    </w:p>
    <w:p w:rsidR="00D378DE" w:rsidRPr="00D378DE" w:rsidRDefault="00D378DE" w:rsidP="00F56357">
      <w:pPr>
        <w:shd w:val="clear" w:color="auto" w:fill="F2F2F2" w:themeFill="background1" w:themeFillShade="F2"/>
        <w:spacing w:before="120" w:after="0" w:line="240" w:lineRule="auto"/>
        <w:ind w:firstLine="709"/>
        <w:jc w:val="both"/>
        <w:rPr>
          <w:rFonts w:cs="Times New Roman"/>
          <w:sz w:val="22"/>
        </w:rPr>
      </w:pPr>
      <w:r w:rsidRPr="00D378DE">
        <w:rPr>
          <w:rFonts w:cs="Times New Roman"/>
          <w:sz w:val="22"/>
        </w:rPr>
        <w:t>Najväčšie problémy pri poskytovaní sociálnych služieb signalizovali hlavne obce s menším počtom obyvateľov</w:t>
      </w:r>
      <w:r w:rsidR="00D671FE">
        <w:rPr>
          <w:rFonts w:cs="Times New Roman"/>
          <w:sz w:val="22"/>
        </w:rPr>
        <w:t>,</w:t>
      </w:r>
      <w:r w:rsidRPr="00D378DE">
        <w:rPr>
          <w:rFonts w:cs="Times New Roman"/>
          <w:sz w:val="22"/>
        </w:rPr>
        <w:t xml:space="preserve"> a to aj z dôvodu nedostatočného personálneho a finančného zabezpečenia.</w:t>
      </w:r>
    </w:p>
    <w:p w:rsidR="00D378DE" w:rsidRPr="00D378DE" w:rsidRDefault="00D378DE" w:rsidP="00F56357">
      <w:pPr>
        <w:shd w:val="clear" w:color="auto" w:fill="F2F2F2" w:themeFill="background1" w:themeFillShade="F2"/>
        <w:spacing w:before="120" w:after="0" w:line="240" w:lineRule="auto"/>
        <w:ind w:firstLine="709"/>
        <w:jc w:val="both"/>
        <w:rPr>
          <w:rFonts w:cs="Times New Roman"/>
          <w:sz w:val="22"/>
        </w:rPr>
      </w:pPr>
      <w:r w:rsidRPr="00D378DE">
        <w:rPr>
          <w:rFonts w:cs="Times New Roman"/>
          <w:sz w:val="22"/>
        </w:rPr>
        <w:t>Pozitívne možno hodnotiť výkon samosprávnej pôsobnosti v oblasti posudzovania a</w:t>
      </w:r>
      <w:r w:rsidR="00D671FE">
        <w:rPr>
          <w:rFonts w:cs="Times New Roman"/>
          <w:sz w:val="22"/>
        </w:rPr>
        <w:t> </w:t>
      </w:r>
      <w:r w:rsidRPr="00D378DE">
        <w:rPr>
          <w:rFonts w:cs="Times New Roman"/>
          <w:sz w:val="22"/>
        </w:rPr>
        <w:t>rozhodovania o odkázanosti na sociálne služby, ktorý napriek počiatočným problémom (zabezpečenie posudkových lekárov a sociálnych pracovníkov) zvládla samospráva veľmi dobre.</w:t>
      </w:r>
    </w:p>
    <w:p w:rsidR="00D378DE" w:rsidRPr="00D378DE" w:rsidRDefault="00D378DE" w:rsidP="00F56357">
      <w:pPr>
        <w:shd w:val="clear" w:color="auto" w:fill="F2F2F2" w:themeFill="background1" w:themeFillShade="F2"/>
        <w:spacing w:before="120" w:after="0" w:line="240" w:lineRule="auto"/>
        <w:ind w:firstLine="709"/>
        <w:jc w:val="both"/>
        <w:rPr>
          <w:rFonts w:cs="Times New Roman"/>
          <w:sz w:val="22"/>
        </w:rPr>
      </w:pPr>
      <w:r w:rsidRPr="00D378DE">
        <w:rPr>
          <w:rFonts w:cs="Times New Roman"/>
          <w:sz w:val="22"/>
        </w:rPr>
        <w:t>Za najslabšie stránky skutkového stavu poskytovania sociálnych služieb možno považovať:</w:t>
      </w:r>
    </w:p>
    <w:p w:rsidR="00D378DE" w:rsidRPr="00D378DE" w:rsidRDefault="00D378DE" w:rsidP="00F56357">
      <w:pPr>
        <w:numPr>
          <w:ilvl w:val="0"/>
          <w:numId w:val="1"/>
        </w:numPr>
        <w:shd w:val="clear" w:color="auto" w:fill="F2F2F2" w:themeFill="background1" w:themeFillShade="F2"/>
        <w:spacing w:before="120" w:after="0" w:line="240" w:lineRule="auto"/>
        <w:contextualSpacing/>
        <w:jc w:val="both"/>
        <w:rPr>
          <w:rFonts w:cs="Times New Roman"/>
          <w:sz w:val="22"/>
        </w:rPr>
      </w:pPr>
      <w:r w:rsidRPr="00D378DE">
        <w:rPr>
          <w:rFonts w:cs="Times New Roman"/>
          <w:sz w:val="22"/>
        </w:rPr>
        <w:t xml:space="preserve"> nedostatočne vytvorené podmienky pre zotrvanie prijímateľa sociálnej služby v prirodzenom (domácom) sociálnom prostredí, </w:t>
      </w:r>
    </w:p>
    <w:p w:rsidR="00D378DE" w:rsidRPr="00D378DE" w:rsidRDefault="00D378DE" w:rsidP="00F56357">
      <w:pPr>
        <w:numPr>
          <w:ilvl w:val="0"/>
          <w:numId w:val="1"/>
        </w:numPr>
        <w:shd w:val="clear" w:color="auto" w:fill="F2F2F2" w:themeFill="background1" w:themeFillShade="F2"/>
        <w:spacing w:before="120" w:after="0" w:line="240" w:lineRule="auto"/>
        <w:contextualSpacing/>
        <w:jc w:val="both"/>
        <w:rPr>
          <w:rFonts w:cs="Times New Roman"/>
          <w:sz w:val="22"/>
        </w:rPr>
      </w:pPr>
      <w:r w:rsidRPr="00D378DE">
        <w:rPr>
          <w:rFonts w:cs="Times New Roman"/>
          <w:sz w:val="22"/>
        </w:rPr>
        <w:t xml:space="preserve">nedostatočne zabezpečenú kontinuitu sociálnej a zdravotnej starostlivosti pri dlhodobej odkázanosti na pomoc inej osoby, </w:t>
      </w:r>
    </w:p>
    <w:p w:rsidR="00D378DE" w:rsidRPr="00D378DE" w:rsidRDefault="00D378DE" w:rsidP="00F56357">
      <w:pPr>
        <w:numPr>
          <w:ilvl w:val="0"/>
          <w:numId w:val="1"/>
        </w:numPr>
        <w:shd w:val="clear" w:color="auto" w:fill="F2F2F2" w:themeFill="background1" w:themeFillShade="F2"/>
        <w:spacing w:before="120" w:after="0" w:line="240" w:lineRule="auto"/>
        <w:contextualSpacing/>
        <w:jc w:val="both"/>
        <w:rPr>
          <w:rFonts w:cs="Times New Roman"/>
          <w:sz w:val="22"/>
        </w:rPr>
      </w:pPr>
      <w:r w:rsidRPr="00D378DE">
        <w:rPr>
          <w:rFonts w:cs="Times New Roman"/>
          <w:sz w:val="22"/>
        </w:rPr>
        <w:t>nedostatočnosť a regionálna nerovnomernosť siete zariadení sociálnych služieb a</w:t>
      </w:r>
      <w:r w:rsidR="00D671FE">
        <w:rPr>
          <w:rFonts w:cs="Times New Roman"/>
          <w:sz w:val="22"/>
        </w:rPr>
        <w:t> </w:t>
      </w:r>
      <w:r w:rsidRPr="00D378DE">
        <w:rPr>
          <w:rFonts w:cs="Times New Roman"/>
          <w:sz w:val="22"/>
        </w:rPr>
        <w:t xml:space="preserve">terénnych sociálnych služieb pokrývajúcich oprávnený dopyt občanov po rozvoji z hľadiska </w:t>
      </w:r>
      <w:proofErr w:type="spellStart"/>
      <w:r w:rsidRPr="00D378DE">
        <w:rPr>
          <w:rFonts w:cs="Times New Roman"/>
          <w:sz w:val="22"/>
        </w:rPr>
        <w:t>druhovosti</w:t>
      </w:r>
      <w:proofErr w:type="spellEnd"/>
      <w:r w:rsidRPr="00D378DE">
        <w:rPr>
          <w:rFonts w:cs="Times New Roman"/>
          <w:sz w:val="22"/>
        </w:rPr>
        <w:t xml:space="preserve"> sociálnych služieb a ich fyzickej dostupnosti a nedostatočná variabilita a flexibilita sociálnych služieb, </w:t>
      </w:r>
    </w:p>
    <w:p w:rsidR="00D378DE" w:rsidRPr="00D378DE" w:rsidRDefault="00D378DE" w:rsidP="00F56357">
      <w:pPr>
        <w:numPr>
          <w:ilvl w:val="0"/>
          <w:numId w:val="1"/>
        </w:numPr>
        <w:shd w:val="clear" w:color="auto" w:fill="F2F2F2" w:themeFill="background1" w:themeFillShade="F2"/>
        <w:spacing w:before="120" w:after="0" w:line="240" w:lineRule="auto"/>
        <w:contextualSpacing/>
        <w:jc w:val="both"/>
        <w:rPr>
          <w:rFonts w:cs="Times New Roman"/>
          <w:sz w:val="22"/>
        </w:rPr>
      </w:pPr>
      <w:r w:rsidRPr="00D378DE">
        <w:rPr>
          <w:rFonts w:cs="Times New Roman"/>
          <w:sz w:val="22"/>
        </w:rPr>
        <w:t xml:space="preserve">dostatočne nezabezpečené viaczdrojové financovanie sociálnych služieb fyzickým osobám odkázaným na pomoc inej osoby pri úkonoch sebaobsluhy, </w:t>
      </w:r>
    </w:p>
    <w:p w:rsidR="00D378DE" w:rsidRPr="00D378DE" w:rsidRDefault="00D378DE" w:rsidP="00F56357">
      <w:pPr>
        <w:numPr>
          <w:ilvl w:val="0"/>
          <w:numId w:val="1"/>
        </w:numPr>
        <w:shd w:val="clear" w:color="auto" w:fill="F2F2F2" w:themeFill="background1" w:themeFillShade="F2"/>
        <w:spacing w:before="120" w:after="0" w:line="240" w:lineRule="auto"/>
        <w:contextualSpacing/>
        <w:jc w:val="both"/>
        <w:rPr>
          <w:rFonts w:cs="Times New Roman"/>
          <w:sz w:val="22"/>
        </w:rPr>
      </w:pPr>
      <w:r w:rsidRPr="00D378DE">
        <w:rPr>
          <w:rFonts w:cs="Times New Roman"/>
          <w:sz w:val="22"/>
        </w:rPr>
        <w:lastRenderedPageBreak/>
        <w:t>nezabezpečenie možnosti úhrady nákladov zdravotnej starostlivosti v rozsahu ošetrovateľskej starostlivosti vo vybraných zariadeniach sociálnych služieb zo zdrojov verejného zdravotného poistenia.</w:t>
      </w:r>
    </w:p>
    <w:p w:rsidR="00D378DE" w:rsidRPr="00D378DE" w:rsidRDefault="00D378DE" w:rsidP="00F56357">
      <w:pPr>
        <w:shd w:val="clear" w:color="auto" w:fill="F2F2F2" w:themeFill="background1" w:themeFillShade="F2"/>
        <w:spacing w:before="120" w:after="0" w:line="240" w:lineRule="auto"/>
        <w:ind w:firstLine="709"/>
        <w:jc w:val="both"/>
        <w:rPr>
          <w:rFonts w:cs="Times New Roman"/>
          <w:sz w:val="22"/>
        </w:rPr>
      </w:pPr>
      <w:r w:rsidRPr="00D378DE">
        <w:rPr>
          <w:rFonts w:cs="Times New Roman"/>
          <w:sz w:val="22"/>
        </w:rPr>
        <w:t>Najzávažnejšími ohrozeniami v oblasti sociálnych služieb sú najmä riziko zvyšovania úhrad za poskytované sociálne služby a riziko znižovania ich kvality a dlhodobej udržateľnosti financovania z dôvodu starnutia populácie a zvyšovania nákladovosti služieb a  riziko nepostačujúcej kapacity terénnych sociálnych služieb a nepokrytá potreba rozvoja kapacít zariadení sociálnych služieb v</w:t>
      </w:r>
      <w:r w:rsidR="00D671FE">
        <w:rPr>
          <w:rFonts w:cs="Times New Roman"/>
          <w:sz w:val="22"/>
        </w:rPr>
        <w:t> </w:t>
      </w:r>
      <w:r w:rsidRPr="00D378DE">
        <w:rPr>
          <w:rFonts w:cs="Times New Roman"/>
          <w:sz w:val="22"/>
        </w:rPr>
        <w:t>dôsledku nárastu občanov vyšších vekových kategórií odkázaných na komplexnú a dlhodobú zdravotno-sociálnu starostlivosť.</w:t>
      </w:r>
    </w:p>
    <w:p w:rsidR="00D378DE" w:rsidRPr="00D378DE" w:rsidRDefault="00D378DE" w:rsidP="00F56357">
      <w:pPr>
        <w:keepNext/>
        <w:shd w:val="clear" w:color="auto" w:fill="F2F2F2" w:themeFill="background1" w:themeFillShade="F2"/>
        <w:tabs>
          <w:tab w:val="left" w:pos="1276"/>
        </w:tabs>
        <w:spacing w:before="120" w:after="120" w:line="240" w:lineRule="auto"/>
        <w:ind w:firstLine="709"/>
        <w:jc w:val="both"/>
        <w:rPr>
          <w:rFonts w:cs="Times New Roman"/>
          <w:sz w:val="22"/>
          <w:u w:val="single"/>
        </w:rPr>
      </w:pPr>
      <w:r w:rsidRPr="00D378DE">
        <w:rPr>
          <w:rFonts w:cs="Times New Roman"/>
          <w:sz w:val="22"/>
          <w:u w:val="single"/>
        </w:rPr>
        <w:t>2.3.</w:t>
      </w:r>
      <w:r w:rsidRPr="00D378DE">
        <w:rPr>
          <w:rFonts w:cs="Times New Roman"/>
          <w:sz w:val="22"/>
          <w:u w:val="single"/>
        </w:rPr>
        <w:tab/>
        <w:t>Financovanie výkonu samosprávnych pôsobností</w:t>
      </w:r>
    </w:p>
    <w:p w:rsidR="00D378DE" w:rsidRPr="00D378DE" w:rsidRDefault="00D912F5" w:rsidP="00F56357">
      <w:pPr>
        <w:shd w:val="clear" w:color="auto" w:fill="F2F2F2" w:themeFill="background1" w:themeFillShade="F2"/>
        <w:spacing w:before="120" w:after="0" w:line="240" w:lineRule="auto"/>
        <w:ind w:firstLine="709"/>
        <w:jc w:val="both"/>
        <w:rPr>
          <w:rFonts w:cs="Times New Roman"/>
          <w:sz w:val="22"/>
        </w:rPr>
      </w:pPr>
      <w:r>
        <w:rPr>
          <w:rFonts w:cs="Times New Roman"/>
          <w:sz w:val="22"/>
        </w:rPr>
        <w:t>Ministerstvo práce</w:t>
      </w:r>
      <w:r w:rsidR="00D671FE">
        <w:rPr>
          <w:rFonts w:cs="Times New Roman"/>
          <w:sz w:val="22"/>
        </w:rPr>
        <w:t xml:space="preserve">, </w:t>
      </w:r>
      <w:r w:rsidR="00D671FE" w:rsidRPr="00D378DE">
        <w:rPr>
          <w:rFonts w:cs="Times New Roman"/>
          <w:sz w:val="22"/>
        </w:rPr>
        <w:t>sociálnych vecí a rodiny</w:t>
      </w:r>
      <w:r w:rsidR="00D378DE" w:rsidRPr="00D378DE">
        <w:rPr>
          <w:rFonts w:cs="Times New Roman"/>
          <w:sz w:val="22"/>
        </w:rPr>
        <w:t xml:space="preserve"> neposkytlo relevantné údaje o financovaní samosprávnych pôsobností obcí a samosprávnych krajov za referenčné roky. </w:t>
      </w:r>
    </w:p>
    <w:p w:rsidR="00D378DE" w:rsidRPr="00D378DE" w:rsidRDefault="00D378DE" w:rsidP="00F56357">
      <w:pPr>
        <w:shd w:val="clear" w:color="auto" w:fill="F2F2F2" w:themeFill="background1" w:themeFillShade="F2"/>
        <w:spacing w:before="120" w:after="0" w:line="240" w:lineRule="auto"/>
        <w:ind w:firstLine="709"/>
        <w:jc w:val="both"/>
        <w:rPr>
          <w:rFonts w:cs="Times New Roman"/>
          <w:sz w:val="22"/>
        </w:rPr>
      </w:pPr>
      <w:r w:rsidRPr="00D378DE">
        <w:rPr>
          <w:rFonts w:cs="Times New Roman"/>
          <w:sz w:val="22"/>
        </w:rPr>
        <w:t>S účinnosťou od 1. januára 2005 sú v súlade s fiškálnou decentralizáciou sociálne služby poskytované obcami a samosprávnymi krajmi financované najmä z vlastných príjmov samosprávnych orgánov na základe nového systému prerozdeľovania daní. Ide najmä o výnosy z dane z príjmov, ktoré cez daňové úrady plynú do rozpočtov obcí a </w:t>
      </w:r>
      <w:r w:rsidRPr="00D378DE">
        <w:rPr>
          <w:rFonts w:eastAsia="Times New Roman" w:cs="Times New Roman"/>
          <w:sz w:val="22"/>
          <w:lang w:eastAsia="cs-CZ"/>
        </w:rPr>
        <w:t>samosprávnych krajov</w:t>
      </w:r>
      <w:r w:rsidRPr="00D378DE">
        <w:rPr>
          <w:rFonts w:cs="Times New Roman"/>
          <w:sz w:val="22"/>
        </w:rPr>
        <w:t xml:space="preserve"> podľa osobitných kritérií.</w:t>
      </w:r>
    </w:p>
    <w:p w:rsidR="00D378DE" w:rsidRPr="00D378DE" w:rsidRDefault="00D378DE" w:rsidP="00F56357">
      <w:pPr>
        <w:keepNext/>
        <w:shd w:val="clear" w:color="auto" w:fill="F2F2F2" w:themeFill="background1" w:themeFillShade="F2"/>
        <w:tabs>
          <w:tab w:val="left" w:pos="1276"/>
        </w:tabs>
        <w:spacing w:before="120" w:after="120" w:line="240" w:lineRule="auto"/>
        <w:ind w:firstLine="709"/>
        <w:jc w:val="both"/>
        <w:rPr>
          <w:rFonts w:cs="Times New Roman"/>
          <w:sz w:val="22"/>
          <w:u w:val="single"/>
        </w:rPr>
      </w:pPr>
      <w:r w:rsidRPr="00D378DE">
        <w:rPr>
          <w:rFonts w:cs="Times New Roman"/>
          <w:sz w:val="22"/>
          <w:u w:val="single"/>
        </w:rPr>
        <w:t>2.4.</w:t>
      </w:r>
      <w:r w:rsidRPr="00D378DE">
        <w:rPr>
          <w:rFonts w:cs="Times New Roman"/>
          <w:sz w:val="22"/>
          <w:u w:val="single"/>
        </w:rPr>
        <w:tab/>
        <w:t>Návrhy opatrení</w:t>
      </w:r>
    </w:p>
    <w:p w:rsidR="00D378DE" w:rsidRPr="00D378DE" w:rsidRDefault="00D378DE" w:rsidP="00F56357">
      <w:pPr>
        <w:shd w:val="clear" w:color="auto" w:fill="F2F2F2" w:themeFill="background1" w:themeFillShade="F2"/>
        <w:spacing w:before="120" w:after="120" w:line="240" w:lineRule="auto"/>
        <w:ind w:firstLine="709"/>
        <w:jc w:val="both"/>
        <w:rPr>
          <w:rFonts w:cs="Times New Roman"/>
          <w:sz w:val="22"/>
        </w:rPr>
      </w:pPr>
      <w:r w:rsidRPr="00D378DE">
        <w:rPr>
          <w:rFonts w:cs="Times New Roman"/>
          <w:sz w:val="22"/>
        </w:rPr>
        <w:t>Ministerstvo práce, sociálnych vecí a rodiny navrhuje pripraviť novelu zákona o sociálnych službách a v rámci nej sa zaoberať najmä problematikou vytvorenia podmienok nového systému dlhodobej starostlivosti a zabezpečenia financovania ošetrovateľských úkonov poskytovaných v zariadeniach sociálnych služieb zo zdrojov verejného zdravotného poistenia. Navrhuje aj združovanie obcí pri výkone vybraných samosprávnych úloh v oblasti sociálnych služieb, pokračovanie vo zvyšovaní participácie štátu na financovaní sociálnych služieb a riešenie</w:t>
      </w:r>
      <w:r w:rsidR="0069285B">
        <w:rPr>
          <w:rFonts w:cs="Times New Roman"/>
          <w:sz w:val="22"/>
        </w:rPr>
        <w:t xml:space="preserve"> otázky spolupráce a spolupôsob</w:t>
      </w:r>
      <w:r w:rsidRPr="00D378DE">
        <w:rPr>
          <w:rFonts w:cs="Times New Roman"/>
          <w:sz w:val="22"/>
        </w:rPr>
        <w:t>enia (orgánov štátu a orgánov územnej samosprávy) pri vykonávaní opatrení sociálnoprávnej ochrany detí a sociálnej kurately.</w:t>
      </w:r>
    </w:p>
    <w:p w:rsidR="00D378DE" w:rsidRPr="00D378DE" w:rsidRDefault="00D378DE" w:rsidP="00F56357">
      <w:pPr>
        <w:keepNext/>
        <w:shd w:val="clear" w:color="auto" w:fill="F2F2F2" w:themeFill="background1" w:themeFillShade="F2"/>
        <w:tabs>
          <w:tab w:val="left" w:pos="1276"/>
        </w:tabs>
        <w:spacing w:before="120" w:after="120" w:line="240" w:lineRule="auto"/>
        <w:ind w:firstLine="709"/>
        <w:jc w:val="both"/>
        <w:rPr>
          <w:rFonts w:cs="Times New Roman"/>
          <w:sz w:val="22"/>
          <w:u w:val="single"/>
        </w:rPr>
      </w:pPr>
      <w:r w:rsidRPr="00D378DE">
        <w:rPr>
          <w:rFonts w:cs="Times New Roman"/>
          <w:sz w:val="22"/>
          <w:u w:val="single"/>
        </w:rPr>
        <w:t>Kritické stanovisko</w:t>
      </w:r>
    </w:p>
    <w:p w:rsidR="00D378DE" w:rsidRPr="00D378DE" w:rsidRDefault="00D378DE" w:rsidP="00F56357">
      <w:pPr>
        <w:shd w:val="clear" w:color="auto" w:fill="F2F2F2" w:themeFill="background1" w:themeFillShade="F2"/>
        <w:spacing w:before="120" w:after="0" w:line="240" w:lineRule="auto"/>
        <w:ind w:firstLine="709"/>
        <w:jc w:val="both"/>
        <w:rPr>
          <w:rFonts w:cs="Times New Roman"/>
          <w:sz w:val="22"/>
        </w:rPr>
      </w:pPr>
      <w:bookmarkStart w:id="0" w:name="_GoBack"/>
      <w:r w:rsidRPr="00D378DE">
        <w:rPr>
          <w:rFonts w:cs="Times New Roman"/>
          <w:sz w:val="22"/>
        </w:rPr>
        <w:t>Ministerstvo pr</w:t>
      </w:r>
      <w:bookmarkEnd w:id="0"/>
      <w:r w:rsidRPr="00D378DE">
        <w:rPr>
          <w:rFonts w:cs="Times New Roman"/>
          <w:sz w:val="22"/>
        </w:rPr>
        <w:t>áce, sociálnych vecí a rodiny vychádzalo pri výkone auditu a príprave správy z jednotnej metodiky. Problémom bolo objektívne zhodnotenie kvality (nemali zadefinované merateľné ukazovatele hodnotenia kvality). Do budúcnosti však už má ministerstvo v zákone o sociálnych službách stanovené podmienky hodnotenia kvality poskytovanej sociálnej služby (účinnosť od 1. 1. 2016). V správe o audite ministerstvo neuviedlo k návrhom opatrení termíny ich plnenia.</w:t>
      </w:r>
    </w:p>
    <w:p w:rsidR="00D378DE" w:rsidRPr="00D378DE" w:rsidRDefault="00D378DE" w:rsidP="00F56357">
      <w:pPr>
        <w:keepNext/>
        <w:spacing w:before="240" w:after="240" w:line="240" w:lineRule="auto"/>
        <w:jc w:val="both"/>
        <w:rPr>
          <w:rFonts w:cs="Times New Roman"/>
          <w:b/>
          <w:szCs w:val="24"/>
        </w:rPr>
      </w:pPr>
      <w:r w:rsidRPr="00D378DE">
        <w:rPr>
          <w:rFonts w:cs="Times New Roman"/>
          <w:b/>
          <w:szCs w:val="24"/>
        </w:rPr>
        <w:t>Ministerstvo školstva, vedy, výskumu a športu Slovenskej republiky</w:t>
      </w:r>
    </w:p>
    <w:p w:rsidR="000F47FA" w:rsidRDefault="00753168" w:rsidP="000F47FA">
      <w:pPr>
        <w:keepNext/>
        <w:shd w:val="clear" w:color="auto" w:fill="FFFFFF" w:themeFill="background1"/>
        <w:tabs>
          <w:tab w:val="left" w:pos="1276"/>
        </w:tabs>
        <w:spacing w:before="120" w:after="120" w:line="240" w:lineRule="auto"/>
        <w:ind w:firstLine="709"/>
        <w:jc w:val="both"/>
        <w:rPr>
          <w:rFonts w:eastAsia="Times New Roman" w:cs="Times New Roman"/>
          <w:sz w:val="22"/>
          <w:u w:val="single"/>
          <w:lang w:eastAsia="cs-CZ"/>
        </w:rPr>
      </w:pPr>
      <w:r>
        <w:rPr>
          <w:rFonts w:eastAsia="Times New Roman" w:cs="Times New Roman"/>
          <w:sz w:val="22"/>
          <w:u w:val="single"/>
          <w:lang w:eastAsia="cs-CZ"/>
        </w:rPr>
        <w:t>2</w:t>
      </w:r>
      <w:r w:rsidR="000F47FA" w:rsidRPr="00D861B9">
        <w:rPr>
          <w:rFonts w:eastAsia="Times New Roman" w:cs="Times New Roman"/>
          <w:sz w:val="22"/>
          <w:u w:val="single"/>
          <w:lang w:eastAsia="cs-CZ"/>
        </w:rPr>
        <w:t>.1.</w:t>
      </w:r>
      <w:r w:rsidR="000F47FA" w:rsidRPr="00D861B9">
        <w:rPr>
          <w:rFonts w:eastAsia="Times New Roman" w:cs="Times New Roman"/>
          <w:sz w:val="22"/>
          <w:u w:val="single"/>
          <w:lang w:eastAsia="cs-CZ"/>
        </w:rPr>
        <w:tab/>
        <w:t xml:space="preserve">Katalóg </w:t>
      </w:r>
      <w:r w:rsidR="000F47FA">
        <w:rPr>
          <w:rFonts w:eastAsia="Times New Roman" w:cs="Times New Roman"/>
          <w:sz w:val="22"/>
          <w:u w:val="single"/>
          <w:lang w:eastAsia="cs-CZ"/>
        </w:rPr>
        <w:t>samosprávnych</w:t>
      </w:r>
      <w:r w:rsidR="000F47FA" w:rsidRPr="00D861B9">
        <w:rPr>
          <w:rFonts w:eastAsia="Times New Roman" w:cs="Times New Roman"/>
          <w:sz w:val="22"/>
          <w:u w:val="single"/>
          <w:lang w:eastAsia="cs-CZ"/>
        </w:rPr>
        <w:t xml:space="preserve"> pôsobností</w:t>
      </w:r>
    </w:p>
    <w:p w:rsidR="000F47FA" w:rsidRPr="00D861B9" w:rsidRDefault="000F47FA" w:rsidP="000F47FA">
      <w:pPr>
        <w:keepNext/>
        <w:shd w:val="clear" w:color="auto" w:fill="FFFFFF" w:themeFill="background1"/>
        <w:tabs>
          <w:tab w:val="left" w:pos="1276"/>
        </w:tabs>
        <w:spacing w:before="120" w:after="120" w:line="240" w:lineRule="auto"/>
        <w:ind w:firstLine="709"/>
        <w:jc w:val="both"/>
        <w:rPr>
          <w:rFonts w:eastAsia="Times New Roman" w:cs="Times New Roman"/>
          <w:sz w:val="22"/>
          <w:lang w:eastAsia="cs-CZ"/>
        </w:rPr>
      </w:pPr>
      <w:r w:rsidRPr="00D861B9">
        <w:rPr>
          <w:rFonts w:eastAsia="Times New Roman" w:cs="Times New Roman"/>
          <w:sz w:val="22"/>
          <w:lang w:eastAsia="cs-CZ"/>
        </w:rPr>
        <w:t>Zoznam úsekov</w:t>
      </w:r>
      <w:r>
        <w:rPr>
          <w:rFonts w:eastAsia="Times New Roman" w:cs="Times New Roman"/>
          <w:sz w:val="22"/>
          <w:lang w:eastAsia="cs-CZ"/>
        </w:rPr>
        <w:t>,</w:t>
      </w:r>
      <w:r w:rsidRPr="00D861B9">
        <w:rPr>
          <w:rFonts w:eastAsia="Times New Roman" w:cs="Times New Roman"/>
          <w:sz w:val="22"/>
          <w:lang w:eastAsia="cs-CZ"/>
        </w:rPr>
        <w:t xml:space="preserve"> </w:t>
      </w:r>
      <w:r w:rsidRPr="00B67413">
        <w:rPr>
          <w:rFonts w:eastAsia="Times New Roman" w:cs="Times New Roman"/>
          <w:sz w:val="22"/>
          <w:lang w:eastAsia="cs-CZ"/>
        </w:rPr>
        <w:t>na ktorých obce a samosprávne kraje vykonávajú samosprávne pôsobnosti</w:t>
      </w:r>
      <w:r>
        <w:rPr>
          <w:rFonts w:eastAsia="Times New Roman" w:cs="Times New Roman"/>
          <w:sz w:val="22"/>
          <w:lang w:eastAsia="cs-CZ"/>
        </w:rPr>
        <w:t>,</w:t>
      </w:r>
      <w:r w:rsidRPr="00D861B9">
        <w:rPr>
          <w:rFonts w:eastAsia="Times New Roman" w:cs="Times New Roman"/>
          <w:sz w:val="22"/>
          <w:lang w:eastAsia="cs-CZ"/>
        </w:rPr>
        <w:t xml:space="preserve"> </w:t>
      </w:r>
      <w:r>
        <w:rPr>
          <w:rFonts w:eastAsia="Times New Roman" w:cs="Times New Roman"/>
          <w:sz w:val="22"/>
          <w:lang w:eastAsia="cs-CZ"/>
        </w:rPr>
        <w:t>a údaje o počte úloh:</w:t>
      </w:r>
    </w:p>
    <w:tbl>
      <w:tblPr>
        <w:tblStyle w:val="Mriekatabuky"/>
        <w:tblW w:w="0" w:type="auto"/>
        <w:jc w:val="center"/>
        <w:tblLook w:val="04A0" w:firstRow="1" w:lastRow="0" w:firstColumn="1" w:lastColumn="0" w:noHBand="0" w:noVBand="1"/>
      </w:tblPr>
      <w:tblGrid>
        <w:gridCol w:w="2061"/>
        <w:gridCol w:w="2430"/>
        <w:gridCol w:w="1221"/>
        <w:gridCol w:w="1545"/>
      </w:tblGrid>
      <w:tr w:rsidR="000F47FA" w:rsidRPr="00D861B9" w:rsidTr="000F47FA">
        <w:trPr>
          <w:jc w:val="center"/>
        </w:trPr>
        <w:tc>
          <w:tcPr>
            <w:tcW w:w="2061" w:type="dxa"/>
            <w:shd w:val="clear" w:color="auto" w:fill="auto"/>
          </w:tcPr>
          <w:p w:rsidR="000F47FA" w:rsidRPr="009766D2" w:rsidRDefault="000F47FA" w:rsidP="000F47FA">
            <w:pPr>
              <w:shd w:val="clear" w:color="auto" w:fill="FFFFFF" w:themeFill="background1"/>
              <w:spacing w:before="120" w:after="60"/>
              <w:jc w:val="left"/>
              <w:rPr>
                <w:b/>
                <w:sz w:val="16"/>
                <w:szCs w:val="16"/>
              </w:rPr>
            </w:pPr>
            <w:r w:rsidRPr="009766D2">
              <w:rPr>
                <w:b/>
                <w:sz w:val="16"/>
                <w:szCs w:val="16"/>
              </w:rPr>
              <w:t>obce</w:t>
            </w:r>
          </w:p>
        </w:tc>
        <w:tc>
          <w:tcPr>
            <w:tcW w:w="2430" w:type="dxa"/>
            <w:shd w:val="clear" w:color="auto" w:fill="auto"/>
          </w:tcPr>
          <w:p w:rsidR="000F47FA" w:rsidRPr="009766D2" w:rsidRDefault="000F47FA" w:rsidP="000F47FA">
            <w:pPr>
              <w:shd w:val="clear" w:color="auto" w:fill="FFFFFF" w:themeFill="background1"/>
              <w:spacing w:before="120" w:after="60"/>
              <w:rPr>
                <w:b/>
                <w:sz w:val="16"/>
                <w:szCs w:val="16"/>
              </w:rPr>
            </w:pPr>
            <w:r w:rsidRPr="009766D2">
              <w:rPr>
                <w:b/>
                <w:sz w:val="16"/>
                <w:szCs w:val="16"/>
              </w:rPr>
              <w:t>samosprávne kraje</w:t>
            </w:r>
          </w:p>
        </w:tc>
        <w:tc>
          <w:tcPr>
            <w:tcW w:w="1221" w:type="dxa"/>
            <w:shd w:val="clear" w:color="auto" w:fill="auto"/>
          </w:tcPr>
          <w:p w:rsidR="000F47FA" w:rsidRPr="009766D2" w:rsidRDefault="000F47FA" w:rsidP="000F47FA">
            <w:pPr>
              <w:shd w:val="clear" w:color="auto" w:fill="FFFFFF" w:themeFill="background1"/>
              <w:spacing w:before="120" w:after="60"/>
              <w:rPr>
                <w:b/>
                <w:sz w:val="16"/>
                <w:szCs w:val="16"/>
              </w:rPr>
            </w:pPr>
            <w:r w:rsidRPr="009766D2">
              <w:rPr>
                <w:b/>
                <w:sz w:val="16"/>
                <w:szCs w:val="16"/>
              </w:rPr>
              <w:t>obce</w:t>
            </w:r>
          </w:p>
        </w:tc>
        <w:tc>
          <w:tcPr>
            <w:tcW w:w="1545" w:type="dxa"/>
            <w:shd w:val="clear" w:color="auto" w:fill="auto"/>
          </w:tcPr>
          <w:p w:rsidR="000F47FA" w:rsidRPr="009766D2" w:rsidRDefault="000F47FA" w:rsidP="000F47FA">
            <w:pPr>
              <w:shd w:val="clear" w:color="auto" w:fill="FFFFFF" w:themeFill="background1"/>
              <w:spacing w:before="120" w:after="60"/>
              <w:rPr>
                <w:b/>
                <w:sz w:val="16"/>
                <w:szCs w:val="16"/>
              </w:rPr>
            </w:pPr>
            <w:r w:rsidRPr="009766D2">
              <w:rPr>
                <w:b/>
                <w:sz w:val="16"/>
                <w:szCs w:val="16"/>
              </w:rPr>
              <w:t>samosprávne kraje</w:t>
            </w:r>
          </w:p>
        </w:tc>
      </w:tr>
      <w:tr w:rsidR="000F47FA" w:rsidRPr="00D861B9" w:rsidTr="000F47FA">
        <w:trPr>
          <w:jc w:val="center"/>
        </w:trPr>
        <w:tc>
          <w:tcPr>
            <w:tcW w:w="2061" w:type="dxa"/>
            <w:shd w:val="clear" w:color="auto" w:fill="auto"/>
          </w:tcPr>
          <w:p w:rsidR="000F47FA" w:rsidRPr="009766D2" w:rsidRDefault="000F47FA" w:rsidP="000F47FA">
            <w:pPr>
              <w:spacing w:before="120" w:after="60"/>
              <w:jc w:val="left"/>
              <w:rPr>
                <w:sz w:val="16"/>
                <w:szCs w:val="16"/>
              </w:rPr>
            </w:pPr>
            <w:r>
              <w:rPr>
                <w:sz w:val="16"/>
                <w:szCs w:val="16"/>
              </w:rPr>
              <w:t xml:space="preserve">úsek školstva  (zriaďovateľská pôsobnosť vo vzťahu k ZUŠ, MŠ, ŠKD, ŠSZČ, CVČ, zariadeniam </w:t>
            </w:r>
            <w:proofErr w:type="spellStart"/>
            <w:r>
              <w:rPr>
                <w:sz w:val="16"/>
                <w:szCs w:val="16"/>
              </w:rPr>
              <w:t>škol</w:t>
            </w:r>
            <w:proofErr w:type="spellEnd"/>
            <w:r>
              <w:rPr>
                <w:sz w:val="16"/>
                <w:szCs w:val="16"/>
              </w:rPr>
              <w:t>. stravovania pre ZŠ a MŠ, JŠ pri ZŠ, SSŠ, ŠI)</w:t>
            </w:r>
          </w:p>
        </w:tc>
        <w:tc>
          <w:tcPr>
            <w:tcW w:w="2430" w:type="dxa"/>
            <w:shd w:val="clear" w:color="auto" w:fill="auto"/>
          </w:tcPr>
          <w:p w:rsidR="000F47FA" w:rsidRPr="009766D2" w:rsidRDefault="000F47FA" w:rsidP="000F47FA">
            <w:pPr>
              <w:spacing w:before="120" w:after="60"/>
              <w:jc w:val="left"/>
              <w:rPr>
                <w:sz w:val="16"/>
                <w:szCs w:val="16"/>
              </w:rPr>
            </w:pPr>
            <w:r>
              <w:rPr>
                <w:sz w:val="16"/>
                <w:szCs w:val="16"/>
              </w:rPr>
              <w:t xml:space="preserve">úsek školstva (zriaďovateľská pôsobnosť vo vzťahu k ZUŠ, JŠ, ŠI, zariadeniam </w:t>
            </w:r>
            <w:proofErr w:type="spellStart"/>
            <w:r>
              <w:rPr>
                <w:sz w:val="16"/>
                <w:szCs w:val="16"/>
              </w:rPr>
              <w:t>škol</w:t>
            </w:r>
            <w:proofErr w:type="spellEnd"/>
            <w:r>
              <w:rPr>
                <w:sz w:val="16"/>
                <w:szCs w:val="16"/>
              </w:rPr>
              <w:t xml:space="preserve">. stravovania, ŠH a SOP, SSŠ, školám v prírode, CVČ, ŠSZČ)   </w:t>
            </w:r>
          </w:p>
        </w:tc>
        <w:tc>
          <w:tcPr>
            <w:tcW w:w="1221" w:type="dxa"/>
            <w:shd w:val="clear" w:color="auto" w:fill="auto"/>
            <w:vAlign w:val="center"/>
          </w:tcPr>
          <w:p w:rsidR="000F47FA" w:rsidRPr="009766D2" w:rsidRDefault="000F47FA" w:rsidP="000F47FA">
            <w:pPr>
              <w:spacing w:before="120" w:after="60"/>
              <w:jc w:val="right"/>
              <w:rPr>
                <w:sz w:val="16"/>
                <w:szCs w:val="16"/>
              </w:rPr>
            </w:pPr>
            <w:r>
              <w:rPr>
                <w:sz w:val="16"/>
                <w:szCs w:val="16"/>
              </w:rPr>
              <w:t>7 A/ 9 V</w:t>
            </w:r>
          </w:p>
        </w:tc>
        <w:tc>
          <w:tcPr>
            <w:tcW w:w="1545" w:type="dxa"/>
            <w:shd w:val="clear" w:color="auto" w:fill="auto"/>
            <w:vAlign w:val="center"/>
          </w:tcPr>
          <w:p w:rsidR="000F47FA" w:rsidRPr="009766D2" w:rsidRDefault="000F47FA" w:rsidP="000F47FA">
            <w:pPr>
              <w:spacing w:before="120" w:after="60"/>
              <w:jc w:val="right"/>
              <w:rPr>
                <w:sz w:val="16"/>
                <w:szCs w:val="16"/>
              </w:rPr>
            </w:pPr>
            <w:r>
              <w:rPr>
                <w:sz w:val="16"/>
                <w:szCs w:val="16"/>
              </w:rPr>
              <w:t>5 A/ 9 V</w:t>
            </w:r>
          </w:p>
        </w:tc>
      </w:tr>
    </w:tbl>
    <w:p w:rsidR="00D378DE" w:rsidRPr="00D378DE" w:rsidRDefault="00D378DE" w:rsidP="00F56357">
      <w:pPr>
        <w:widowControl w:val="0"/>
        <w:spacing w:before="120" w:after="0" w:line="240" w:lineRule="auto"/>
        <w:ind w:firstLine="709"/>
        <w:jc w:val="both"/>
        <w:rPr>
          <w:rFonts w:cs="Times New Roman"/>
          <w:sz w:val="22"/>
        </w:rPr>
      </w:pPr>
      <w:r w:rsidRPr="00D378DE">
        <w:rPr>
          <w:rFonts w:cs="Times New Roman"/>
          <w:sz w:val="22"/>
        </w:rPr>
        <w:t>Na získanie relevantných údajov ministerstvo školstva</w:t>
      </w:r>
      <w:r w:rsidR="00BF425A">
        <w:rPr>
          <w:rFonts w:cs="Times New Roman"/>
          <w:sz w:val="22"/>
        </w:rPr>
        <w:t xml:space="preserve">, </w:t>
      </w:r>
      <w:r w:rsidR="00BF425A" w:rsidRPr="00BF425A">
        <w:rPr>
          <w:rFonts w:cs="Times New Roman"/>
          <w:sz w:val="22"/>
        </w:rPr>
        <w:t>vedy, výskumu a športu Slovenskej republiky</w:t>
      </w:r>
      <w:r w:rsidR="00BF425A">
        <w:rPr>
          <w:rFonts w:cs="Times New Roman"/>
          <w:sz w:val="22"/>
        </w:rPr>
        <w:t xml:space="preserve"> (ďalej len „ministerstvo školstva“)</w:t>
      </w:r>
      <w:r w:rsidRPr="00D378DE">
        <w:rPr>
          <w:rFonts w:cs="Times New Roman"/>
          <w:sz w:val="22"/>
        </w:rPr>
        <w:t xml:space="preserve"> oslovilo  priamo samosprávne kraje, ale využilo aj doteraz vypracované materiály (napr. výročné správy krajských školských úradov a samosprávnych krajov a</w:t>
      </w:r>
      <w:r w:rsidR="001251BD">
        <w:rPr>
          <w:rFonts w:cs="Times New Roman"/>
          <w:sz w:val="22"/>
        </w:rPr>
        <w:t xml:space="preserve"> </w:t>
      </w:r>
      <w:r w:rsidRPr="00D378DE">
        <w:rPr>
          <w:rFonts w:cs="Times New Roman"/>
          <w:sz w:val="22"/>
        </w:rPr>
        <w:t>pod.)</w:t>
      </w:r>
      <w:r w:rsidR="00A01674">
        <w:rPr>
          <w:rFonts w:cs="Times New Roman"/>
          <w:sz w:val="22"/>
        </w:rPr>
        <w:t>,</w:t>
      </w:r>
      <w:r w:rsidR="00A01674" w:rsidRPr="00A01674">
        <w:rPr>
          <w:rFonts w:cs="Times New Roman"/>
          <w:sz w:val="22"/>
        </w:rPr>
        <w:t xml:space="preserve"> </w:t>
      </w:r>
      <w:r w:rsidR="00A01674">
        <w:rPr>
          <w:rFonts w:cs="Times New Roman"/>
          <w:sz w:val="22"/>
        </w:rPr>
        <w:t xml:space="preserve">ako aj rezortnú štatistiku a štatistiku </w:t>
      </w:r>
      <w:r w:rsidR="001251BD">
        <w:rPr>
          <w:rFonts w:cs="Times New Roman"/>
          <w:sz w:val="22"/>
        </w:rPr>
        <w:t>ministerstva financií</w:t>
      </w:r>
      <w:r w:rsidR="00A01674">
        <w:rPr>
          <w:rFonts w:cs="Times New Roman"/>
          <w:sz w:val="22"/>
        </w:rPr>
        <w:t xml:space="preserve"> (oblasť financovania)</w:t>
      </w:r>
      <w:r w:rsidR="00A01674" w:rsidRPr="00D378DE">
        <w:rPr>
          <w:rFonts w:cs="Times New Roman"/>
          <w:sz w:val="22"/>
        </w:rPr>
        <w:t xml:space="preserve">.  </w:t>
      </w:r>
      <w:r w:rsidRPr="00D378DE">
        <w:rPr>
          <w:rFonts w:cs="Times New Roman"/>
          <w:sz w:val="22"/>
        </w:rPr>
        <w:t xml:space="preserve">  </w:t>
      </w:r>
    </w:p>
    <w:p w:rsidR="00D378DE" w:rsidRPr="00D378DE" w:rsidRDefault="00D378DE" w:rsidP="00D378DE">
      <w:pPr>
        <w:keepNext/>
        <w:tabs>
          <w:tab w:val="left" w:pos="1276"/>
        </w:tabs>
        <w:spacing w:before="120" w:after="120" w:line="240" w:lineRule="auto"/>
        <w:ind w:firstLine="709"/>
        <w:jc w:val="both"/>
        <w:rPr>
          <w:rFonts w:cs="Times New Roman"/>
          <w:sz w:val="22"/>
        </w:rPr>
      </w:pPr>
      <w:r w:rsidRPr="00D378DE">
        <w:rPr>
          <w:rFonts w:eastAsia="Times New Roman" w:cs="Times New Roman"/>
          <w:sz w:val="22"/>
          <w:u w:val="single"/>
          <w:lang w:eastAsia="cs-CZ"/>
        </w:rPr>
        <w:lastRenderedPageBreak/>
        <w:t>2.2.</w:t>
      </w:r>
      <w:r w:rsidRPr="00D378DE">
        <w:rPr>
          <w:rFonts w:eastAsia="Times New Roman" w:cs="Times New Roman"/>
          <w:sz w:val="22"/>
          <w:u w:val="single"/>
          <w:lang w:eastAsia="cs-CZ"/>
        </w:rPr>
        <w:tab/>
        <w:t>Zhodnotenie kvality výkonu samosprávnych pôsobností</w:t>
      </w:r>
      <w:r w:rsidRPr="00D378DE">
        <w:rPr>
          <w:rFonts w:cs="Times New Roman"/>
          <w:sz w:val="22"/>
        </w:rPr>
        <w:t xml:space="preserve"> </w:t>
      </w:r>
    </w:p>
    <w:p w:rsidR="00D378DE" w:rsidRPr="00D378DE" w:rsidRDefault="00D378DE" w:rsidP="00D378DE">
      <w:pPr>
        <w:spacing w:before="120" w:after="0" w:line="240" w:lineRule="auto"/>
        <w:ind w:firstLine="709"/>
        <w:jc w:val="both"/>
        <w:rPr>
          <w:rFonts w:cs="Times New Roman"/>
          <w:sz w:val="22"/>
        </w:rPr>
      </w:pPr>
      <w:r w:rsidRPr="00D378DE">
        <w:rPr>
          <w:rFonts w:cs="Times New Roman"/>
          <w:sz w:val="22"/>
        </w:rPr>
        <w:t xml:space="preserve">Výkon samosprávnych pôsobností na úseku školstva hodnotí ministerstvo školstva v priemere ako dobrý. Poukazuje na  niektoré problémy, resp. nedostatky pri ich plnení. </w:t>
      </w:r>
    </w:p>
    <w:p w:rsidR="00D378DE" w:rsidRPr="00D378DE" w:rsidRDefault="00D378DE" w:rsidP="00D378DE">
      <w:pPr>
        <w:spacing w:before="120" w:after="0" w:line="240" w:lineRule="auto"/>
        <w:ind w:firstLine="709"/>
        <w:jc w:val="both"/>
        <w:rPr>
          <w:rFonts w:cs="Times New Roman"/>
          <w:sz w:val="22"/>
        </w:rPr>
      </w:pPr>
      <w:r w:rsidRPr="00D378DE">
        <w:rPr>
          <w:rFonts w:cs="Times New Roman"/>
          <w:sz w:val="22"/>
        </w:rPr>
        <w:t>Z podkladov vyplýva, že niektoré problémy sa vyskytli v obciach, ktoré sú zriaďovateľmi materských škôl bez právnej subjektivity (zamestnanci týchto škôl sú zamestnancami obcí), a to v oblasti personálnej, odmeňovania, možnosti ďalšieho vzdelávania a rešpektovania miery vyučovacej povinnosti. Nekvalitou sa vyznačovali iba obce, na čele ktorých stál starosta s nižším stredným vzdelaním.</w:t>
      </w:r>
    </w:p>
    <w:p w:rsidR="00D378DE" w:rsidRPr="00D378DE" w:rsidRDefault="00D378DE" w:rsidP="00D378DE">
      <w:pPr>
        <w:spacing w:before="120" w:after="0" w:line="240" w:lineRule="auto"/>
        <w:ind w:firstLine="709"/>
        <w:jc w:val="both"/>
        <w:rPr>
          <w:rFonts w:cs="Times New Roman"/>
          <w:sz w:val="22"/>
        </w:rPr>
      </w:pPr>
      <w:r w:rsidRPr="00D378DE">
        <w:rPr>
          <w:rFonts w:cs="Times New Roman"/>
          <w:sz w:val="22"/>
        </w:rPr>
        <w:t xml:space="preserve">Činnosť obcí ako zriaďovateľa vo vzťahu k materským školám je skôr sporadická, náhodná a navyše vykonávaná neodborne, pretože máloktorý zamestnanec školského úradu spĺňa kvalifikačné predpoklady vzdelania pre materskú školu a máloktorý má prax v materskej škole.  </w:t>
      </w:r>
    </w:p>
    <w:p w:rsidR="00D378DE" w:rsidRPr="00D378DE" w:rsidRDefault="007E79D6" w:rsidP="007E79D6">
      <w:pPr>
        <w:spacing w:before="120" w:after="0" w:line="240" w:lineRule="auto"/>
        <w:ind w:firstLine="709"/>
        <w:jc w:val="both"/>
        <w:rPr>
          <w:rFonts w:cs="Times New Roman"/>
          <w:sz w:val="22"/>
        </w:rPr>
      </w:pPr>
      <w:r>
        <w:rPr>
          <w:rFonts w:cs="Times New Roman"/>
          <w:sz w:val="22"/>
        </w:rPr>
        <w:t xml:space="preserve">Problémy sa vyskytli  pri zabezpečení a postupnom zavádzaní </w:t>
      </w:r>
      <w:r w:rsidRPr="00D378DE">
        <w:rPr>
          <w:rFonts w:cs="Times New Roman"/>
          <w:sz w:val="22"/>
        </w:rPr>
        <w:t>informačn</w:t>
      </w:r>
      <w:r>
        <w:rPr>
          <w:rFonts w:cs="Times New Roman"/>
          <w:sz w:val="22"/>
        </w:rPr>
        <w:t>ých</w:t>
      </w:r>
      <w:r w:rsidRPr="00D378DE">
        <w:rPr>
          <w:rFonts w:cs="Times New Roman"/>
          <w:sz w:val="22"/>
        </w:rPr>
        <w:t xml:space="preserve"> a komunikačn</w:t>
      </w:r>
      <w:r>
        <w:rPr>
          <w:rFonts w:cs="Times New Roman"/>
          <w:sz w:val="22"/>
        </w:rPr>
        <w:t>ých</w:t>
      </w:r>
      <w:r w:rsidRPr="00D378DE">
        <w:rPr>
          <w:rFonts w:cs="Times New Roman"/>
          <w:sz w:val="22"/>
        </w:rPr>
        <w:t xml:space="preserve"> technológi</w:t>
      </w:r>
      <w:r>
        <w:rPr>
          <w:rFonts w:cs="Times New Roman"/>
          <w:sz w:val="22"/>
        </w:rPr>
        <w:t>í</w:t>
      </w:r>
      <w:r w:rsidRPr="00D378DE">
        <w:rPr>
          <w:rFonts w:cs="Times New Roman"/>
          <w:sz w:val="22"/>
        </w:rPr>
        <w:t xml:space="preserve"> a multimediáln</w:t>
      </w:r>
      <w:r>
        <w:rPr>
          <w:rFonts w:cs="Times New Roman"/>
          <w:sz w:val="22"/>
        </w:rPr>
        <w:t>ej</w:t>
      </w:r>
      <w:r w:rsidRPr="00D378DE">
        <w:rPr>
          <w:rFonts w:cs="Times New Roman"/>
          <w:sz w:val="22"/>
        </w:rPr>
        <w:t xml:space="preserve"> technik</w:t>
      </w:r>
      <w:r>
        <w:rPr>
          <w:rFonts w:cs="Times New Roman"/>
          <w:sz w:val="22"/>
        </w:rPr>
        <w:t>y</w:t>
      </w:r>
      <w:r w:rsidRPr="00D378DE">
        <w:rPr>
          <w:rFonts w:cs="Times New Roman"/>
          <w:sz w:val="22"/>
        </w:rPr>
        <w:t xml:space="preserve"> na požadovanej úrovni do všetkých základných umeleckých škôl a zabezpeč</w:t>
      </w:r>
      <w:r>
        <w:rPr>
          <w:rFonts w:cs="Times New Roman"/>
          <w:sz w:val="22"/>
        </w:rPr>
        <w:t>ení</w:t>
      </w:r>
      <w:r w:rsidRPr="00D378DE">
        <w:rPr>
          <w:rFonts w:cs="Times New Roman"/>
          <w:sz w:val="22"/>
        </w:rPr>
        <w:t xml:space="preserve"> vzdelávani</w:t>
      </w:r>
      <w:r>
        <w:rPr>
          <w:rFonts w:cs="Times New Roman"/>
          <w:sz w:val="22"/>
        </w:rPr>
        <w:t>a</w:t>
      </w:r>
      <w:r w:rsidRPr="00D378DE">
        <w:rPr>
          <w:rFonts w:cs="Times New Roman"/>
          <w:sz w:val="22"/>
        </w:rPr>
        <w:t xml:space="preserve"> učiteľov základných umeleckých škôl v oblasti využívania informačných a komunikačných technológii a multimediálnej techniky.</w:t>
      </w:r>
      <w:r>
        <w:rPr>
          <w:rFonts w:cs="Times New Roman"/>
          <w:sz w:val="22"/>
        </w:rPr>
        <w:t xml:space="preserve"> </w:t>
      </w:r>
    </w:p>
    <w:p w:rsidR="00D378DE" w:rsidRPr="00D378DE" w:rsidRDefault="00D378DE" w:rsidP="00D378DE">
      <w:pPr>
        <w:spacing w:before="120" w:after="0" w:line="240" w:lineRule="auto"/>
        <w:ind w:firstLine="709"/>
        <w:jc w:val="both"/>
        <w:rPr>
          <w:rFonts w:cs="Times New Roman"/>
          <w:sz w:val="22"/>
        </w:rPr>
      </w:pPr>
      <w:r w:rsidRPr="00D378DE">
        <w:rPr>
          <w:rFonts w:cs="Times New Roman"/>
          <w:sz w:val="22"/>
        </w:rPr>
        <w:t>Za najväčší problém možno v súčasnosti považovať organizáciu pobytu v škole v prírode, pretože súčasné znenie vyhlášky o škole v prírode neumožňuje organizovať školy v prírode z dôvodu vysokej personálnej náročnosti na ich uskutočňovanie.</w:t>
      </w:r>
    </w:p>
    <w:p w:rsidR="00D378DE" w:rsidRPr="00D378DE" w:rsidRDefault="00D378DE" w:rsidP="00D378DE">
      <w:pPr>
        <w:spacing w:before="120" w:after="0" w:line="240" w:lineRule="auto"/>
        <w:ind w:firstLine="709"/>
        <w:jc w:val="both"/>
        <w:rPr>
          <w:rFonts w:cs="Times New Roman"/>
          <w:sz w:val="22"/>
        </w:rPr>
      </w:pPr>
      <w:r w:rsidRPr="00D378DE">
        <w:rPr>
          <w:rFonts w:cs="Times New Roman"/>
          <w:sz w:val="22"/>
        </w:rPr>
        <w:t>Za nekvalitné plnenie zo strany obcí považuje ministerstvo školstva spracúvanie a poskytovanie informácií v oblasti výchovy a vzdelávania vo svojej pôsobnosti orgánom štátnej správy a verejnosti.</w:t>
      </w:r>
    </w:p>
    <w:p w:rsidR="00D378DE" w:rsidRPr="00D378DE" w:rsidRDefault="00D378DE" w:rsidP="00D378DE">
      <w:pPr>
        <w:keepNext/>
        <w:tabs>
          <w:tab w:val="left" w:pos="1276"/>
        </w:tabs>
        <w:spacing w:before="120" w:after="120" w:line="240" w:lineRule="auto"/>
        <w:ind w:firstLine="709"/>
        <w:jc w:val="both"/>
        <w:rPr>
          <w:rFonts w:cs="Times New Roman"/>
          <w:sz w:val="22"/>
          <w:u w:val="single"/>
        </w:rPr>
      </w:pPr>
      <w:r w:rsidRPr="00D378DE">
        <w:rPr>
          <w:rFonts w:cs="Times New Roman"/>
          <w:sz w:val="22"/>
          <w:u w:val="single"/>
        </w:rPr>
        <w:t>2.3.</w:t>
      </w:r>
      <w:r w:rsidRPr="00D378DE">
        <w:rPr>
          <w:rFonts w:cs="Times New Roman"/>
          <w:sz w:val="22"/>
          <w:u w:val="single"/>
        </w:rPr>
        <w:tab/>
        <w:t>Financovanie výkonu samosprávnych pôsobností</w:t>
      </w:r>
    </w:p>
    <w:p w:rsidR="00A01674" w:rsidRPr="00D378DE" w:rsidRDefault="00A01674" w:rsidP="00A01674">
      <w:pPr>
        <w:spacing w:before="120" w:after="0" w:line="240" w:lineRule="auto"/>
        <w:ind w:firstLine="709"/>
        <w:jc w:val="both"/>
        <w:rPr>
          <w:rFonts w:cs="Times New Roman"/>
          <w:sz w:val="22"/>
        </w:rPr>
      </w:pPr>
      <w:r>
        <w:rPr>
          <w:rFonts w:cs="Times New Roman"/>
          <w:sz w:val="22"/>
        </w:rPr>
        <w:t>Financovanie samosprávnych pôsobností</w:t>
      </w:r>
      <w:r w:rsidRPr="00D378DE">
        <w:rPr>
          <w:rFonts w:cs="Times New Roman"/>
          <w:sz w:val="22"/>
        </w:rPr>
        <w:t xml:space="preserve"> </w:t>
      </w:r>
      <w:r>
        <w:rPr>
          <w:rFonts w:cs="Times New Roman"/>
          <w:sz w:val="22"/>
        </w:rPr>
        <w:t xml:space="preserve">na úseku školstva na obce a samosprávne kraje </w:t>
      </w:r>
      <w:r w:rsidRPr="00D378DE">
        <w:rPr>
          <w:rFonts w:cs="Times New Roman"/>
          <w:sz w:val="22"/>
        </w:rPr>
        <w:t>od 1.</w:t>
      </w:r>
      <w:r w:rsidR="00BF425A">
        <w:rPr>
          <w:rFonts w:cs="Times New Roman"/>
          <w:sz w:val="22"/>
        </w:rPr>
        <w:t> </w:t>
      </w:r>
      <w:r w:rsidRPr="00D378DE">
        <w:rPr>
          <w:rFonts w:cs="Times New Roman"/>
          <w:sz w:val="22"/>
        </w:rPr>
        <w:t xml:space="preserve">1. 2005 </w:t>
      </w:r>
      <w:r>
        <w:rPr>
          <w:rFonts w:cs="Times New Roman"/>
          <w:sz w:val="22"/>
        </w:rPr>
        <w:t xml:space="preserve">si obce a samosprávne kraje </w:t>
      </w:r>
      <w:r w:rsidRPr="00D378DE">
        <w:rPr>
          <w:rFonts w:cs="Times New Roman"/>
          <w:sz w:val="22"/>
        </w:rPr>
        <w:t xml:space="preserve">zabezpečujú z vlastných príjmov. </w:t>
      </w:r>
    </w:p>
    <w:p w:rsidR="00A01674" w:rsidRDefault="00A01674" w:rsidP="00A01674">
      <w:pPr>
        <w:spacing w:before="120" w:after="0" w:line="240" w:lineRule="auto"/>
        <w:ind w:firstLine="709"/>
        <w:jc w:val="both"/>
        <w:rPr>
          <w:rFonts w:cs="Times New Roman"/>
          <w:sz w:val="22"/>
        </w:rPr>
      </w:pPr>
      <w:r>
        <w:rPr>
          <w:rFonts w:cs="Times New Roman"/>
          <w:sz w:val="22"/>
        </w:rPr>
        <w:t>Obce v rámci svojich originálnych kompetencií na úseku školstva financujú náklady na:</w:t>
      </w:r>
    </w:p>
    <w:p w:rsidR="00A01674" w:rsidRDefault="00A01674" w:rsidP="00A01674">
      <w:pPr>
        <w:pStyle w:val="Odsekzoznamu"/>
        <w:numPr>
          <w:ilvl w:val="0"/>
          <w:numId w:val="5"/>
        </w:numPr>
        <w:spacing w:after="0" w:line="240" w:lineRule="auto"/>
        <w:ind w:left="426" w:hanging="426"/>
        <w:jc w:val="both"/>
        <w:rPr>
          <w:rFonts w:cs="Times New Roman"/>
          <w:sz w:val="22"/>
        </w:rPr>
      </w:pPr>
      <w:r w:rsidRPr="00DA2DC3">
        <w:rPr>
          <w:rFonts w:cs="Times New Roman"/>
          <w:sz w:val="22"/>
        </w:rPr>
        <w:t xml:space="preserve">výchovu a vzdelávanie </w:t>
      </w:r>
    </w:p>
    <w:p w:rsidR="00A01674" w:rsidRDefault="00A01674" w:rsidP="00A01674">
      <w:pPr>
        <w:pStyle w:val="Odsekzoznamu"/>
        <w:numPr>
          <w:ilvl w:val="0"/>
          <w:numId w:val="6"/>
        </w:numPr>
        <w:spacing w:after="0" w:line="240" w:lineRule="auto"/>
        <w:ind w:left="851" w:hanging="425"/>
        <w:jc w:val="both"/>
        <w:rPr>
          <w:rFonts w:cs="Times New Roman"/>
          <w:sz w:val="22"/>
        </w:rPr>
      </w:pPr>
      <w:r>
        <w:rPr>
          <w:rFonts w:cs="Times New Roman"/>
          <w:sz w:val="22"/>
        </w:rPr>
        <w:t>žiakov základných umeleckých škôl,  poslucháčov jazykových škôl, detí materských škôl a školských zariadení vo svojej zriaďovateľskej pôsobnosti;</w:t>
      </w:r>
    </w:p>
    <w:p w:rsidR="00A01674" w:rsidRDefault="00A01674" w:rsidP="00A01674">
      <w:pPr>
        <w:pStyle w:val="Odsekzoznamu"/>
        <w:numPr>
          <w:ilvl w:val="0"/>
          <w:numId w:val="6"/>
        </w:numPr>
        <w:spacing w:after="0" w:line="240" w:lineRule="auto"/>
        <w:ind w:left="851" w:hanging="425"/>
        <w:jc w:val="both"/>
        <w:rPr>
          <w:rFonts w:cs="Times New Roman"/>
          <w:sz w:val="22"/>
        </w:rPr>
      </w:pPr>
      <w:r>
        <w:rPr>
          <w:rFonts w:cs="Times New Roman"/>
          <w:sz w:val="22"/>
        </w:rPr>
        <w:t>do 15 rokov veku žiakov základných umeleckých škôl, poslucháčov jazykových škôl , detí materských škôl a školských zariadení neštátnych zriaďovateľov, ktorých zriaďovateľom môže byť obec alebo obvodný</w:t>
      </w:r>
      <w:r w:rsidR="00BE62EA">
        <w:rPr>
          <w:rFonts w:cs="Times New Roman"/>
          <w:sz w:val="22"/>
        </w:rPr>
        <w:t xml:space="preserve"> </w:t>
      </w:r>
      <w:r>
        <w:rPr>
          <w:rFonts w:cs="Times New Roman"/>
          <w:sz w:val="22"/>
        </w:rPr>
        <w:t>sídle kraja;</w:t>
      </w:r>
    </w:p>
    <w:p w:rsidR="00A01674" w:rsidRDefault="00A01674" w:rsidP="00A01674">
      <w:pPr>
        <w:pStyle w:val="Odsekzoznamu"/>
        <w:numPr>
          <w:ilvl w:val="0"/>
          <w:numId w:val="5"/>
        </w:numPr>
        <w:spacing w:after="0" w:line="240" w:lineRule="auto"/>
        <w:ind w:left="426" w:hanging="426"/>
        <w:jc w:val="both"/>
        <w:rPr>
          <w:rFonts w:cs="Times New Roman"/>
          <w:sz w:val="22"/>
        </w:rPr>
      </w:pPr>
      <w:r w:rsidRPr="00DA2DC3">
        <w:rPr>
          <w:rFonts w:cs="Times New Roman"/>
          <w:sz w:val="22"/>
        </w:rPr>
        <w:t>stravovanie žiakov</w:t>
      </w:r>
    </w:p>
    <w:p w:rsidR="00A01674" w:rsidRDefault="00A01674" w:rsidP="00A01674">
      <w:pPr>
        <w:pStyle w:val="Odsekzoznamu"/>
        <w:numPr>
          <w:ilvl w:val="0"/>
          <w:numId w:val="7"/>
        </w:numPr>
        <w:spacing w:after="0" w:line="240" w:lineRule="auto"/>
        <w:ind w:left="851" w:hanging="425"/>
        <w:jc w:val="both"/>
        <w:rPr>
          <w:rFonts w:cs="Times New Roman"/>
          <w:sz w:val="22"/>
        </w:rPr>
      </w:pPr>
      <w:r>
        <w:rPr>
          <w:rFonts w:cs="Times New Roman"/>
          <w:sz w:val="22"/>
        </w:rPr>
        <w:t>škôl vo svojej zriaďovateľskej pôsobnosti;</w:t>
      </w:r>
    </w:p>
    <w:p w:rsidR="00A01674" w:rsidRDefault="00A01674" w:rsidP="00A01674">
      <w:pPr>
        <w:pStyle w:val="Odsekzoznamu"/>
        <w:numPr>
          <w:ilvl w:val="0"/>
          <w:numId w:val="7"/>
        </w:numPr>
        <w:spacing w:after="0" w:line="240" w:lineRule="auto"/>
        <w:ind w:left="851" w:hanging="425"/>
        <w:jc w:val="both"/>
        <w:rPr>
          <w:rFonts w:cs="Times New Roman"/>
          <w:sz w:val="22"/>
        </w:rPr>
      </w:pPr>
      <w:r>
        <w:rPr>
          <w:rFonts w:cs="Times New Roman"/>
          <w:sz w:val="22"/>
        </w:rPr>
        <w:t>do dovŕšenia 15 rokov veku zo škôl v zriaďovateľskej pôsobnosti neštátnych zriaďovateľov;</w:t>
      </w:r>
    </w:p>
    <w:p w:rsidR="00A01674" w:rsidRDefault="00A01674" w:rsidP="00A01674">
      <w:pPr>
        <w:pStyle w:val="Odsekzoznamu"/>
        <w:numPr>
          <w:ilvl w:val="0"/>
          <w:numId w:val="7"/>
        </w:numPr>
        <w:spacing w:after="0" w:line="240" w:lineRule="auto"/>
        <w:ind w:left="851" w:hanging="425"/>
        <w:jc w:val="both"/>
        <w:rPr>
          <w:rFonts w:cs="Times New Roman"/>
          <w:sz w:val="22"/>
        </w:rPr>
      </w:pPr>
      <w:r>
        <w:rPr>
          <w:rFonts w:cs="Times New Roman"/>
          <w:sz w:val="22"/>
        </w:rPr>
        <w:t>základných škôl a základných škôl pre žiakov so špeciálnymi výchovno-vzdelávacími potrebami v zriaďovateľskej pôsobnosti obvodného úradu v sídle kraja, ak sa stravujú v zariadeniach školského stravovania v zriaďovateľskej pôsobnosti obce alebo neštátneho zriaďovateľa.</w:t>
      </w:r>
    </w:p>
    <w:p w:rsidR="00A01674" w:rsidRPr="006A60D5" w:rsidRDefault="00A01674" w:rsidP="00A01674">
      <w:pPr>
        <w:spacing w:before="120" w:after="0" w:line="240" w:lineRule="auto"/>
        <w:ind w:firstLine="709"/>
        <w:jc w:val="both"/>
        <w:rPr>
          <w:rFonts w:cs="Times New Roman"/>
          <w:sz w:val="22"/>
        </w:rPr>
      </w:pPr>
      <w:r>
        <w:rPr>
          <w:rFonts w:cs="Times New Roman"/>
          <w:sz w:val="22"/>
        </w:rPr>
        <w:t xml:space="preserve">Výdavky obcí z vlastných príjmov vynaložené na originálne kompetencie v oblasti školstva v roku 2011 predstavovali 501,6 mil. </w:t>
      </w:r>
      <w:r w:rsidR="00FE6D2B">
        <w:rPr>
          <w:rFonts w:cs="Times New Roman"/>
          <w:sz w:val="22"/>
        </w:rPr>
        <w:t>eur</w:t>
      </w:r>
      <w:r>
        <w:rPr>
          <w:rFonts w:cs="Times New Roman"/>
          <w:sz w:val="22"/>
        </w:rPr>
        <w:t>.</w:t>
      </w:r>
      <w:r w:rsidRPr="006A60D5">
        <w:rPr>
          <w:rFonts w:cs="Times New Roman"/>
          <w:sz w:val="22"/>
        </w:rPr>
        <w:t xml:space="preserve">  </w:t>
      </w:r>
    </w:p>
    <w:p w:rsidR="00A01674" w:rsidRDefault="00A01674" w:rsidP="00A01674">
      <w:pPr>
        <w:spacing w:before="120" w:after="0" w:line="240" w:lineRule="auto"/>
        <w:ind w:firstLine="709"/>
        <w:jc w:val="both"/>
        <w:rPr>
          <w:rFonts w:cs="Times New Roman"/>
          <w:sz w:val="22"/>
        </w:rPr>
      </w:pPr>
      <w:r>
        <w:rPr>
          <w:rFonts w:cs="Times New Roman"/>
          <w:sz w:val="22"/>
        </w:rPr>
        <w:t>Samosprávne kraje v rámci svojich originálnych kompetencií na úseku školstva financujú náklady na:</w:t>
      </w:r>
    </w:p>
    <w:p w:rsidR="00A01674" w:rsidRDefault="00A01674" w:rsidP="00A01674">
      <w:pPr>
        <w:pStyle w:val="Odsekzoznamu"/>
        <w:numPr>
          <w:ilvl w:val="0"/>
          <w:numId w:val="8"/>
        </w:numPr>
        <w:spacing w:after="0" w:line="240" w:lineRule="auto"/>
        <w:ind w:left="426" w:hanging="426"/>
        <w:jc w:val="both"/>
        <w:rPr>
          <w:rFonts w:cs="Times New Roman"/>
          <w:sz w:val="22"/>
        </w:rPr>
      </w:pPr>
      <w:r w:rsidRPr="006A60D5">
        <w:rPr>
          <w:rFonts w:cs="Times New Roman"/>
          <w:sz w:val="22"/>
        </w:rPr>
        <w:t>výchovu a</w:t>
      </w:r>
      <w:r>
        <w:rPr>
          <w:rFonts w:cs="Times New Roman"/>
          <w:sz w:val="22"/>
        </w:rPr>
        <w:t> </w:t>
      </w:r>
      <w:r w:rsidRPr="006A60D5">
        <w:rPr>
          <w:rFonts w:cs="Times New Roman"/>
          <w:sz w:val="22"/>
        </w:rPr>
        <w:t>vzdelávanie</w:t>
      </w:r>
    </w:p>
    <w:p w:rsidR="00A01674" w:rsidRDefault="00A01674" w:rsidP="00A01674">
      <w:pPr>
        <w:pStyle w:val="Odsekzoznamu"/>
        <w:numPr>
          <w:ilvl w:val="0"/>
          <w:numId w:val="9"/>
        </w:numPr>
        <w:spacing w:after="0" w:line="240" w:lineRule="auto"/>
        <w:ind w:left="851" w:hanging="425"/>
        <w:jc w:val="both"/>
        <w:rPr>
          <w:rFonts w:cs="Times New Roman"/>
          <w:sz w:val="22"/>
        </w:rPr>
      </w:pPr>
      <w:r>
        <w:rPr>
          <w:rFonts w:cs="Times New Roman"/>
          <w:sz w:val="22"/>
        </w:rPr>
        <w:t>žiakov základných umeleckých škôl, poslucháčov jazykových škôl a detí školských zariadení vo svojej zriaďovateľskej pôsobnosti;</w:t>
      </w:r>
    </w:p>
    <w:p w:rsidR="00A01674" w:rsidRDefault="00A01674" w:rsidP="00A01674">
      <w:pPr>
        <w:pStyle w:val="Odsekzoznamu"/>
        <w:numPr>
          <w:ilvl w:val="0"/>
          <w:numId w:val="9"/>
        </w:numPr>
        <w:spacing w:after="0" w:line="240" w:lineRule="auto"/>
        <w:ind w:left="851" w:hanging="425"/>
        <w:jc w:val="both"/>
        <w:rPr>
          <w:rFonts w:cs="Times New Roman"/>
          <w:sz w:val="22"/>
        </w:rPr>
      </w:pPr>
      <w:r>
        <w:rPr>
          <w:rFonts w:cs="Times New Roman"/>
          <w:sz w:val="22"/>
        </w:rPr>
        <w:t>nad 15 rokov veku žiakov základných umeleckých škôl, poslucháčov jazykových škôl a žiakov školských zariadení neštátnych zriaďovateľov;</w:t>
      </w:r>
    </w:p>
    <w:p w:rsidR="00A01674" w:rsidRPr="006A60D5" w:rsidRDefault="00A01674" w:rsidP="00A01674">
      <w:pPr>
        <w:pStyle w:val="Odsekzoznamu"/>
        <w:numPr>
          <w:ilvl w:val="0"/>
          <w:numId w:val="9"/>
        </w:numPr>
        <w:spacing w:after="0" w:line="240" w:lineRule="auto"/>
        <w:ind w:left="851" w:hanging="425"/>
        <w:jc w:val="both"/>
        <w:rPr>
          <w:rFonts w:cs="Times New Roman"/>
          <w:sz w:val="22"/>
        </w:rPr>
      </w:pPr>
      <w:r>
        <w:rPr>
          <w:rFonts w:cs="Times New Roman"/>
          <w:sz w:val="22"/>
        </w:rPr>
        <w:t>do dovŕšenia 15 rokov veku žiakov neštátneho školského zariadenia, ktorého zriaďovateľom nemôže byť obec, ani krajský školský úrad (školy v prírode);</w:t>
      </w:r>
    </w:p>
    <w:p w:rsidR="00A01674" w:rsidRDefault="00A01674" w:rsidP="00A01674">
      <w:pPr>
        <w:pStyle w:val="Odsekzoznamu"/>
        <w:numPr>
          <w:ilvl w:val="0"/>
          <w:numId w:val="8"/>
        </w:numPr>
        <w:spacing w:after="0" w:line="240" w:lineRule="auto"/>
        <w:ind w:left="426" w:hanging="426"/>
        <w:jc w:val="both"/>
        <w:rPr>
          <w:rFonts w:cs="Times New Roman"/>
          <w:sz w:val="22"/>
        </w:rPr>
      </w:pPr>
      <w:r w:rsidRPr="006A60D5">
        <w:rPr>
          <w:rFonts w:cs="Times New Roman"/>
          <w:sz w:val="22"/>
        </w:rPr>
        <w:t>stravovanie žiakov</w:t>
      </w:r>
    </w:p>
    <w:p w:rsidR="00A01674" w:rsidRDefault="00A01674" w:rsidP="00A01674">
      <w:pPr>
        <w:pStyle w:val="Odsekzoznamu"/>
        <w:numPr>
          <w:ilvl w:val="0"/>
          <w:numId w:val="10"/>
        </w:numPr>
        <w:spacing w:after="0" w:line="240" w:lineRule="auto"/>
        <w:ind w:left="851" w:hanging="425"/>
        <w:jc w:val="both"/>
        <w:rPr>
          <w:rFonts w:cs="Times New Roman"/>
          <w:sz w:val="22"/>
        </w:rPr>
      </w:pPr>
      <w:r>
        <w:rPr>
          <w:rFonts w:cs="Times New Roman"/>
          <w:sz w:val="22"/>
        </w:rPr>
        <w:lastRenderedPageBreak/>
        <w:t>škôl vo svojej zriaďovateľskej pôsobnosti;</w:t>
      </w:r>
    </w:p>
    <w:p w:rsidR="00A01674" w:rsidRDefault="00A01674" w:rsidP="00A01674">
      <w:pPr>
        <w:pStyle w:val="Odsekzoznamu"/>
        <w:numPr>
          <w:ilvl w:val="0"/>
          <w:numId w:val="10"/>
        </w:numPr>
        <w:spacing w:after="0" w:line="240" w:lineRule="auto"/>
        <w:ind w:left="851" w:hanging="425"/>
        <w:jc w:val="both"/>
        <w:rPr>
          <w:rFonts w:cs="Times New Roman"/>
          <w:sz w:val="22"/>
        </w:rPr>
      </w:pPr>
      <w:r>
        <w:rPr>
          <w:rFonts w:cs="Times New Roman"/>
          <w:sz w:val="22"/>
        </w:rPr>
        <w:t>nad 15 rokov veku zo škôl v zriaďovateľskej pôsobnosti neštátnych zriaďovateľov;</w:t>
      </w:r>
    </w:p>
    <w:p w:rsidR="00A01674" w:rsidRDefault="00A01674" w:rsidP="00A01674">
      <w:pPr>
        <w:pStyle w:val="Odsekzoznamu"/>
        <w:numPr>
          <w:ilvl w:val="0"/>
          <w:numId w:val="10"/>
        </w:numPr>
        <w:spacing w:after="0" w:line="240" w:lineRule="auto"/>
        <w:ind w:left="851" w:hanging="425"/>
        <w:jc w:val="both"/>
        <w:rPr>
          <w:rFonts w:cs="Times New Roman"/>
          <w:sz w:val="22"/>
        </w:rPr>
      </w:pPr>
      <w:r>
        <w:rPr>
          <w:rFonts w:cs="Times New Roman"/>
          <w:sz w:val="22"/>
        </w:rPr>
        <w:t>stredných škôl, stredných škôl pre žiakov so špeciálnymi výchovno-vzdelávacími potrebami, odborných učilíšť a praktických škôl v zriaďovateľskej pôsobnosti obvodného úradu v sídle kraja, ak sa stravujú v zariadeniach školského stravovania v zriaďovateľskej pôsobnosti samosprávneho kraja, štátom uznanej cirkvi alebo náboženskej spoločnosti alebo inej právnickej  osoby alebo fyzickej osoby.</w:t>
      </w:r>
    </w:p>
    <w:p w:rsidR="00A01674" w:rsidRDefault="00A01674" w:rsidP="00A01674">
      <w:pPr>
        <w:spacing w:before="120" w:after="0" w:line="240" w:lineRule="auto"/>
        <w:ind w:firstLine="709"/>
        <w:jc w:val="both"/>
        <w:rPr>
          <w:rFonts w:cs="Times New Roman"/>
          <w:sz w:val="22"/>
          <w:u w:val="single"/>
        </w:rPr>
      </w:pPr>
      <w:r>
        <w:rPr>
          <w:rFonts w:cs="Times New Roman"/>
          <w:sz w:val="22"/>
        </w:rPr>
        <w:t xml:space="preserve">Výdavky samosprávnych krajov z vlastných príjmov v roku 2011 vynaložené na originálne kompetencie na úseku školstva predstavovali 60 mil. </w:t>
      </w:r>
      <w:r w:rsidR="00BF425A">
        <w:rPr>
          <w:rFonts w:cs="Times New Roman"/>
          <w:sz w:val="22"/>
        </w:rPr>
        <w:t>eur</w:t>
      </w:r>
      <w:r>
        <w:rPr>
          <w:rFonts w:cs="Times New Roman"/>
          <w:sz w:val="22"/>
        </w:rPr>
        <w:t xml:space="preserve">. </w:t>
      </w:r>
    </w:p>
    <w:p w:rsidR="00D378DE" w:rsidRPr="00D378DE" w:rsidRDefault="00D378DE" w:rsidP="00D378DE">
      <w:pPr>
        <w:keepNext/>
        <w:tabs>
          <w:tab w:val="left" w:pos="1276"/>
        </w:tabs>
        <w:spacing w:before="120" w:after="120" w:line="240" w:lineRule="auto"/>
        <w:ind w:firstLine="709"/>
        <w:jc w:val="both"/>
        <w:rPr>
          <w:rFonts w:cs="Times New Roman"/>
          <w:sz w:val="22"/>
          <w:u w:val="single"/>
        </w:rPr>
      </w:pPr>
      <w:r w:rsidRPr="00D378DE">
        <w:rPr>
          <w:rFonts w:cs="Times New Roman"/>
          <w:sz w:val="22"/>
          <w:u w:val="single"/>
        </w:rPr>
        <w:t>2.4.</w:t>
      </w:r>
      <w:r w:rsidRPr="00D378DE">
        <w:rPr>
          <w:rFonts w:cs="Times New Roman"/>
          <w:sz w:val="22"/>
          <w:u w:val="single"/>
        </w:rPr>
        <w:tab/>
        <w:t>Návrhy opatrení</w:t>
      </w:r>
    </w:p>
    <w:p w:rsidR="00D378DE" w:rsidRPr="00D378DE" w:rsidRDefault="00D378DE" w:rsidP="00D378DE">
      <w:pPr>
        <w:keepNext/>
        <w:tabs>
          <w:tab w:val="left" w:pos="1276"/>
        </w:tabs>
        <w:spacing w:before="120" w:after="120" w:line="240" w:lineRule="auto"/>
        <w:ind w:firstLine="709"/>
        <w:jc w:val="both"/>
        <w:rPr>
          <w:rFonts w:cs="Times New Roman"/>
          <w:sz w:val="22"/>
        </w:rPr>
      </w:pPr>
      <w:r w:rsidRPr="00D378DE">
        <w:rPr>
          <w:rFonts w:cs="Times New Roman"/>
          <w:sz w:val="22"/>
        </w:rPr>
        <w:t xml:space="preserve">Podľa ministerstva školstva by bolo potrebné legislatívne upraviť financovanie školského stravovania žiakov, poplatky za pobyt dieťaťa  alebo žiaka v materských školách, základných umeleckých školách, centrách voľného času, školských kluboch detí a v školách prírody. V oblasti personálnej navrhlo posunúť kvalifikačné požiadavky na zamestnancov školských úradov na úroveň riaditeľov škôl a školských zariadení.  </w:t>
      </w:r>
      <w:r w:rsidR="0051084D">
        <w:rPr>
          <w:rFonts w:cs="Times New Roman"/>
          <w:sz w:val="22"/>
        </w:rPr>
        <w:t>Rezort tiež navrh</w:t>
      </w:r>
      <w:r w:rsidR="007F42FC">
        <w:rPr>
          <w:rFonts w:cs="Times New Roman"/>
          <w:sz w:val="22"/>
        </w:rPr>
        <w:t>ol</w:t>
      </w:r>
      <w:r w:rsidR="0051084D">
        <w:rPr>
          <w:rFonts w:cs="Times New Roman"/>
          <w:sz w:val="22"/>
        </w:rPr>
        <w:t xml:space="preserve"> viazať finančné prostriedky určené pre zabezpečovanie originálnych kompetencií na úseku školstva</w:t>
      </w:r>
      <w:r w:rsidR="007F42FC">
        <w:rPr>
          <w:rFonts w:cs="Times New Roman"/>
          <w:sz w:val="22"/>
        </w:rPr>
        <w:t xml:space="preserve"> a </w:t>
      </w:r>
      <w:r w:rsidR="0051084D">
        <w:rPr>
          <w:rFonts w:cs="Times New Roman"/>
          <w:sz w:val="22"/>
        </w:rPr>
        <w:t xml:space="preserve">zaviazať obce a samosprávne kraje k povinnosti informovať o ich čerpaní príslušný orgán miestnej štátnej správy na úseku školstva na kontrolu </w:t>
      </w:r>
      <w:r w:rsidR="007F42FC">
        <w:rPr>
          <w:rFonts w:cs="Times New Roman"/>
          <w:sz w:val="22"/>
        </w:rPr>
        <w:t xml:space="preserve">ich </w:t>
      </w:r>
      <w:r w:rsidR="0051084D">
        <w:rPr>
          <w:rFonts w:cs="Times New Roman"/>
          <w:sz w:val="22"/>
        </w:rPr>
        <w:t xml:space="preserve">použitia. </w:t>
      </w:r>
      <w:r w:rsidRPr="00D378DE">
        <w:rPr>
          <w:rFonts w:cs="Times New Roman"/>
          <w:sz w:val="22"/>
        </w:rPr>
        <w:t xml:space="preserve">  </w:t>
      </w:r>
    </w:p>
    <w:p w:rsidR="00D378DE" w:rsidRPr="00D378DE" w:rsidRDefault="00D378DE" w:rsidP="00D378DE">
      <w:pPr>
        <w:keepNext/>
        <w:tabs>
          <w:tab w:val="left" w:pos="1276"/>
        </w:tabs>
        <w:spacing w:before="120" w:after="120" w:line="240" w:lineRule="auto"/>
        <w:ind w:firstLine="709"/>
        <w:jc w:val="both"/>
        <w:rPr>
          <w:rFonts w:cs="Times New Roman"/>
          <w:sz w:val="22"/>
          <w:u w:val="single"/>
        </w:rPr>
      </w:pPr>
      <w:r w:rsidRPr="00D378DE">
        <w:rPr>
          <w:rFonts w:cs="Times New Roman"/>
          <w:sz w:val="22"/>
          <w:u w:val="single"/>
        </w:rPr>
        <w:t>Kritické stanovisko</w:t>
      </w:r>
    </w:p>
    <w:p w:rsidR="00D378DE" w:rsidRPr="00D378DE" w:rsidRDefault="00D378DE" w:rsidP="00D378DE">
      <w:pPr>
        <w:spacing w:before="120" w:after="0" w:line="240" w:lineRule="auto"/>
        <w:ind w:firstLine="709"/>
        <w:jc w:val="both"/>
        <w:rPr>
          <w:rFonts w:cs="Times New Roman"/>
          <w:sz w:val="22"/>
        </w:rPr>
      </w:pPr>
      <w:r w:rsidRPr="00D378DE">
        <w:rPr>
          <w:rFonts w:cs="Times New Roman"/>
          <w:sz w:val="22"/>
        </w:rPr>
        <w:t>Chýba návrh opatrení na zabezpečenie výkonu samosprávnych pôsobností na úseku školstva s konkretizáciou úloh a ich termínmi plnenia napriek opätovnej žiadosti o ich prepracovanie a doplnenie správy.</w:t>
      </w:r>
    </w:p>
    <w:p w:rsidR="00D378DE" w:rsidRPr="00D378DE" w:rsidRDefault="00D378DE" w:rsidP="00F56357">
      <w:pPr>
        <w:keepNext/>
        <w:shd w:val="clear" w:color="auto" w:fill="F2F2F2" w:themeFill="background1" w:themeFillShade="F2"/>
        <w:spacing w:before="240" w:after="240" w:line="240" w:lineRule="auto"/>
        <w:jc w:val="both"/>
        <w:rPr>
          <w:rFonts w:cs="Times New Roman"/>
          <w:b/>
          <w:szCs w:val="24"/>
        </w:rPr>
      </w:pPr>
      <w:r w:rsidRPr="00D378DE">
        <w:rPr>
          <w:rFonts w:cs="Times New Roman"/>
          <w:b/>
          <w:szCs w:val="24"/>
        </w:rPr>
        <w:t>Ministerstvo vnútra Slovenskej republiky</w:t>
      </w:r>
    </w:p>
    <w:p w:rsidR="000F47FA" w:rsidRDefault="00753168" w:rsidP="000F47FA">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u w:val="single"/>
          <w:lang w:eastAsia="cs-CZ"/>
        </w:rPr>
      </w:pPr>
      <w:r>
        <w:rPr>
          <w:rFonts w:eastAsia="Times New Roman" w:cs="Times New Roman"/>
          <w:sz w:val="22"/>
          <w:u w:val="single"/>
          <w:lang w:eastAsia="cs-CZ"/>
        </w:rPr>
        <w:t>2</w:t>
      </w:r>
      <w:r w:rsidR="000F47FA" w:rsidRPr="00D861B9">
        <w:rPr>
          <w:rFonts w:eastAsia="Times New Roman" w:cs="Times New Roman"/>
          <w:sz w:val="22"/>
          <w:u w:val="single"/>
          <w:lang w:eastAsia="cs-CZ"/>
        </w:rPr>
        <w:t>.1.</w:t>
      </w:r>
      <w:r w:rsidR="000F47FA" w:rsidRPr="00D861B9">
        <w:rPr>
          <w:rFonts w:eastAsia="Times New Roman" w:cs="Times New Roman"/>
          <w:sz w:val="22"/>
          <w:u w:val="single"/>
          <w:lang w:eastAsia="cs-CZ"/>
        </w:rPr>
        <w:tab/>
        <w:t xml:space="preserve">Katalóg </w:t>
      </w:r>
      <w:r w:rsidR="000F47FA">
        <w:rPr>
          <w:rFonts w:eastAsia="Times New Roman" w:cs="Times New Roman"/>
          <w:sz w:val="22"/>
          <w:u w:val="single"/>
          <w:lang w:eastAsia="cs-CZ"/>
        </w:rPr>
        <w:t>samosprávnych</w:t>
      </w:r>
      <w:r w:rsidR="000F47FA" w:rsidRPr="00D861B9">
        <w:rPr>
          <w:rFonts w:eastAsia="Times New Roman" w:cs="Times New Roman"/>
          <w:sz w:val="22"/>
          <w:u w:val="single"/>
          <w:lang w:eastAsia="cs-CZ"/>
        </w:rPr>
        <w:t xml:space="preserve"> pôsobností</w:t>
      </w:r>
    </w:p>
    <w:p w:rsidR="000F47FA" w:rsidRPr="00D861B9" w:rsidRDefault="000F47FA" w:rsidP="000F47FA">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D861B9">
        <w:rPr>
          <w:rFonts w:eastAsia="Times New Roman" w:cs="Times New Roman"/>
          <w:sz w:val="22"/>
          <w:lang w:eastAsia="cs-CZ"/>
        </w:rPr>
        <w:t>Zoznam úsekov</w:t>
      </w:r>
      <w:r>
        <w:rPr>
          <w:rFonts w:eastAsia="Times New Roman" w:cs="Times New Roman"/>
          <w:sz w:val="22"/>
          <w:lang w:eastAsia="cs-CZ"/>
        </w:rPr>
        <w:t>,</w:t>
      </w:r>
      <w:r w:rsidRPr="00D861B9">
        <w:rPr>
          <w:rFonts w:eastAsia="Times New Roman" w:cs="Times New Roman"/>
          <w:sz w:val="22"/>
          <w:lang w:eastAsia="cs-CZ"/>
        </w:rPr>
        <w:t xml:space="preserve"> </w:t>
      </w:r>
      <w:r w:rsidRPr="00B67413">
        <w:rPr>
          <w:rFonts w:eastAsia="Times New Roman" w:cs="Times New Roman"/>
          <w:sz w:val="22"/>
          <w:lang w:eastAsia="cs-CZ"/>
        </w:rPr>
        <w:t>na ktorých obce a samosprávne kraje vykonávajú samosprávne pôsobnosti</w:t>
      </w:r>
      <w:r>
        <w:rPr>
          <w:rFonts w:eastAsia="Times New Roman" w:cs="Times New Roman"/>
          <w:sz w:val="22"/>
          <w:lang w:eastAsia="cs-CZ"/>
        </w:rPr>
        <w:t>,</w:t>
      </w:r>
      <w:r w:rsidRPr="00D861B9">
        <w:rPr>
          <w:rFonts w:eastAsia="Times New Roman" w:cs="Times New Roman"/>
          <w:sz w:val="22"/>
          <w:lang w:eastAsia="cs-CZ"/>
        </w:rPr>
        <w:t xml:space="preserve"> </w:t>
      </w:r>
      <w:r>
        <w:rPr>
          <w:rFonts w:eastAsia="Times New Roman" w:cs="Times New Roman"/>
          <w:sz w:val="22"/>
          <w:lang w:eastAsia="cs-CZ"/>
        </w:rPr>
        <w:t>a údaje o počte úloh:</w:t>
      </w:r>
    </w:p>
    <w:tbl>
      <w:tblPr>
        <w:tblStyle w:val="Mriekatabuky"/>
        <w:tblW w:w="0" w:type="auto"/>
        <w:jc w:val="center"/>
        <w:tblLook w:val="04A0" w:firstRow="1" w:lastRow="0" w:firstColumn="1" w:lastColumn="0" w:noHBand="0" w:noVBand="1"/>
      </w:tblPr>
      <w:tblGrid>
        <w:gridCol w:w="2061"/>
        <w:gridCol w:w="2430"/>
        <w:gridCol w:w="1221"/>
        <w:gridCol w:w="1545"/>
      </w:tblGrid>
      <w:tr w:rsidR="000F47FA" w:rsidRPr="00D861B9" w:rsidTr="000F47FA">
        <w:trPr>
          <w:jc w:val="center"/>
        </w:trPr>
        <w:tc>
          <w:tcPr>
            <w:tcW w:w="2061" w:type="dxa"/>
            <w:shd w:val="clear" w:color="auto" w:fill="F2F2F2" w:themeFill="background1" w:themeFillShade="F2"/>
          </w:tcPr>
          <w:p w:rsidR="000F47FA" w:rsidRPr="009766D2" w:rsidRDefault="000F47FA" w:rsidP="000F47FA">
            <w:pPr>
              <w:shd w:val="clear" w:color="auto" w:fill="F2F2F2" w:themeFill="background1" w:themeFillShade="F2"/>
              <w:spacing w:before="120" w:after="60"/>
              <w:jc w:val="left"/>
              <w:rPr>
                <w:b/>
                <w:sz w:val="16"/>
                <w:szCs w:val="16"/>
              </w:rPr>
            </w:pPr>
            <w:r w:rsidRPr="009766D2">
              <w:rPr>
                <w:b/>
                <w:sz w:val="16"/>
                <w:szCs w:val="16"/>
              </w:rPr>
              <w:t>obce</w:t>
            </w:r>
          </w:p>
        </w:tc>
        <w:tc>
          <w:tcPr>
            <w:tcW w:w="2430" w:type="dxa"/>
            <w:shd w:val="clear" w:color="auto" w:fill="F2F2F2" w:themeFill="background1" w:themeFillShade="F2"/>
          </w:tcPr>
          <w:p w:rsidR="000F47FA" w:rsidRPr="009766D2" w:rsidRDefault="000F47FA" w:rsidP="000F47FA">
            <w:pPr>
              <w:shd w:val="clear" w:color="auto" w:fill="F2F2F2" w:themeFill="background1" w:themeFillShade="F2"/>
              <w:spacing w:before="120" w:after="60"/>
              <w:rPr>
                <w:b/>
                <w:sz w:val="16"/>
                <w:szCs w:val="16"/>
              </w:rPr>
            </w:pPr>
            <w:r w:rsidRPr="009766D2">
              <w:rPr>
                <w:b/>
                <w:sz w:val="16"/>
                <w:szCs w:val="16"/>
              </w:rPr>
              <w:t>samosprávne kraje</w:t>
            </w:r>
          </w:p>
        </w:tc>
        <w:tc>
          <w:tcPr>
            <w:tcW w:w="1221" w:type="dxa"/>
            <w:shd w:val="clear" w:color="auto" w:fill="F2F2F2" w:themeFill="background1" w:themeFillShade="F2"/>
          </w:tcPr>
          <w:p w:rsidR="000F47FA" w:rsidRPr="009766D2" w:rsidRDefault="000F47FA" w:rsidP="000F47FA">
            <w:pPr>
              <w:shd w:val="clear" w:color="auto" w:fill="F2F2F2" w:themeFill="background1" w:themeFillShade="F2"/>
              <w:spacing w:before="120" w:after="60"/>
              <w:rPr>
                <w:b/>
                <w:sz w:val="16"/>
                <w:szCs w:val="16"/>
              </w:rPr>
            </w:pPr>
            <w:r w:rsidRPr="009766D2">
              <w:rPr>
                <w:b/>
                <w:sz w:val="16"/>
                <w:szCs w:val="16"/>
              </w:rPr>
              <w:t>obce</w:t>
            </w:r>
          </w:p>
        </w:tc>
        <w:tc>
          <w:tcPr>
            <w:tcW w:w="1545" w:type="dxa"/>
            <w:shd w:val="clear" w:color="auto" w:fill="F2F2F2" w:themeFill="background1" w:themeFillShade="F2"/>
          </w:tcPr>
          <w:p w:rsidR="000F47FA" w:rsidRPr="009766D2" w:rsidRDefault="000F47FA" w:rsidP="000F47FA">
            <w:pPr>
              <w:shd w:val="clear" w:color="auto" w:fill="F2F2F2" w:themeFill="background1" w:themeFillShade="F2"/>
              <w:spacing w:before="120" w:after="60"/>
              <w:rPr>
                <w:b/>
                <w:sz w:val="16"/>
                <w:szCs w:val="16"/>
              </w:rPr>
            </w:pPr>
            <w:r w:rsidRPr="009766D2">
              <w:rPr>
                <w:b/>
                <w:sz w:val="16"/>
                <w:szCs w:val="16"/>
              </w:rPr>
              <w:t>samosprávne kraje</w:t>
            </w:r>
          </w:p>
        </w:tc>
      </w:tr>
      <w:tr w:rsidR="000F47FA" w:rsidRPr="00D861B9" w:rsidTr="000F47FA">
        <w:trPr>
          <w:jc w:val="center"/>
        </w:trPr>
        <w:tc>
          <w:tcPr>
            <w:tcW w:w="2061" w:type="dxa"/>
            <w:shd w:val="clear" w:color="auto" w:fill="F2F2F2" w:themeFill="background1" w:themeFillShade="F2"/>
            <w:vAlign w:val="center"/>
          </w:tcPr>
          <w:p w:rsidR="000F47FA" w:rsidRDefault="000F47FA" w:rsidP="000F47FA">
            <w:pPr>
              <w:spacing w:before="120" w:after="60"/>
              <w:rPr>
                <w:sz w:val="16"/>
                <w:szCs w:val="16"/>
              </w:rPr>
            </w:pPr>
            <w:r>
              <w:rPr>
                <w:sz w:val="16"/>
                <w:szCs w:val="16"/>
              </w:rPr>
              <w:t>úsek osvedčovania</w:t>
            </w:r>
          </w:p>
        </w:tc>
        <w:tc>
          <w:tcPr>
            <w:tcW w:w="2430" w:type="dxa"/>
            <w:shd w:val="clear" w:color="auto" w:fill="F2F2F2" w:themeFill="background1" w:themeFillShade="F2"/>
            <w:vAlign w:val="center"/>
          </w:tcPr>
          <w:p w:rsidR="000F47FA" w:rsidRPr="009766D2" w:rsidRDefault="000F47FA" w:rsidP="000F47FA">
            <w:pPr>
              <w:spacing w:before="120" w:after="60"/>
              <w:rPr>
                <w:sz w:val="16"/>
                <w:szCs w:val="16"/>
              </w:rPr>
            </w:pPr>
            <w:r>
              <w:rPr>
                <w:sz w:val="16"/>
                <w:szCs w:val="16"/>
              </w:rPr>
              <w:t>-</w:t>
            </w:r>
          </w:p>
        </w:tc>
        <w:tc>
          <w:tcPr>
            <w:tcW w:w="1221" w:type="dxa"/>
            <w:shd w:val="clear" w:color="auto" w:fill="F2F2F2" w:themeFill="background1" w:themeFillShade="F2"/>
            <w:vAlign w:val="center"/>
          </w:tcPr>
          <w:p w:rsidR="000F47FA" w:rsidRDefault="000F47FA" w:rsidP="000F47FA">
            <w:pPr>
              <w:spacing w:before="120" w:after="60"/>
              <w:jc w:val="right"/>
              <w:rPr>
                <w:sz w:val="16"/>
                <w:szCs w:val="16"/>
              </w:rPr>
            </w:pPr>
            <w:r>
              <w:rPr>
                <w:sz w:val="16"/>
                <w:szCs w:val="16"/>
              </w:rPr>
              <w:t>2 A</w:t>
            </w:r>
          </w:p>
        </w:tc>
        <w:tc>
          <w:tcPr>
            <w:tcW w:w="1545"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w:t>
            </w:r>
          </w:p>
        </w:tc>
      </w:tr>
      <w:tr w:rsidR="000F47FA" w:rsidRPr="00D861B9" w:rsidTr="000F47FA">
        <w:trPr>
          <w:jc w:val="center"/>
        </w:trPr>
        <w:tc>
          <w:tcPr>
            <w:tcW w:w="2061" w:type="dxa"/>
            <w:shd w:val="clear" w:color="auto" w:fill="F2F2F2" w:themeFill="background1" w:themeFillShade="F2"/>
            <w:vAlign w:val="center"/>
          </w:tcPr>
          <w:p w:rsidR="000F47FA" w:rsidRPr="009766D2" w:rsidRDefault="000F47FA" w:rsidP="000F47FA">
            <w:pPr>
              <w:spacing w:before="120" w:after="60"/>
              <w:rPr>
                <w:sz w:val="16"/>
                <w:szCs w:val="16"/>
              </w:rPr>
            </w:pPr>
            <w:r>
              <w:rPr>
                <w:sz w:val="16"/>
                <w:szCs w:val="16"/>
              </w:rPr>
              <w:t>úsek obecnej polície</w:t>
            </w:r>
          </w:p>
        </w:tc>
        <w:tc>
          <w:tcPr>
            <w:tcW w:w="2430" w:type="dxa"/>
            <w:shd w:val="clear" w:color="auto" w:fill="F2F2F2" w:themeFill="background1" w:themeFillShade="F2"/>
            <w:vAlign w:val="center"/>
          </w:tcPr>
          <w:p w:rsidR="000F47FA" w:rsidRPr="009766D2" w:rsidRDefault="000F47FA" w:rsidP="000F47FA">
            <w:pPr>
              <w:spacing w:before="120" w:after="60"/>
              <w:rPr>
                <w:sz w:val="16"/>
                <w:szCs w:val="16"/>
              </w:rPr>
            </w:pPr>
            <w:r>
              <w:rPr>
                <w:sz w:val="16"/>
                <w:szCs w:val="16"/>
              </w:rPr>
              <w:t>-</w:t>
            </w:r>
          </w:p>
        </w:tc>
        <w:tc>
          <w:tcPr>
            <w:tcW w:w="1221"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10 A/ 7 V</w:t>
            </w:r>
          </w:p>
        </w:tc>
        <w:tc>
          <w:tcPr>
            <w:tcW w:w="1545"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w:t>
            </w:r>
          </w:p>
        </w:tc>
      </w:tr>
      <w:tr w:rsidR="000F47FA" w:rsidRPr="00D861B9" w:rsidTr="000F47FA">
        <w:trPr>
          <w:jc w:val="center"/>
        </w:trPr>
        <w:tc>
          <w:tcPr>
            <w:tcW w:w="2061" w:type="dxa"/>
            <w:shd w:val="clear" w:color="auto" w:fill="F2F2F2" w:themeFill="background1" w:themeFillShade="F2"/>
            <w:vAlign w:val="center"/>
          </w:tcPr>
          <w:p w:rsidR="000F47FA" w:rsidRPr="009766D2" w:rsidRDefault="000F47FA" w:rsidP="000F47FA">
            <w:pPr>
              <w:spacing w:before="120" w:after="60"/>
              <w:rPr>
                <w:sz w:val="16"/>
                <w:szCs w:val="16"/>
              </w:rPr>
            </w:pPr>
            <w:r>
              <w:rPr>
                <w:sz w:val="16"/>
                <w:szCs w:val="16"/>
              </w:rPr>
              <w:t xml:space="preserve">úsek priestupkov </w:t>
            </w:r>
          </w:p>
        </w:tc>
        <w:tc>
          <w:tcPr>
            <w:tcW w:w="2430" w:type="dxa"/>
            <w:shd w:val="clear" w:color="auto" w:fill="F2F2F2" w:themeFill="background1" w:themeFillShade="F2"/>
            <w:vAlign w:val="center"/>
          </w:tcPr>
          <w:p w:rsidR="000F47FA" w:rsidRPr="009766D2" w:rsidRDefault="000F47FA" w:rsidP="000F47FA">
            <w:pPr>
              <w:spacing w:before="120" w:after="60"/>
              <w:rPr>
                <w:sz w:val="16"/>
                <w:szCs w:val="16"/>
              </w:rPr>
            </w:pPr>
            <w:r>
              <w:rPr>
                <w:sz w:val="16"/>
                <w:szCs w:val="16"/>
              </w:rPr>
              <w:t>-</w:t>
            </w:r>
          </w:p>
        </w:tc>
        <w:tc>
          <w:tcPr>
            <w:tcW w:w="1221"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4 A</w:t>
            </w:r>
          </w:p>
        </w:tc>
        <w:tc>
          <w:tcPr>
            <w:tcW w:w="1545"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w:t>
            </w:r>
          </w:p>
        </w:tc>
      </w:tr>
      <w:tr w:rsidR="000F47FA" w:rsidRPr="00D861B9" w:rsidTr="000F47FA">
        <w:trPr>
          <w:jc w:val="center"/>
        </w:trPr>
        <w:tc>
          <w:tcPr>
            <w:tcW w:w="2061" w:type="dxa"/>
            <w:shd w:val="clear" w:color="auto" w:fill="F2F2F2" w:themeFill="background1" w:themeFillShade="F2"/>
            <w:vAlign w:val="center"/>
          </w:tcPr>
          <w:p w:rsidR="000F47FA" w:rsidRDefault="000F47FA" w:rsidP="000F47FA">
            <w:pPr>
              <w:spacing w:before="120" w:after="60"/>
              <w:rPr>
                <w:sz w:val="16"/>
                <w:szCs w:val="16"/>
              </w:rPr>
            </w:pPr>
            <w:r>
              <w:rPr>
                <w:sz w:val="16"/>
                <w:szCs w:val="16"/>
              </w:rPr>
              <w:t>-</w:t>
            </w:r>
          </w:p>
        </w:tc>
        <w:tc>
          <w:tcPr>
            <w:tcW w:w="2430" w:type="dxa"/>
            <w:shd w:val="clear" w:color="auto" w:fill="F2F2F2" w:themeFill="background1" w:themeFillShade="F2"/>
            <w:vAlign w:val="center"/>
          </w:tcPr>
          <w:p w:rsidR="000F47FA" w:rsidRPr="009766D2" w:rsidRDefault="000F47FA" w:rsidP="000F47FA">
            <w:pPr>
              <w:spacing w:before="120" w:after="60"/>
              <w:rPr>
                <w:sz w:val="16"/>
                <w:szCs w:val="16"/>
              </w:rPr>
            </w:pPr>
            <w:r>
              <w:rPr>
                <w:sz w:val="16"/>
                <w:szCs w:val="16"/>
              </w:rPr>
              <w:t>úsek civilnej ochrany</w:t>
            </w:r>
          </w:p>
        </w:tc>
        <w:tc>
          <w:tcPr>
            <w:tcW w:w="1221" w:type="dxa"/>
            <w:shd w:val="clear" w:color="auto" w:fill="F2F2F2" w:themeFill="background1" w:themeFillShade="F2"/>
            <w:vAlign w:val="center"/>
          </w:tcPr>
          <w:p w:rsidR="000F47FA" w:rsidRDefault="000F47FA" w:rsidP="000F47FA">
            <w:pPr>
              <w:spacing w:before="120" w:after="60"/>
              <w:jc w:val="right"/>
              <w:rPr>
                <w:sz w:val="16"/>
                <w:szCs w:val="16"/>
              </w:rPr>
            </w:pPr>
            <w:r>
              <w:rPr>
                <w:sz w:val="16"/>
                <w:szCs w:val="16"/>
              </w:rPr>
              <w:t>-</w:t>
            </w:r>
          </w:p>
        </w:tc>
        <w:tc>
          <w:tcPr>
            <w:tcW w:w="1545"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6 A</w:t>
            </w:r>
          </w:p>
        </w:tc>
      </w:tr>
    </w:tbl>
    <w:p w:rsidR="00D378DE" w:rsidRPr="00D378DE" w:rsidRDefault="00D378DE" w:rsidP="00F56357">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D378DE">
        <w:rPr>
          <w:rFonts w:eastAsia="Times New Roman" w:cs="Times New Roman"/>
          <w:sz w:val="22"/>
          <w:lang w:eastAsia="cs-CZ"/>
        </w:rPr>
        <w:t>Ministerstvo vnútra</w:t>
      </w:r>
      <w:r w:rsidR="00BF425A">
        <w:rPr>
          <w:rFonts w:eastAsia="Times New Roman" w:cs="Times New Roman"/>
          <w:sz w:val="22"/>
          <w:lang w:eastAsia="cs-CZ"/>
        </w:rPr>
        <w:t xml:space="preserve"> </w:t>
      </w:r>
      <w:r w:rsidR="00BF425A" w:rsidRPr="00BF425A">
        <w:rPr>
          <w:rFonts w:eastAsia="Times New Roman" w:cs="Times New Roman"/>
          <w:sz w:val="22"/>
          <w:lang w:eastAsia="cs-CZ"/>
        </w:rPr>
        <w:t>Slovenskej republiky</w:t>
      </w:r>
      <w:r w:rsidR="00BF425A">
        <w:rPr>
          <w:rFonts w:eastAsia="Times New Roman" w:cs="Times New Roman"/>
          <w:sz w:val="22"/>
          <w:lang w:eastAsia="cs-CZ"/>
        </w:rPr>
        <w:t xml:space="preserve"> (ďalej len „ministerstvo vnútra“)</w:t>
      </w:r>
      <w:r w:rsidRPr="00D378DE">
        <w:rPr>
          <w:rFonts w:eastAsia="Times New Roman" w:cs="Times New Roman"/>
          <w:sz w:val="22"/>
          <w:lang w:eastAsia="cs-CZ"/>
        </w:rPr>
        <w:t xml:space="preserve"> vychádzalo pri vykonaní auditu z údajov rezortnej štatistiky, z vlastných poznatkov a skúseností.</w:t>
      </w:r>
    </w:p>
    <w:p w:rsidR="00D378DE" w:rsidRPr="00D378DE" w:rsidRDefault="00D378DE" w:rsidP="00F56357">
      <w:pPr>
        <w:keepNext/>
        <w:shd w:val="clear" w:color="auto" w:fill="F2F2F2" w:themeFill="background1" w:themeFillShade="F2"/>
        <w:tabs>
          <w:tab w:val="left" w:pos="1276"/>
        </w:tabs>
        <w:spacing w:before="120" w:after="120" w:line="240" w:lineRule="auto"/>
        <w:ind w:firstLine="709"/>
        <w:jc w:val="both"/>
        <w:rPr>
          <w:rFonts w:cs="Times New Roman"/>
          <w:sz w:val="22"/>
        </w:rPr>
      </w:pPr>
      <w:r w:rsidRPr="00D378DE">
        <w:rPr>
          <w:rFonts w:eastAsia="Times New Roman" w:cs="Times New Roman"/>
          <w:sz w:val="22"/>
          <w:u w:val="single"/>
          <w:lang w:eastAsia="cs-CZ"/>
        </w:rPr>
        <w:t>2.2.</w:t>
      </w:r>
      <w:r w:rsidRPr="00D378DE">
        <w:rPr>
          <w:rFonts w:eastAsia="Times New Roman" w:cs="Times New Roman"/>
          <w:sz w:val="22"/>
          <w:u w:val="single"/>
          <w:lang w:eastAsia="cs-CZ"/>
        </w:rPr>
        <w:tab/>
        <w:t>Zhodnotenie kvality výkonu samosprávnych pôsobností</w:t>
      </w:r>
      <w:r w:rsidRPr="00D378DE">
        <w:rPr>
          <w:rFonts w:cs="Times New Roman"/>
          <w:sz w:val="22"/>
        </w:rPr>
        <w:t xml:space="preserve"> </w:t>
      </w:r>
    </w:p>
    <w:p w:rsidR="00747F11" w:rsidRDefault="00D378DE" w:rsidP="00F56357">
      <w:pPr>
        <w:shd w:val="clear" w:color="auto" w:fill="F2F2F2" w:themeFill="background1" w:themeFillShade="F2"/>
        <w:spacing w:before="120" w:after="0" w:line="240" w:lineRule="auto"/>
        <w:ind w:firstLine="709"/>
        <w:jc w:val="both"/>
        <w:rPr>
          <w:rFonts w:cs="Times New Roman"/>
          <w:sz w:val="22"/>
        </w:rPr>
      </w:pPr>
      <w:r w:rsidRPr="00D378DE">
        <w:rPr>
          <w:rFonts w:cs="Times New Roman"/>
          <w:sz w:val="22"/>
        </w:rPr>
        <w:t>Na základe získaných podkladov je možné konštatovať, že samosprávne úlohy vyplývajúce z právnych predpisov v gescii ministerstva vnútra sú plnené v prevažnej väčšine kvalitne.</w:t>
      </w:r>
    </w:p>
    <w:p w:rsidR="00747F11" w:rsidRDefault="00D378DE" w:rsidP="00F56357">
      <w:pPr>
        <w:shd w:val="clear" w:color="auto" w:fill="F2F2F2" w:themeFill="background1" w:themeFillShade="F2"/>
        <w:spacing w:before="120" w:after="0" w:line="240" w:lineRule="auto"/>
        <w:ind w:firstLine="709"/>
        <w:jc w:val="both"/>
        <w:rPr>
          <w:rFonts w:cs="Times New Roman"/>
          <w:sz w:val="22"/>
        </w:rPr>
      </w:pPr>
      <w:r w:rsidRPr="00D378DE">
        <w:rPr>
          <w:rFonts w:cs="Times New Roman"/>
          <w:sz w:val="22"/>
        </w:rPr>
        <w:t xml:space="preserve">Osvedčovanie je vykonávané na každom obecnom úrade, u starších, prípadne imobilných občanov sa vykonáva na požiadanie priamo v domácnostiach, zariadeniach sociálnych služieb a v zdravotníckych zariadeniach, preto je flexibilný, účinný a hospodárny. </w:t>
      </w:r>
    </w:p>
    <w:p w:rsidR="00747F11" w:rsidRDefault="00D378DE" w:rsidP="00F56357">
      <w:pPr>
        <w:shd w:val="clear" w:color="auto" w:fill="F2F2F2" w:themeFill="background1" w:themeFillShade="F2"/>
        <w:spacing w:before="120" w:after="0" w:line="240" w:lineRule="auto"/>
        <w:ind w:firstLine="709"/>
        <w:jc w:val="both"/>
        <w:rPr>
          <w:rFonts w:cs="Times New Roman"/>
          <w:sz w:val="22"/>
        </w:rPr>
      </w:pPr>
      <w:r w:rsidRPr="00D378DE">
        <w:rPr>
          <w:rFonts w:cs="Times New Roman"/>
          <w:sz w:val="22"/>
        </w:rPr>
        <w:t>Ku koncu roku 2011 pôsobilo v SR spolu 164 obecných polícií a cca 2 500 príslušníkov obecných polícií.</w:t>
      </w:r>
    </w:p>
    <w:p w:rsidR="00747F11" w:rsidRDefault="00D378DE" w:rsidP="00F56357">
      <w:pPr>
        <w:shd w:val="clear" w:color="auto" w:fill="F2F2F2" w:themeFill="background1" w:themeFillShade="F2"/>
        <w:spacing w:before="120" w:after="0" w:line="240" w:lineRule="auto"/>
        <w:ind w:firstLine="709"/>
        <w:jc w:val="both"/>
        <w:rPr>
          <w:rFonts w:cs="Times New Roman"/>
          <w:sz w:val="22"/>
        </w:rPr>
      </w:pPr>
      <w:r w:rsidRPr="00D378DE">
        <w:rPr>
          <w:rFonts w:cs="Times New Roman"/>
          <w:sz w:val="22"/>
        </w:rPr>
        <w:t>Z podkladov pre výkon auditu nie sú známe žiadne konkrétne problémy pri vykonávaní originálnej pôsobnosti obcí spočívajúcej v </w:t>
      </w:r>
      <w:proofErr w:type="spellStart"/>
      <w:r w:rsidRPr="00D378DE">
        <w:rPr>
          <w:rFonts w:cs="Times New Roman"/>
          <w:sz w:val="22"/>
        </w:rPr>
        <w:t>prejednávaní</w:t>
      </w:r>
      <w:proofErr w:type="spellEnd"/>
      <w:r w:rsidRPr="00D378DE">
        <w:rPr>
          <w:rFonts w:cs="Times New Roman"/>
          <w:sz w:val="22"/>
        </w:rPr>
        <w:t xml:space="preserve"> priestupkov, odhalené nedostatky boli v tom, </w:t>
      </w:r>
      <w:r w:rsidRPr="00D378DE">
        <w:rPr>
          <w:rFonts w:cs="Times New Roman"/>
          <w:sz w:val="22"/>
        </w:rPr>
        <w:lastRenderedPageBreak/>
        <w:t>že obce si neplnia svoju povinnosť odovzdávať údaje o </w:t>
      </w:r>
      <w:proofErr w:type="spellStart"/>
      <w:r w:rsidRPr="00D378DE">
        <w:rPr>
          <w:rFonts w:cs="Times New Roman"/>
          <w:sz w:val="22"/>
        </w:rPr>
        <w:t>prejednaných</w:t>
      </w:r>
      <w:proofErr w:type="spellEnd"/>
      <w:r w:rsidRPr="00D378DE">
        <w:rPr>
          <w:rFonts w:cs="Times New Roman"/>
          <w:sz w:val="22"/>
        </w:rPr>
        <w:t xml:space="preserve"> priestupkoch do Ústrednej evidencie priestupkov ministerstva vnútra. </w:t>
      </w:r>
    </w:p>
    <w:p w:rsidR="00D378DE" w:rsidRPr="00D378DE" w:rsidRDefault="00D378DE" w:rsidP="00F56357">
      <w:pPr>
        <w:shd w:val="clear" w:color="auto" w:fill="F2F2F2" w:themeFill="background1" w:themeFillShade="F2"/>
        <w:spacing w:before="120" w:after="0" w:line="240" w:lineRule="auto"/>
        <w:ind w:firstLine="709"/>
        <w:jc w:val="both"/>
        <w:rPr>
          <w:rFonts w:cs="Times New Roman"/>
          <w:sz w:val="22"/>
        </w:rPr>
      </w:pPr>
      <w:r w:rsidRPr="00D378DE">
        <w:rPr>
          <w:rFonts w:cs="Times New Roman"/>
          <w:sz w:val="22"/>
        </w:rPr>
        <w:t>Na úseku civilnej ochrany sa ako problematické javí zriaďovanie krízových fondov územnej samosprávy. Táto pôsobnosť je však fakultatívna, preto ju samosprávne kraje nemusia využívať.</w:t>
      </w:r>
    </w:p>
    <w:p w:rsidR="00D378DE" w:rsidRPr="00D378DE" w:rsidRDefault="00D378DE" w:rsidP="00F56357">
      <w:pPr>
        <w:keepNext/>
        <w:shd w:val="clear" w:color="auto" w:fill="F2F2F2" w:themeFill="background1" w:themeFillShade="F2"/>
        <w:tabs>
          <w:tab w:val="left" w:pos="1276"/>
        </w:tabs>
        <w:spacing w:before="120" w:after="120" w:line="240" w:lineRule="auto"/>
        <w:ind w:firstLine="709"/>
        <w:jc w:val="both"/>
        <w:rPr>
          <w:rFonts w:cs="Times New Roman"/>
          <w:sz w:val="22"/>
          <w:u w:val="single"/>
        </w:rPr>
      </w:pPr>
      <w:r w:rsidRPr="00D378DE">
        <w:rPr>
          <w:rFonts w:cs="Times New Roman"/>
          <w:sz w:val="22"/>
          <w:u w:val="single"/>
        </w:rPr>
        <w:t>2.3.</w:t>
      </w:r>
      <w:r w:rsidRPr="00D378DE">
        <w:rPr>
          <w:rFonts w:cs="Times New Roman"/>
          <w:sz w:val="22"/>
          <w:u w:val="single"/>
        </w:rPr>
        <w:tab/>
        <w:t>Financovanie výkonu samosprávnych pôsobností</w:t>
      </w:r>
    </w:p>
    <w:p w:rsidR="005875DC" w:rsidRDefault="005875DC" w:rsidP="00F56357">
      <w:pPr>
        <w:keepNext/>
        <w:shd w:val="clear" w:color="auto" w:fill="F2F2F2" w:themeFill="background1" w:themeFillShade="F2"/>
        <w:tabs>
          <w:tab w:val="left" w:pos="1276"/>
        </w:tabs>
        <w:spacing w:before="120" w:after="120" w:line="240" w:lineRule="auto"/>
        <w:ind w:firstLine="709"/>
        <w:jc w:val="both"/>
        <w:rPr>
          <w:rFonts w:cs="Times New Roman"/>
          <w:sz w:val="22"/>
        </w:rPr>
      </w:pPr>
      <w:r w:rsidRPr="005875DC">
        <w:rPr>
          <w:rFonts w:cs="Times New Roman"/>
          <w:sz w:val="22"/>
        </w:rPr>
        <w:t>Ministerstvo vnútra neuviedlo žiadne konkrétne údaje o financovaní samosprávnych pôsobností s odôvodnením na nemožnosť získať relevantné údaje.</w:t>
      </w:r>
    </w:p>
    <w:p w:rsidR="00D378DE" w:rsidRPr="00D378DE" w:rsidRDefault="00D378DE" w:rsidP="00F56357">
      <w:pPr>
        <w:keepNext/>
        <w:shd w:val="clear" w:color="auto" w:fill="F2F2F2" w:themeFill="background1" w:themeFillShade="F2"/>
        <w:tabs>
          <w:tab w:val="left" w:pos="1276"/>
        </w:tabs>
        <w:spacing w:before="120" w:after="120" w:line="240" w:lineRule="auto"/>
        <w:ind w:firstLine="709"/>
        <w:jc w:val="both"/>
        <w:rPr>
          <w:rFonts w:cs="Times New Roman"/>
          <w:sz w:val="22"/>
          <w:u w:val="single"/>
        </w:rPr>
      </w:pPr>
      <w:r w:rsidRPr="00D378DE">
        <w:rPr>
          <w:rFonts w:cs="Times New Roman"/>
          <w:sz w:val="22"/>
          <w:u w:val="single"/>
        </w:rPr>
        <w:t>2.4.</w:t>
      </w:r>
      <w:r w:rsidRPr="00D378DE">
        <w:rPr>
          <w:rFonts w:cs="Times New Roman"/>
          <w:sz w:val="22"/>
          <w:u w:val="single"/>
        </w:rPr>
        <w:tab/>
        <w:t>Návrhy opatrení</w:t>
      </w:r>
    </w:p>
    <w:p w:rsidR="001251BD" w:rsidRDefault="00D378DE" w:rsidP="00F56357">
      <w:pPr>
        <w:shd w:val="clear" w:color="auto" w:fill="F2F2F2" w:themeFill="background1" w:themeFillShade="F2"/>
        <w:spacing w:before="120" w:after="0" w:line="240" w:lineRule="auto"/>
        <w:ind w:firstLine="709"/>
        <w:jc w:val="both"/>
        <w:rPr>
          <w:rFonts w:cs="Times New Roman"/>
          <w:sz w:val="22"/>
        </w:rPr>
      </w:pPr>
      <w:r w:rsidRPr="00D378DE">
        <w:rPr>
          <w:rFonts w:cs="Times New Roman"/>
          <w:sz w:val="22"/>
        </w:rPr>
        <w:t>Návrhy opatrení predložené ministerstvom vnútra boli zamerané v legislatívnej  oblasti</w:t>
      </w:r>
      <w:r w:rsidR="001251BD">
        <w:rPr>
          <w:rFonts w:cs="Times New Roman"/>
          <w:sz w:val="22"/>
        </w:rPr>
        <w:t xml:space="preserve"> na:</w:t>
      </w:r>
      <w:r w:rsidRPr="00D378DE">
        <w:rPr>
          <w:rFonts w:cs="Times New Roman"/>
          <w:sz w:val="22"/>
        </w:rPr>
        <w:t xml:space="preserve"> </w:t>
      </w:r>
    </w:p>
    <w:p w:rsidR="001251BD" w:rsidRPr="001251BD" w:rsidRDefault="00D378DE" w:rsidP="001251BD">
      <w:pPr>
        <w:pStyle w:val="Odsekzoznamu"/>
        <w:numPr>
          <w:ilvl w:val="0"/>
          <w:numId w:val="11"/>
        </w:numPr>
        <w:shd w:val="clear" w:color="auto" w:fill="F2F2F2" w:themeFill="background1" w:themeFillShade="F2"/>
        <w:spacing w:before="60" w:after="0" w:line="240" w:lineRule="auto"/>
        <w:ind w:left="709" w:hanging="357"/>
        <w:jc w:val="both"/>
        <w:rPr>
          <w:rFonts w:cs="Times New Roman"/>
          <w:sz w:val="22"/>
        </w:rPr>
      </w:pPr>
      <w:r w:rsidRPr="001251BD">
        <w:rPr>
          <w:rFonts w:cs="Times New Roman"/>
          <w:sz w:val="22"/>
        </w:rPr>
        <w:t xml:space="preserve">zmenu  zákona o osvedčovaní listín a podpisov na listinách obvodnými úradmi a obcami, </w:t>
      </w:r>
    </w:p>
    <w:p w:rsidR="001251BD" w:rsidRPr="001251BD" w:rsidRDefault="00D378DE" w:rsidP="001251BD">
      <w:pPr>
        <w:pStyle w:val="Odsekzoznamu"/>
        <w:numPr>
          <w:ilvl w:val="0"/>
          <w:numId w:val="11"/>
        </w:numPr>
        <w:shd w:val="clear" w:color="auto" w:fill="F2F2F2" w:themeFill="background1" w:themeFillShade="F2"/>
        <w:spacing w:before="120" w:after="0" w:line="240" w:lineRule="auto"/>
        <w:ind w:left="709"/>
        <w:jc w:val="both"/>
        <w:rPr>
          <w:rFonts w:cs="Times New Roman"/>
          <w:sz w:val="22"/>
        </w:rPr>
      </w:pPr>
      <w:r w:rsidRPr="001251BD">
        <w:rPr>
          <w:rFonts w:cs="Times New Roman"/>
          <w:sz w:val="22"/>
        </w:rPr>
        <w:t>p</w:t>
      </w:r>
      <w:r w:rsidR="001251BD">
        <w:rPr>
          <w:rFonts w:cs="Times New Roman"/>
          <w:sz w:val="22"/>
        </w:rPr>
        <w:t>rípravu legislatívneho</w:t>
      </w:r>
      <w:r w:rsidRPr="001251BD">
        <w:rPr>
          <w:rFonts w:cs="Times New Roman"/>
          <w:sz w:val="22"/>
        </w:rPr>
        <w:t xml:space="preserve"> zámer</w:t>
      </w:r>
      <w:r w:rsidR="001251BD">
        <w:rPr>
          <w:rFonts w:cs="Times New Roman"/>
          <w:sz w:val="22"/>
        </w:rPr>
        <w:t>u</w:t>
      </w:r>
      <w:r w:rsidRPr="001251BD">
        <w:rPr>
          <w:rFonts w:cs="Times New Roman"/>
          <w:sz w:val="22"/>
        </w:rPr>
        <w:t xml:space="preserve"> k zákonu o evidencii sankčných postihov za administratívnosprávne delikty, </w:t>
      </w:r>
    </w:p>
    <w:p w:rsidR="001251BD" w:rsidRPr="001251BD" w:rsidRDefault="00D378DE" w:rsidP="001251BD">
      <w:pPr>
        <w:pStyle w:val="Odsekzoznamu"/>
        <w:numPr>
          <w:ilvl w:val="0"/>
          <w:numId w:val="11"/>
        </w:numPr>
        <w:shd w:val="clear" w:color="auto" w:fill="F2F2F2" w:themeFill="background1" w:themeFillShade="F2"/>
        <w:spacing w:before="120" w:after="0" w:line="240" w:lineRule="auto"/>
        <w:ind w:left="709"/>
        <w:jc w:val="both"/>
        <w:rPr>
          <w:rFonts w:cs="Times New Roman"/>
          <w:sz w:val="22"/>
        </w:rPr>
      </w:pPr>
      <w:r w:rsidRPr="001251BD">
        <w:rPr>
          <w:rFonts w:cs="Times New Roman"/>
          <w:sz w:val="22"/>
        </w:rPr>
        <w:t>iniciov</w:t>
      </w:r>
      <w:r w:rsidR="001251BD">
        <w:rPr>
          <w:rFonts w:cs="Times New Roman"/>
          <w:sz w:val="22"/>
        </w:rPr>
        <w:t>anie</w:t>
      </w:r>
      <w:r w:rsidRPr="001251BD">
        <w:rPr>
          <w:rFonts w:cs="Times New Roman"/>
          <w:sz w:val="22"/>
        </w:rPr>
        <w:t xml:space="preserve"> rokovania so</w:t>
      </w:r>
      <w:r w:rsidR="001251BD" w:rsidRPr="001251BD">
        <w:rPr>
          <w:rFonts w:cs="Times New Roman"/>
          <w:sz w:val="22"/>
        </w:rPr>
        <w:t xml:space="preserve"> združeniami zastupujúcimi obce</w:t>
      </w:r>
      <w:r w:rsidRPr="001251BD">
        <w:rPr>
          <w:rFonts w:cs="Times New Roman"/>
          <w:sz w:val="22"/>
        </w:rPr>
        <w:t xml:space="preserve"> s cieľom pripraviť možnosť legislatívnych zmien v oblasti úpravy výnosu pokút za priestupky, trov konania spojených s </w:t>
      </w:r>
      <w:proofErr w:type="spellStart"/>
      <w:r w:rsidRPr="001251BD">
        <w:rPr>
          <w:rFonts w:cs="Times New Roman"/>
          <w:sz w:val="22"/>
        </w:rPr>
        <w:t>prejednaním</w:t>
      </w:r>
      <w:proofErr w:type="spellEnd"/>
      <w:r w:rsidRPr="001251BD">
        <w:rPr>
          <w:rFonts w:cs="Times New Roman"/>
          <w:sz w:val="22"/>
        </w:rPr>
        <w:t xml:space="preserve"> priestupkov a výkonu rozhodnutia o uložení pokuty za priestupok, ktorá je príjmom obce, ako aj úpravy vymedzenia odvolacieho orgánu proti rozhodnutiam obce, uvedených v zákone o priestupkoch (§ 13 ods. 3, § 79 ods. 1, § 88) a zákone o obecnom zriadení (§ 27 ods. 2). </w:t>
      </w:r>
    </w:p>
    <w:p w:rsidR="00D378DE" w:rsidRPr="00D378DE" w:rsidRDefault="00D378DE" w:rsidP="001251BD">
      <w:pPr>
        <w:shd w:val="clear" w:color="auto" w:fill="F2F2F2" w:themeFill="background1" w:themeFillShade="F2"/>
        <w:spacing w:before="120" w:after="0" w:line="240" w:lineRule="auto"/>
        <w:ind w:firstLine="709"/>
        <w:jc w:val="both"/>
        <w:rPr>
          <w:rFonts w:cs="Times New Roman"/>
          <w:sz w:val="22"/>
        </w:rPr>
      </w:pPr>
      <w:r w:rsidRPr="00D378DE">
        <w:rPr>
          <w:rFonts w:cs="Times New Roman"/>
          <w:sz w:val="22"/>
        </w:rPr>
        <w:t>V inštitucionálnej oblasti ministerstvo vnútra navrhlo</w:t>
      </w:r>
      <w:r w:rsidR="001251BD">
        <w:rPr>
          <w:rFonts w:cs="Times New Roman"/>
          <w:sz w:val="22"/>
        </w:rPr>
        <w:t xml:space="preserve"> </w:t>
      </w:r>
      <w:r w:rsidRPr="00D378DE">
        <w:rPr>
          <w:rFonts w:cs="Times New Roman"/>
          <w:sz w:val="22"/>
        </w:rPr>
        <w:t xml:space="preserve">iniciovať rokovania so združeniami zastupujúcimi obce (kde </w:t>
      </w:r>
      <w:proofErr w:type="spellStart"/>
      <w:r w:rsidRPr="00D378DE">
        <w:rPr>
          <w:rFonts w:cs="Times New Roman"/>
          <w:sz w:val="22"/>
        </w:rPr>
        <w:t>prejednávajú</w:t>
      </w:r>
      <w:proofErr w:type="spellEnd"/>
      <w:r w:rsidRPr="00D378DE">
        <w:rPr>
          <w:rFonts w:cs="Times New Roman"/>
          <w:sz w:val="22"/>
        </w:rPr>
        <w:t xml:space="preserve"> priestupky obce) a s ústrednými orgánmi štátnej správy (v ktorých gescii sú oblasti verejnej správy) s cieľom prevziať </w:t>
      </w:r>
      <w:proofErr w:type="spellStart"/>
      <w:r w:rsidRPr="00D378DE">
        <w:rPr>
          <w:rFonts w:cs="Times New Roman"/>
          <w:sz w:val="22"/>
        </w:rPr>
        <w:t>prejednávanie</w:t>
      </w:r>
      <w:proofErr w:type="spellEnd"/>
      <w:r w:rsidRPr="00D378DE">
        <w:rPr>
          <w:rFonts w:cs="Times New Roman"/>
          <w:sz w:val="22"/>
        </w:rPr>
        <w:t xml:space="preserve"> priestupkov v správnom konaní z obcí na orgány miestnej štátnej správy.</w:t>
      </w:r>
    </w:p>
    <w:p w:rsidR="00D378DE" w:rsidRPr="00D378DE" w:rsidRDefault="00D378DE" w:rsidP="00F56357">
      <w:pPr>
        <w:shd w:val="clear" w:color="auto" w:fill="F2F2F2" w:themeFill="background1" w:themeFillShade="F2"/>
        <w:spacing w:before="120" w:after="0" w:line="240" w:lineRule="auto"/>
        <w:ind w:firstLine="709"/>
        <w:jc w:val="both"/>
        <w:rPr>
          <w:rFonts w:cs="Times New Roman"/>
          <w:sz w:val="22"/>
          <w:u w:val="single"/>
        </w:rPr>
      </w:pPr>
      <w:r w:rsidRPr="00D378DE">
        <w:rPr>
          <w:rFonts w:cs="Times New Roman"/>
          <w:sz w:val="22"/>
          <w:u w:val="single"/>
        </w:rPr>
        <w:t>Kritické stanovisko</w:t>
      </w:r>
    </w:p>
    <w:p w:rsidR="00D378DE" w:rsidRPr="00D378DE" w:rsidRDefault="00D378DE" w:rsidP="00F56357">
      <w:pPr>
        <w:shd w:val="clear" w:color="auto" w:fill="F2F2F2" w:themeFill="background1" w:themeFillShade="F2"/>
        <w:spacing w:before="120" w:after="0" w:line="240" w:lineRule="auto"/>
        <w:ind w:firstLine="709"/>
        <w:jc w:val="both"/>
        <w:rPr>
          <w:rFonts w:cs="Times New Roman"/>
          <w:sz w:val="22"/>
        </w:rPr>
      </w:pPr>
      <w:r w:rsidRPr="00D378DE">
        <w:rPr>
          <w:rFonts w:cs="Times New Roman"/>
          <w:sz w:val="22"/>
        </w:rPr>
        <w:t xml:space="preserve">Audit potvrdil, že ministerstvo vnútra nemá k dispozícii dostatok údajov (v rezortnej štatistike), najmä o výkone samosprávnych pôsobností. </w:t>
      </w:r>
    </w:p>
    <w:p w:rsidR="00D378DE" w:rsidRPr="00D378DE" w:rsidRDefault="00D378DE" w:rsidP="00F56357">
      <w:pPr>
        <w:keepNext/>
        <w:spacing w:before="240" w:after="240" w:line="240" w:lineRule="auto"/>
        <w:jc w:val="both"/>
        <w:rPr>
          <w:rFonts w:cs="Times New Roman"/>
          <w:b/>
          <w:sz w:val="22"/>
        </w:rPr>
      </w:pPr>
      <w:r w:rsidRPr="00D378DE">
        <w:rPr>
          <w:rFonts w:cs="Times New Roman"/>
          <w:b/>
          <w:sz w:val="22"/>
        </w:rPr>
        <w:t>Ministerstvo zdravotníctva Slovenskej republiky</w:t>
      </w:r>
    </w:p>
    <w:p w:rsidR="000F47FA" w:rsidRDefault="00753168" w:rsidP="000F47FA">
      <w:pPr>
        <w:keepNext/>
        <w:shd w:val="clear" w:color="auto" w:fill="FFFFFF" w:themeFill="background1"/>
        <w:tabs>
          <w:tab w:val="left" w:pos="1276"/>
        </w:tabs>
        <w:spacing w:before="120" w:after="120" w:line="240" w:lineRule="auto"/>
        <w:ind w:firstLine="709"/>
        <w:jc w:val="both"/>
        <w:rPr>
          <w:rFonts w:eastAsia="Times New Roman" w:cs="Times New Roman"/>
          <w:sz w:val="22"/>
          <w:u w:val="single"/>
          <w:lang w:eastAsia="cs-CZ"/>
        </w:rPr>
      </w:pPr>
      <w:r>
        <w:rPr>
          <w:rFonts w:eastAsia="Times New Roman" w:cs="Times New Roman"/>
          <w:sz w:val="22"/>
          <w:u w:val="single"/>
          <w:lang w:eastAsia="cs-CZ"/>
        </w:rPr>
        <w:t>2</w:t>
      </w:r>
      <w:r w:rsidR="000F47FA" w:rsidRPr="00D861B9">
        <w:rPr>
          <w:rFonts w:eastAsia="Times New Roman" w:cs="Times New Roman"/>
          <w:sz w:val="22"/>
          <w:u w:val="single"/>
          <w:lang w:eastAsia="cs-CZ"/>
        </w:rPr>
        <w:t>.1.</w:t>
      </w:r>
      <w:r w:rsidR="000F47FA" w:rsidRPr="00D861B9">
        <w:rPr>
          <w:rFonts w:eastAsia="Times New Roman" w:cs="Times New Roman"/>
          <w:sz w:val="22"/>
          <w:u w:val="single"/>
          <w:lang w:eastAsia="cs-CZ"/>
        </w:rPr>
        <w:tab/>
        <w:t xml:space="preserve">Katalóg </w:t>
      </w:r>
      <w:r w:rsidR="000F47FA">
        <w:rPr>
          <w:rFonts w:eastAsia="Times New Roman" w:cs="Times New Roman"/>
          <w:sz w:val="22"/>
          <w:u w:val="single"/>
          <w:lang w:eastAsia="cs-CZ"/>
        </w:rPr>
        <w:t>samosprávnych</w:t>
      </w:r>
      <w:r w:rsidR="000F47FA" w:rsidRPr="00D861B9">
        <w:rPr>
          <w:rFonts w:eastAsia="Times New Roman" w:cs="Times New Roman"/>
          <w:sz w:val="22"/>
          <w:u w:val="single"/>
          <w:lang w:eastAsia="cs-CZ"/>
        </w:rPr>
        <w:t xml:space="preserve"> pôsobností</w:t>
      </w:r>
    </w:p>
    <w:p w:rsidR="000F47FA" w:rsidRPr="00D861B9" w:rsidRDefault="000F47FA" w:rsidP="000F47FA">
      <w:pPr>
        <w:keepNext/>
        <w:shd w:val="clear" w:color="auto" w:fill="FFFFFF" w:themeFill="background1"/>
        <w:tabs>
          <w:tab w:val="left" w:pos="1276"/>
        </w:tabs>
        <w:spacing w:before="120" w:after="120" w:line="240" w:lineRule="auto"/>
        <w:ind w:firstLine="709"/>
        <w:jc w:val="both"/>
        <w:rPr>
          <w:rFonts w:eastAsia="Times New Roman" w:cs="Times New Roman"/>
          <w:sz w:val="22"/>
          <w:lang w:eastAsia="cs-CZ"/>
        </w:rPr>
      </w:pPr>
      <w:r w:rsidRPr="00D861B9">
        <w:rPr>
          <w:rFonts w:eastAsia="Times New Roman" w:cs="Times New Roman"/>
          <w:sz w:val="22"/>
          <w:lang w:eastAsia="cs-CZ"/>
        </w:rPr>
        <w:t>Zoznam úsekov</w:t>
      </w:r>
      <w:r>
        <w:rPr>
          <w:rFonts w:eastAsia="Times New Roman" w:cs="Times New Roman"/>
          <w:sz w:val="22"/>
          <w:lang w:eastAsia="cs-CZ"/>
        </w:rPr>
        <w:t>,</w:t>
      </w:r>
      <w:r w:rsidRPr="00D861B9">
        <w:rPr>
          <w:rFonts w:eastAsia="Times New Roman" w:cs="Times New Roman"/>
          <w:sz w:val="22"/>
          <w:lang w:eastAsia="cs-CZ"/>
        </w:rPr>
        <w:t xml:space="preserve"> </w:t>
      </w:r>
      <w:r w:rsidRPr="00B67413">
        <w:rPr>
          <w:rFonts w:eastAsia="Times New Roman" w:cs="Times New Roman"/>
          <w:sz w:val="22"/>
          <w:lang w:eastAsia="cs-CZ"/>
        </w:rPr>
        <w:t>na ktorých obce a samosprávne kraje vykonávajú samosprávne pôsobnosti</w:t>
      </w:r>
      <w:r>
        <w:rPr>
          <w:rFonts w:eastAsia="Times New Roman" w:cs="Times New Roman"/>
          <w:sz w:val="22"/>
          <w:lang w:eastAsia="cs-CZ"/>
        </w:rPr>
        <w:t>,</w:t>
      </w:r>
      <w:r w:rsidRPr="00D861B9">
        <w:rPr>
          <w:rFonts w:eastAsia="Times New Roman" w:cs="Times New Roman"/>
          <w:sz w:val="22"/>
          <w:lang w:eastAsia="cs-CZ"/>
        </w:rPr>
        <w:t xml:space="preserve"> </w:t>
      </w:r>
      <w:r>
        <w:rPr>
          <w:rFonts w:eastAsia="Times New Roman" w:cs="Times New Roman"/>
          <w:sz w:val="22"/>
          <w:lang w:eastAsia="cs-CZ"/>
        </w:rPr>
        <w:t>a údaje o počte úloh:</w:t>
      </w:r>
    </w:p>
    <w:tbl>
      <w:tblPr>
        <w:tblStyle w:val="Mriekatabuky"/>
        <w:tblW w:w="0" w:type="auto"/>
        <w:jc w:val="center"/>
        <w:tblLook w:val="04A0" w:firstRow="1" w:lastRow="0" w:firstColumn="1" w:lastColumn="0" w:noHBand="0" w:noVBand="1"/>
      </w:tblPr>
      <w:tblGrid>
        <w:gridCol w:w="2061"/>
        <w:gridCol w:w="2430"/>
        <w:gridCol w:w="1221"/>
        <w:gridCol w:w="1545"/>
      </w:tblGrid>
      <w:tr w:rsidR="000F47FA" w:rsidRPr="00D861B9" w:rsidTr="000F47FA">
        <w:trPr>
          <w:jc w:val="center"/>
        </w:trPr>
        <w:tc>
          <w:tcPr>
            <w:tcW w:w="2061" w:type="dxa"/>
            <w:shd w:val="clear" w:color="auto" w:fill="auto"/>
          </w:tcPr>
          <w:p w:rsidR="000F47FA" w:rsidRPr="009766D2" w:rsidRDefault="000F47FA" w:rsidP="000F47FA">
            <w:pPr>
              <w:shd w:val="clear" w:color="auto" w:fill="FFFFFF" w:themeFill="background1"/>
              <w:spacing w:before="120" w:after="60"/>
              <w:jc w:val="left"/>
              <w:rPr>
                <w:b/>
                <w:sz w:val="16"/>
                <w:szCs w:val="16"/>
              </w:rPr>
            </w:pPr>
            <w:r w:rsidRPr="009766D2">
              <w:rPr>
                <w:b/>
                <w:sz w:val="16"/>
                <w:szCs w:val="16"/>
              </w:rPr>
              <w:t>obce</w:t>
            </w:r>
          </w:p>
        </w:tc>
        <w:tc>
          <w:tcPr>
            <w:tcW w:w="2430" w:type="dxa"/>
            <w:shd w:val="clear" w:color="auto" w:fill="auto"/>
          </w:tcPr>
          <w:p w:rsidR="000F47FA" w:rsidRPr="009766D2" w:rsidRDefault="000F47FA" w:rsidP="000F47FA">
            <w:pPr>
              <w:shd w:val="clear" w:color="auto" w:fill="FFFFFF" w:themeFill="background1"/>
              <w:spacing w:before="120" w:after="60"/>
              <w:rPr>
                <w:b/>
                <w:sz w:val="16"/>
                <w:szCs w:val="16"/>
              </w:rPr>
            </w:pPr>
            <w:r w:rsidRPr="009766D2">
              <w:rPr>
                <w:b/>
                <w:sz w:val="16"/>
                <w:szCs w:val="16"/>
              </w:rPr>
              <w:t>samosprávne kraje</w:t>
            </w:r>
          </w:p>
        </w:tc>
        <w:tc>
          <w:tcPr>
            <w:tcW w:w="1221" w:type="dxa"/>
            <w:shd w:val="clear" w:color="auto" w:fill="auto"/>
          </w:tcPr>
          <w:p w:rsidR="000F47FA" w:rsidRPr="009766D2" w:rsidRDefault="000F47FA" w:rsidP="000F47FA">
            <w:pPr>
              <w:shd w:val="clear" w:color="auto" w:fill="FFFFFF" w:themeFill="background1"/>
              <w:spacing w:before="120" w:after="60"/>
              <w:rPr>
                <w:b/>
                <w:sz w:val="16"/>
                <w:szCs w:val="16"/>
              </w:rPr>
            </w:pPr>
            <w:r w:rsidRPr="009766D2">
              <w:rPr>
                <w:b/>
                <w:sz w:val="16"/>
                <w:szCs w:val="16"/>
              </w:rPr>
              <w:t>obce</w:t>
            </w:r>
          </w:p>
        </w:tc>
        <w:tc>
          <w:tcPr>
            <w:tcW w:w="1545" w:type="dxa"/>
            <w:shd w:val="clear" w:color="auto" w:fill="auto"/>
          </w:tcPr>
          <w:p w:rsidR="000F47FA" w:rsidRPr="009766D2" w:rsidRDefault="000F47FA" w:rsidP="000F47FA">
            <w:pPr>
              <w:shd w:val="clear" w:color="auto" w:fill="FFFFFF" w:themeFill="background1"/>
              <w:spacing w:before="120" w:after="60"/>
              <w:rPr>
                <w:b/>
                <w:sz w:val="16"/>
                <w:szCs w:val="16"/>
              </w:rPr>
            </w:pPr>
            <w:r w:rsidRPr="009766D2">
              <w:rPr>
                <w:b/>
                <w:sz w:val="16"/>
                <w:szCs w:val="16"/>
              </w:rPr>
              <w:t>samosprávne kraje</w:t>
            </w:r>
          </w:p>
        </w:tc>
      </w:tr>
      <w:tr w:rsidR="000F47FA" w:rsidRPr="00D861B9" w:rsidTr="000F47FA">
        <w:trPr>
          <w:jc w:val="center"/>
        </w:trPr>
        <w:tc>
          <w:tcPr>
            <w:tcW w:w="2061" w:type="dxa"/>
            <w:shd w:val="clear" w:color="auto" w:fill="auto"/>
          </w:tcPr>
          <w:p w:rsidR="000F47FA" w:rsidRDefault="000F47FA" w:rsidP="000F47FA">
            <w:pPr>
              <w:spacing w:before="120" w:after="60"/>
              <w:jc w:val="left"/>
              <w:rPr>
                <w:sz w:val="16"/>
                <w:szCs w:val="16"/>
              </w:rPr>
            </w:pPr>
            <w:r>
              <w:rPr>
                <w:sz w:val="16"/>
                <w:szCs w:val="16"/>
              </w:rPr>
              <w:t>-</w:t>
            </w:r>
          </w:p>
        </w:tc>
        <w:tc>
          <w:tcPr>
            <w:tcW w:w="2430" w:type="dxa"/>
            <w:shd w:val="clear" w:color="auto" w:fill="auto"/>
          </w:tcPr>
          <w:p w:rsidR="000F47FA" w:rsidRDefault="000F47FA" w:rsidP="000F47FA">
            <w:pPr>
              <w:spacing w:before="120" w:after="60"/>
              <w:jc w:val="left"/>
              <w:rPr>
                <w:sz w:val="16"/>
                <w:szCs w:val="16"/>
              </w:rPr>
            </w:pPr>
            <w:r>
              <w:rPr>
                <w:sz w:val="16"/>
                <w:szCs w:val="16"/>
              </w:rPr>
              <w:t xml:space="preserve">úsek zriaďovania </w:t>
            </w:r>
            <w:r w:rsidRPr="00CC283F">
              <w:rPr>
                <w:sz w:val="16"/>
                <w:szCs w:val="16"/>
              </w:rPr>
              <w:t>polikliník a nemocníc s poliklinikou II typu</w:t>
            </w:r>
          </w:p>
        </w:tc>
        <w:tc>
          <w:tcPr>
            <w:tcW w:w="1221" w:type="dxa"/>
            <w:shd w:val="clear" w:color="auto" w:fill="auto"/>
            <w:vAlign w:val="center"/>
          </w:tcPr>
          <w:p w:rsidR="000F47FA" w:rsidRDefault="000F47FA" w:rsidP="000F47FA">
            <w:pPr>
              <w:spacing w:before="120" w:after="60"/>
              <w:jc w:val="right"/>
              <w:rPr>
                <w:sz w:val="16"/>
                <w:szCs w:val="16"/>
              </w:rPr>
            </w:pPr>
            <w:r>
              <w:rPr>
                <w:sz w:val="16"/>
                <w:szCs w:val="16"/>
              </w:rPr>
              <w:t>-</w:t>
            </w:r>
          </w:p>
        </w:tc>
        <w:tc>
          <w:tcPr>
            <w:tcW w:w="1545" w:type="dxa"/>
            <w:shd w:val="clear" w:color="auto" w:fill="auto"/>
            <w:vAlign w:val="center"/>
          </w:tcPr>
          <w:p w:rsidR="000F47FA" w:rsidRDefault="000F47FA" w:rsidP="000F47FA">
            <w:pPr>
              <w:spacing w:before="120" w:after="60"/>
              <w:jc w:val="right"/>
              <w:rPr>
                <w:sz w:val="16"/>
                <w:szCs w:val="16"/>
              </w:rPr>
            </w:pPr>
            <w:r>
              <w:rPr>
                <w:sz w:val="16"/>
                <w:szCs w:val="16"/>
              </w:rPr>
              <w:t>nie je uvedené</w:t>
            </w:r>
          </w:p>
        </w:tc>
      </w:tr>
      <w:tr w:rsidR="000F47FA" w:rsidRPr="00D861B9" w:rsidTr="000F47FA">
        <w:trPr>
          <w:jc w:val="center"/>
        </w:trPr>
        <w:tc>
          <w:tcPr>
            <w:tcW w:w="2061" w:type="dxa"/>
            <w:shd w:val="clear" w:color="auto" w:fill="auto"/>
          </w:tcPr>
          <w:p w:rsidR="000F47FA" w:rsidRPr="009766D2" w:rsidRDefault="000F47FA" w:rsidP="000F47FA">
            <w:pPr>
              <w:spacing w:before="120" w:after="60"/>
              <w:jc w:val="left"/>
              <w:rPr>
                <w:sz w:val="16"/>
                <w:szCs w:val="16"/>
              </w:rPr>
            </w:pPr>
            <w:r>
              <w:rPr>
                <w:sz w:val="16"/>
                <w:szCs w:val="16"/>
              </w:rPr>
              <w:t>úsek zdravotníctva (posudzovanie a kontrola hluku vo vonkajšom prostredí, + priestupky)</w:t>
            </w:r>
          </w:p>
        </w:tc>
        <w:tc>
          <w:tcPr>
            <w:tcW w:w="2430" w:type="dxa"/>
            <w:shd w:val="clear" w:color="auto" w:fill="auto"/>
          </w:tcPr>
          <w:p w:rsidR="000F47FA" w:rsidRPr="009766D2" w:rsidRDefault="000F47FA" w:rsidP="000F47FA">
            <w:pPr>
              <w:spacing w:before="120" w:after="60"/>
              <w:jc w:val="left"/>
              <w:rPr>
                <w:sz w:val="16"/>
                <w:szCs w:val="16"/>
              </w:rPr>
            </w:pPr>
            <w:r>
              <w:rPr>
                <w:sz w:val="16"/>
                <w:szCs w:val="16"/>
              </w:rPr>
              <w:t>-</w:t>
            </w:r>
          </w:p>
        </w:tc>
        <w:tc>
          <w:tcPr>
            <w:tcW w:w="1221" w:type="dxa"/>
            <w:shd w:val="clear" w:color="auto" w:fill="auto"/>
            <w:vAlign w:val="center"/>
          </w:tcPr>
          <w:p w:rsidR="000F47FA" w:rsidRDefault="000F47FA" w:rsidP="000F47FA">
            <w:pPr>
              <w:spacing w:before="120" w:after="60"/>
              <w:jc w:val="right"/>
              <w:rPr>
                <w:sz w:val="16"/>
                <w:szCs w:val="16"/>
              </w:rPr>
            </w:pPr>
            <w:r>
              <w:rPr>
                <w:sz w:val="16"/>
                <w:szCs w:val="16"/>
              </w:rPr>
              <w:t>10 A/ 37 V</w:t>
            </w:r>
          </w:p>
        </w:tc>
        <w:tc>
          <w:tcPr>
            <w:tcW w:w="1545" w:type="dxa"/>
            <w:shd w:val="clear" w:color="auto" w:fill="auto"/>
            <w:vAlign w:val="center"/>
          </w:tcPr>
          <w:p w:rsidR="000F47FA" w:rsidRPr="009766D2" w:rsidRDefault="000F47FA" w:rsidP="000F47FA">
            <w:pPr>
              <w:spacing w:before="120" w:after="60"/>
              <w:jc w:val="right"/>
              <w:rPr>
                <w:sz w:val="16"/>
                <w:szCs w:val="16"/>
              </w:rPr>
            </w:pPr>
            <w:r>
              <w:rPr>
                <w:sz w:val="16"/>
                <w:szCs w:val="16"/>
              </w:rPr>
              <w:t>-</w:t>
            </w:r>
          </w:p>
        </w:tc>
      </w:tr>
    </w:tbl>
    <w:p w:rsidR="00D378DE" w:rsidRPr="00D378DE" w:rsidRDefault="00D378DE" w:rsidP="00D378DE">
      <w:pPr>
        <w:tabs>
          <w:tab w:val="left" w:pos="1276"/>
        </w:tabs>
        <w:spacing w:before="120" w:after="120" w:line="240" w:lineRule="auto"/>
        <w:ind w:firstLine="709"/>
        <w:jc w:val="both"/>
        <w:rPr>
          <w:rFonts w:eastAsia="Times New Roman" w:cs="Times New Roman"/>
          <w:sz w:val="22"/>
          <w:lang w:eastAsia="cs-CZ"/>
        </w:rPr>
      </w:pPr>
      <w:r w:rsidRPr="00D378DE">
        <w:rPr>
          <w:rFonts w:eastAsia="Times New Roman" w:cs="Times New Roman"/>
          <w:sz w:val="22"/>
          <w:lang w:eastAsia="cs-CZ"/>
        </w:rPr>
        <w:t xml:space="preserve">Pre </w:t>
      </w:r>
      <w:r w:rsidR="00BF425A">
        <w:rPr>
          <w:rFonts w:eastAsia="Times New Roman" w:cs="Times New Roman"/>
          <w:sz w:val="22"/>
          <w:lang w:eastAsia="cs-CZ"/>
        </w:rPr>
        <w:t>M</w:t>
      </w:r>
      <w:r w:rsidRPr="00D378DE">
        <w:rPr>
          <w:rFonts w:eastAsia="Times New Roman" w:cs="Times New Roman"/>
          <w:sz w:val="22"/>
          <w:lang w:eastAsia="cs-CZ"/>
        </w:rPr>
        <w:t xml:space="preserve">inisterstvo zdravotníctva </w:t>
      </w:r>
      <w:r w:rsidR="00BF425A" w:rsidRPr="00BF425A">
        <w:rPr>
          <w:rFonts w:eastAsia="Times New Roman" w:cs="Times New Roman"/>
          <w:sz w:val="22"/>
          <w:lang w:eastAsia="cs-CZ"/>
        </w:rPr>
        <w:t>Slovenskej republiky</w:t>
      </w:r>
      <w:r w:rsidR="00BF425A">
        <w:rPr>
          <w:rFonts w:eastAsia="Times New Roman" w:cs="Times New Roman"/>
          <w:sz w:val="22"/>
          <w:lang w:eastAsia="cs-CZ"/>
        </w:rPr>
        <w:t xml:space="preserve"> (ďalej len „ministerstvo zdravotníctva“) </w:t>
      </w:r>
      <w:r w:rsidRPr="00D378DE">
        <w:rPr>
          <w:rFonts w:eastAsia="Times New Roman" w:cs="Times New Roman"/>
          <w:sz w:val="22"/>
          <w:lang w:eastAsia="cs-CZ"/>
        </w:rPr>
        <w:t xml:space="preserve">audit v časti týkajúcej sa oblasti verejného zdravotníctva zabezpečil </w:t>
      </w:r>
      <w:r w:rsidRPr="00D378DE">
        <w:rPr>
          <w:rFonts w:cs="Times New Roman"/>
          <w:sz w:val="22"/>
        </w:rPr>
        <w:t>Úrad verejného zdravotníctva SR. Pri spracovaní auditu kompetencií obcí vychádzal z údajov poskytnutých priamo zástupcami vybranej vzorky obcí (podklady poskytlo 1218 obcí), ako aj z doterajších poznatkov a skúseností regionálnych úradov verejného zdravotníctva s oblastnou územnou pôsobnosťou.</w:t>
      </w:r>
    </w:p>
    <w:p w:rsidR="00D378DE" w:rsidRPr="00D378DE" w:rsidRDefault="00D378DE" w:rsidP="00D378DE">
      <w:pPr>
        <w:keepNext/>
        <w:tabs>
          <w:tab w:val="left" w:pos="1276"/>
        </w:tabs>
        <w:spacing w:before="120" w:after="120" w:line="240" w:lineRule="auto"/>
        <w:ind w:firstLine="709"/>
        <w:jc w:val="both"/>
        <w:rPr>
          <w:rFonts w:cs="Times New Roman"/>
          <w:sz w:val="22"/>
        </w:rPr>
      </w:pPr>
      <w:r w:rsidRPr="00D378DE">
        <w:rPr>
          <w:rFonts w:eastAsia="Times New Roman" w:cs="Times New Roman"/>
          <w:sz w:val="22"/>
          <w:u w:val="single"/>
          <w:lang w:eastAsia="cs-CZ"/>
        </w:rPr>
        <w:t>2.2.</w:t>
      </w:r>
      <w:r w:rsidRPr="00D378DE">
        <w:rPr>
          <w:rFonts w:eastAsia="Times New Roman" w:cs="Times New Roman"/>
          <w:sz w:val="22"/>
          <w:u w:val="single"/>
          <w:lang w:eastAsia="cs-CZ"/>
        </w:rPr>
        <w:tab/>
        <w:t>Zhodnotenie kvality výkonu samosprávnych pôsobností</w:t>
      </w:r>
      <w:r w:rsidRPr="00D378DE">
        <w:rPr>
          <w:rFonts w:cs="Times New Roman"/>
          <w:sz w:val="22"/>
        </w:rPr>
        <w:t xml:space="preserve"> </w:t>
      </w:r>
    </w:p>
    <w:p w:rsidR="00D378DE" w:rsidRPr="00D378DE" w:rsidRDefault="00D378DE" w:rsidP="00D378DE">
      <w:pPr>
        <w:spacing w:before="120" w:after="0" w:line="240" w:lineRule="auto"/>
        <w:ind w:firstLine="709"/>
        <w:jc w:val="both"/>
        <w:rPr>
          <w:rFonts w:cs="Times New Roman"/>
          <w:sz w:val="22"/>
        </w:rPr>
      </w:pPr>
      <w:r w:rsidRPr="00D378DE">
        <w:rPr>
          <w:rFonts w:cs="Times New Roman"/>
          <w:sz w:val="22"/>
        </w:rPr>
        <w:t xml:space="preserve">Z celkového hodnotenia kvality jednotlivých samosprávnych kompetencií vyplýva, že v prevažnej miere sú zabezpečované kvalitne. </w:t>
      </w:r>
    </w:p>
    <w:p w:rsidR="00D378DE" w:rsidRPr="00D378DE" w:rsidRDefault="00D378DE" w:rsidP="00D378DE">
      <w:pPr>
        <w:spacing w:before="120" w:after="0" w:line="240" w:lineRule="auto"/>
        <w:ind w:firstLine="709"/>
        <w:jc w:val="both"/>
        <w:rPr>
          <w:rFonts w:cs="Times New Roman"/>
          <w:sz w:val="22"/>
        </w:rPr>
      </w:pPr>
      <w:r w:rsidRPr="00D378DE">
        <w:rPr>
          <w:rFonts w:cs="Times New Roman"/>
          <w:sz w:val="22"/>
        </w:rPr>
        <w:t xml:space="preserve">Pri určitých kompetenciách lepšie výsledky ukazujú obce, ktoré majú na výkon kontrolnej činnosti zriadené orgány mestskej, resp. obecnej polície (napr. kompetencie podľa zákona </w:t>
      </w:r>
      <w:r w:rsidRPr="00D378DE">
        <w:rPr>
          <w:rFonts w:cs="Times New Roman"/>
          <w:sz w:val="22"/>
        </w:rPr>
        <w:lastRenderedPageBreak/>
        <w:t>č.</w:t>
      </w:r>
      <w:r w:rsidR="00BF425A">
        <w:rPr>
          <w:rFonts w:cs="Times New Roman"/>
          <w:sz w:val="22"/>
        </w:rPr>
        <w:t> </w:t>
      </w:r>
      <w:r w:rsidRPr="00D378DE">
        <w:rPr>
          <w:rFonts w:cs="Times New Roman"/>
          <w:sz w:val="22"/>
        </w:rPr>
        <w:t>377/2004</w:t>
      </w:r>
      <w:r w:rsidR="00BF425A">
        <w:rPr>
          <w:rFonts w:cs="Times New Roman"/>
          <w:sz w:val="22"/>
        </w:rPr>
        <w:t> </w:t>
      </w:r>
      <w:r w:rsidRPr="00D378DE">
        <w:rPr>
          <w:rFonts w:cs="Times New Roman"/>
          <w:sz w:val="22"/>
        </w:rPr>
        <w:t xml:space="preserve">Z. z. o ochrane nefajčiarov). Menšie obce mnohé z kompetencií ani neuplatňujú, nakoľko v ich podmienkach nie sú aktuálne, čo však z pohľadu verejného zdravotníctva nepredstavuje problém (napr. zákon č. 131/2010 Z. z. o pohrebníctve). </w:t>
      </w:r>
    </w:p>
    <w:p w:rsidR="00D378DE" w:rsidRPr="00D378DE" w:rsidRDefault="00D378DE" w:rsidP="00D378DE">
      <w:pPr>
        <w:spacing w:before="120" w:after="0" w:line="240" w:lineRule="auto"/>
        <w:ind w:firstLine="709"/>
        <w:jc w:val="both"/>
        <w:rPr>
          <w:rFonts w:cs="Times New Roman"/>
          <w:sz w:val="22"/>
        </w:rPr>
      </w:pPr>
      <w:r w:rsidRPr="00D378DE">
        <w:rPr>
          <w:rFonts w:cs="Times New Roman"/>
          <w:sz w:val="22"/>
        </w:rPr>
        <w:t>Ako nekvalitné, resp. nedostatočné je možné hodnotiť plnenie povinností obcí vyplývajúcich zo zákona č. 2/2005 Z. z. o posudzovaní a kontrole hluku vo vonkajšom prostredí, a to najmä vo</w:t>
      </w:r>
      <w:r w:rsidR="00BF425A">
        <w:rPr>
          <w:rFonts w:cs="Times New Roman"/>
          <w:sz w:val="22"/>
        </w:rPr>
        <w:t> </w:t>
      </w:r>
      <w:r w:rsidRPr="00D378DE">
        <w:rPr>
          <w:rFonts w:cs="Times New Roman"/>
          <w:sz w:val="22"/>
        </w:rPr>
        <w:t>vzťahu k úlohe vypracovať strategické hlukové mapy a akčné plány ochrany pred hlukom pre aglomerácie, ktoré majú viac ako 100 000 obyvateľov. Prekážkou pri napĺňaní uvedenej kompetencie je najmä nedostatok finančných prostriedkov v rozpočtoch predmetných obcí, ktorý po prenose finančnej zodpovednosti zo štátu na obce neumožňuje realizovať uvedené kompetencie. I napriek skutočnosti, že uvedená kompetencia sa týkala iba dvoch najväčších obcí na Slovensku (Bratislava, Košice), je potrebné konštatovať, že jej neplnením je významne obmedzené plnenie úloh, ktoré Slovenskej republike vyplývajú zo Smernice 2002/49/EC Európskeho parlamentu a Rady, ktorá sa týka posudzovania a riadenia hluku vo vonkajšom prostredí.</w:t>
      </w:r>
    </w:p>
    <w:p w:rsidR="00D378DE" w:rsidRPr="00D378DE" w:rsidRDefault="00D378DE" w:rsidP="00D378DE">
      <w:pPr>
        <w:spacing w:before="120" w:after="0" w:line="240" w:lineRule="auto"/>
        <w:ind w:firstLine="709"/>
        <w:jc w:val="both"/>
        <w:rPr>
          <w:rFonts w:cs="Times New Roman"/>
          <w:sz w:val="22"/>
        </w:rPr>
      </w:pPr>
      <w:r w:rsidRPr="00D378DE">
        <w:rPr>
          <w:rFonts w:cs="Times New Roman"/>
          <w:sz w:val="22"/>
        </w:rPr>
        <w:t xml:space="preserve">Samosprávna pôsobnosť obcí sa týka aj </w:t>
      </w:r>
      <w:proofErr w:type="spellStart"/>
      <w:r w:rsidRPr="00D378DE">
        <w:rPr>
          <w:rFonts w:cs="Times New Roman"/>
          <w:sz w:val="22"/>
        </w:rPr>
        <w:t>prejednávania</w:t>
      </w:r>
      <w:proofErr w:type="spellEnd"/>
      <w:r w:rsidRPr="00D378DE">
        <w:rPr>
          <w:rFonts w:cs="Times New Roman"/>
          <w:sz w:val="22"/>
        </w:rPr>
        <w:t xml:space="preserve"> priestupkov podľa zákona č.</w:t>
      </w:r>
      <w:r w:rsidR="00BF425A">
        <w:rPr>
          <w:rFonts w:cs="Times New Roman"/>
          <w:sz w:val="22"/>
        </w:rPr>
        <w:t> </w:t>
      </w:r>
      <w:r w:rsidRPr="00D378DE">
        <w:rPr>
          <w:rFonts w:cs="Times New Roman"/>
          <w:sz w:val="22"/>
        </w:rPr>
        <w:t>538/2005</w:t>
      </w:r>
      <w:r w:rsidR="00BF425A">
        <w:rPr>
          <w:rFonts w:cs="Times New Roman"/>
          <w:sz w:val="22"/>
        </w:rPr>
        <w:t> </w:t>
      </w:r>
      <w:r w:rsidRPr="00D378DE">
        <w:rPr>
          <w:rFonts w:cs="Times New Roman"/>
          <w:sz w:val="22"/>
        </w:rPr>
        <w:t>Z. z. o prírodných liečivých vodách, prírodných liečebných kúpeľoch, kúpeľných miestach a prírodných minerálnych vodách. Ministerstvo zdravotníctva nedisponuje údajmi o </w:t>
      </w:r>
      <w:proofErr w:type="spellStart"/>
      <w:r w:rsidRPr="00D378DE">
        <w:rPr>
          <w:rFonts w:cs="Times New Roman"/>
          <w:sz w:val="22"/>
        </w:rPr>
        <w:t>prejednávaných</w:t>
      </w:r>
      <w:proofErr w:type="spellEnd"/>
      <w:r w:rsidRPr="00D378DE">
        <w:rPr>
          <w:rFonts w:cs="Times New Roman"/>
          <w:sz w:val="22"/>
        </w:rPr>
        <w:t xml:space="preserve"> priestupkoch a uložených pokutách príslušnými obcami. Podľa vedomosti Inšpektorátu kúpeľov a žriediel ministerstva zdravotníctva sa nekonalo žiadne priestupkové konanie zo strany obcí v zmysle citovaného zákona, resp. nebol o takomto konaní informovaný.</w:t>
      </w:r>
    </w:p>
    <w:p w:rsidR="00D378DE" w:rsidRPr="00D378DE" w:rsidRDefault="00D378DE" w:rsidP="00D378DE">
      <w:pPr>
        <w:keepNext/>
        <w:tabs>
          <w:tab w:val="left" w:pos="1276"/>
        </w:tabs>
        <w:spacing w:before="120" w:after="120" w:line="240" w:lineRule="auto"/>
        <w:ind w:firstLine="709"/>
        <w:jc w:val="both"/>
        <w:rPr>
          <w:rFonts w:cs="Times New Roman"/>
          <w:sz w:val="22"/>
          <w:u w:val="single"/>
        </w:rPr>
      </w:pPr>
      <w:r w:rsidRPr="00D378DE">
        <w:rPr>
          <w:rFonts w:cs="Times New Roman"/>
          <w:sz w:val="22"/>
          <w:u w:val="single"/>
        </w:rPr>
        <w:t>2.3.</w:t>
      </w:r>
      <w:r w:rsidRPr="00D378DE">
        <w:rPr>
          <w:rFonts w:cs="Times New Roman"/>
          <w:sz w:val="22"/>
          <w:u w:val="single"/>
        </w:rPr>
        <w:tab/>
        <w:t>Financovanie výkonu samosprávnych pôsobností</w:t>
      </w:r>
    </w:p>
    <w:p w:rsidR="004905B4" w:rsidRPr="00D378DE" w:rsidRDefault="004905B4" w:rsidP="004905B4">
      <w:pPr>
        <w:tabs>
          <w:tab w:val="left" w:pos="1276"/>
        </w:tabs>
        <w:spacing w:before="120" w:after="120" w:line="240" w:lineRule="auto"/>
        <w:ind w:firstLine="709"/>
        <w:jc w:val="both"/>
        <w:rPr>
          <w:rFonts w:cs="Times New Roman"/>
          <w:sz w:val="22"/>
        </w:rPr>
      </w:pPr>
      <w:r w:rsidRPr="00D378DE">
        <w:rPr>
          <w:rFonts w:cs="Times New Roman"/>
          <w:sz w:val="22"/>
        </w:rPr>
        <w:t>Na úseku  zdravotníctva (posudzovanie a kontrola hluku vo vonkajšom prostredí</w:t>
      </w:r>
      <w:r>
        <w:rPr>
          <w:rFonts w:cs="Times New Roman"/>
          <w:sz w:val="22"/>
        </w:rPr>
        <w:t xml:space="preserve"> +</w:t>
      </w:r>
      <w:r w:rsidRPr="00D378DE">
        <w:rPr>
          <w:rFonts w:cs="Times New Roman"/>
          <w:sz w:val="22"/>
        </w:rPr>
        <w:t xml:space="preserve"> priestupky) zaznamenali obce v sledovanom období rast výdavkov.</w:t>
      </w:r>
      <w:r>
        <w:rPr>
          <w:rFonts w:cs="Times New Roman"/>
          <w:sz w:val="22"/>
        </w:rPr>
        <w:t xml:space="preserve"> V roku 2011 stúpli takmer trojnásobne oproti roku 2005. </w:t>
      </w:r>
    </w:p>
    <w:p w:rsidR="004905B4" w:rsidRPr="00D378DE" w:rsidRDefault="004905B4" w:rsidP="004905B4">
      <w:pPr>
        <w:tabs>
          <w:tab w:val="left" w:pos="1276"/>
        </w:tabs>
        <w:spacing w:before="120" w:after="120" w:line="240" w:lineRule="auto"/>
        <w:ind w:firstLine="709"/>
        <w:jc w:val="both"/>
        <w:rPr>
          <w:rFonts w:cs="Times New Roman"/>
          <w:sz w:val="22"/>
        </w:rPr>
      </w:pPr>
      <w:r>
        <w:rPr>
          <w:rFonts w:cs="Times New Roman"/>
          <w:sz w:val="22"/>
        </w:rPr>
        <w:t xml:space="preserve">Z podkladov ministerstva zdravotníctva vyplýva, že </w:t>
      </w:r>
      <w:r w:rsidRPr="00D378DE">
        <w:rPr>
          <w:rFonts w:cs="Times New Roman"/>
          <w:sz w:val="22"/>
        </w:rPr>
        <w:t>na zabezpečenie samosprávnych pôsobností</w:t>
      </w:r>
      <w:r>
        <w:rPr>
          <w:rFonts w:cs="Times New Roman"/>
          <w:sz w:val="22"/>
        </w:rPr>
        <w:t>: zriaďovanie polikliník a nemocníc s poliklinikou II. typu</w:t>
      </w:r>
      <w:r w:rsidRPr="00D378DE">
        <w:rPr>
          <w:rFonts w:cs="Times New Roman"/>
          <w:sz w:val="22"/>
        </w:rPr>
        <w:t xml:space="preserve"> </w:t>
      </w:r>
      <w:r>
        <w:rPr>
          <w:rFonts w:cs="Times New Roman"/>
          <w:sz w:val="22"/>
        </w:rPr>
        <w:t>v roku 2011 mal n</w:t>
      </w:r>
      <w:r w:rsidRPr="00D378DE">
        <w:rPr>
          <w:rFonts w:cs="Times New Roman"/>
          <w:sz w:val="22"/>
        </w:rPr>
        <w:t xml:space="preserve">ajväčšie výdavky </w:t>
      </w:r>
      <w:r>
        <w:rPr>
          <w:rFonts w:cs="Times New Roman"/>
          <w:sz w:val="22"/>
        </w:rPr>
        <w:t xml:space="preserve">Košický samosprávny kraj. </w:t>
      </w:r>
      <w:r w:rsidRPr="00D378DE">
        <w:rPr>
          <w:rFonts w:cs="Times New Roman"/>
          <w:sz w:val="22"/>
        </w:rPr>
        <w:t xml:space="preserve"> </w:t>
      </w:r>
      <w:r w:rsidR="00E53A9B">
        <w:rPr>
          <w:rFonts w:cs="Times New Roman"/>
          <w:sz w:val="22"/>
        </w:rPr>
        <w:t>V roku 2011 bol n</w:t>
      </w:r>
      <w:r>
        <w:rPr>
          <w:rFonts w:cs="Times New Roman"/>
          <w:sz w:val="22"/>
        </w:rPr>
        <w:t xml:space="preserve">ajväčší príjem v prípade predaja, resp. prenájmu zaznamenaný u Banskobystrického samosprávneho kraja. </w:t>
      </w:r>
    </w:p>
    <w:p w:rsidR="00D378DE" w:rsidRPr="00D378DE" w:rsidRDefault="00D378DE" w:rsidP="00D378DE">
      <w:pPr>
        <w:keepNext/>
        <w:tabs>
          <w:tab w:val="left" w:pos="1276"/>
        </w:tabs>
        <w:spacing w:before="120" w:after="120" w:line="240" w:lineRule="auto"/>
        <w:ind w:firstLine="709"/>
        <w:jc w:val="both"/>
        <w:rPr>
          <w:rFonts w:cs="Times New Roman"/>
          <w:sz w:val="22"/>
          <w:u w:val="single"/>
        </w:rPr>
      </w:pPr>
      <w:r w:rsidRPr="00D378DE">
        <w:rPr>
          <w:rFonts w:cs="Times New Roman"/>
          <w:sz w:val="22"/>
          <w:u w:val="single"/>
        </w:rPr>
        <w:t>2.4.</w:t>
      </w:r>
      <w:r w:rsidRPr="00D378DE">
        <w:rPr>
          <w:rFonts w:cs="Times New Roman"/>
          <w:sz w:val="22"/>
          <w:u w:val="single"/>
        </w:rPr>
        <w:tab/>
        <w:t>Návrhy opatrení</w:t>
      </w:r>
    </w:p>
    <w:p w:rsidR="004905B4" w:rsidRDefault="00D378DE" w:rsidP="004905B4">
      <w:pPr>
        <w:spacing w:before="120" w:after="120" w:line="240" w:lineRule="auto"/>
        <w:ind w:firstLine="709"/>
        <w:jc w:val="both"/>
        <w:rPr>
          <w:rFonts w:cs="Times New Roman"/>
          <w:sz w:val="22"/>
        </w:rPr>
      </w:pPr>
      <w:r w:rsidRPr="00D378DE">
        <w:rPr>
          <w:rFonts w:cs="Times New Roman"/>
          <w:sz w:val="22"/>
        </w:rPr>
        <w:t>Ministerstvo zdravotníctva nenavrhlo žiadne relevantné opatrenia.</w:t>
      </w:r>
    </w:p>
    <w:p w:rsidR="004905B4" w:rsidRDefault="00D378DE" w:rsidP="004905B4">
      <w:pPr>
        <w:spacing w:before="120" w:after="120" w:line="240" w:lineRule="auto"/>
        <w:ind w:firstLine="709"/>
        <w:jc w:val="both"/>
        <w:rPr>
          <w:rFonts w:cs="Times New Roman"/>
          <w:sz w:val="22"/>
          <w:u w:val="single"/>
        </w:rPr>
      </w:pPr>
      <w:r w:rsidRPr="00D378DE">
        <w:rPr>
          <w:rFonts w:cs="Times New Roman"/>
          <w:sz w:val="22"/>
          <w:u w:val="single"/>
        </w:rPr>
        <w:t>Kritické stanovisko</w:t>
      </w:r>
    </w:p>
    <w:p w:rsidR="00D378DE" w:rsidRPr="00D378DE" w:rsidRDefault="00D378DE" w:rsidP="004905B4">
      <w:pPr>
        <w:spacing w:before="120" w:after="120" w:line="240" w:lineRule="auto"/>
        <w:ind w:firstLine="709"/>
        <w:jc w:val="both"/>
        <w:rPr>
          <w:rFonts w:cs="Times New Roman"/>
          <w:sz w:val="22"/>
        </w:rPr>
      </w:pPr>
      <w:r w:rsidRPr="00D378DE">
        <w:rPr>
          <w:rFonts w:cs="Times New Roman"/>
          <w:sz w:val="22"/>
        </w:rPr>
        <w:t xml:space="preserve">V predloženej správe sa prelínali samosprávne kompetencie s preneseným výkonom štátnej správy, čo sťažovalo spracovávanie poskytnutých údajov. </w:t>
      </w:r>
    </w:p>
    <w:p w:rsidR="00D378DE" w:rsidRPr="00D378DE" w:rsidRDefault="00D378DE" w:rsidP="000F47FA">
      <w:pPr>
        <w:spacing w:before="120" w:after="120" w:line="240" w:lineRule="auto"/>
        <w:ind w:firstLine="709"/>
        <w:jc w:val="both"/>
        <w:rPr>
          <w:rFonts w:cs="Times New Roman"/>
          <w:sz w:val="22"/>
        </w:rPr>
      </w:pPr>
      <w:r w:rsidRPr="00D378DE">
        <w:rPr>
          <w:rFonts w:cs="Times New Roman"/>
          <w:sz w:val="22"/>
        </w:rPr>
        <w:t xml:space="preserve">Aj po opätovnej výzve na doplnenie návrhov opatrení, chýbali návrhy na zabezpečenie výkonu samosprávnych kompetencií, ako aj ich finančného zabezpečenia. </w:t>
      </w:r>
    </w:p>
    <w:p w:rsidR="00D378DE" w:rsidRPr="00D378DE" w:rsidRDefault="00D378DE" w:rsidP="000F47FA">
      <w:pPr>
        <w:spacing w:before="120" w:after="120" w:line="240" w:lineRule="auto"/>
        <w:ind w:firstLine="709"/>
        <w:jc w:val="both"/>
        <w:rPr>
          <w:rFonts w:cs="Times New Roman"/>
          <w:sz w:val="22"/>
        </w:rPr>
      </w:pPr>
      <w:r w:rsidRPr="00D378DE">
        <w:rPr>
          <w:rFonts w:cs="Times New Roman"/>
          <w:sz w:val="22"/>
        </w:rPr>
        <w:t xml:space="preserve">Audit potvrdil, že na ministerstve zdravotníctva neexistuje mechanizmus pravidelného zberu požadovaných údajov o plnení samosprávnych pôsobností. </w:t>
      </w:r>
    </w:p>
    <w:p w:rsidR="00D378DE" w:rsidRPr="00D378DE" w:rsidRDefault="00D378DE" w:rsidP="00F56357">
      <w:pPr>
        <w:keepNext/>
        <w:shd w:val="clear" w:color="auto" w:fill="F2F2F2" w:themeFill="background1" w:themeFillShade="F2"/>
        <w:spacing w:before="240" w:after="240" w:line="240" w:lineRule="auto"/>
        <w:jc w:val="both"/>
        <w:rPr>
          <w:rFonts w:cs="Times New Roman"/>
          <w:b/>
          <w:szCs w:val="24"/>
        </w:rPr>
      </w:pPr>
      <w:r w:rsidRPr="00D378DE">
        <w:rPr>
          <w:rFonts w:cs="Times New Roman"/>
          <w:b/>
          <w:szCs w:val="24"/>
        </w:rPr>
        <w:t>Ministerstvo životného prostredia Slovenskej republiky</w:t>
      </w:r>
    </w:p>
    <w:p w:rsidR="000F47FA" w:rsidRDefault="00753168" w:rsidP="000F47FA">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u w:val="single"/>
          <w:lang w:eastAsia="cs-CZ"/>
        </w:rPr>
      </w:pPr>
      <w:r>
        <w:rPr>
          <w:rFonts w:eastAsia="Times New Roman" w:cs="Times New Roman"/>
          <w:sz w:val="22"/>
          <w:u w:val="single"/>
          <w:lang w:eastAsia="cs-CZ"/>
        </w:rPr>
        <w:t>2</w:t>
      </w:r>
      <w:r w:rsidR="000F47FA" w:rsidRPr="00D861B9">
        <w:rPr>
          <w:rFonts w:eastAsia="Times New Roman" w:cs="Times New Roman"/>
          <w:sz w:val="22"/>
          <w:u w:val="single"/>
          <w:lang w:eastAsia="cs-CZ"/>
        </w:rPr>
        <w:t>.1.</w:t>
      </w:r>
      <w:r w:rsidR="000F47FA" w:rsidRPr="00D861B9">
        <w:rPr>
          <w:rFonts w:eastAsia="Times New Roman" w:cs="Times New Roman"/>
          <w:sz w:val="22"/>
          <w:u w:val="single"/>
          <w:lang w:eastAsia="cs-CZ"/>
        </w:rPr>
        <w:tab/>
        <w:t xml:space="preserve">Katalóg </w:t>
      </w:r>
      <w:r w:rsidR="000F47FA">
        <w:rPr>
          <w:rFonts w:eastAsia="Times New Roman" w:cs="Times New Roman"/>
          <w:sz w:val="22"/>
          <w:u w:val="single"/>
          <w:lang w:eastAsia="cs-CZ"/>
        </w:rPr>
        <w:t>samosprávnych</w:t>
      </w:r>
      <w:r w:rsidR="000F47FA" w:rsidRPr="00D861B9">
        <w:rPr>
          <w:rFonts w:eastAsia="Times New Roman" w:cs="Times New Roman"/>
          <w:sz w:val="22"/>
          <w:u w:val="single"/>
          <w:lang w:eastAsia="cs-CZ"/>
        </w:rPr>
        <w:t xml:space="preserve"> pôsobností</w:t>
      </w:r>
    </w:p>
    <w:p w:rsidR="000F47FA" w:rsidRPr="00D861B9" w:rsidRDefault="000F47FA" w:rsidP="000F47FA">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D861B9">
        <w:rPr>
          <w:rFonts w:eastAsia="Times New Roman" w:cs="Times New Roman"/>
          <w:sz w:val="22"/>
          <w:lang w:eastAsia="cs-CZ"/>
        </w:rPr>
        <w:t>Zoznam úsekov</w:t>
      </w:r>
      <w:r>
        <w:rPr>
          <w:rFonts w:eastAsia="Times New Roman" w:cs="Times New Roman"/>
          <w:sz w:val="22"/>
          <w:lang w:eastAsia="cs-CZ"/>
        </w:rPr>
        <w:t>,</w:t>
      </w:r>
      <w:r w:rsidRPr="00D861B9">
        <w:rPr>
          <w:rFonts w:eastAsia="Times New Roman" w:cs="Times New Roman"/>
          <w:sz w:val="22"/>
          <w:lang w:eastAsia="cs-CZ"/>
        </w:rPr>
        <w:t xml:space="preserve"> </w:t>
      </w:r>
      <w:r w:rsidRPr="00B67413">
        <w:rPr>
          <w:rFonts w:eastAsia="Times New Roman" w:cs="Times New Roman"/>
          <w:sz w:val="22"/>
          <w:lang w:eastAsia="cs-CZ"/>
        </w:rPr>
        <w:t>na ktorých obce a samosprávne kraje vykonávajú samosprávne pôsobnosti</w:t>
      </w:r>
      <w:r>
        <w:rPr>
          <w:rFonts w:eastAsia="Times New Roman" w:cs="Times New Roman"/>
          <w:sz w:val="22"/>
          <w:lang w:eastAsia="cs-CZ"/>
        </w:rPr>
        <w:t>,</w:t>
      </w:r>
      <w:r w:rsidRPr="00D861B9">
        <w:rPr>
          <w:rFonts w:eastAsia="Times New Roman" w:cs="Times New Roman"/>
          <w:sz w:val="22"/>
          <w:lang w:eastAsia="cs-CZ"/>
        </w:rPr>
        <w:t xml:space="preserve"> </w:t>
      </w:r>
      <w:r>
        <w:rPr>
          <w:rFonts w:eastAsia="Times New Roman" w:cs="Times New Roman"/>
          <w:sz w:val="22"/>
          <w:lang w:eastAsia="cs-CZ"/>
        </w:rPr>
        <w:t>a údaje o počte úloh:</w:t>
      </w:r>
    </w:p>
    <w:tbl>
      <w:tblPr>
        <w:tblStyle w:val="Mriekatabuky"/>
        <w:tblW w:w="0" w:type="auto"/>
        <w:jc w:val="center"/>
        <w:tblLook w:val="04A0" w:firstRow="1" w:lastRow="0" w:firstColumn="1" w:lastColumn="0" w:noHBand="0" w:noVBand="1"/>
      </w:tblPr>
      <w:tblGrid>
        <w:gridCol w:w="2061"/>
        <w:gridCol w:w="2430"/>
        <w:gridCol w:w="1221"/>
        <w:gridCol w:w="1545"/>
      </w:tblGrid>
      <w:tr w:rsidR="000F47FA" w:rsidRPr="00D861B9" w:rsidTr="000F47FA">
        <w:trPr>
          <w:jc w:val="center"/>
        </w:trPr>
        <w:tc>
          <w:tcPr>
            <w:tcW w:w="2061" w:type="dxa"/>
            <w:shd w:val="clear" w:color="auto" w:fill="F2F2F2" w:themeFill="background1" w:themeFillShade="F2"/>
          </w:tcPr>
          <w:p w:rsidR="000F47FA" w:rsidRPr="009766D2" w:rsidRDefault="000F47FA" w:rsidP="000F47FA">
            <w:pPr>
              <w:shd w:val="clear" w:color="auto" w:fill="F2F2F2" w:themeFill="background1" w:themeFillShade="F2"/>
              <w:spacing w:before="120" w:after="60"/>
              <w:jc w:val="left"/>
              <w:rPr>
                <w:b/>
                <w:sz w:val="16"/>
                <w:szCs w:val="16"/>
              </w:rPr>
            </w:pPr>
            <w:r w:rsidRPr="009766D2">
              <w:rPr>
                <w:b/>
                <w:sz w:val="16"/>
                <w:szCs w:val="16"/>
              </w:rPr>
              <w:t>obce</w:t>
            </w:r>
          </w:p>
        </w:tc>
        <w:tc>
          <w:tcPr>
            <w:tcW w:w="2430" w:type="dxa"/>
            <w:shd w:val="clear" w:color="auto" w:fill="F2F2F2" w:themeFill="background1" w:themeFillShade="F2"/>
          </w:tcPr>
          <w:p w:rsidR="000F47FA" w:rsidRPr="009766D2" w:rsidRDefault="000F47FA" w:rsidP="000F47FA">
            <w:pPr>
              <w:shd w:val="clear" w:color="auto" w:fill="F2F2F2" w:themeFill="background1" w:themeFillShade="F2"/>
              <w:spacing w:before="120" w:after="60"/>
              <w:rPr>
                <w:b/>
                <w:sz w:val="16"/>
                <w:szCs w:val="16"/>
              </w:rPr>
            </w:pPr>
            <w:r w:rsidRPr="009766D2">
              <w:rPr>
                <w:b/>
                <w:sz w:val="16"/>
                <w:szCs w:val="16"/>
              </w:rPr>
              <w:t>samosprávne kraje</w:t>
            </w:r>
          </w:p>
        </w:tc>
        <w:tc>
          <w:tcPr>
            <w:tcW w:w="1221" w:type="dxa"/>
            <w:shd w:val="clear" w:color="auto" w:fill="F2F2F2" w:themeFill="background1" w:themeFillShade="F2"/>
          </w:tcPr>
          <w:p w:rsidR="000F47FA" w:rsidRPr="009766D2" w:rsidRDefault="000F47FA" w:rsidP="000F47FA">
            <w:pPr>
              <w:shd w:val="clear" w:color="auto" w:fill="F2F2F2" w:themeFill="background1" w:themeFillShade="F2"/>
              <w:spacing w:before="120" w:after="60"/>
              <w:rPr>
                <w:b/>
                <w:sz w:val="16"/>
                <w:szCs w:val="16"/>
              </w:rPr>
            </w:pPr>
            <w:r w:rsidRPr="009766D2">
              <w:rPr>
                <w:b/>
                <w:sz w:val="16"/>
                <w:szCs w:val="16"/>
              </w:rPr>
              <w:t>obce</w:t>
            </w:r>
          </w:p>
        </w:tc>
        <w:tc>
          <w:tcPr>
            <w:tcW w:w="1545" w:type="dxa"/>
            <w:shd w:val="clear" w:color="auto" w:fill="F2F2F2" w:themeFill="background1" w:themeFillShade="F2"/>
          </w:tcPr>
          <w:p w:rsidR="000F47FA" w:rsidRPr="009766D2" w:rsidRDefault="000F47FA" w:rsidP="000F47FA">
            <w:pPr>
              <w:shd w:val="clear" w:color="auto" w:fill="F2F2F2" w:themeFill="background1" w:themeFillShade="F2"/>
              <w:spacing w:before="120" w:after="60"/>
              <w:rPr>
                <w:b/>
                <w:sz w:val="16"/>
                <w:szCs w:val="16"/>
              </w:rPr>
            </w:pPr>
            <w:r w:rsidRPr="009766D2">
              <w:rPr>
                <w:b/>
                <w:sz w:val="16"/>
                <w:szCs w:val="16"/>
              </w:rPr>
              <w:t>samosprávne kraje</w:t>
            </w:r>
          </w:p>
        </w:tc>
      </w:tr>
      <w:tr w:rsidR="000F47FA" w:rsidRPr="00D861B9" w:rsidTr="000F47FA">
        <w:trPr>
          <w:jc w:val="center"/>
        </w:trPr>
        <w:tc>
          <w:tcPr>
            <w:tcW w:w="2061" w:type="dxa"/>
            <w:shd w:val="clear" w:color="auto" w:fill="F2F2F2" w:themeFill="background1" w:themeFillShade="F2"/>
          </w:tcPr>
          <w:p w:rsidR="000F47FA" w:rsidRPr="00346564" w:rsidRDefault="000F47FA" w:rsidP="000F47FA">
            <w:pPr>
              <w:spacing w:before="120" w:after="60"/>
              <w:jc w:val="left"/>
              <w:rPr>
                <w:sz w:val="16"/>
                <w:szCs w:val="16"/>
              </w:rPr>
            </w:pPr>
            <w:r w:rsidRPr="00346564">
              <w:rPr>
                <w:sz w:val="16"/>
                <w:szCs w:val="16"/>
              </w:rPr>
              <w:t>úsek ochrany ovzdušia</w:t>
            </w:r>
          </w:p>
        </w:tc>
        <w:tc>
          <w:tcPr>
            <w:tcW w:w="2430" w:type="dxa"/>
            <w:shd w:val="clear" w:color="auto" w:fill="F2F2F2" w:themeFill="background1" w:themeFillShade="F2"/>
          </w:tcPr>
          <w:p w:rsidR="000F47FA" w:rsidRDefault="000F47FA" w:rsidP="000F47FA">
            <w:pPr>
              <w:spacing w:before="120" w:after="60"/>
              <w:jc w:val="left"/>
              <w:rPr>
                <w:sz w:val="16"/>
                <w:szCs w:val="16"/>
              </w:rPr>
            </w:pPr>
            <w:r>
              <w:rPr>
                <w:sz w:val="16"/>
                <w:szCs w:val="16"/>
              </w:rPr>
              <w:t>-</w:t>
            </w:r>
          </w:p>
        </w:tc>
        <w:tc>
          <w:tcPr>
            <w:tcW w:w="1221" w:type="dxa"/>
            <w:shd w:val="clear" w:color="auto" w:fill="F2F2F2" w:themeFill="background1" w:themeFillShade="F2"/>
            <w:vAlign w:val="center"/>
          </w:tcPr>
          <w:p w:rsidR="000F47FA" w:rsidRDefault="000F47FA" w:rsidP="000F47FA">
            <w:pPr>
              <w:spacing w:before="120" w:after="60"/>
              <w:jc w:val="right"/>
              <w:rPr>
                <w:sz w:val="16"/>
                <w:szCs w:val="16"/>
              </w:rPr>
            </w:pPr>
            <w:r>
              <w:rPr>
                <w:sz w:val="16"/>
                <w:szCs w:val="16"/>
              </w:rPr>
              <w:t>3 A</w:t>
            </w:r>
          </w:p>
        </w:tc>
        <w:tc>
          <w:tcPr>
            <w:tcW w:w="1545" w:type="dxa"/>
            <w:shd w:val="clear" w:color="auto" w:fill="F2F2F2" w:themeFill="background1" w:themeFillShade="F2"/>
            <w:vAlign w:val="center"/>
          </w:tcPr>
          <w:p w:rsidR="000F47FA" w:rsidRDefault="000F47FA" w:rsidP="000F47FA">
            <w:pPr>
              <w:spacing w:before="120" w:after="60"/>
              <w:jc w:val="right"/>
              <w:rPr>
                <w:sz w:val="16"/>
                <w:szCs w:val="16"/>
              </w:rPr>
            </w:pPr>
            <w:r>
              <w:rPr>
                <w:sz w:val="16"/>
                <w:szCs w:val="16"/>
              </w:rPr>
              <w:t>-</w:t>
            </w:r>
          </w:p>
        </w:tc>
      </w:tr>
      <w:tr w:rsidR="000F47FA" w:rsidRPr="00D861B9" w:rsidTr="000F47FA">
        <w:trPr>
          <w:jc w:val="center"/>
        </w:trPr>
        <w:tc>
          <w:tcPr>
            <w:tcW w:w="2061" w:type="dxa"/>
            <w:shd w:val="clear" w:color="auto" w:fill="F2F2F2" w:themeFill="background1" w:themeFillShade="F2"/>
          </w:tcPr>
          <w:p w:rsidR="000F47FA" w:rsidRPr="00346564" w:rsidRDefault="000F47FA" w:rsidP="000F47FA">
            <w:pPr>
              <w:spacing w:before="120" w:after="60"/>
              <w:jc w:val="left"/>
              <w:rPr>
                <w:sz w:val="16"/>
                <w:szCs w:val="16"/>
              </w:rPr>
            </w:pPr>
            <w:r w:rsidRPr="00346564">
              <w:rPr>
                <w:sz w:val="16"/>
                <w:szCs w:val="16"/>
              </w:rPr>
              <w:t>úsek ochrany pred povodňami</w:t>
            </w:r>
          </w:p>
        </w:tc>
        <w:tc>
          <w:tcPr>
            <w:tcW w:w="2430" w:type="dxa"/>
            <w:shd w:val="clear" w:color="auto" w:fill="F2F2F2" w:themeFill="background1" w:themeFillShade="F2"/>
          </w:tcPr>
          <w:p w:rsidR="000F47FA" w:rsidRDefault="000F47FA" w:rsidP="000F47FA">
            <w:pPr>
              <w:spacing w:before="120" w:after="60"/>
              <w:jc w:val="left"/>
              <w:rPr>
                <w:sz w:val="16"/>
                <w:szCs w:val="16"/>
              </w:rPr>
            </w:pPr>
            <w:r>
              <w:rPr>
                <w:sz w:val="16"/>
                <w:szCs w:val="16"/>
              </w:rPr>
              <w:t>úsek ochrany pred povodňami</w:t>
            </w:r>
          </w:p>
        </w:tc>
        <w:tc>
          <w:tcPr>
            <w:tcW w:w="1221"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4A/ 2V</w:t>
            </w:r>
          </w:p>
        </w:tc>
        <w:tc>
          <w:tcPr>
            <w:tcW w:w="1545"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8A/ 3V</w:t>
            </w:r>
          </w:p>
        </w:tc>
      </w:tr>
      <w:tr w:rsidR="000F47FA" w:rsidRPr="00D861B9" w:rsidTr="000F47FA">
        <w:trPr>
          <w:jc w:val="center"/>
        </w:trPr>
        <w:tc>
          <w:tcPr>
            <w:tcW w:w="2061" w:type="dxa"/>
            <w:shd w:val="clear" w:color="auto" w:fill="F2F2F2" w:themeFill="background1" w:themeFillShade="F2"/>
          </w:tcPr>
          <w:p w:rsidR="000F47FA" w:rsidRPr="00346564" w:rsidRDefault="000F47FA" w:rsidP="000F47FA">
            <w:pPr>
              <w:spacing w:before="120" w:after="60"/>
              <w:jc w:val="left"/>
              <w:rPr>
                <w:sz w:val="16"/>
                <w:szCs w:val="16"/>
              </w:rPr>
            </w:pPr>
            <w:r w:rsidRPr="00346564">
              <w:rPr>
                <w:sz w:val="16"/>
                <w:szCs w:val="16"/>
              </w:rPr>
              <w:t>úsek štátnej vodnej správy</w:t>
            </w:r>
          </w:p>
        </w:tc>
        <w:tc>
          <w:tcPr>
            <w:tcW w:w="2430" w:type="dxa"/>
            <w:shd w:val="clear" w:color="auto" w:fill="F2F2F2" w:themeFill="background1" w:themeFillShade="F2"/>
          </w:tcPr>
          <w:p w:rsidR="000F47FA" w:rsidRPr="009766D2" w:rsidRDefault="000F47FA" w:rsidP="000F47FA">
            <w:pPr>
              <w:spacing w:before="120" w:after="60"/>
              <w:jc w:val="left"/>
              <w:rPr>
                <w:sz w:val="16"/>
                <w:szCs w:val="16"/>
              </w:rPr>
            </w:pPr>
            <w:r>
              <w:rPr>
                <w:sz w:val="16"/>
                <w:szCs w:val="16"/>
              </w:rPr>
              <w:t>-</w:t>
            </w:r>
          </w:p>
        </w:tc>
        <w:tc>
          <w:tcPr>
            <w:tcW w:w="1221"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2 A</w:t>
            </w:r>
          </w:p>
        </w:tc>
        <w:tc>
          <w:tcPr>
            <w:tcW w:w="1545"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w:t>
            </w:r>
          </w:p>
        </w:tc>
      </w:tr>
      <w:tr w:rsidR="000F47FA" w:rsidRPr="00D861B9" w:rsidTr="000F47FA">
        <w:trPr>
          <w:jc w:val="center"/>
        </w:trPr>
        <w:tc>
          <w:tcPr>
            <w:tcW w:w="2061" w:type="dxa"/>
            <w:shd w:val="clear" w:color="auto" w:fill="F2F2F2" w:themeFill="background1" w:themeFillShade="F2"/>
          </w:tcPr>
          <w:p w:rsidR="000F47FA" w:rsidRPr="00346564" w:rsidRDefault="000F47FA" w:rsidP="000F47FA">
            <w:pPr>
              <w:spacing w:before="120" w:after="60"/>
              <w:jc w:val="left"/>
              <w:rPr>
                <w:sz w:val="16"/>
                <w:szCs w:val="16"/>
              </w:rPr>
            </w:pPr>
            <w:r w:rsidRPr="00346564">
              <w:rPr>
                <w:sz w:val="16"/>
                <w:szCs w:val="16"/>
              </w:rPr>
              <w:lastRenderedPageBreak/>
              <w:t>úsek rybárstva</w:t>
            </w:r>
          </w:p>
        </w:tc>
        <w:tc>
          <w:tcPr>
            <w:tcW w:w="2430" w:type="dxa"/>
            <w:shd w:val="clear" w:color="auto" w:fill="F2F2F2" w:themeFill="background1" w:themeFillShade="F2"/>
          </w:tcPr>
          <w:p w:rsidR="000F47FA" w:rsidRDefault="000F47FA" w:rsidP="000F47FA">
            <w:pPr>
              <w:spacing w:before="120" w:after="60"/>
              <w:jc w:val="left"/>
              <w:rPr>
                <w:sz w:val="16"/>
                <w:szCs w:val="16"/>
              </w:rPr>
            </w:pPr>
            <w:r>
              <w:rPr>
                <w:sz w:val="16"/>
                <w:szCs w:val="16"/>
              </w:rPr>
              <w:t>-</w:t>
            </w:r>
          </w:p>
        </w:tc>
        <w:tc>
          <w:tcPr>
            <w:tcW w:w="1221"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1A</w:t>
            </w:r>
          </w:p>
        </w:tc>
        <w:tc>
          <w:tcPr>
            <w:tcW w:w="1545"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w:t>
            </w:r>
          </w:p>
        </w:tc>
      </w:tr>
      <w:tr w:rsidR="000F47FA" w:rsidRPr="00D861B9" w:rsidTr="000F47FA">
        <w:trPr>
          <w:jc w:val="center"/>
        </w:trPr>
        <w:tc>
          <w:tcPr>
            <w:tcW w:w="2061" w:type="dxa"/>
            <w:shd w:val="clear" w:color="auto" w:fill="F2F2F2" w:themeFill="background1" w:themeFillShade="F2"/>
          </w:tcPr>
          <w:p w:rsidR="000F47FA" w:rsidRPr="00346564" w:rsidRDefault="000F47FA" w:rsidP="000F47FA">
            <w:pPr>
              <w:spacing w:before="120" w:after="60"/>
              <w:jc w:val="left"/>
              <w:rPr>
                <w:sz w:val="16"/>
                <w:szCs w:val="16"/>
              </w:rPr>
            </w:pPr>
            <w:r w:rsidRPr="00346564">
              <w:rPr>
                <w:sz w:val="16"/>
                <w:szCs w:val="16"/>
              </w:rPr>
              <w:t>úsek verejných vodovodov a verejných kanalizácií</w:t>
            </w:r>
          </w:p>
        </w:tc>
        <w:tc>
          <w:tcPr>
            <w:tcW w:w="2430" w:type="dxa"/>
            <w:shd w:val="clear" w:color="auto" w:fill="F2F2F2" w:themeFill="background1" w:themeFillShade="F2"/>
          </w:tcPr>
          <w:p w:rsidR="000F47FA" w:rsidRDefault="000F47FA" w:rsidP="000F47FA">
            <w:pPr>
              <w:spacing w:before="120" w:after="60"/>
              <w:jc w:val="left"/>
              <w:rPr>
                <w:sz w:val="16"/>
                <w:szCs w:val="16"/>
              </w:rPr>
            </w:pPr>
            <w:r>
              <w:rPr>
                <w:sz w:val="16"/>
                <w:szCs w:val="16"/>
              </w:rPr>
              <w:t>úsek verejných vodovodov a verejných kanalizácií</w:t>
            </w:r>
          </w:p>
        </w:tc>
        <w:tc>
          <w:tcPr>
            <w:tcW w:w="1221"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4A/ 1V</w:t>
            </w:r>
          </w:p>
        </w:tc>
        <w:tc>
          <w:tcPr>
            <w:tcW w:w="1545"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1A</w:t>
            </w:r>
          </w:p>
        </w:tc>
      </w:tr>
      <w:tr w:rsidR="000F47FA" w:rsidRPr="00D861B9" w:rsidTr="000F47FA">
        <w:trPr>
          <w:jc w:val="center"/>
        </w:trPr>
        <w:tc>
          <w:tcPr>
            <w:tcW w:w="2061" w:type="dxa"/>
            <w:shd w:val="clear" w:color="auto" w:fill="F2F2F2" w:themeFill="background1" w:themeFillShade="F2"/>
          </w:tcPr>
          <w:p w:rsidR="000F47FA" w:rsidRPr="00346564" w:rsidRDefault="000F47FA" w:rsidP="000F47FA">
            <w:pPr>
              <w:spacing w:before="120" w:after="60"/>
              <w:jc w:val="left"/>
              <w:rPr>
                <w:sz w:val="16"/>
                <w:szCs w:val="16"/>
              </w:rPr>
            </w:pPr>
            <w:r w:rsidRPr="00346564">
              <w:rPr>
                <w:sz w:val="16"/>
                <w:szCs w:val="16"/>
              </w:rPr>
              <w:t>úsek odpadového hospodárstva</w:t>
            </w:r>
          </w:p>
        </w:tc>
        <w:tc>
          <w:tcPr>
            <w:tcW w:w="2430" w:type="dxa"/>
            <w:shd w:val="clear" w:color="auto" w:fill="F2F2F2" w:themeFill="background1" w:themeFillShade="F2"/>
          </w:tcPr>
          <w:p w:rsidR="000F47FA" w:rsidRPr="009766D2" w:rsidRDefault="000F47FA" w:rsidP="000F47FA">
            <w:pPr>
              <w:spacing w:before="120" w:after="60"/>
              <w:jc w:val="left"/>
              <w:rPr>
                <w:sz w:val="16"/>
                <w:szCs w:val="16"/>
              </w:rPr>
            </w:pPr>
            <w:r>
              <w:rPr>
                <w:sz w:val="16"/>
                <w:szCs w:val="16"/>
              </w:rPr>
              <w:t>-</w:t>
            </w:r>
          </w:p>
        </w:tc>
        <w:tc>
          <w:tcPr>
            <w:tcW w:w="1221" w:type="dxa"/>
            <w:shd w:val="clear" w:color="auto" w:fill="F2F2F2" w:themeFill="background1" w:themeFillShade="F2"/>
            <w:vAlign w:val="center"/>
          </w:tcPr>
          <w:p w:rsidR="000F47FA" w:rsidRPr="009766D2" w:rsidRDefault="000F47FA" w:rsidP="00552583">
            <w:pPr>
              <w:spacing w:before="120" w:after="60"/>
              <w:jc w:val="right"/>
              <w:rPr>
                <w:sz w:val="16"/>
                <w:szCs w:val="16"/>
              </w:rPr>
            </w:pPr>
            <w:r>
              <w:rPr>
                <w:sz w:val="16"/>
                <w:szCs w:val="16"/>
              </w:rPr>
              <w:t xml:space="preserve">6A/ </w:t>
            </w:r>
            <w:r w:rsidR="00552583">
              <w:rPr>
                <w:sz w:val="16"/>
                <w:szCs w:val="16"/>
              </w:rPr>
              <w:t>7</w:t>
            </w:r>
            <w:r>
              <w:rPr>
                <w:sz w:val="16"/>
                <w:szCs w:val="16"/>
              </w:rPr>
              <w:t>V</w:t>
            </w:r>
          </w:p>
        </w:tc>
        <w:tc>
          <w:tcPr>
            <w:tcW w:w="1545" w:type="dxa"/>
            <w:shd w:val="clear" w:color="auto" w:fill="F2F2F2" w:themeFill="background1" w:themeFillShade="F2"/>
            <w:vAlign w:val="center"/>
          </w:tcPr>
          <w:p w:rsidR="000F47FA" w:rsidRPr="009766D2" w:rsidRDefault="000F47FA" w:rsidP="000F47FA">
            <w:pPr>
              <w:spacing w:before="120" w:after="60"/>
              <w:jc w:val="right"/>
              <w:rPr>
                <w:sz w:val="16"/>
                <w:szCs w:val="16"/>
              </w:rPr>
            </w:pPr>
            <w:r>
              <w:rPr>
                <w:sz w:val="16"/>
                <w:szCs w:val="16"/>
              </w:rPr>
              <w:t>-</w:t>
            </w:r>
          </w:p>
        </w:tc>
      </w:tr>
    </w:tbl>
    <w:p w:rsidR="00D378DE" w:rsidRPr="00D378DE" w:rsidRDefault="00D378DE" w:rsidP="00F56357">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u w:val="single"/>
          <w:lang w:eastAsia="cs-CZ"/>
        </w:rPr>
      </w:pPr>
      <w:r w:rsidRPr="00D378DE">
        <w:rPr>
          <w:rFonts w:eastAsia="Times New Roman" w:cs="Times New Roman"/>
          <w:sz w:val="22"/>
          <w:lang w:eastAsia="cs-CZ"/>
        </w:rPr>
        <w:t>Ministerstvo životného prostredia</w:t>
      </w:r>
      <w:r w:rsidR="00BF425A">
        <w:rPr>
          <w:rFonts w:eastAsia="Times New Roman" w:cs="Times New Roman"/>
          <w:sz w:val="22"/>
          <w:lang w:eastAsia="cs-CZ"/>
        </w:rPr>
        <w:t xml:space="preserve"> </w:t>
      </w:r>
      <w:r w:rsidR="00BF425A" w:rsidRPr="00BF425A">
        <w:rPr>
          <w:rFonts w:eastAsia="Times New Roman" w:cs="Times New Roman"/>
          <w:sz w:val="22"/>
          <w:lang w:eastAsia="cs-CZ"/>
        </w:rPr>
        <w:t xml:space="preserve">Slovenskej republiky </w:t>
      </w:r>
      <w:r w:rsidR="00BF425A">
        <w:rPr>
          <w:rFonts w:eastAsia="Times New Roman" w:cs="Times New Roman"/>
          <w:sz w:val="22"/>
          <w:lang w:eastAsia="cs-CZ"/>
        </w:rPr>
        <w:t xml:space="preserve">(ďalej len „ministerstvo životného prostredia“) </w:t>
      </w:r>
      <w:r w:rsidRPr="00D378DE">
        <w:rPr>
          <w:rFonts w:eastAsia="Times New Roman" w:cs="Times New Roman"/>
          <w:sz w:val="22"/>
          <w:lang w:eastAsia="cs-CZ"/>
        </w:rPr>
        <w:t>údaje zbieralo od obcí.</w:t>
      </w:r>
    </w:p>
    <w:p w:rsidR="00D378DE" w:rsidRPr="00D378DE" w:rsidRDefault="00D378DE" w:rsidP="00F56357">
      <w:pPr>
        <w:keepNext/>
        <w:shd w:val="clear" w:color="auto" w:fill="F2F2F2" w:themeFill="background1" w:themeFillShade="F2"/>
        <w:tabs>
          <w:tab w:val="left" w:pos="1276"/>
        </w:tabs>
        <w:spacing w:before="120" w:after="120" w:line="240" w:lineRule="auto"/>
        <w:ind w:firstLine="709"/>
        <w:jc w:val="both"/>
        <w:rPr>
          <w:rFonts w:cs="Times New Roman"/>
          <w:sz w:val="22"/>
        </w:rPr>
      </w:pPr>
      <w:r w:rsidRPr="00D378DE">
        <w:rPr>
          <w:rFonts w:eastAsia="Times New Roman" w:cs="Times New Roman"/>
          <w:sz w:val="22"/>
          <w:u w:val="single"/>
          <w:lang w:eastAsia="cs-CZ"/>
        </w:rPr>
        <w:t>2.2.</w:t>
      </w:r>
      <w:r w:rsidRPr="00D378DE">
        <w:rPr>
          <w:rFonts w:eastAsia="Times New Roman" w:cs="Times New Roman"/>
          <w:sz w:val="22"/>
          <w:u w:val="single"/>
          <w:lang w:eastAsia="cs-CZ"/>
        </w:rPr>
        <w:tab/>
        <w:t>Zhodnotenie kvality výkonu samosprávnych pôsobností</w:t>
      </w:r>
      <w:r w:rsidRPr="00D378DE">
        <w:rPr>
          <w:rFonts w:cs="Times New Roman"/>
          <w:sz w:val="22"/>
        </w:rPr>
        <w:t xml:space="preserve"> </w:t>
      </w:r>
    </w:p>
    <w:p w:rsidR="00D378DE" w:rsidRPr="00D378DE" w:rsidRDefault="00D378DE" w:rsidP="00F56357">
      <w:pPr>
        <w:shd w:val="clear" w:color="auto" w:fill="F2F2F2" w:themeFill="background1" w:themeFillShade="F2"/>
        <w:spacing w:before="120" w:after="0"/>
        <w:ind w:firstLine="709"/>
        <w:jc w:val="both"/>
        <w:rPr>
          <w:rFonts w:cs="Times New Roman"/>
          <w:sz w:val="22"/>
        </w:rPr>
      </w:pPr>
      <w:r w:rsidRPr="00D378DE">
        <w:rPr>
          <w:rFonts w:cs="Times New Roman"/>
          <w:sz w:val="22"/>
        </w:rPr>
        <w:t>Výkon samosprávnych pôsobností obcí na relevantných úsekoch</w:t>
      </w:r>
      <w:r w:rsidR="001649EB">
        <w:rPr>
          <w:rFonts w:cs="Times New Roman"/>
          <w:sz w:val="22"/>
        </w:rPr>
        <w:t xml:space="preserve"> starostlivosti o </w:t>
      </w:r>
      <w:r w:rsidRPr="00D378DE">
        <w:rPr>
          <w:rFonts w:cs="Times New Roman"/>
          <w:sz w:val="22"/>
        </w:rPr>
        <w:t xml:space="preserve"> životné prostredi</w:t>
      </w:r>
      <w:r w:rsidR="001649EB">
        <w:rPr>
          <w:rFonts w:cs="Times New Roman"/>
          <w:sz w:val="22"/>
        </w:rPr>
        <w:t>e</w:t>
      </w:r>
      <w:r w:rsidRPr="00D378DE">
        <w:rPr>
          <w:rFonts w:cs="Times New Roman"/>
          <w:sz w:val="22"/>
        </w:rPr>
        <w:t xml:space="preserve"> </w:t>
      </w:r>
      <w:r w:rsidRPr="00D378DE">
        <w:rPr>
          <w:rFonts w:eastAsia="Times New Roman" w:cs="Times New Roman"/>
          <w:sz w:val="22"/>
          <w:lang w:eastAsia="cs-CZ"/>
        </w:rPr>
        <w:t>ministerstvo životného prostredia</w:t>
      </w:r>
      <w:r w:rsidRPr="00D378DE">
        <w:rPr>
          <w:rFonts w:cs="Times New Roman"/>
          <w:sz w:val="22"/>
        </w:rPr>
        <w:t xml:space="preserve"> zhodnotilo ako pozitívne respektíve kvalitné s menšími nedostatkami, ktoré sa vyskytujú v nasledovných oblastiach: </w:t>
      </w:r>
    </w:p>
    <w:p w:rsidR="00D378DE" w:rsidRPr="00D378DE" w:rsidRDefault="00D378DE" w:rsidP="00F56357">
      <w:pPr>
        <w:numPr>
          <w:ilvl w:val="0"/>
          <w:numId w:val="2"/>
        </w:numPr>
        <w:shd w:val="clear" w:color="auto" w:fill="F2F2F2" w:themeFill="background1" w:themeFillShade="F2"/>
        <w:ind w:left="851" w:hanging="284"/>
        <w:contextualSpacing/>
        <w:jc w:val="both"/>
        <w:rPr>
          <w:rFonts w:cs="Times New Roman"/>
          <w:sz w:val="22"/>
        </w:rPr>
      </w:pPr>
      <w:r w:rsidRPr="00D378DE">
        <w:rPr>
          <w:rFonts w:cs="Times New Roman"/>
          <w:sz w:val="22"/>
        </w:rPr>
        <w:t xml:space="preserve">na úseku verejných vodovodov a verejných kanalizácií, kde obce neukladajú pokuty svojim občanom za nelegálne vypúšťanie odpadových vôd zo žúmp, </w:t>
      </w:r>
    </w:p>
    <w:p w:rsidR="00D378DE" w:rsidRPr="00D378DE" w:rsidRDefault="00D378DE" w:rsidP="00F56357">
      <w:pPr>
        <w:numPr>
          <w:ilvl w:val="0"/>
          <w:numId w:val="2"/>
        </w:numPr>
        <w:shd w:val="clear" w:color="auto" w:fill="F2F2F2" w:themeFill="background1" w:themeFillShade="F2"/>
        <w:spacing w:after="0"/>
        <w:ind w:left="851" w:hanging="284"/>
        <w:jc w:val="both"/>
        <w:rPr>
          <w:rFonts w:cs="Times New Roman"/>
          <w:sz w:val="22"/>
        </w:rPr>
      </w:pPr>
      <w:r w:rsidRPr="00D378DE">
        <w:rPr>
          <w:rFonts w:cs="Times New Roman"/>
          <w:sz w:val="22"/>
        </w:rPr>
        <w:t xml:space="preserve">na úseku štátnej vodnej správy, kde </w:t>
      </w:r>
      <w:r w:rsidRPr="00D378DE">
        <w:rPr>
          <w:rFonts w:eastAsia="Times New Roman" w:cs="Times New Roman"/>
          <w:sz w:val="22"/>
          <w:lang w:eastAsia="cs-CZ"/>
        </w:rPr>
        <w:t>ministerstvo životného prostredia</w:t>
      </w:r>
      <w:r w:rsidRPr="00D378DE">
        <w:rPr>
          <w:rFonts w:cs="Times New Roman"/>
          <w:sz w:val="22"/>
        </w:rPr>
        <w:t xml:space="preserve"> uvádza nevyhovujúce zhodnotenie z dôvodu nepostačujúceho počtu všeobecne záväzných nariadení (vcelku 8) na určenie inundačného územia. </w:t>
      </w:r>
    </w:p>
    <w:p w:rsidR="00D378DE" w:rsidRPr="00D378DE" w:rsidRDefault="00D378DE" w:rsidP="008B4D51">
      <w:pPr>
        <w:keepNext/>
        <w:shd w:val="clear" w:color="auto" w:fill="F2F2F2" w:themeFill="background1" w:themeFillShade="F2"/>
        <w:tabs>
          <w:tab w:val="left" w:pos="1276"/>
        </w:tabs>
        <w:spacing w:before="120" w:after="120"/>
        <w:ind w:firstLine="709"/>
        <w:jc w:val="both"/>
        <w:rPr>
          <w:rFonts w:cs="Times New Roman"/>
          <w:sz w:val="22"/>
          <w:u w:val="single"/>
        </w:rPr>
      </w:pPr>
      <w:r w:rsidRPr="00D378DE">
        <w:rPr>
          <w:rFonts w:cs="Times New Roman"/>
          <w:sz w:val="22"/>
          <w:u w:val="single"/>
        </w:rPr>
        <w:t>2.3.</w:t>
      </w:r>
      <w:r w:rsidRPr="00D378DE">
        <w:rPr>
          <w:rFonts w:cs="Times New Roman"/>
          <w:sz w:val="22"/>
          <w:u w:val="single"/>
        </w:rPr>
        <w:tab/>
        <w:t>Financovanie výkonu samosprávnych pôsobností</w:t>
      </w:r>
    </w:p>
    <w:p w:rsidR="00366CDA" w:rsidRPr="00366CDA" w:rsidRDefault="00366CDA" w:rsidP="008B4D51">
      <w:pPr>
        <w:keepNext/>
        <w:keepLines/>
        <w:shd w:val="clear" w:color="auto" w:fill="F2F2F2" w:themeFill="background1" w:themeFillShade="F2"/>
        <w:spacing w:before="120" w:after="0"/>
        <w:ind w:firstLine="709"/>
        <w:jc w:val="both"/>
        <w:rPr>
          <w:rFonts w:cs="Times New Roman"/>
          <w:sz w:val="22"/>
        </w:rPr>
      </w:pPr>
      <w:r w:rsidRPr="00F954B2">
        <w:rPr>
          <w:rFonts w:cs="Times New Roman"/>
          <w:sz w:val="22"/>
        </w:rPr>
        <w:t>O financovaní samosprávnych kompetencií obcami a </w:t>
      </w:r>
      <w:r w:rsidRPr="00F954B2">
        <w:rPr>
          <w:rFonts w:eastAsia="Times New Roman" w:cs="Times New Roman"/>
          <w:sz w:val="22"/>
          <w:lang w:eastAsia="cs-CZ"/>
        </w:rPr>
        <w:t>samosprávnymi krajmi</w:t>
      </w:r>
      <w:r w:rsidRPr="00F954B2">
        <w:rPr>
          <w:rFonts w:cs="Times New Roman"/>
          <w:sz w:val="22"/>
        </w:rPr>
        <w:t xml:space="preserve"> nie je zo strany ministerstva životného prostredia vedená žiadna štatistika. Je to vzhľadom na to, že náklady spojené s týmito kompetenciami znášajú priamo obce, resp. </w:t>
      </w:r>
      <w:r w:rsidRPr="00F954B2">
        <w:rPr>
          <w:rFonts w:eastAsia="Times New Roman" w:cs="Times New Roman"/>
          <w:sz w:val="22"/>
          <w:lang w:eastAsia="cs-CZ"/>
        </w:rPr>
        <w:t xml:space="preserve">samosprávne kraje </w:t>
      </w:r>
      <w:r w:rsidRPr="00F954B2">
        <w:rPr>
          <w:rFonts w:cs="Times New Roman"/>
          <w:sz w:val="22"/>
        </w:rPr>
        <w:t>a sú kryté ich vlastnými prostriedkami, či už zo štátneho rozpočtu</w:t>
      </w:r>
      <w:r w:rsidR="00740B7A" w:rsidRPr="00F954B2">
        <w:rPr>
          <w:rFonts w:cs="Times New Roman"/>
          <w:sz w:val="22"/>
        </w:rPr>
        <w:t xml:space="preserve"> (priamy transfer vo forme podielových daní)</w:t>
      </w:r>
      <w:r w:rsidR="00F954B2" w:rsidRPr="00F954B2">
        <w:rPr>
          <w:rFonts w:cs="Times New Roman"/>
          <w:sz w:val="22"/>
        </w:rPr>
        <w:t xml:space="preserve"> alebo z iných </w:t>
      </w:r>
      <w:r w:rsidRPr="00F954B2">
        <w:rPr>
          <w:rFonts w:cs="Times New Roman"/>
          <w:sz w:val="22"/>
        </w:rPr>
        <w:t>vlastných príjmov.</w:t>
      </w:r>
    </w:p>
    <w:p w:rsidR="00D378DE" w:rsidRPr="00D378DE" w:rsidRDefault="00D378DE" w:rsidP="008B4D51">
      <w:pPr>
        <w:keepNext/>
        <w:shd w:val="clear" w:color="auto" w:fill="F2F2F2" w:themeFill="background1" w:themeFillShade="F2"/>
        <w:tabs>
          <w:tab w:val="left" w:pos="1276"/>
        </w:tabs>
        <w:spacing w:before="120" w:after="120"/>
        <w:ind w:firstLine="709"/>
        <w:jc w:val="both"/>
        <w:rPr>
          <w:rFonts w:cs="Times New Roman"/>
          <w:sz w:val="22"/>
          <w:u w:val="single"/>
        </w:rPr>
      </w:pPr>
      <w:r w:rsidRPr="00D378DE">
        <w:rPr>
          <w:rFonts w:cs="Times New Roman"/>
          <w:sz w:val="22"/>
          <w:u w:val="single"/>
        </w:rPr>
        <w:t>2.4.</w:t>
      </w:r>
      <w:r w:rsidRPr="00D378DE">
        <w:rPr>
          <w:rFonts w:cs="Times New Roman"/>
          <w:sz w:val="22"/>
          <w:u w:val="single"/>
        </w:rPr>
        <w:tab/>
        <w:t>Návrhy opatrení</w:t>
      </w:r>
    </w:p>
    <w:p w:rsidR="00D378DE" w:rsidRPr="00D378DE" w:rsidRDefault="00D378DE" w:rsidP="00F56357">
      <w:pPr>
        <w:shd w:val="clear" w:color="auto" w:fill="F2F2F2" w:themeFill="background1" w:themeFillShade="F2"/>
        <w:spacing w:before="60" w:after="0" w:line="240" w:lineRule="auto"/>
        <w:jc w:val="both"/>
        <w:rPr>
          <w:rFonts w:cs="Times New Roman"/>
          <w:b/>
          <w:sz w:val="22"/>
        </w:rPr>
      </w:pPr>
      <w:r w:rsidRPr="00D378DE">
        <w:rPr>
          <w:rFonts w:cs="Times New Roman"/>
          <w:sz w:val="22"/>
        </w:rPr>
        <w:tab/>
        <w:t xml:space="preserve">Ministerstvo životného prostredia v prípade samosprávnych pôsobností na úsekoch starostlivosti o životné prostredia nenavrhuje žiadne rušenie pôsobností obcí. Návrhy smerujú k presnejšiemu legislatívnemu vymedzeniu niektorých pojmov, taktiež k úprave sadzieb poplatkov na úseku odpadového hospodárstva, k zlepšeniu čerpania finančných prostriedkov z fondov </w:t>
      </w:r>
      <w:r w:rsidR="003A744F">
        <w:rPr>
          <w:rFonts w:cs="Times New Roman"/>
          <w:sz w:val="22"/>
        </w:rPr>
        <w:t>Európskej únie</w:t>
      </w:r>
      <w:r w:rsidRPr="00D378DE">
        <w:rPr>
          <w:rFonts w:cs="Times New Roman"/>
          <w:sz w:val="22"/>
        </w:rPr>
        <w:t>, ako aj k potrebe združovania obcí za účelom dosiahnutia lepších podmienok pre obce v rámci zabezpečenia odberu odpadov voči odberateľom. Okrem úseku odpadového hospodárstva, ministerstvo životného prostredia navrhuje na úseku vodovodov a verejných kanalizácií zriadiť spoločné obecné úrady na zabezpečenie úloh, ktoré nemajú charakteru verejnej služby (ukladanie pokút, atď..). Na ostatných úsekoch, vzhľadom na uspokojivú kvalitu výkonu úloh, ministerstvo životného prostredia nenavrhuje žiadne podstatné zmeny.</w:t>
      </w:r>
    </w:p>
    <w:p w:rsidR="00D378DE" w:rsidRPr="00D378DE" w:rsidRDefault="00D378DE" w:rsidP="00F56357">
      <w:pPr>
        <w:keepNext/>
        <w:shd w:val="clear" w:color="auto" w:fill="F2F2F2" w:themeFill="background1" w:themeFillShade="F2"/>
        <w:tabs>
          <w:tab w:val="left" w:pos="1276"/>
        </w:tabs>
        <w:spacing w:before="120" w:after="120"/>
        <w:ind w:firstLine="709"/>
        <w:jc w:val="both"/>
        <w:rPr>
          <w:rFonts w:cs="Times New Roman"/>
          <w:sz w:val="22"/>
          <w:u w:val="single"/>
        </w:rPr>
      </w:pPr>
      <w:r w:rsidRPr="00D378DE">
        <w:rPr>
          <w:rFonts w:cs="Times New Roman"/>
          <w:sz w:val="22"/>
          <w:u w:val="single"/>
        </w:rPr>
        <w:t>Kritické stanovisko</w:t>
      </w:r>
    </w:p>
    <w:p w:rsidR="00D378DE" w:rsidRPr="00D378DE" w:rsidRDefault="00077598" w:rsidP="00F56357">
      <w:pPr>
        <w:shd w:val="clear" w:color="auto" w:fill="F2F2F2" w:themeFill="background1" w:themeFillShade="F2"/>
        <w:spacing w:before="60" w:after="0"/>
        <w:ind w:firstLine="709"/>
        <w:jc w:val="both"/>
        <w:rPr>
          <w:rFonts w:cs="Times New Roman"/>
          <w:sz w:val="22"/>
        </w:rPr>
      </w:pPr>
      <w:r w:rsidRPr="00D378DE">
        <w:rPr>
          <w:rFonts w:cs="Times New Roman"/>
          <w:sz w:val="22"/>
        </w:rPr>
        <w:t xml:space="preserve">Audit potvrdil, že ministerstvo </w:t>
      </w:r>
      <w:r>
        <w:rPr>
          <w:rFonts w:cs="Times New Roman"/>
          <w:sz w:val="22"/>
        </w:rPr>
        <w:t>životného prostredia</w:t>
      </w:r>
      <w:r w:rsidRPr="00D378DE">
        <w:rPr>
          <w:rFonts w:cs="Times New Roman"/>
          <w:sz w:val="22"/>
        </w:rPr>
        <w:t xml:space="preserve"> nemá k dispozícii dostatok údajov</w:t>
      </w:r>
      <w:r>
        <w:rPr>
          <w:rFonts w:cs="Times New Roman"/>
          <w:sz w:val="22"/>
        </w:rPr>
        <w:t xml:space="preserve"> na celkové a uspokojivé hodnotenie kvality a financovania </w:t>
      </w:r>
      <w:r w:rsidRPr="00D378DE">
        <w:rPr>
          <w:rFonts w:cs="Times New Roman"/>
          <w:sz w:val="22"/>
        </w:rPr>
        <w:t>samosprávnych pôsobností</w:t>
      </w:r>
      <w:r>
        <w:rPr>
          <w:rFonts w:cs="Times New Roman"/>
          <w:sz w:val="22"/>
        </w:rPr>
        <w:t>.</w:t>
      </w:r>
      <w:r w:rsidR="00D378DE" w:rsidRPr="00D378DE">
        <w:rPr>
          <w:rFonts w:cs="Times New Roman"/>
          <w:sz w:val="22"/>
        </w:rPr>
        <w:t xml:space="preserve"> </w:t>
      </w:r>
    </w:p>
    <w:p w:rsidR="00D378DE" w:rsidRPr="00D378DE" w:rsidRDefault="00D378DE" w:rsidP="000F47FA">
      <w:pPr>
        <w:keepNext/>
        <w:spacing w:before="240" w:after="240" w:line="240" w:lineRule="auto"/>
        <w:jc w:val="both"/>
        <w:rPr>
          <w:rFonts w:cs="Times New Roman"/>
          <w:b/>
          <w:szCs w:val="24"/>
        </w:rPr>
      </w:pPr>
      <w:r w:rsidRPr="00D378DE">
        <w:rPr>
          <w:rFonts w:cs="Times New Roman"/>
          <w:b/>
          <w:szCs w:val="24"/>
        </w:rPr>
        <w:t>Úrad vlády Slovenskej republiky</w:t>
      </w:r>
    </w:p>
    <w:p w:rsidR="000F47FA" w:rsidRDefault="00753168" w:rsidP="000F47FA">
      <w:pPr>
        <w:keepNext/>
        <w:shd w:val="clear" w:color="auto" w:fill="FFFFFF" w:themeFill="background1"/>
        <w:tabs>
          <w:tab w:val="left" w:pos="1276"/>
        </w:tabs>
        <w:spacing w:before="120" w:after="120" w:line="240" w:lineRule="auto"/>
        <w:ind w:firstLine="709"/>
        <w:jc w:val="both"/>
        <w:rPr>
          <w:rFonts w:eastAsia="Times New Roman" w:cs="Times New Roman"/>
          <w:sz w:val="22"/>
          <w:u w:val="single"/>
          <w:lang w:eastAsia="cs-CZ"/>
        </w:rPr>
      </w:pPr>
      <w:r>
        <w:rPr>
          <w:rFonts w:eastAsia="Times New Roman" w:cs="Times New Roman"/>
          <w:sz w:val="22"/>
          <w:u w:val="single"/>
          <w:lang w:eastAsia="cs-CZ"/>
        </w:rPr>
        <w:t>2</w:t>
      </w:r>
      <w:r w:rsidR="000F47FA" w:rsidRPr="00D861B9">
        <w:rPr>
          <w:rFonts w:eastAsia="Times New Roman" w:cs="Times New Roman"/>
          <w:sz w:val="22"/>
          <w:u w:val="single"/>
          <w:lang w:eastAsia="cs-CZ"/>
        </w:rPr>
        <w:t>.1.</w:t>
      </w:r>
      <w:r w:rsidR="000F47FA" w:rsidRPr="00D861B9">
        <w:rPr>
          <w:rFonts w:eastAsia="Times New Roman" w:cs="Times New Roman"/>
          <w:sz w:val="22"/>
          <w:u w:val="single"/>
          <w:lang w:eastAsia="cs-CZ"/>
        </w:rPr>
        <w:tab/>
        <w:t xml:space="preserve">Katalóg </w:t>
      </w:r>
      <w:r w:rsidR="000F47FA">
        <w:rPr>
          <w:rFonts w:eastAsia="Times New Roman" w:cs="Times New Roman"/>
          <w:sz w:val="22"/>
          <w:u w:val="single"/>
          <w:lang w:eastAsia="cs-CZ"/>
        </w:rPr>
        <w:t>samosprávnych</w:t>
      </w:r>
      <w:r w:rsidR="000F47FA" w:rsidRPr="00D861B9">
        <w:rPr>
          <w:rFonts w:eastAsia="Times New Roman" w:cs="Times New Roman"/>
          <w:sz w:val="22"/>
          <w:u w:val="single"/>
          <w:lang w:eastAsia="cs-CZ"/>
        </w:rPr>
        <w:t xml:space="preserve"> pôsobností</w:t>
      </w:r>
    </w:p>
    <w:p w:rsidR="000F47FA" w:rsidRPr="00D861B9" w:rsidRDefault="000F47FA" w:rsidP="000F47FA">
      <w:pPr>
        <w:keepNext/>
        <w:shd w:val="clear" w:color="auto" w:fill="FFFFFF" w:themeFill="background1"/>
        <w:tabs>
          <w:tab w:val="left" w:pos="1276"/>
        </w:tabs>
        <w:spacing w:before="120" w:after="120" w:line="240" w:lineRule="auto"/>
        <w:ind w:firstLine="709"/>
        <w:jc w:val="both"/>
        <w:rPr>
          <w:rFonts w:eastAsia="Times New Roman" w:cs="Times New Roman"/>
          <w:sz w:val="22"/>
          <w:lang w:eastAsia="cs-CZ"/>
        </w:rPr>
      </w:pPr>
      <w:r w:rsidRPr="00D861B9">
        <w:rPr>
          <w:rFonts w:eastAsia="Times New Roman" w:cs="Times New Roman"/>
          <w:sz w:val="22"/>
          <w:lang w:eastAsia="cs-CZ"/>
        </w:rPr>
        <w:t>Zoznam úsekov</w:t>
      </w:r>
      <w:r>
        <w:rPr>
          <w:rFonts w:eastAsia="Times New Roman" w:cs="Times New Roman"/>
          <w:sz w:val="22"/>
          <w:lang w:eastAsia="cs-CZ"/>
        </w:rPr>
        <w:t>,</w:t>
      </w:r>
      <w:r w:rsidRPr="00D861B9">
        <w:rPr>
          <w:rFonts w:eastAsia="Times New Roman" w:cs="Times New Roman"/>
          <w:sz w:val="22"/>
          <w:lang w:eastAsia="cs-CZ"/>
        </w:rPr>
        <w:t xml:space="preserve"> </w:t>
      </w:r>
      <w:r w:rsidRPr="00B67413">
        <w:rPr>
          <w:rFonts w:eastAsia="Times New Roman" w:cs="Times New Roman"/>
          <w:sz w:val="22"/>
          <w:lang w:eastAsia="cs-CZ"/>
        </w:rPr>
        <w:t>na ktorých obce a samosprávne kraje vykonávajú samosprávne pôsobnosti</w:t>
      </w:r>
      <w:r>
        <w:rPr>
          <w:rFonts w:eastAsia="Times New Roman" w:cs="Times New Roman"/>
          <w:sz w:val="22"/>
          <w:lang w:eastAsia="cs-CZ"/>
        </w:rPr>
        <w:t>,</w:t>
      </w:r>
      <w:r w:rsidRPr="00D861B9">
        <w:rPr>
          <w:rFonts w:eastAsia="Times New Roman" w:cs="Times New Roman"/>
          <w:sz w:val="22"/>
          <w:lang w:eastAsia="cs-CZ"/>
        </w:rPr>
        <w:t xml:space="preserve"> </w:t>
      </w:r>
      <w:r>
        <w:rPr>
          <w:rFonts w:eastAsia="Times New Roman" w:cs="Times New Roman"/>
          <w:sz w:val="22"/>
          <w:lang w:eastAsia="cs-CZ"/>
        </w:rPr>
        <w:t>a údaje o počte úloh:</w:t>
      </w:r>
    </w:p>
    <w:tbl>
      <w:tblPr>
        <w:tblStyle w:val="Mriekatabuky"/>
        <w:tblW w:w="0" w:type="auto"/>
        <w:jc w:val="center"/>
        <w:tblLook w:val="04A0" w:firstRow="1" w:lastRow="0" w:firstColumn="1" w:lastColumn="0" w:noHBand="0" w:noVBand="1"/>
      </w:tblPr>
      <w:tblGrid>
        <w:gridCol w:w="2061"/>
        <w:gridCol w:w="2430"/>
        <w:gridCol w:w="1221"/>
        <w:gridCol w:w="1545"/>
      </w:tblGrid>
      <w:tr w:rsidR="000F47FA" w:rsidRPr="00D861B9" w:rsidTr="000F47FA">
        <w:trPr>
          <w:jc w:val="center"/>
        </w:trPr>
        <w:tc>
          <w:tcPr>
            <w:tcW w:w="2061" w:type="dxa"/>
            <w:shd w:val="clear" w:color="auto" w:fill="auto"/>
          </w:tcPr>
          <w:p w:rsidR="000F47FA" w:rsidRPr="009766D2" w:rsidRDefault="000F47FA" w:rsidP="000F47FA">
            <w:pPr>
              <w:shd w:val="clear" w:color="auto" w:fill="FFFFFF" w:themeFill="background1"/>
              <w:spacing w:before="120" w:after="60"/>
              <w:jc w:val="left"/>
              <w:rPr>
                <w:b/>
                <w:sz w:val="16"/>
                <w:szCs w:val="16"/>
              </w:rPr>
            </w:pPr>
            <w:r w:rsidRPr="009766D2">
              <w:rPr>
                <w:b/>
                <w:sz w:val="16"/>
                <w:szCs w:val="16"/>
              </w:rPr>
              <w:t>obce</w:t>
            </w:r>
          </w:p>
        </w:tc>
        <w:tc>
          <w:tcPr>
            <w:tcW w:w="2430" w:type="dxa"/>
            <w:shd w:val="clear" w:color="auto" w:fill="auto"/>
          </w:tcPr>
          <w:p w:rsidR="000F47FA" w:rsidRPr="009766D2" w:rsidRDefault="000F47FA" w:rsidP="000F47FA">
            <w:pPr>
              <w:shd w:val="clear" w:color="auto" w:fill="FFFFFF" w:themeFill="background1"/>
              <w:spacing w:before="120" w:after="60"/>
              <w:rPr>
                <w:b/>
                <w:sz w:val="16"/>
                <w:szCs w:val="16"/>
              </w:rPr>
            </w:pPr>
            <w:r w:rsidRPr="009766D2">
              <w:rPr>
                <w:b/>
                <w:sz w:val="16"/>
                <w:szCs w:val="16"/>
              </w:rPr>
              <w:t>samosprávne kraje</w:t>
            </w:r>
          </w:p>
        </w:tc>
        <w:tc>
          <w:tcPr>
            <w:tcW w:w="1221" w:type="dxa"/>
            <w:shd w:val="clear" w:color="auto" w:fill="auto"/>
          </w:tcPr>
          <w:p w:rsidR="000F47FA" w:rsidRPr="009766D2" w:rsidRDefault="000F47FA" w:rsidP="000F47FA">
            <w:pPr>
              <w:shd w:val="clear" w:color="auto" w:fill="FFFFFF" w:themeFill="background1"/>
              <w:spacing w:before="120" w:after="60"/>
              <w:rPr>
                <w:b/>
                <w:sz w:val="16"/>
                <w:szCs w:val="16"/>
              </w:rPr>
            </w:pPr>
            <w:r w:rsidRPr="009766D2">
              <w:rPr>
                <w:b/>
                <w:sz w:val="16"/>
                <w:szCs w:val="16"/>
              </w:rPr>
              <w:t>obce</w:t>
            </w:r>
          </w:p>
        </w:tc>
        <w:tc>
          <w:tcPr>
            <w:tcW w:w="1545" w:type="dxa"/>
            <w:shd w:val="clear" w:color="auto" w:fill="auto"/>
          </w:tcPr>
          <w:p w:rsidR="000F47FA" w:rsidRPr="009766D2" w:rsidRDefault="000F47FA" w:rsidP="000F47FA">
            <w:pPr>
              <w:shd w:val="clear" w:color="auto" w:fill="FFFFFF" w:themeFill="background1"/>
              <w:spacing w:before="120" w:after="60"/>
              <w:rPr>
                <w:b/>
                <w:sz w:val="16"/>
                <w:szCs w:val="16"/>
              </w:rPr>
            </w:pPr>
            <w:r w:rsidRPr="009766D2">
              <w:rPr>
                <w:b/>
                <w:sz w:val="16"/>
                <w:szCs w:val="16"/>
              </w:rPr>
              <w:t>samosprávne kraje</w:t>
            </w:r>
          </w:p>
        </w:tc>
      </w:tr>
      <w:tr w:rsidR="000F47FA" w:rsidRPr="00D861B9" w:rsidTr="000F47FA">
        <w:trPr>
          <w:jc w:val="center"/>
        </w:trPr>
        <w:tc>
          <w:tcPr>
            <w:tcW w:w="2061" w:type="dxa"/>
            <w:shd w:val="clear" w:color="auto" w:fill="auto"/>
            <w:vAlign w:val="center"/>
          </w:tcPr>
          <w:p w:rsidR="000F47FA" w:rsidRPr="009766D2" w:rsidRDefault="000F47FA" w:rsidP="000F47FA">
            <w:pPr>
              <w:spacing w:before="120" w:after="60"/>
              <w:rPr>
                <w:sz w:val="16"/>
                <w:szCs w:val="16"/>
              </w:rPr>
            </w:pPr>
            <w:r>
              <w:rPr>
                <w:sz w:val="16"/>
                <w:szCs w:val="16"/>
              </w:rPr>
              <w:t>úsek sťažností</w:t>
            </w:r>
          </w:p>
        </w:tc>
        <w:tc>
          <w:tcPr>
            <w:tcW w:w="2430" w:type="dxa"/>
            <w:shd w:val="clear" w:color="auto" w:fill="auto"/>
            <w:vAlign w:val="center"/>
          </w:tcPr>
          <w:p w:rsidR="000F47FA" w:rsidRPr="009766D2" w:rsidRDefault="000F47FA" w:rsidP="000F47FA">
            <w:pPr>
              <w:spacing w:before="120" w:after="60"/>
              <w:rPr>
                <w:sz w:val="16"/>
                <w:szCs w:val="16"/>
              </w:rPr>
            </w:pPr>
            <w:r>
              <w:rPr>
                <w:sz w:val="16"/>
                <w:szCs w:val="16"/>
              </w:rPr>
              <w:t>úsek sťažností</w:t>
            </w:r>
          </w:p>
        </w:tc>
        <w:tc>
          <w:tcPr>
            <w:tcW w:w="1221" w:type="dxa"/>
            <w:shd w:val="clear" w:color="auto" w:fill="auto"/>
            <w:vAlign w:val="center"/>
          </w:tcPr>
          <w:p w:rsidR="000F47FA" w:rsidRPr="009766D2" w:rsidRDefault="000F47FA" w:rsidP="000F47FA">
            <w:pPr>
              <w:spacing w:before="120" w:after="60"/>
              <w:jc w:val="right"/>
              <w:rPr>
                <w:sz w:val="16"/>
                <w:szCs w:val="16"/>
              </w:rPr>
            </w:pPr>
            <w:r>
              <w:rPr>
                <w:sz w:val="16"/>
                <w:szCs w:val="16"/>
              </w:rPr>
              <w:t>1A</w:t>
            </w:r>
          </w:p>
        </w:tc>
        <w:tc>
          <w:tcPr>
            <w:tcW w:w="1545" w:type="dxa"/>
            <w:shd w:val="clear" w:color="auto" w:fill="auto"/>
            <w:vAlign w:val="center"/>
          </w:tcPr>
          <w:p w:rsidR="000F47FA" w:rsidRPr="009766D2" w:rsidRDefault="000F47FA" w:rsidP="000F47FA">
            <w:pPr>
              <w:spacing w:before="120" w:after="60"/>
              <w:jc w:val="right"/>
              <w:rPr>
                <w:sz w:val="16"/>
                <w:szCs w:val="16"/>
              </w:rPr>
            </w:pPr>
            <w:r>
              <w:rPr>
                <w:sz w:val="16"/>
                <w:szCs w:val="16"/>
              </w:rPr>
              <w:t>1A</w:t>
            </w:r>
          </w:p>
        </w:tc>
      </w:tr>
    </w:tbl>
    <w:p w:rsidR="00D378DE" w:rsidRPr="00D378DE" w:rsidRDefault="00D378DE" w:rsidP="000F47FA">
      <w:pPr>
        <w:keepNext/>
        <w:tabs>
          <w:tab w:val="left" w:pos="1276"/>
        </w:tabs>
        <w:spacing w:before="120" w:after="120" w:line="240" w:lineRule="auto"/>
        <w:ind w:firstLine="709"/>
        <w:jc w:val="both"/>
        <w:rPr>
          <w:rFonts w:eastAsia="Times New Roman" w:cs="Times New Roman"/>
          <w:sz w:val="22"/>
          <w:lang w:eastAsia="cs-CZ"/>
        </w:rPr>
      </w:pPr>
      <w:r w:rsidRPr="00D378DE">
        <w:rPr>
          <w:rFonts w:eastAsia="Times New Roman" w:cs="Times New Roman"/>
          <w:sz w:val="22"/>
          <w:lang w:eastAsia="cs-CZ"/>
        </w:rPr>
        <w:lastRenderedPageBreak/>
        <w:t xml:space="preserve">Úrad vlády </w:t>
      </w:r>
      <w:r w:rsidR="002E4C7C" w:rsidRPr="002E4C7C">
        <w:rPr>
          <w:rFonts w:eastAsia="Times New Roman" w:cs="Times New Roman"/>
          <w:sz w:val="22"/>
          <w:lang w:eastAsia="cs-CZ"/>
        </w:rPr>
        <w:t xml:space="preserve">Slovenskej republiky </w:t>
      </w:r>
      <w:r w:rsidR="002E4C7C">
        <w:rPr>
          <w:rFonts w:eastAsia="Times New Roman" w:cs="Times New Roman"/>
          <w:sz w:val="22"/>
          <w:lang w:eastAsia="cs-CZ"/>
        </w:rPr>
        <w:t xml:space="preserve">(ďalej len „úrad vlády“) </w:t>
      </w:r>
      <w:r w:rsidRPr="00D378DE">
        <w:rPr>
          <w:rFonts w:eastAsia="Times New Roman" w:cs="Times New Roman"/>
          <w:sz w:val="22"/>
          <w:lang w:eastAsia="cs-CZ"/>
        </w:rPr>
        <w:t>vychádzal z vlastných poznatkov.</w:t>
      </w:r>
    </w:p>
    <w:p w:rsidR="00D378DE" w:rsidRPr="00D378DE" w:rsidRDefault="00D378DE" w:rsidP="000F47FA">
      <w:pPr>
        <w:keepNext/>
        <w:tabs>
          <w:tab w:val="left" w:pos="1276"/>
        </w:tabs>
        <w:spacing w:before="120" w:after="120" w:line="240" w:lineRule="auto"/>
        <w:ind w:firstLine="709"/>
        <w:jc w:val="both"/>
        <w:rPr>
          <w:rFonts w:cs="Times New Roman"/>
          <w:sz w:val="22"/>
        </w:rPr>
      </w:pPr>
      <w:r w:rsidRPr="00D378DE">
        <w:rPr>
          <w:rFonts w:eastAsia="Times New Roman" w:cs="Times New Roman"/>
          <w:sz w:val="22"/>
          <w:u w:val="single"/>
          <w:lang w:eastAsia="cs-CZ"/>
        </w:rPr>
        <w:t>2.2.</w:t>
      </w:r>
      <w:r w:rsidRPr="00D378DE">
        <w:rPr>
          <w:rFonts w:eastAsia="Times New Roman" w:cs="Times New Roman"/>
          <w:sz w:val="22"/>
          <w:u w:val="single"/>
          <w:lang w:eastAsia="cs-CZ"/>
        </w:rPr>
        <w:tab/>
        <w:t>Zhodnotenie kvality výkonu samosprávnych pôsobností</w:t>
      </w:r>
      <w:r w:rsidRPr="00D378DE">
        <w:rPr>
          <w:rFonts w:cs="Times New Roman"/>
          <w:sz w:val="22"/>
        </w:rPr>
        <w:t xml:space="preserve"> </w:t>
      </w:r>
    </w:p>
    <w:p w:rsidR="00D378DE" w:rsidRPr="00D378DE" w:rsidRDefault="00D378DE" w:rsidP="000F47FA">
      <w:pPr>
        <w:spacing w:before="120" w:after="0" w:line="240" w:lineRule="auto"/>
        <w:ind w:firstLine="709"/>
        <w:jc w:val="both"/>
        <w:rPr>
          <w:rFonts w:cs="Times New Roman"/>
          <w:sz w:val="22"/>
        </w:rPr>
      </w:pPr>
      <w:r w:rsidRPr="00D378DE">
        <w:rPr>
          <w:rFonts w:cs="Times New Roman"/>
          <w:sz w:val="22"/>
        </w:rPr>
        <w:t xml:space="preserve">Prešetrovanie a vybavovanie sťažností  smerujúcich do oblasti samosprávnej  činnosti  orgánov územnej samosprávy </w:t>
      </w:r>
      <w:r w:rsidR="009D2E81">
        <w:rPr>
          <w:rFonts w:cs="Times New Roman"/>
          <w:sz w:val="22"/>
        </w:rPr>
        <w:t>je</w:t>
      </w:r>
      <w:r w:rsidRPr="00D378DE">
        <w:rPr>
          <w:rFonts w:cs="Times New Roman"/>
          <w:sz w:val="22"/>
        </w:rPr>
        <w:t xml:space="preserve"> iba v pôsobnosti týchto orgánov územnej samosprávy. Úrad vlády nedisponuje žiadnymi štatistikami,  ani poznatkami o množstve a  kvalite  vybavovania sťažností, preto nie je možné vyhodnotiť kvalitu výkonu samosprávnej pôsobnosti na tomto úseku štátnej správy. </w:t>
      </w:r>
    </w:p>
    <w:p w:rsidR="00D378DE" w:rsidRPr="00D378DE" w:rsidRDefault="00D378DE" w:rsidP="000F47FA">
      <w:pPr>
        <w:keepNext/>
        <w:tabs>
          <w:tab w:val="left" w:pos="1276"/>
        </w:tabs>
        <w:spacing w:before="120" w:after="120"/>
        <w:ind w:firstLine="709"/>
        <w:jc w:val="both"/>
        <w:rPr>
          <w:rFonts w:cs="Times New Roman"/>
          <w:sz w:val="22"/>
          <w:u w:val="single"/>
        </w:rPr>
      </w:pPr>
      <w:r w:rsidRPr="00D378DE">
        <w:rPr>
          <w:rFonts w:cs="Times New Roman"/>
          <w:sz w:val="22"/>
          <w:u w:val="single"/>
        </w:rPr>
        <w:t>2.3.</w:t>
      </w:r>
      <w:r w:rsidRPr="00D378DE">
        <w:rPr>
          <w:rFonts w:cs="Times New Roman"/>
          <w:sz w:val="22"/>
          <w:u w:val="single"/>
        </w:rPr>
        <w:tab/>
        <w:t>Financovanie výkonu samosprávnych pôsobností</w:t>
      </w:r>
    </w:p>
    <w:p w:rsidR="005875DC" w:rsidRDefault="005875DC" w:rsidP="000F47FA">
      <w:pPr>
        <w:keepNext/>
        <w:tabs>
          <w:tab w:val="left" w:pos="1276"/>
        </w:tabs>
        <w:spacing w:before="120" w:after="120"/>
        <w:ind w:firstLine="709"/>
        <w:jc w:val="both"/>
        <w:rPr>
          <w:rFonts w:eastAsia="Calibri" w:cs="Times New Roman"/>
          <w:sz w:val="22"/>
        </w:rPr>
      </w:pPr>
      <w:r w:rsidRPr="005875DC">
        <w:rPr>
          <w:rFonts w:eastAsia="Calibri" w:cs="Times New Roman"/>
          <w:sz w:val="22"/>
        </w:rPr>
        <w:t>Úrad vlády nedisponuje žiadnymi relevantnými informáciami o skutočne vynaložených ročných výdavkoch orgánov územnej samosprávy pri vybavovaní sťažností v ich pôsobnosti a preto nebolo možné objektívne určiť objem finančných prostriedkov určených na činnosť obcí a samosprávnych krajov súvisiacich s vybavovaním sťažností.</w:t>
      </w:r>
    </w:p>
    <w:p w:rsidR="00D378DE" w:rsidRPr="00D378DE" w:rsidRDefault="00D378DE" w:rsidP="000F47FA">
      <w:pPr>
        <w:keepNext/>
        <w:tabs>
          <w:tab w:val="left" w:pos="1276"/>
        </w:tabs>
        <w:spacing w:before="120" w:after="120"/>
        <w:ind w:firstLine="709"/>
        <w:jc w:val="both"/>
        <w:rPr>
          <w:rFonts w:cs="Times New Roman"/>
          <w:sz w:val="22"/>
          <w:u w:val="single"/>
        </w:rPr>
      </w:pPr>
      <w:r w:rsidRPr="00D378DE">
        <w:rPr>
          <w:rFonts w:cs="Times New Roman"/>
          <w:sz w:val="22"/>
          <w:u w:val="single"/>
        </w:rPr>
        <w:t>2.4.</w:t>
      </w:r>
      <w:r w:rsidRPr="00D378DE">
        <w:rPr>
          <w:rFonts w:cs="Times New Roman"/>
          <w:sz w:val="22"/>
          <w:u w:val="single"/>
        </w:rPr>
        <w:tab/>
        <w:t>Návrhy opatrení</w:t>
      </w:r>
    </w:p>
    <w:p w:rsidR="00D378DE" w:rsidRPr="00D378DE" w:rsidRDefault="00D378DE" w:rsidP="000F47FA">
      <w:pPr>
        <w:spacing w:before="120" w:after="0" w:line="240" w:lineRule="auto"/>
        <w:ind w:firstLine="709"/>
        <w:jc w:val="both"/>
        <w:rPr>
          <w:rFonts w:cs="Times New Roman"/>
          <w:sz w:val="22"/>
        </w:rPr>
      </w:pPr>
      <w:r w:rsidRPr="00D378DE">
        <w:rPr>
          <w:rFonts w:cs="Times New Roman"/>
          <w:sz w:val="22"/>
        </w:rPr>
        <w:t>S požiadavkou na zmenu ustanovení zákona č. 9/2010 Z. z. o sťažnostiach z dôvodu nemožnosti plnenia z neho vyplývajúcich úloh (napr. v oblasti legislatívnej, inštitucionálnej, personálnej alebo finančnej)</w:t>
      </w:r>
      <w:r w:rsidR="008B4D51">
        <w:rPr>
          <w:rFonts w:cs="Times New Roman"/>
          <w:sz w:val="22"/>
        </w:rPr>
        <w:t xml:space="preserve"> sa</w:t>
      </w:r>
      <w:r w:rsidRPr="00D378DE">
        <w:rPr>
          <w:rFonts w:cs="Times New Roman"/>
          <w:sz w:val="22"/>
        </w:rPr>
        <w:t xml:space="preserve"> v hodnotenom období na úrad  vlády neobrátil žiadny z orgánov verejnej správy, preto neboli navrhnuté opatrenia s cieľom skvalitniť, zefektívniť a optimalizovať výkon samosprávnych pôsobností na úseku vybavovania sťažností obcami a samosprávnymi krajmi.</w:t>
      </w:r>
    </w:p>
    <w:p w:rsidR="00D378DE" w:rsidRPr="00D378DE" w:rsidRDefault="00D378DE" w:rsidP="000F47FA">
      <w:pPr>
        <w:keepNext/>
        <w:tabs>
          <w:tab w:val="left" w:pos="1276"/>
        </w:tabs>
        <w:spacing w:before="120" w:after="120"/>
        <w:ind w:firstLine="709"/>
        <w:jc w:val="both"/>
        <w:rPr>
          <w:rFonts w:cs="Times New Roman"/>
          <w:sz w:val="22"/>
          <w:u w:val="single"/>
        </w:rPr>
      </w:pPr>
      <w:r w:rsidRPr="00D378DE">
        <w:rPr>
          <w:rFonts w:cs="Times New Roman"/>
          <w:sz w:val="22"/>
          <w:u w:val="single"/>
        </w:rPr>
        <w:t>Kritické stanovisko</w:t>
      </w:r>
    </w:p>
    <w:p w:rsidR="00D378DE" w:rsidRPr="00D378DE" w:rsidRDefault="00D378DE" w:rsidP="000F47FA">
      <w:pPr>
        <w:spacing w:before="120" w:after="0" w:line="240" w:lineRule="auto"/>
        <w:ind w:firstLine="709"/>
        <w:jc w:val="both"/>
        <w:rPr>
          <w:rFonts w:eastAsia="Times New Roman" w:cs="Times New Roman"/>
          <w:sz w:val="22"/>
          <w:lang w:eastAsia="cs-CZ"/>
        </w:rPr>
      </w:pPr>
      <w:r w:rsidRPr="00D378DE">
        <w:rPr>
          <w:rFonts w:eastAsia="Times New Roman" w:cs="Times New Roman"/>
          <w:sz w:val="22"/>
          <w:lang w:eastAsia="cs-CZ"/>
        </w:rPr>
        <w:t>Správa pre nemožnosť získať podklady pre jej vyhotovenie hodnotí len právny stav podľa zákona č. 9/2010 Z. z. o sťažnostiach. Správa neobsahuje žiadne návrhy, neobsahuje žiadne poznatky z praxe.</w:t>
      </w:r>
    </w:p>
    <w:p w:rsidR="00D378DE" w:rsidRPr="00D378DE" w:rsidRDefault="00D378DE" w:rsidP="00F56357">
      <w:pPr>
        <w:keepNext/>
        <w:shd w:val="clear" w:color="auto" w:fill="F2F2F2" w:themeFill="background1" w:themeFillShade="F2"/>
        <w:spacing w:before="240" w:after="240" w:line="240" w:lineRule="auto"/>
        <w:jc w:val="both"/>
        <w:rPr>
          <w:rFonts w:cs="Times New Roman"/>
          <w:b/>
          <w:szCs w:val="24"/>
        </w:rPr>
      </w:pPr>
      <w:r w:rsidRPr="00D378DE">
        <w:rPr>
          <w:rFonts w:cs="Times New Roman"/>
          <w:b/>
          <w:szCs w:val="24"/>
        </w:rPr>
        <w:t>Úrad geodézie, kartografie a katastra Slovenskej republiky</w:t>
      </w:r>
    </w:p>
    <w:p w:rsidR="000F47FA" w:rsidRDefault="00753168" w:rsidP="000F47FA">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u w:val="single"/>
          <w:lang w:eastAsia="cs-CZ"/>
        </w:rPr>
      </w:pPr>
      <w:r>
        <w:rPr>
          <w:rFonts w:eastAsia="Times New Roman" w:cs="Times New Roman"/>
          <w:sz w:val="22"/>
          <w:u w:val="single"/>
          <w:lang w:eastAsia="cs-CZ"/>
        </w:rPr>
        <w:t>2</w:t>
      </w:r>
      <w:r w:rsidR="000F47FA" w:rsidRPr="00D861B9">
        <w:rPr>
          <w:rFonts w:eastAsia="Times New Roman" w:cs="Times New Roman"/>
          <w:sz w:val="22"/>
          <w:u w:val="single"/>
          <w:lang w:eastAsia="cs-CZ"/>
        </w:rPr>
        <w:t>.1.</w:t>
      </w:r>
      <w:r w:rsidR="000F47FA" w:rsidRPr="00D861B9">
        <w:rPr>
          <w:rFonts w:eastAsia="Times New Roman" w:cs="Times New Roman"/>
          <w:sz w:val="22"/>
          <w:u w:val="single"/>
          <w:lang w:eastAsia="cs-CZ"/>
        </w:rPr>
        <w:tab/>
        <w:t xml:space="preserve">Katalóg </w:t>
      </w:r>
      <w:r w:rsidR="000F47FA">
        <w:rPr>
          <w:rFonts w:eastAsia="Times New Roman" w:cs="Times New Roman"/>
          <w:sz w:val="22"/>
          <w:u w:val="single"/>
          <w:lang w:eastAsia="cs-CZ"/>
        </w:rPr>
        <w:t>samosprávnych</w:t>
      </w:r>
      <w:r w:rsidR="000F47FA" w:rsidRPr="00D861B9">
        <w:rPr>
          <w:rFonts w:eastAsia="Times New Roman" w:cs="Times New Roman"/>
          <w:sz w:val="22"/>
          <w:u w:val="single"/>
          <w:lang w:eastAsia="cs-CZ"/>
        </w:rPr>
        <w:t xml:space="preserve"> pôsobností</w:t>
      </w:r>
    </w:p>
    <w:p w:rsidR="000F47FA" w:rsidRPr="00D861B9" w:rsidRDefault="000F47FA" w:rsidP="000F47FA">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D861B9">
        <w:rPr>
          <w:rFonts w:eastAsia="Times New Roman" w:cs="Times New Roman"/>
          <w:sz w:val="22"/>
          <w:lang w:eastAsia="cs-CZ"/>
        </w:rPr>
        <w:t>Zoznam úsekov</w:t>
      </w:r>
      <w:r>
        <w:rPr>
          <w:rFonts w:eastAsia="Times New Roman" w:cs="Times New Roman"/>
          <w:sz w:val="22"/>
          <w:lang w:eastAsia="cs-CZ"/>
        </w:rPr>
        <w:t>,</w:t>
      </w:r>
      <w:r w:rsidRPr="00D861B9">
        <w:rPr>
          <w:rFonts w:eastAsia="Times New Roman" w:cs="Times New Roman"/>
          <w:sz w:val="22"/>
          <w:lang w:eastAsia="cs-CZ"/>
        </w:rPr>
        <w:t xml:space="preserve"> </w:t>
      </w:r>
      <w:r w:rsidRPr="00B67413">
        <w:rPr>
          <w:rFonts w:eastAsia="Times New Roman" w:cs="Times New Roman"/>
          <w:sz w:val="22"/>
          <w:lang w:eastAsia="cs-CZ"/>
        </w:rPr>
        <w:t>na ktorých obce a samosprávne kraje vykonávajú samosprávne pôsobnosti</w:t>
      </w:r>
      <w:r>
        <w:rPr>
          <w:rFonts w:eastAsia="Times New Roman" w:cs="Times New Roman"/>
          <w:sz w:val="22"/>
          <w:lang w:eastAsia="cs-CZ"/>
        </w:rPr>
        <w:t>,</w:t>
      </w:r>
      <w:r w:rsidRPr="00D861B9">
        <w:rPr>
          <w:rFonts w:eastAsia="Times New Roman" w:cs="Times New Roman"/>
          <w:sz w:val="22"/>
          <w:lang w:eastAsia="cs-CZ"/>
        </w:rPr>
        <w:t xml:space="preserve"> </w:t>
      </w:r>
      <w:r>
        <w:rPr>
          <w:rFonts w:eastAsia="Times New Roman" w:cs="Times New Roman"/>
          <w:sz w:val="22"/>
          <w:lang w:eastAsia="cs-CZ"/>
        </w:rPr>
        <w:t>a údaje o počte úloh:</w:t>
      </w:r>
    </w:p>
    <w:tbl>
      <w:tblPr>
        <w:tblStyle w:val="Mriekatabuky"/>
        <w:tblW w:w="0" w:type="auto"/>
        <w:jc w:val="center"/>
        <w:tblLook w:val="04A0" w:firstRow="1" w:lastRow="0" w:firstColumn="1" w:lastColumn="0" w:noHBand="0" w:noVBand="1"/>
      </w:tblPr>
      <w:tblGrid>
        <w:gridCol w:w="2061"/>
        <w:gridCol w:w="2430"/>
        <w:gridCol w:w="1221"/>
        <w:gridCol w:w="1545"/>
      </w:tblGrid>
      <w:tr w:rsidR="000F47FA" w:rsidRPr="00D861B9" w:rsidTr="000F47FA">
        <w:trPr>
          <w:jc w:val="center"/>
        </w:trPr>
        <w:tc>
          <w:tcPr>
            <w:tcW w:w="2061" w:type="dxa"/>
            <w:shd w:val="clear" w:color="auto" w:fill="auto"/>
          </w:tcPr>
          <w:p w:rsidR="000F47FA" w:rsidRPr="009766D2" w:rsidRDefault="000F47FA" w:rsidP="000F47FA">
            <w:pPr>
              <w:shd w:val="clear" w:color="auto" w:fill="F2F2F2" w:themeFill="background1" w:themeFillShade="F2"/>
              <w:spacing w:before="120" w:after="60"/>
              <w:jc w:val="left"/>
              <w:rPr>
                <w:b/>
                <w:sz w:val="16"/>
                <w:szCs w:val="16"/>
              </w:rPr>
            </w:pPr>
            <w:r w:rsidRPr="009766D2">
              <w:rPr>
                <w:b/>
                <w:sz w:val="16"/>
                <w:szCs w:val="16"/>
              </w:rPr>
              <w:t>obce</w:t>
            </w:r>
          </w:p>
        </w:tc>
        <w:tc>
          <w:tcPr>
            <w:tcW w:w="2430" w:type="dxa"/>
            <w:shd w:val="clear" w:color="auto" w:fill="auto"/>
          </w:tcPr>
          <w:p w:rsidR="000F47FA" w:rsidRPr="009766D2" w:rsidRDefault="000F47FA" w:rsidP="000F47FA">
            <w:pPr>
              <w:shd w:val="clear" w:color="auto" w:fill="F2F2F2" w:themeFill="background1" w:themeFillShade="F2"/>
              <w:spacing w:before="120" w:after="60"/>
              <w:rPr>
                <w:b/>
                <w:sz w:val="16"/>
                <w:szCs w:val="16"/>
              </w:rPr>
            </w:pPr>
            <w:r w:rsidRPr="009766D2">
              <w:rPr>
                <w:b/>
                <w:sz w:val="16"/>
                <w:szCs w:val="16"/>
              </w:rPr>
              <w:t>samosprávne kraje</w:t>
            </w:r>
          </w:p>
        </w:tc>
        <w:tc>
          <w:tcPr>
            <w:tcW w:w="1221" w:type="dxa"/>
            <w:shd w:val="clear" w:color="auto" w:fill="auto"/>
          </w:tcPr>
          <w:p w:rsidR="000F47FA" w:rsidRPr="009766D2" w:rsidRDefault="000F47FA" w:rsidP="000F47FA">
            <w:pPr>
              <w:shd w:val="clear" w:color="auto" w:fill="F2F2F2" w:themeFill="background1" w:themeFillShade="F2"/>
              <w:spacing w:before="120" w:after="60"/>
              <w:rPr>
                <w:b/>
                <w:sz w:val="16"/>
                <w:szCs w:val="16"/>
              </w:rPr>
            </w:pPr>
            <w:r w:rsidRPr="009766D2">
              <w:rPr>
                <w:b/>
                <w:sz w:val="16"/>
                <w:szCs w:val="16"/>
              </w:rPr>
              <w:t>obce</w:t>
            </w:r>
          </w:p>
        </w:tc>
        <w:tc>
          <w:tcPr>
            <w:tcW w:w="1545" w:type="dxa"/>
            <w:shd w:val="clear" w:color="auto" w:fill="auto"/>
          </w:tcPr>
          <w:p w:rsidR="000F47FA" w:rsidRPr="009766D2" w:rsidRDefault="000F47FA" w:rsidP="000F47FA">
            <w:pPr>
              <w:shd w:val="clear" w:color="auto" w:fill="F2F2F2" w:themeFill="background1" w:themeFillShade="F2"/>
              <w:spacing w:before="120" w:after="60"/>
              <w:rPr>
                <w:b/>
                <w:sz w:val="16"/>
                <w:szCs w:val="16"/>
              </w:rPr>
            </w:pPr>
            <w:r w:rsidRPr="009766D2">
              <w:rPr>
                <w:b/>
                <w:sz w:val="16"/>
                <w:szCs w:val="16"/>
              </w:rPr>
              <w:t>samosprávne kraje</w:t>
            </w:r>
          </w:p>
        </w:tc>
      </w:tr>
      <w:tr w:rsidR="000F47FA" w:rsidRPr="00D861B9" w:rsidTr="000F47FA">
        <w:trPr>
          <w:jc w:val="center"/>
        </w:trPr>
        <w:tc>
          <w:tcPr>
            <w:tcW w:w="2061" w:type="dxa"/>
            <w:shd w:val="clear" w:color="auto" w:fill="auto"/>
          </w:tcPr>
          <w:p w:rsidR="000F47FA" w:rsidRPr="009766D2" w:rsidRDefault="008B4D51" w:rsidP="00EA3FFE">
            <w:pPr>
              <w:shd w:val="clear" w:color="auto" w:fill="F2F2F2" w:themeFill="background1" w:themeFillShade="F2"/>
              <w:spacing w:before="120" w:after="60"/>
              <w:jc w:val="left"/>
              <w:rPr>
                <w:sz w:val="16"/>
                <w:szCs w:val="16"/>
              </w:rPr>
            </w:pPr>
            <w:r>
              <w:rPr>
                <w:sz w:val="16"/>
                <w:szCs w:val="16"/>
              </w:rPr>
              <w:t>úsek geodézie, kartografie a katastra</w:t>
            </w:r>
          </w:p>
        </w:tc>
        <w:tc>
          <w:tcPr>
            <w:tcW w:w="2430" w:type="dxa"/>
            <w:shd w:val="clear" w:color="auto" w:fill="auto"/>
          </w:tcPr>
          <w:p w:rsidR="000F47FA" w:rsidRPr="009766D2" w:rsidRDefault="000F47FA" w:rsidP="00EA3FFE">
            <w:pPr>
              <w:shd w:val="clear" w:color="auto" w:fill="F2F2F2" w:themeFill="background1" w:themeFillShade="F2"/>
              <w:spacing w:before="120" w:after="60"/>
              <w:jc w:val="left"/>
              <w:rPr>
                <w:sz w:val="16"/>
                <w:szCs w:val="16"/>
              </w:rPr>
            </w:pPr>
            <w:r>
              <w:rPr>
                <w:sz w:val="16"/>
                <w:szCs w:val="16"/>
              </w:rPr>
              <w:t>geodézia, kartografia a kataster</w:t>
            </w:r>
          </w:p>
        </w:tc>
        <w:tc>
          <w:tcPr>
            <w:tcW w:w="1221" w:type="dxa"/>
            <w:shd w:val="clear" w:color="auto" w:fill="auto"/>
            <w:vAlign w:val="center"/>
          </w:tcPr>
          <w:p w:rsidR="000F47FA" w:rsidRPr="009766D2" w:rsidRDefault="000F47FA" w:rsidP="00EA3FFE">
            <w:pPr>
              <w:shd w:val="clear" w:color="auto" w:fill="F2F2F2" w:themeFill="background1" w:themeFillShade="F2"/>
              <w:spacing w:before="120" w:after="60"/>
              <w:jc w:val="right"/>
              <w:rPr>
                <w:sz w:val="16"/>
                <w:szCs w:val="16"/>
              </w:rPr>
            </w:pPr>
            <w:r>
              <w:rPr>
                <w:sz w:val="16"/>
                <w:szCs w:val="16"/>
              </w:rPr>
              <w:t>4 A</w:t>
            </w:r>
          </w:p>
        </w:tc>
        <w:tc>
          <w:tcPr>
            <w:tcW w:w="1545" w:type="dxa"/>
            <w:shd w:val="clear" w:color="auto" w:fill="auto"/>
            <w:vAlign w:val="center"/>
          </w:tcPr>
          <w:p w:rsidR="000F47FA" w:rsidRPr="009766D2" w:rsidRDefault="000F47FA" w:rsidP="00EA3FFE">
            <w:pPr>
              <w:shd w:val="clear" w:color="auto" w:fill="F2F2F2" w:themeFill="background1" w:themeFillShade="F2"/>
              <w:spacing w:before="120" w:after="60"/>
              <w:jc w:val="right"/>
              <w:rPr>
                <w:sz w:val="16"/>
                <w:szCs w:val="16"/>
              </w:rPr>
            </w:pPr>
            <w:r>
              <w:rPr>
                <w:sz w:val="16"/>
                <w:szCs w:val="16"/>
              </w:rPr>
              <w:t>1 A</w:t>
            </w:r>
          </w:p>
        </w:tc>
      </w:tr>
    </w:tbl>
    <w:p w:rsidR="000F47FA" w:rsidRDefault="000F47FA" w:rsidP="00EA3FFE">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p>
    <w:p w:rsidR="00D378DE" w:rsidRPr="00D378DE" w:rsidRDefault="00D378DE" w:rsidP="00F56357">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D378DE">
        <w:rPr>
          <w:rFonts w:eastAsia="Times New Roman" w:cs="Times New Roman"/>
          <w:sz w:val="22"/>
          <w:lang w:eastAsia="cs-CZ"/>
        </w:rPr>
        <w:t>Úrad geodézie, kartografie a</w:t>
      </w:r>
      <w:r w:rsidR="002E4C7C">
        <w:rPr>
          <w:rFonts w:eastAsia="Times New Roman" w:cs="Times New Roman"/>
          <w:sz w:val="22"/>
          <w:lang w:eastAsia="cs-CZ"/>
        </w:rPr>
        <w:t> </w:t>
      </w:r>
      <w:r w:rsidRPr="00D378DE">
        <w:rPr>
          <w:rFonts w:eastAsia="Times New Roman" w:cs="Times New Roman"/>
          <w:sz w:val="22"/>
          <w:lang w:eastAsia="cs-CZ"/>
        </w:rPr>
        <w:t>katastra</w:t>
      </w:r>
      <w:r w:rsidR="002E4C7C">
        <w:rPr>
          <w:rFonts w:eastAsia="Times New Roman" w:cs="Times New Roman"/>
          <w:sz w:val="22"/>
          <w:lang w:eastAsia="cs-CZ"/>
        </w:rPr>
        <w:t xml:space="preserve"> </w:t>
      </w:r>
      <w:r w:rsidR="002E4C7C" w:rsidRPr="002E4C7C">
        <w:rPr>
          <w:rFonts w:eastAsia="Times New Roman" w:cs="Times New Roman"/>
          <w:sz w:val="22"/>
          <w:lang w:eastAsia="cs-CZ"/>
        </w:rPr>
        <w:t>Slovenskej republiky</w:t>
      </w:r>
      <w:r w:rsidR="002E4C7C">
        <w:rPr>
          <w:rFonts w:eastAsia="Times New Roman" w:cs="Times New Roman"/>
          <w:sz w:val="22"/>
          <w:lang w:eastAsia="cs-CZ"/>
        </w:rPr>
        <w:t xml:space="preserve"> (ďalej len „úrad </w:t>
      </w:r>
      <w:r w:rsidR="002E4C7C" w:rsidRPr="00D378DE">
        <w:rPr>
          <w:rFonts w:cs="Times New Roman"/>
          <w:sz w:val="22"/>
        </w:rPr>
        <w:t>geodézie, kartografie a</w:t>
      </w:r>
      <w:r w:rsidR="002E4C7C">
        <w:rPr>
          <w:rFonts w:cs="Times New Roman"/>
          <w:sz w:val="22"/>
        </w:rPr>
        <w:t> </w:t>
      </w:r>
      <w:r w:rsidR="002E4C7C" w:rsidRPr="00D378DE">
        <w:rPr>
          <w:rFonts w:cs="Times New Roman"/>
          <w:sz w:val="22"/>
        </w:rPr>
        <w:t>katastra</w:t>
      </w:r>
      <w:r w:rsidR="002E4C7C">
        <w:rPr>
          <w:rFonts w:cs="Times New Roman"/>
          <w:sz w:val="22"/>
        </w:rPr>
        <w:t>“)</w:t>
      </w:r>
      <w:r w:rsidRPr="00D378DE">
        <w:rPr>
          <w:rFonts w:eastAsia="Times New Roman" w:cs="Times New Roman"/>
          <w:sz w:val="22"/>
          <w:lang w:eastAsia="cs-CZ"/>
        </w:rPr>
        <w:t xml:space="preserve"> vychádzal z vlastných poznatkov.</w:t>
      </w:r>
    </w:p>
    <w:p w:rsidR="00D378DE" w:rsidRPr="00D378DE" w:rsidRDefault="00753168" w:rsidP="00F56357">
      <w:pPr>
        <w:keepNext/>
        <w:shd w:val="clear" w:color="auto" w:fill="F2F2F2" w:themeFill="background1" w:themeFillShade="F2"/>
        <w:tabs>
          <w:tab w:val="left" w:pos="1276"/>
        </w:tabs>
        <w:spacing w:before="120" w:after="120" w:line="240" w:lineRule="auto"/>
        <w:ind w:firstLine="709"/>
        <w:jc w:val="both"/>
        <w:rPr>
          <w:rFonts w:cs="Times New Roman"/>
          <w:sz w:val="22"/>
        </w:rPr>
      </w:pPr>
      <w:r>
        <w:rPr>
          <w:rFonts w:eastAsia="Times New Roman" w:cs="Times New Roman"/>
          <w:sz w:val="22"/>
          <w:u w:val="single"/>
          <w:lang w:eastAsia="cs-CZ"/>
        </w:rPr>
        <w:t>2</w:t>
      </w:r>
      <w:r w:rsidR="00D378DE" w:rsidRPr="00D378DE">
        <w:rPr>
          <w:rFonts w:eastAsia="Times New Roman" w:cs="Times New Roman"/>
          <w:sz w:val="22"/>
          <w:u w:val="single"/>
          <w:lang w:eastAsia="cs-CZ"/>
        </w:rPr>
        <w:t>.2.</w:t>
      </w:r>
      <w:r w:rsidR="00D378DE" w:rsidRPr="00D378DE">
        <w:rPr>
          <w:rFonts w:eastAsia="Times New Roman" w:cs="Times New Roman"/>
          <w:sz w:val="22"/>
          <w:u w:val="single"/>
          <w:lang w:eastAsia="cs-CZ"/>
        </w:rPr>
        <w:tab/>
        <w:t>Zhodnotenie kvality výkonu samosprávnych pôsobností</w:t>
      </w:r>
      <w:r w:rsidR="00D378DE" w:rsidRPr="00D378DE">
        <w:rPr>
          <w:rFonts w:cs="Times New Roman"/>
          <w:sz w:val="22"/>
        </w:rPr>
        <w:t xml:space="preserve"> </w:t>
      </w:r>
    </w:p>
    <w:p w:rsidR="00D378DE" w:rsidRPr="00D378DE" w:rsidRDefault="00D378DE" w:rsidP="00F56357">
      <w:pPr>
        <w:shd w:val="clear" w:color="auto" w:fill="F2F2F2" w:themeFill="background1" w:themeFillShade="F2"/>
        <w:spacing w:before="120" w:after="0" w:line="240" w:lineRule="auto"/>
        <w:ind w:firstLine="709"/>
        <w:jc w:val="both"/>
        <w:rPr>
          <w:rFonts w:cs="Times New Roman"/>
          <w:sz w:val="22"/>
        </w:rPr>
      </w:pPr>
      <w:r w:rsidRPr="00D378DE">
        <w:rPr>
          <w:rFonts w:cs="Times New Roman"/>
          <w:sz w:val="22"/>
        </w:rPr>
        <w:t>Pre zhodnotenie kvality výkonu samosprávnych úloh nejestvujú žiadne výstupy štátnej a</w:t>
      </w:r>
      <w:r w:rsidR="0044155E">
        <w:rPr>
          <w:rFonts w:cs="Times New Roman"/>
          <w:sz w:val="22"/>
        </w:rPr>
        <w:t> </w:t>
      </w:r>
      <w:r w:rsidRPr="00D378DE">
        <w:rPr>
          <w:rFonts w:cs="Times New Roman"/>
          <w:sz w:val="22"/>
        </w:rPr>
        <w:t>rezortnej štatistiky. Úrad geodézie, kartografie a katastra nemá poznatky a skúsenosti o problémoch výkonu samosprávnych pôsobností. Z uvedeného dôvodu úrad geodézie, kartografie a katastra nehodnotil kvalitu výkonu samosprávnych pôsobností.</w:t>
      </w:r>
    </w:p>
    <w:p w:rsidR="00D378DE" w:rsidRPr="00D378DE" w:rsidRDefault="00D378DE" w:rsidP="00F56357">
      <w:pPr>
        <w:keepNext/>
        <w:shd w:val="clear" w:color="auto" w:fill="F2F2F2" w:themeFill="background1" w:themeFillShade="F2"/>
        <w:tabs>
          <w:tab w:val="left" w:pos="1276"/>
        </w:tabs>
        <w:spacing w:before="120" w:after="120"/>
        <w:ind w:firstLine="709"/>
        <w:jc w:val="both"/>
        <w:rPr>
          <w:rFonts w:cs="Times New Roman"/>
          <w:sz w:val="22"/>
          <w:u w:val="single"/>
        </w:rPr>
      </w:pPr>
      <w:r w:rsidRPr="00D378DE">
        <w:rPr>
          <w:rFonts w:cs="Times New Roman"/>
          <w:sz w:val="22"/>
          <w:u w:val="single"/>
        </w:rPr>
        <w:t>2.3.</w:t>
      </w:r>
      <w:r w:rsidRPr="00D378DE">
        <w:rPr>
          <w:rFonts w:cs="Times New Roman"/>
          <w:sz w:val="22"/>
          <w:u w:val="single"/>
        </w:rPr>
        <w:tab/>
        <w:t>Financovanie výkonu samosprávnych pôsobností</w:t>
      </w:r>
    </w:p>
    <w:p w:rsidR="005875DC" w:rsidRDefault="005875DC" w:rsidP="00F56357">
      <w:pPr>
        <w:keepNext/>
        <w:shd w:val="clear" w:color="auto" w:fill="F2F2F2" w:themeFill="background1" w:themeFillShade="F2"/>
        <w:tabs>
          <w:tab w:val="left" w:pos="1276"/>
        </w:tabs>
        <w:spacing w:before="120" w:after="120"/>
        <w:ind w:firstLine="709"/>
        <w:jc w:val="both"/>
        <w:rPr>
          <w:rFonts w:cs="Times New Roman"/>
          <w:sz w:val="22"/>
        </w:rPr>
      </w:pPr>
      <w:r w:rsidRPr="005875DC">
        <w:rPr>
          <w:rFonts w:cs="Times New Roman"/>
          <w:sz w:val="22"/>
        </w:rPr>
        <w:t>Úrad geodézie, kartografie a katastra neposkytol o skutočne vynaložených výdavkov obcí a</w:t>
      </w:r>
      <w:r w:rsidR="0044155E">
        <w:rPr>
          <w:rFonts w:cs="Times New Roman"/>
          <w:sz w:val="22"/>
        </w:rPr>
        <w:t> </w:t>
      </w:r>
      <w:r w:rsidRPr="005875DC">
        <w:rPr>
          <w:rFonts w:cs="Times New Roman"/>
          <w:sz w:val="22"/>
        </w:rPr>
        <w:t>samosprávnych krajov v súvislosti s  plnením úloh na úseku geodézie, kartografia a katastra žiadne relevantné finančné údaje.</w:t>
      </w:r>
    </w:p>
    <w:p w:rsidR="00D378DE" w:rsidRPr="00D378DE" w:rsidRDefault="00D378DE" w:rsidP="00F56357">
      <w:pPr>
        <w:keepNext/>
        <w:shd w:val="clear" w:color="auto" w:fill="F2F2F2" w:themeFill="background1" w:themeFillShade="F2"/>
        <w:tabs>
          <w:tab w:val="left" w:pos="1276"/>
        </w:tabs>
        <w:spacing w:before="120" w:after="120"/>
        <w:ind w:firstLine="709"/>
        <w:jc w:val="both"/>
        <w:rPr>
          <w:rFonts w:cs="Times New Roman"/>
          <w:sz w:val="22"/>
          <w:u w:val="single"/>
        </w:rPr>
      </w:pPr>
      <w:r w:rsidRPr="00D378DE">
        <w:rPr>
          <w:rFonts w:cs="Times New Roman"/>
          <w:sz w:val="22"/>
          <w:u w:val="single"/>
        </w:rPr>
        <w:t>2.4.</w:t>
      </w:r>
      <w:r w:rsidRPr="00D378DE">
        <w:rPr>
          <w:rFonts w:cs="Times New Roman"/>
          <w:sz w:val="22"/>
          <w:u w:val="single"/>
        </w:rPr>
        <w:tab/>
        <w:t>Návrhy opatrení</w:t>
      </w:r>
    </w:p>
    <w:p w:rsidR="00D378DE" w:rsidRPr="00D378DE" w:rsidRDefault="00D378DE" w:rsidP="00F56357">
      <w:pPr>
        <w:shd w:val="clear" w:color="auto" w:fill="F2F2F2" w:themeFill="background1" w:themeFillShade="F2"/>
        <w:tabs>
          <w:tab w:val="left" w:pos="1849"/>
        </w:tabs>
        <w:spacing w:before="120" w:after="120"/>
        <w:ind w:firstLine="709"/>
        <w:jc w:val="both"/>
        <w:rPr>
          <w:rFonts w:cs="Times New Roman"/>
          <w:sz w:val="22"/>
        </w:rPr>
      </w:pPr>
      <w:r w:rsidRPr="00D378DE">
        <w:rPr>
          <w:rFonts w:cs="Times New Roman"/>
          <w:sz w:val="22"/>
        </w:rPr>
        <w:t>Úrad geodézie, kartografie a katastra neuviedol žiadne návrhy opatrení.</w:t>
      </w:r>
    </w:p>
    <w:p w:rsidR="00D378DE" w:rsidRPr="00D378DE" w:rsidRDefault="00D378DE" w:rsidP="00F56357">
      <w:pPr>
        <w:keepNext/>
        <w:shd w:val="clear" w:color="auto" w:fill="F2F2F2" w:themeFill="background1" w:themeFillShade="F2"/>
        <w:tabs>
          <w:tab w:val="left" w:pos="1276"/>
        </w:tabs>
        <w:spacing w:before="120" w:after="120"/>
        <w:ind w:firstLine="709"/>
        <w:jc w:val="both"/>
        <w:rPr>
          <w:rFonts w:cs="Times New Roman"/>
          <w:sz w:val="22"/>
          <w:u w:val="single"/>
        </w:rPr>
      </w:pPr>
      <w:r w:rsidRPr="00D378DE">
        <w:rPr>
          <w:rFonts w:cs="Times New Roman"/>
          <w:sz w:val="22"/>
          <w:u w:val="single"/>
        </w:rPr>
        <w:lastRenderedPageBreak/>
        <w:t>Kritické stanovisko</w:t>
      </w:r>
    </w:p>
    <w:p w:rsidR="00D378DE" w:rsidRPr="00D378DE" w:rsidRDefault="00D378DE" w:rsidP="00E437C3">
      <w:pPr>
        <w:shd w:val="clear" w:color="auto" w:fill="F2F2F2" w:themeFill="background1" w:themeFillShade="F2"/>
        <w:ind w:firstLine="708"/>
        <w:rPr>
          <w:sz w:val="22"/>
        </w:rPr>
      </w:pPr>
      <w:r w:rsidRPr="00D378DE">
        <w:rPr>
          <w:rFonts w:eastAsia="Times New Roman" w:cs="Times New Roman"/>
          <w:sz w:val="22"/>
          <w:lang w:eastAsia="cs-CZ"/>
        </w:rPr>
        <w:t xml:space="preserve">V správe úradu geodézie, kartografie a katastra chýba zhodnotenie kvality a tiež zhodnotenie financovania. Úrad geodézie, kartografie a katastra vo svojej správe vlastne vychádzal len z </w:t>
      </w:r>
      <w:r w:rsidR="00E437C3">
        <w:rPr>
          <w:rFonts w:eastAsia="Times New Roman" w:cs="Times New Roman"/>
          <w:sz w:val="22"/>
          <w:lang w:eastAsia="cs-CZ"/>
        </w:rPr>
        <w:t>n</w:t>
      </w:r>
      <w:r w:rsidRPr="00D378DE">
        <w:rPr>
          <w:rFonts w:eastAsia="Times New Roman" w:cs="Times New Roman"/>
          <w:sz w:val="22"/>
          <w:lang w:eastAsia="cs-CZ"/>
        </w:rPr>
        <w:t>iekoľkých ustanovení zákona a nenavrhol žiadne návrhy opatrení.</w:t>
      </w:r>
    </w:p>
    <w:sectPr w:rsidR="00D378DE" w:rsidRPr="00D378DE" w:rsidSect="0009522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D2B" w:rsidRDefault="00FE6D2B" w:rsidP="00D378DE">
      <w:pPr>
        <w:spacing w:after="0" w:line="240" w:lineRule="auto"/>
      </w:pPr>
      <w:r>
        <w:separator/>
      </w:r>
    </w:p>
  </w:endnote>
  <w:endnote w:type="continuationSeparator" w:id="0">
    <w:p w:rsidR="00FE6D2B" w:rsidRDefault="00FE6D2B" w:rsidP="00D37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760590"/>
      <w:docPartObj>
        <w:docPartGallery w:val="Page Numbers (Bottom of Page)"/>
        <w:docPartUnique/>
      </w:docPartObj>
    </w:sdtPr>
    <w:sdtEndPr>
      <w:rPr>
        <w:sz w:val="22"/>
      </w:rPr>
    </w:sdtEndPr>
    <w:sdtContent>
      <w:p w:rsidR="00FE6D2B" w:rsidRPr="00D378DE" w:rsidRDefault="00FE6D2B">
        <w:pPr>
          <w:pStyle w:val="Pta"/>
          <w:jc w:val="right"/>
          <w:rPr>
            <w:sz w:val="22"/>
          </w:rPr>
        </w:pPr>
        <w:r w:rsidRPr="00D378DE">
          <w:rPr>
            <w:sz w:val="22"/>
          </w:rPr>
          <w:fldChar w:fldCharType="begin"/>
        </w:r>
        <w:r w:rsidRPr="00D378DE">
          <w:rPr>
            <w:sz w:val="22"/>
          </w:rPr>
          <w:instrText>PAGE   \* MERGEFORMAT</w:instrText>
        </w:r>
        <w:r w:rsidRPr="00D378DE">
          <w:rPr>
            <w:sz w:val="22"/>
          </w:rPr>
          <w:fldChar w:fldCharType="separate"/>
        </w:r>
        <w:r w:rsidR="00F978F1">
          <w:rPr>
            <w:noProof/>
            <w:sz w:val="22"/>
          </w:rPr>
          <w:t>12</w:t>
        </w:r>
        <w:r w:rsidRPr="00D378DE">
          <w:rPr>
            <w:sz w:val="22"/>
          </w:rPr>
          <w:fldChar w:fldCharType="end"/>
        </w:r>
      </w:p>
    </w:sdtContent>
  </w:sdt>
  <w:p w:rsidR="00FE6D2B" w:rsidRDefault="00FE6D2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D2B" w:rsidRDefault="00FE6D2B" w:rsidP="00D378DE">
      <w:pPr>
        <w:spacing w:after="0" w:line="240" w:lineRule="auto"/>
      </w:pPr>
      <w:r>
        <w:separator/>
      </w:r>
    </w:p>
  </w:footnote>
  <w:footnote w:type="continuationSeparator" w:id="0">
    <w:p w:rsidR="00FE6D2B" w:rsidRDefault="00FE6D2B" w:rsidP="00D378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D2B" w:rsidRPr="00D378DE" w:rsidRDefault="00FE6D2B" w:rsidP="00D378DE">
    <w:pPr>
      <w:pStyle w:val="Hlavika"/>
      <w:jc w:val="right"/>
      <w:rPr>
        <w:sz w:val="22"/>
      </w:rPr>
    </w:pPr>
    <w:r w:rsidRPr="00D378DE">
      <w:rPr>
        <w:sz w:val="22"/>
      </w:rPr>
      <w:t xml:space="preserve">Príloha </w:t>
    </w:r>
    <w:r>
      <w:rPr>
        <w:sz w:val="22"/>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7BB1"/>
    <w:multiLevelType w:val="hybridMultilevel"/>
    <w:tmpl w:val="0BC4C5E4"/>
    <w:lvl w:ilvl="0" w:tplc="39668C5E">
      <w:numFmt w:val="bullet"/>
      <w:lvlText w:val="-"/>
      <w:lvlJc w:val="left"/>
      <w:pPr>
        <w:ind w:left="1429"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F5C3D56"/>
    <w:multiLevelType w:val="hybridMultilevel"/>
    <w:tmpl w:val="98E63F70"/>
    <w:lvl w:ilvl="0" w:tplc="14CE6A52">
      <w:numFmt w:val="bullet"/>
      <w:lvlText w:val="-"/>
      <w:lvlJc w:val="left"/>
      <w:pPr>
        <w:ind w:left="1429" w:hanging="360"/>
      </w:pPr>
      <w:rPr>
        <w:rFonts w:ascii="Times New Roman" w:eastAsia="Times New Roman" w:hAnsi="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
    <w:nsid w:val="375915A7"/>
    <w:multiLevelType w:val="hybridMultilevel"/>
    <w:tmpl w:val="CC64B800"/>
    <w:lvl w:ilvl="0" w:tplc="EE085D6C">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CD413E5"/>
    <w:multiLevelType w:val="hybridMultilevel"/>
    <w:tmpl w:val="95B6E372"/>
    <w:lvl w:ilvl="0" w:tplc="39668C5E">
      <w:numFmt w:val="bullet"/>
      <w:lvlText w:val="-"/>
      <w:lvlJc w:val="left"/>
      <w:pPr>
        <w:ind w:left="1485" w:hanging="360"/>
      </w:pPr>
      <w:rPr>
        <w:rFonts w:ascii="Times New Roman" w:eastAsiaTheme="minorHAnsi" w:hAnsi="Times New Roman" w:cs="Times New Roman"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4">
    <w:nsid w:val="59DF0169"/>
    <w:multiLevelType w:val="hybridMultilevel"/>
    <w:tmpl w:val="1876DD36"/>
    <w:lvl w:ilvl="0" w:tplc="5FB637F2">
      <w:start w:val="1"/>
      <w:numFmt w:val="lowerLetter"/>
      <w:lvlText w:val="%1)"/>
      <w:lvlJc w:val="left"/>
      <w:pPr>
        <w:ind w:left="720" w:hanging="360"/>
      </w:pPr>
      <w:rPr>
        <w:rFonts w:hint="default"/>
        <w:sz w:val="20"/>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65966835"/>
    <w:multiLevelType w:val="hybridMultilevel"/>
    <w:tmpl w:val="14D22FD6"/>
    <w:lvl w:ilvl="0" w:tplc="39668C5E">
      <w:numFmt w:val="bullet"/>
      <w:lvlText w:val="-"/>
      <w:lvlJc w:val="left"/>
      <w:pPr>
        <w:ind w:left="1429"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675E5778"/>
    <w:multiLevelType w:val="hybridMultilevel"/>
    <w:tmpl w:val="B5F60C2C"/>
    <w:lvl w:ilvl="0" w:tplc="39668C5E">
      <w:numFmt w:val="bullet"/>
      <w:lvlText w:val="-"/>
      <w:lvlJc w:val="left"/>
      <w:pPr>
        <w:ind w:left="1429"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9035C5D"/>
    <w:multiLevelType w:val="hybridMultilevel"/>
    <w:tmpl w:val="E8688886"/>
    <w:lvl w:ilvl="0" w:tplc="6E8EB068">
      <w:start w:val="1"/>
      <w:numFmt w:val="lowerLetter"/>
      <w:lvlText w:val="%1)"/>
      <w:lvlJc w:val="left"/>
      <w:pPr>
        <w:ind w:left="720" w:hanging="360"/>
      </w:pPr>
      <w:rPr>
        <w:rFonts w:hint="default"/>
        <w:sz w:val="20"/>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6B5F5D28"/>
    <w:multiLevelType w:val="hybridMultilevel"/>
    <w:tmpl w:val="43F46E70"/>
    <w:lvl w:ilvl="0" w:tplc="39668C5E">
      <w:numFmt w:val="bullet"/>
      <w:lvlText w:val="-"/>
      <w:lvlJc w:val="left"/>
      <w:pPr>
        <w:ind w:left="1429"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6C997D7A"/>
    <w:multiLevelType w:val="hybridMultilevel"/>
    <w:tmpl w:val="ECC03790"/>
    <w:lvl w:ilvl="0" w:tplc="14CE6A52">
      <w:numFmt w:val="bullet"/>
      <w:lvlText w:val="-"/>
      <w:lvlJc w:val="left"/>
      <w:pPr>
        <w:ind w:left="1429" w:hanging="360"/>
      </w:pPr>
      <w:rPr>
        <w:rFonts w:ascii="Times New Roman" w:eastAsia="Times New Roman" w:hAnsi="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nsid w:val="7BA40D40"/>
    <w:multiLevelType w:val="hybridMultilevel"/>
    <w:tmpl w:val="29F4DC02"/>
    <w:lvl w:ilvl="0" w:tplc="39668C5E">
      <w:numFmt w:val="bullet"/>
      <w:lvlText w:val="-"/>
      <w:lvlJc w:val="left"/>
      <w:pPr>
        <w:ind w:left="1429" w:hanging="360"/>
      </w:pPr>
      <w:rPr>
        <w:rFonts w:ascii="Times New Roman" w:eastAsiaTheme="minorHAnsi"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10"/>
  </w:num>
  <w:num w:numId="5">
    <w:abstractNumId w:val="7"/>
  </w:num>
  <w:num w:numId="6">
    <w:abstractNumId w:val="0"/>
  </w:num>
  <w:num w:numId="7">
    <w:abstractNumId w:val="5"/>
  </w:num>
  <w:num w:numId="8">
    <w:abstractNumId w:val="4"/>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8DE"/>
    <w:rsid w:val="00041868"/>
    <w:rsid w:val="00077598"/>
    <w:rsid w:val="00084EAD"/>
    <w:rsid w:val="00095229"/>
    <w:rsid w:val="000F47FA"/>
    <w:rsid w:val="001251BD"/>
    <w:rsid w:val="001649EB"/>
    <w:rsid w:val="002C6981"/>
    <w:rsid w:val="002E4C7C"/>
    <w:rsid w:val="00366CDA"/>
    <w:rsid w:val="003A744F"/>
    <w:rsid w:val="00411205"/>
    <w:rsid w:val="0044155E"/>
    <w:rsid w:val="004905B4"/>
    <w:rsid w:val="0050664C"/>
    <w:rsid w:val="0051084D"/>
    <w:rsid w:val="00552583"/>
    <w:rsid w:val="005875DC"/>
    <w:rsid w:val="006806A5"/>
    <w:rsid w:val="0069285B"/>
    <w:rsid w:val="00740B7A"/>
    <w:rsid w:val="00747F11"/>
    <w:rsid w:val="00753168"/>
    <w:rsid w:val="007E79D6"/>
    <w:rsid w:val="007F42FC"/>
    <w:rsid w:val="0080606E"/>
    <w:rsid w:val="008B2167"/>
    <w:rsid w:val="008B4D51"/>
    <w:rsid w:val="008B65B4"/>
    <w:rsid w:val="009D2E81"/>
    <w:rsid w:val="009E6DBF"/>
    <w:rsid w:val="00A01674"/>
    <w:rsid w:val="00A24ACD"/>
    <w:rsid w:val="00B304AC"/>
    <w:rsid w:val="00B67413"/>
    <w:rsid w:val="00BE62EA"/>
    <w:rsid w:val="00BF425A"/>
    <w:rsid w:val="00D378DE"/>
    <w:rsid w:val="00D671FE"/>
    <w:rsid w:val="00D912F5"/>
    <w:rsid w:val="00E437C3"/>
    <w:rsid w:val="00E53A9B"/>
    <w:rsid w:val="00EA3FFE"/>
    <w:rsid w:val="00F56357"/>
    <w:rsid w:val="00F954B2"/>
    <w:rsid w:val="00F978F1"/>
    <w:rsid w:val="00FE6D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378D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78DE"/>
  </w:style>
  <w:style w:type="paragraph" w:styleId="Pta">
    <w:name w:val="footer"/>
    <w:basedOn w:val="Normlny"/>
    <w:link w:val="PtaChar"/>
    <w:uiPriority w:val="99"/>
    <w:unhideWhenUsed/>
    <w:rsid w:val="00D378DE"/>
    <w:pPr>
      <w:tabs>
        <w:tab w:val="center" w:pos="4536"/>
        <w:tab w:val="right" w:pos="9072"/>
      </w:tabs>
      <w:spacing w:after="0" w:line="240" w:lineRule="auto"/>
    </w:pPr>
  </w:style>
  <w:style w:type="character" w:customStyle="1" w:styleId="PtaChar">
    <w:name w:val="Päta Char"/>
    <w:basedOn w:val="Predvolenpsmoodseku"/>
    <w:link w:val="Pta"/>
    <w:uiPriority w:val="99"/>
    <w:rsid w:val="00D378DE"/>
  </w:style>
  <w:style w:type="paragraph" w:styleId="Odsekzoznamu">
    <w:name w:val="List Paragraph"/>
    <w:basedOn w:val="Normlny"/>
    <w:uiPriority w:val="34"/>
    <w:qFormat/>
    <w:rsid w:val="00A01674"/>
    <w:pPr>
      <w:ind w:left="720"/>
      <w:contextualSpacing/>
    </w:pPr>
  </w:style>
  <w:style w:type="table" w:styleId="Mriekatabuky">
    <w:name w:val="Table Grid"/>
    <w:basedOn w:val="Normlnatabuka"/>
    <w:uiPriority w:val="59"/>
    <w:rsid w:val="00B67413"/>
    <w:pPr>
      <w:spacing w:after="0" w:line="240" w:lineRule="auto"/>
      <w:jc w:val="both"/>
    </w:pPr>
    <w:rPr>
      <w:rFonts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378D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78DE"/>
  </w:style>
  <w:style w:type="paragraph" w:styleId="Pta">
    <w:name w:val="footer"/>
    <w:basedOn w:val="Normlny"/>
    <w:link w:val="PtaChar"/>
    <w:uiPriority w:val="99"/>
    <w:unhideWhenUsed/>
    <w:rsid w:val="00D378DE"/>
    <w:pPr>
      <w:tabs>
        <w:tab w:val="center" w:pos="4536"/>
        <w:tab w:val="right" w:pos="9072"/>
      </w:tabs>
      <w:spacing w:after="0" w:line="240" w:lineRule="auto"/>
    </w:pPr>
  </w:style>
  <w:style w:type="character" w:customStyle="1" w:styleId="PtaChar">
    <w:name w:val="Päta Char"/>
    <w:basedOn w:val="Predvolenpsmoodseku"/>
    <w:link w:val="Pta"/>
    <w:uiPriority w:val="99"/>
    <w:rsid w:val="00D378DE"/>
  </w:style>
  <w:style w:type="paragraph" w:styleId="Odsekzoznamu">
    <w:name w:val="List Paragraph"/>
    <w:basedOn w:val="Normlny"/>
    <w:uiPriority w:val="34"/>
    <w:qFormat/>
    <w:rsid w:val="00A01674"/>
    <w:pPr>
      <w:ind w:left="720"/>
      <w:contextualSpacing/>
    </w:pPr>
  </w:style>
  <w:style w:type="table" w:styleId="Mriekatabuky">
    <w:name w:val="Table Grid"/>
    <w:basedOn w:val="Normlnatabuka"/>
    <w:uiPriority w:val="59"/>
    <w:rsid w:val="00B67413"/>
    <w:pPr>
      <w:spacing w:after="0" w:line="240" w:lineRule="auto"/>
      <w:jc w:val="both"/>
    </w:pPr>
    <w:rPr>
      <w:rFonts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_dlc_DocId xmlns="e60a29af-d413-48d4-bd90-fe9d2a897e4b">WKX3UHSAJ2R6-2-378432</_dlc_DocId>
    <_dlc_DocIdUrl xmlns="e60a29af-d413-48d4-bd90-fe9d2a897e4b">
      <Url>https://ovdmasv601/sites/DMS/_layouts/15/DocIdRedir.aspx?ID=WKX3UHSAJ2R6-2-378432</Url>
      <Description>WKX3UHSAJ2R6-2-378432</Description>
    </_dlc_DocIdUrl>
  </documentManagement>
</p:properties>
</file>

<file path=customXml/itemProps1.xml><?xml version="1.0" encoding="utf-8"?>
<ds:datastoreItem xmlns:ds="http://schemas.openxmlformats.org/officeDocument/2006/customXml" ds:itemID="{EDA6B6AD-49F0-437C-8857-9586A643F2AF}"/>
</file>

<file path=customXml/itemProps2.xml><?xml version="1.0" encoding="utf-8"?>
<ds:datastoreItem xmlns:ds="http://schemas.openxmlformats.org/officeDocument/2006/customXml" ds:itemID="{43119926-7552-494F-8519-FA7DBFCCDB2E}"/>
</file>

<file path=customXml/itemProps3.xml><?xml version="1.0" encoding="utf-8"?>
<ds:datastoreItem xmlns:ds="http://schemas.openxmlformats.org/officeDocument/2006/customXml" ds:itemID="{E0F046F0-FF06-45BC-BB01-A0C83265BC86}"/>
</file>

<file path=customXml/itemProps4.xml><?xml version="1.0" encoding="utf-8"?>
<ds:datastoreItem xmlns:ds="http://schemas.openxmlformats.org/officeDocument/2006/customXml" ds:itemID="{42B1632D-A20D-4E3D-8B42-B992D179977D}"/>
</file>

<file path=customXml/itemProps5.xml><?xml version="1.0" encoding="utf-8"?>
<ds:datastoreItem xmlns:ds="http://schemas.openxmlformats.org/officeDocument/2006/customXml" ds:itemID="{2535CEF6-8804-4816-BD0B-F1E9F0E813CB}"/>
</file>

<file path=docProps/app.xml><?xml version="1.0" encoding="utf-8"?>
<Properties xmlns="http://schemas.openxmlformats.org/officeDocument/2006/extended-properties" xmlns:vt="http://schemas.openxmlformats.org/officeDocument/2006/docPropsVTypes">
  <Template>Normal</Template>
  <TotalTime>174</TotalTime>
  <Pages>13</Pages>
  <Words>5324</Words>
  <Characters>30351</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 J.</dc:creator>
  <cp:keywords/>
  <dc:description/>
  <cp:lastModifiedBy>M</cp:lastModifiedBy>
  <cp:revision>39</cp:revision>
  <dcterms:created xsi:type="dcterms:W3CDTF">2013-09-11T07:11:00Z</dcterms:created>
  <dcterms:modified xsi:type="dcterms:W3CDTF">2013-10-07T12:21:00Z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17ef5442-2f48-45d8-94c8-9ac6444bda1b</vt:lpwstr>
  </property>
</Properties>
</file>