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99F" w:rsidRDefault="009D599F">
      <w:pPr>
        <w:spacing w:after="0" w:line="240" w:lineRule="auto"/>
        <w:jc w:val="center"/>
        <w:rPr>
          <w:rFonts w:ascii="Times New Roman" w:hAnsi="Times New Roman"/>
          <w:sz w:val="24"/>
        </w:rPr>
      </w:pPr>
    </w:p>
    <w:p w:rsidR="009A1B32" w:rsidRPr="00760A15" w:rsidRDefault="009A1B32">
      <w:pPr>
        <w:spacing w:after="0" w:line="240" w:lineRule="auto"/>
        <w:jc w:val="center"/>
        <w:rPr>
          <w:rFonts w:ascii="Times New Roman" w:hAnsi="Times New Roman"/>
          <w:sz w:val="24"/>
        </w:rPr>
      </w:pPr>
      <w:r w:rsidRPr="00760A15">
        <w:rPr>
          <w:rFonts w:ascii="Times New Roman" w:hAnsi="Times New Roman"/>
          <w:sz w:val="24"/>
        </w:rPr>
        <w:t>TABUĽKA ZHODY</w:t>
      </w:r>
    </w:p>
    <w:p w:rsidR="009A1B32" w:rsidRPr="00760A15" w:rsidRDefault="009A1B32">
      <w:pPr>
        <w:spacing w:after="0" w:line="240" w:lineRule="auto"/>
        <w:jc w:val="center"/>
        <w:rPr>
          <w:rFonts w:ascii="Times New Roman" w:hAnsi="Times New Roman"/>
          <w:sz w:val="24"/>
        </w:rPr>
      </w:pPr>
      <w:r w:rsidRPr="00760A15">
        <w:rPr>
          <w:rFonts w:ascii="Times New Roman" w:hAnsi="Times New Roman"/>
          <w:sz w:val="24"/>
        </w:rPr>
        <w:t>právneho predpisu s právom Európskej únie</w:t>
      </w:r>
    </w:p>
    <w:p w:rsidR="009A1B32" w:rsidRPr="00760A15" w:rsidRDefault="009A1B32">
      <w:pPr>
        <w:spacing w:after="0" w:line="240" w:lineRule="auto"/>
        <w:jc w:val="center"/>
        <w:rPr>
          <w:rFonts w:ascii="Times New Roman" w:hAnsi="Times New Roman"/>
          <w:sz w:val="24"/>
        </w:rPr>
      </w:pPr>
    </w:p>
    <w:tbl>
      <w:tblPr>
        <w:tblW w:w="14142"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242"/>
        <w:gridCol w:w="3544"/>
        <w:gridCol w:w="1276"/>
        <w:gridCol w:w="709"/>
        <w:gridCol w:w="1417"/>
        <w:gridCol w:w="3686"/>
        <w:gridCol w:w="850"/>
        <w:gridCol w:w="1418"/>
      </w:tblGrid>
      <w:tr w:rsidR="009A1B32" w:rsidRPr="00760A15" w:rsidTr="00AF1F08">
        <w:tc>
          <w:tcPr>
            <w:tcW w:w="6062" w:type="dxa"/>
            <w:gridSpan w:val="3"/>
          </w:tcPr>
          <w:p w:rsidR="009A1B32" w:rsidRPr="00760A15" w:rsidRDefault="009A1B32">
            <w:pPr>
              <w:spacing w:after="0" w:line="240" w:lineRule="auto"/>
              <w:rPr>
                <w:rFonts w:ascii="Times New Roman" w:hAnsi="Times New Roman"/>
                <w:sz w:val="24"/>
              </w:rPr>
            </w:pPr>
            <w:r w:rsidRPr="00760A15">
              <w:rPr>
                <w:rFonts w:ascii="Times New Roman" w:hAnsi="Times New Roman"/>
                <w:sz w:val="24"/>
              </w:rPr>
              <w:t>Právny predpis EÚ</w:t>
            </w:r>
          </w:p>
        </w:tc>
        <w:tc>
          <w:tcPr>
            <w:tcW w:w="8080" w:type="dxa"/>
            <w:gridSpan w:val="5"/>
          </w:tcPr>
          <w:p w:rsidR="009A1B32" w:rsidRPr="00760A15" w:rsidRDefault="009A1B32">
            <w:pPr>
              <w:spacing w:after="0" w:line="240" w:lineRule="auto"/>
              <w:rPr>
                <w:rFonts w:ascii="Times New Roman" w:hAnsi="Times New Roman"/>
                <w:sz w:val="24"/>
              </w:rPr>
            </w:pPr>
            <w:r w:rsidRPr="00760A15">
              <w:rPr>
                <w:rFonts w:ascii="Times New Roman" w:hAnsi="Times New Roman"/>
                <w:sz w:val="24"/>
              </w:rPr>
              <w:t>Právny predpis SR</w:t>
            </w:r>
          </w:p>
        </w:tc>
      </w:tr>
      <w:tr w:rsidR="009A1B32" w:rsidRPr="00760A15" w:rsidTr="00AF1F08">
        <w:tc>
          <w:tcPr>
            <w:tcW w:w="6062" w:type="dxa"/>
            <w:gridSpan w:val="3"/>
          </w:tcPr>
          <w:p w:rsidR="009A1B32" w:rsidRPr="00760A15" w:rsidRDefault="009A1B32" w:rsidP="00190B01">
            <w:pPr>
              <w:pStyle w:val="Default"/>
              <w:outlineLvl w:val="0"/>
              <w:rPr>
                <w:rFonts w:ascii="Times New Roman" w:hAnsi="Times New Roman"/>
                <w:color w:val="auto"/>
              </w:rPr>
            </w:pPr>
            <w:r w:rsidRPr="00760A15">
              <w:rPr>
                <w:rFonts w:ascii="Times New Roman" w:hAnsi="Times New Roman"/>
                <w:color w:val="auto"/>
              </w:rPr>
              <w:t xml:space="preserve">Smernica Európskeho parlamentu a Rady 2009/31/ES z 23. apríla 2009 o geologickom ukladaní oxidu uhličitého a o zmene a doplnení smernice Rady 85/337/EHS, smerníc Európskeho parlamentu a Rady 2000/60/ES, </w:t>
            </w:r>
            <w:r w:rsidR="00190B01" w:rsidRPr="00760A15">
              <w:rPr>
                <w:rFonts w:ascii="Times New Roman" w:hAnsi="Times New Roman"/>
                <w:color w:val="auto"/>
              </w:rPr>
              <w:t xml:space="preserve">2004/35/ES </w:t>
            </w:r>
            <w:r w:rsidRPr="00760A15">
              <w:rPr>
                <w:rFonts w:ascii="Times New Roman" w:hAnsi="Times New Roman"/>
                <w:color w:val="auto"/>
              </w:rPr>
              <w:t>a nariadenia (ES) č. 1013/2006</w:t>
            </w:r>
          </w:p>
        </w:tc>
        <w:tc>
          <w:tcPr>
            <w:tcW w:w="8080" w:type="dxa"/>
            <w:gridSpan w:val="5"/>
          </w:tcPr>
          <w:p w:rsidR="009A1B32" w:rsidRPr="00760A15" w:rsidRDefault="004743E1">
            <w:pPr>
              <w:pStyle w:val="Nadpis1"/>
              <w:spacing w:before="0" w:after="0"/>
              <w:jc w:val="left"/>
              <w:rPr>
                <w:rFonts w:ascii="Times New Roman" w:hAnsi="Times New Roman"/>
                <w:b w:val="0"/>
                <w:sz w:val="24"/>
              </w:rPr>
            </w:pPr>
            <w:r w:rsidRPr="00760A15">
              <w:rPr>
                <w:rFonts w:ascii="Times New Roman" w:hAnsi="Times New Roman" w:cs="Times New Roman"/>
                <w:b w:val="0"/>
                <w:sz w:val="24"/>
                <w:szCs w:val="24"/>
              </w:rPr>
              <w:t xml:space="preserve">Návrh zákona, </w:t>
            </w:r>
            <w:r w:rsidRPr="00760A15">
              <w:rPr>
                <w:rFonts w:ascii="Times New Roman" w:hAnsi="Times New Roman" w:cs="Times New Roman"/>
                <w:b w:val="0"/>
                <w:bCs w:val="0"/>
                <w:sz w:val="24"/>
                <w:szCs w:val="24"/>
              </w:rPr>
              <w:t>ktorým sa mení a dopĺňa zákon č. 258/2011 Z. z. o trvalom ukladaní oxidu uhličitého do geologického prostredia a o zmene a doplnení niektorých zákonov v znení neskorších predpisov a o doplnení zákona č. 39/2013 Z. z. o integrovanej prevencii a kontrole znečisťovania životného prostredia a o zmene a doplnení niektorých zákonov v znení neskorších predpisov</w:t>
            </w:r>
            <w:r w:rsidR="009A1B32" w:rsidRPr="00760A15">
              <w:rPr>
                <w:rFonts w:ascii="Times New Roman" w:hAnsi="Times New Roman"/>
                <w:b w:val="0"/>
                <w:sz w:val="24"/>
              </w:rPr>
              <w:t xml:space="preserve"> (NZ)</w:t>
            </w:r>
          </w:p>
          <w:p w:rsidR="009A1B32" w:rsidRPr="00760A15" w:rsidRDefault="009A1B32">
            <w:pPr>
              <w:spacing w:after="0" w:line="240" w:lineRule="auto"/>
              <w:rPr>
                <w:rFonts w:ascii="Times New Roman" w:hAnsi="Times New Roman"/>
                <w:sz w:val="24"/>
              </w:rPr>
            </w:pPr>
          </w:p>
        </w:tc>
      </w:tr>
      <w:tr w:rsidR="009A1B32" w:rsidRPr="00760A15" w:rsidTr="00AF1F08">
        <w:tc>
          <w:tcPr>
            <w:tcW w:w="1242" w:type="dxa"/>
          </w:tcPr>
          <w:p w:rsidR="009A1B32" w:rsidRPr="00760A15" w:rsidRDefault="009A1B32">
            <w:pPr>
              <w:spacing w:after="0" w:line="240" w:lineRule="auto"/>
              <w:jc w:val="center"/>
              <w:rPr>
                <w:rFonts w:ascii="Times New Roman" w:hAnsi="Times New Roman"/>
                <w:sz w:val="20"/>
              </w:rPr>
            </w:pPr>
            <w:r w:rsidRPr="00760A15">
              <w:rPr>
                <w:rFonts w:ascii="Times New Roman" w:hAnsi="Times New Roman"/>
                <w:sz w:val="20"/>
              </w:rPr>
              <w:t>1</w:t>
            </w:r>
          </w:p>
        </w:tc>
        <w:tc>
          <w:tcPr>
            <w:tcW w:w="3544" w:type="dxa"/>
          </w:tcPr>
          <w:p w:rsidR="009A1B32" w:rsidRPr="00760A15" w:rsidRDefault="009A1B32">
            <w:pPr>
              <w:spacing w:after="0" w:line="240" w:lineRule="auto"/>
              <w:jc w:val="center"/>
              <w:rPr>
                <w:rFonts w:ascii="Times New Roman" w:hAnsi="Times New Roman"/>
                <w:sz w:val="20"/>
              </w:rPr>
            </w:pPr>
            <w:r w:rsidRPr="00760A15">
              <w:rPr>
                <w:rFonts w:ascii="Times New Roman" w:hAnsi="Times New Roman"/>
                <w:sz w:val="20"/>
              </w:rPr>
              <w:t>2</w:t>
            </w:r>
          </w:p>
        </w:tc>
        <w:tc>
          <w:tcPr>
            <w:tcW w:w="1276" w:type="dxa"/>
          </w:tcPr>
          <w:p w:rsidR="009A1B32" w:rsidRPr="00760A15" w:rsidRDefault="009A1B32">
            <w:pPr>
              <w:spacing w:after="0" w:line="240" w:lineRule="auto"/>
              <w:jc w:val="center"/>
              <w:rPr>
                <w:rFonts w:ascii="Times New Roman" w:hAnsi="Times New Roman"/>
                <w:sz w:val="20"/>
              </w:rPr>
            </w:pPr>
            <w:r w:rsidRPr="00760A15">
              <w:rPr>
                <w:rFonts w:ascii="Times New Roman" w:hAnsi="Times New Roman"/>
                <w:sz w:val="20"/>
              </w:rPr>
              <w:t>3</w:t>
            </w:r>
          </w:p>
        </w:tc>
        <w:tc>
          <w:tcPr>
            <w:tcW w:w="709" w:type="dxa"/>
          </w:tcPr>
          <w:p w:rsidR="009A1B32" w:rsidRPr="00760A15" w:rsidRDefault="009A1B32">
            <w:pPr>
              <w:spacing w:after="0" w:line="240" w:lineRule="auto"/>
              <w:jc w:val="center"/>
              <w:rPr>
                <w:rFonts w:ascii="Times New Roman" w:hAnsi="Times New Roman"/>
                <w:sz w:val="20"/>
              </w:rPr>
            </w:pPr>
            <w:r w:rsidRPr="00760A15">
              <w:rPr>
                <w:rFonts w:ascii="Times New Roman" w:hAnsi="Times New Roman"/>
                <w:sz w:val="20"/>
              </w:rPr>
              <w:t>4</w:t>
            </w:r>
          </w:p>
        </w:tc>
        <w:tc>
          <w:tcPr>
            <w:tcW w:w="1417" w:type="dxa"/>
          </w:tcPr>
          <w:p w:rsidR="009A1B32" w:rsidRPr="00760A15" w:rsidRDefault="009A1B32">
            <w:pPr>
              <w:spacing w:after="0" w:line="240" w:lineRule="auto"/>
              <w:jc w:val="center"/>
              <w:rPr>
                <w:rFonts w:ascii="Times New Roman" w:hAnsi="Times New Roman"/>
                <w:sz w:val="20"/>
              </w:rPr>
            </w:pPr>
            <w:r w:rsidRPr="00760A15">
              <w:rPr>
                <w:rFonts w:ascii="Times New Roman" w:hAnsi="Times New Roman"/>
                <w:sz w:val="20"/>
              </w:rPr>
              <w:t>5</w:t>
            </w:r>
          </w:p>
        </w:tc>
        <w:tc>
          <w:tcPr>
            <w:tcW w:w="3686" w:type="dxa"/>
          </w:tcPr>
          <w:p w:rsidR="009A1B32" w:rsidRPr="00760A15" w:rsidRDefault="009A1B32">
            <w:pPr>
              <w:spacing w:after="0" w:line="240" w:lineRule="auto"/>
              <w:jc w:val="center"/>
              <w:rPr>
                <w:rFonts w:ascii="Times New Roman" w:hAnsi="Times New Roman"/>
                <w:sz w:val="20"/>
              </w:rPr>
            </w:pPr>
            <w:r w:rsidRPr="00760A15">
              <w:rPr>
                <w:rFonts w:ascii="Times New Roman" w:hAnsi="Times New Roman"/>
                <w:sz w:val="20"/>
              </w:rPr>
              <w:t>6</w:t>
            </w:r>
          </w:p>
        </w:tc>
        <w:tc>
          <w:tcPr>
            <w:tcW w:w="850" w:type="dxa"/>
          </w:tcPr>
          <w:p w:rsidR="009A1B32" w:rsidRPr="00760A15" w:rsidRDefault="009A1B32">
            <w:pPr>
              <w:spacing w:after="0" w:line="240" w:lineRule="auto"/>
              <w:jc w:val="center"/>
              <w:rPr>
                <w:rFonts w:ascii="Times New Roman" w:hAnsi="Times New Roman"/>
                <w:sz w:val="20"/>
              </w:rPr>
            </w:pPr>
            <w:r w:rsidRPr="00760A15">
              <w:rPr>
                <w:rFonts w:ascii="Times New Roman" w:hAnsi="Times New Roman"/>
                <w:sz w:val="20"/>
              </w:rPr>
              <w:t>7</w:t>
            </w:r>
          </w:p>
        </w:tc>
        <w:tc>
          <w:tcPr>
            <w:tcW w:w="1418" w:type="dxa"/>
          </w:tcPr>
          <w:p w:rsidR="009A1B32" w:rsidRPr="00760A15" w:rsidRDefault="009A1B32">
            <w:pPr>
              <w:spacing w:after="0" w:line="240" w:lineRule="auto"/>
              <w:jc w:val="center"/>
              <w:rPr>
                <w:rFonts w:ascii="Times New Roman" w:hAnsi="Times New Roman"/>
                <w:sz w:val="20"/>
              </w:rPr>
            </w:pPr>
            <w:r w:rsidRPr="00760A15">
              <w:rPr>
                <w:rFonts w:ascii="Times New Roman" w:hAnsi="Times New Roman"/>
                <w:sz w:val="20"/>
              </w:rPr>
              <w:t>8</w:t>
            </w:r>
          </w:p>
        </w:tc>
      </w:tr>
      <w:tr w:rsidR="009A1B32" w:rsidRPr="00760A15" w:rsidTr="00AF1F08">
        <w:tc>
          <w:tcPr>
            <w:tcW w:w="1242" w:type="dxa"/>
          </w:tcPr>
          <w:p w:rsidR="009A1B32" w:rsidRPr="00760A15" w:rsidRDefault="009A1B32">
            <w:pPr>
              <w:spacing w:after="0" w:line="240" w:lineRule="auto"/>
              <w:rPr>
                <w:rFonts w:ascii="Times New Roman" w:hAnsi="Times New Roman"/>
                <w:sz w:val="20"/>
              </w:rPr>
            </w:pPr>
            <w:r w:rsidRPr="00760A15">
              <w:rPr>
                <w:rFonts w:ascii="Times New Roman" w:hAnsi="Times New Roman"/>
                <w:sz w:val="20"/>
              </w:rPr>
              <w:t xml:space="preserve">Článok </w:t>
            </w:r>
          </w:p>
          <w:p w:rsidR="009A1B32" w:rsidRPr="00760A15" w:rsidRDefault="009A1B32">
            <w:pPr>
              <w:spacing w:after="0" w:line="240" w:lineRule="auto"/>
              <w:rPr>
                <w:rFonts w:ascii="Times New Roman" w:hAnsi="Times New Roman"/>
                <w:sz w:val="20"/>
              </w:rPr>
            </w:pPr>
            <w:r w:rsidRPr="00760A15">
              <w:rPr>
                <w:rFonts w:ascii="Times New Roman" w:hAnsi="Times New Roman"/>
                <w:sz w:val="20"/>
              </w:rPr>
              <w:t>(Č, O, V, P)</w:t>
            </w:r>
          </w:p>
        </w:tc>
        <w:tc>
          <w:tcPr>
            <w:tcW w:w="3544" w:type="dxa"/>
          </w:tcPr>
          <w:p w:rsidR="009A1B32" w:rsidRPr="00760A15" w:rsidRDefault="009A1B32">
            <w:pPr>
              <w:spacing w:after="0" w:line="240" w:lineRule="auto"/>
              <w:rPr>
                <w:rFonts w:ascii="Times New Roman" w:hAnsi="Times New Roman"/>
                <w:sz w:val="20"/>
              </w:rPr>
            </w:pPr>
            <w:r w:rsidRPr="00760A15">
              <w:rPr>
                <w:rFonts w:ascii="Times New Roman" w:hAnsi="Times New Roman"/>
                <w:sz w:val="20"/>
              </w:rPr>
              <w:t>Text</w:t>
            </w:r>
          </w:p>
        </w:tc>
        <w:tc>
          <w:tcPr>
            <w:tcW w:w="1276" w:type="dxa"/>
          </w:tcPr>
          <w:p w:rsidR="009A1B32" w:rsidRPr="00760A15" w:rsidRDefault="009A1B32">
            <w:pPr>
              <w:spacing w:after="0" w:line="240" w:lineRule="auto"/>
              <w:rPr>
                <w:rFonts w:ascii="Times New Roman" w:hAnsi="Times New Roman"/>
                <w:sz w:val="20"/>
              </w:rPr>
            </w:pPr>
            <w:r w:rsidRPr="00760A15">
              <w:rPr>
                <w:rFonts w:ascii="Times New Roman" w:hAnsi="Times New Roman"/>
                <w:sz w:val="20"/>
              </w:rPr>
              <w:t>Spôsob transpozície</w:t>
            </w:r>
          </w:p>
        </w:tc>
        <w:tc>
          <w:tcPr>
            <w:tcW w:w="709" w:type="dxa"/>
          </w:tcPr>
          <w:p w:rsidR="009A1B32" w:rsidRPr="00760A15" w:rsidRDefault="009A1B32">
            <w:pPr>
              <w:spacing w:after="0" w:line="240" w:lineRule="auto"/>
              <w:rPr>
                <w:rFonts w:ascii="Times New Roman" w:hAnsi="Times New Roman"/>
                <w:sz w:val="20"/>
              </w:rPr>
            </w:pPr>
            <w:r w:rsidRPr="00760A15">
              <w:rPr>
                <w:rFonts w:ascii="Times New Roman" w:hAnsi="Times New Roman"/>
                <w:sz w:val="20"/>
              </w:rPr>
              <w:t>Číslo</w:t>
            </w:r>
          </w:p>
        </w:tc>
        <w:tc>
          <w:tcPr>
            <w:tcW w:w="1417" w:type="dxa"/>
          </w:tcPr>
          <w:p w:rsidR="009A1B32" w:rsidRPr="00760A15" w:rsidRDefault="009A1B32">
            <w:pPr>
              <w:spacing w:after="0" w:line="240" w:lineRule="auto"/>
              <w:rPr>
                <w:rFonts w:ascii="Times New Roman" w:hAnsi="Times New Roman"/>
                <w:sz w:val="20"/>
              </w:rPr>
            </w:pPr>
            <w:r w:rsidRPr="00760A15">
              <w:rPr>
                <w:rFonts w:ascii="Times New Roman" w:hAnsi="Times New Roman"/>
                <w:sz w:val="20"/>
              </w:rPr>
              <w:t xml:space="preserve">Článok </w:t>
            </w:r>
          </w:p>
          <w:p w:rsidR="009A1B32" w:rsidRPr="00760A15" w:rsidRDefault="009A1B32">
            <w:pPr>
              <w:spacing w:after="0" w:line="240" w:lineRule="auto"/>
              <w:rPr>
                <w:rFonts w:ascii="Times New Roman" w:hAnsi="Times New Roman"/>
                <w:sz w:val="20"/>
              </w:rPr>
            </w:pPr>
            <w:r w:rsidRPr="00760A15">
              <w:rPr>
                <w:rFonts w:ascii="Times New Roman" w:hAnsi="Times New Roman"/>
                <w:sz w:val="20"/>
              </w:rPr>
              <w:t>(Č, §, O, V, P)</w:t>
            </w:r>
          </w:p>
        </w:tc>
        <w:tc>
          <w:tcPr>
            <w:tcW w:w="3686" w:type="dxa"/>
          </w:tcPr>
          <w:p w:rsidR="009A1B32" w:rsidRPr="00760A15" w:rsidRDefault="009A1B32">
            <w:pPr>
              <w:spacing w:after="0" w:line="240" w:lineRule="auto"/>
              <w:rPr>
                <w:rFonts w:ascii="Times New Roman" w:hAnsi="Times New Roman"/>
                <w:sz w:val="20"/>
              </w:rPr>
            </w:pPr>
            <w:r w:rsidRPr="00760A15">
              <w:rPr>
                <w:rFonts w:ascii="Times New Roman" w:hAnsi="Times New Roman"/>
                <w:sz w:val="20"/>
              </w:rPr>
              <w:t>Text</w:t>
            </w:r>
          </w:p>
        </w:tc>
        <w:tc>
          <w:tcPr>
            <w:tcW w:w="850" w:type="dxa"/>
          </w:tcPr>
          <w:p w:rsidR="009A1B32" w:rsidRPr="00760A15" w:rsidRDefault="009A1B32">
            <w:pPr>
              <w:spacing w:after="0" w:line="240" w:lineRule="auto"/>
              <w:rPr>
                <w:rFonts w:ascii="Times New Roman" w:hAnsi="Times New Roman"/>
                <w:sz w:val="20"/>
              </w:rPr>
            </w:pPr>
            <w:r w:rsidRPr="00760A15">
              <w:rPr>
                <w:rFonts w:ascii="Times New Roman" w:hAnsi="Times New Roman"/>
                <w:sz w:val="20"/>
              </w:rPr>
              <w:t>Zhoda</w:t>
            </w:r>
          </w:p>
        </w:tc>
        <w:tc>
          <w:tcPr>
            <w:tcW w:w="1418" w:type="dxa"/>
          </w:tcPr>
          <w:p w:rsidR="009A1B32" w:rsidRPr="00760A15" w:rsidRDefault="009A1B32">
            <w:pPr>
              <w:spacing w:after="0" w:line="240" w:lineRule="auto"/>
              <w:rPr>
                <w:rFonts w:ascii="Times New Roman" w:hAnsi="Times New Roman"/>
                <w:sz w:val="20"/>
              </w:rPr>
            </w:pPr>
            <w:r w:rsidRPr="00760A15">
              <w:rPr>
                <w:rFonts w:ascii="Times New Roman" w:hAnsi="Times New Roman"/>
                <w:sz w:val="20"/>
              </w:rPr>
              <w:t>Poznámky</w:t>
            </w:r>
          </w:p>
        </w:tc>
      </w:tr>
      <w:tr w:rsidR="009A1B32" w:rsidRPr="00760A15" w:rsidTr="00AF1F08">
        <w:tc>
          <w:tcPr>
            <w:tcW w:w="1242" w:type="dxa"/>
          </w:tcPr>
          <w:p w:rsidR="009A1B32" w:rsidRPr="00760A15" w:rsidRDefault="001E3BA5">
            <w:pPr>
              <w:spacing w:after="0" w:line="240" w:lineRule="auto"/>
              <w:rPr>
                <w:rFonts w:ascii="Times New Roman" w:hAnsi="Times New Roman"/>
                <w:sz w:val="20"/>
              </w:rPr>
            </w:pPr>
            <w:r w:rsidRPr="00760A15">
              <w:rPr>
                <w:rFonts w:ascii="Times New Roman" w:hAnsi="Times New Roman"/>
                <w:sz w:val="20"/>
              </w:rPr>
              <w:t>Č 2, O 3</w:t>
            </w:r>
          </w:p>
        </w:tc>
        <w:tc>
          <w:tcPr>
            <w:tcW w:w="3544" w:type="dxa"/>
          </w:tcPr>
          <w:p w:rsidR="009A1B32" w:rsidRPr="00760A15" w:rsidRDefault="001E3BA5">
            <w:pPr>
              <w:pStyle w:val="tl1"/>
              <w:numPr>
                <w:ilvl w:val="0"/>
                <w:numId w:val="0"/>
              </w:numPr>
              <w:tabs>
                <w:tab w:val="clear" w:pos="454"/>
                <w:tab w:val="left" w:pos="-108"/>
              </w:tabs>
              <w:jc w:val="left"/>
              <w:rPr>
                <w:sz w:val="20"/>
                <w:szCs w:val="20"/>
              </w:rPr>
            </w:pPr>
            <w:r w:rsidRPr="00760A15">
              <w:rPr>
                <w:sz w:val="20"/>
                <w:szCs w:val="20"/>
              </w:rPr>
              <w:t>Ukladanie CO</w:t>
            </w:r>
            <w:r w:rsidRPr="00760A15">
              <w:rPr>
                <w:sz w:val="20"/>
                <w:szCs w:val="20"/>
                <w:vertAlign w:val="subscript"/>
              </w:rPr>
              <w:t>2</w:t>
            </w:r>
            <w:r w:rsidRPr="00760A15">
              <w:rPr>
                <w:sz w:val="20"/>
                <w:szCs w:val="20"/>
              </w:rPr>
              <w:t xml:space="preserve"> v úložisku, ktorého úložný komplex presahuje oblasti uvedené v odseku 1, nie je dovolené.</w:t>
            </w:r>
          </w:p>
        </w:tc>
        <w:tc>
          <w:tcPr>
            <w:tcW w:w="1276" w:type="dxa"/>
          </w:tcPr>
          <w:p w:rsidR="009A1B32" w:rsidRPr="00760A15" w:rsidRDefault="006D4D91">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9A1B32" w:rsidRPr="00760A15" w:rsidRDefault="006D4D91">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9A1B32" w:rsidRPr="00760A15" w:rsidRDefault="00057906">
            <w:pPr>
              <w:spacing w:after="0" w:line="240" w:lineRule="auto"/>
              <w:rPr>
                <w:rFonts w:ascii="Times New Roman" w:hAnsi="Times New Roman"/>
                <w:sz w:val="20"/>
              </w:rPr>
            </w:pPr>
            <w:r w:rsidRPr="00760A15">
              <w:rPr>
                <w:rFonts w:ascii="Times New Roman" w:hAnsi="Times New Roman"/>
                <w:sz w:val="20"/>
              </w:rPr>
              <w:t>Č I</w:t>
            </w:r>
            <w:r w:rsidR="00AE4B33" w:rsidRPr="00760A15">
              <w:rPr>
                <w:rFonts w:ascii="Times New Roman" w:hAnsi="Times New Roman"/>
                <w:sz w:val="20"/>
              </w:rPr>
              <w:t>, § 3, O 7</w:t>
            </w:r>
          </w:p>
        </w:tc>
        <w:tc>
          <w:tcPr>
            <w:tcW w:w="3686" w:type="dxa"/>
          </w:tcPr>
          <w:p w:rsidR="009A1B32" w:rsidRPr="00760A15" w:rsidRDefault="00F127BD" w:rsidP="00F127BD">
            <w:pPr>
              <w:pStyle w:val="tl1"/>
              <w:numPr>
                <w:ilvl w:val="0"/>
                <w:numId w:val="0"/>
              </w:numPr>
              <w:tabs>
                <w:tab w:val="clear" w:pos="454"/>
                <w:tab w:val="left" w:pos="-108"/>
              </w:tabs>
              <w:rPr>
                <w:sz w:val="20"/>
              </w:rPr>
            </w:pPr>
            <w:r w:rsidRPr="00760A15">
              <w:rPr>
                <w:sz w:val="20"/>
              </w:rPr>
              <w:t>(7</w:t>
            </w:r>
            <w:r w:rsidRPr="00760A15">
              <w:rPr>
                <w:sz w:val="20"/>
                <w:szCs w:val="20"/>
              </w:rPr>
              <w:t>) Ukladanie oxidu uhličitého nie je dovolené v úložisku, ktorého úložný ko</w:t>
            </w:r>
            <w:r w:rsidR="007C4BE0">
              <w:rPr>
                <w:sz w:val="20"/>
                <w:szCs w:val="20"/>
              </w:rPr>
              <w:t>mplex presahuje územie členského štátu</w:t>
            </w:r>
            <w:r w:rsidR="009C5089">
              <w:rPr>
                <w:sz w:val="20"/>
                <w:szCs w:val="20"/>
              </w:rPr>
              <w:t xml:space="preserve"> Európskej únie (ďalej len „členský štát“)</w:t>
            </w:r>
            <w:r w:rsidR="007C4BE0">
              <w:rPr>
                <w:sz w:val="20"/>
                <w:szCs w:val="20"/>
              </w:rPr>
              <w:t xml:space="preserve">, jeho </w:t>
            </w:r>
            <w:r w:rsidRPr="00760A15">
              <w:rPr>
                <w:sz w:val="20"/>
                <w:szCs w:val="20"/>
              </w:rPr>
              <w:t>vý</w:t>
            </w:r>
            <w:r w:rsidR="007C4BE0">
              <w:rPr>
                <w:sz w:val="20"/>
                <w:szCs w:val="20"/>
              </w:rPr>
              <w:t>hradných hospodárskych zón a jeho</w:t>
            </w:r>
            <w:r w:rsidRPr="00760A15">
              <w:rPr>
                <w:sz w:val="20"/>
                <w:szCs w:val="20"/>
              </w:rPr>
              <w:t xml:space="preserve"> kontinentálne </w:t>
            </w:r>
            <w:proofErr w:type="spellStart"/>
            <w:r w:rsidRPr="00760A15">
              <w:rPr>
                <w:sz w:val="20"/>
                <w:szCs w:val="20"/>
              </w:rPr>
              <w:t>šelfy</w:t>
            </w:r>
            <w:proofErr w:type="spellEnd"/>
            <w:r w:rsidRPr="00760A15">
              <w:rPr>
                <w:sz w:val="20"/>
                <w:szCs w:val="20"/>
              </w:rPr>
              <w:t>.</w:t>
            </w:r>
          </w:p>
        </w:tc>
        <w:tc>
          <w:tcPr>
            <w:tcW w:w="850" w:type="dxa"/>
          </w:tcPr>
          <w:p w:rsidR="009A1B32" w:rsidRPr="00760A15" w:rsidRDefault="001E3BA5">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9A1B32" w:rsidRPr="00760A15" w:rsidRDefault="009A1B32">
            <w:pPr>
              <w:spacing w:after="0" w:line="240" w:lineRule="auto"/>
              <w:rPr>
                <w:rFonts w:ascii="Times New Roman" w:hAnsi="Times New Roman"/>
                <w:sz w:val="20"/>
              </w:rPr>
            </w:pPr>
          </w:p>
        </w:tc>
      </w:tr>
      <w:tr w:rsidR="00710878" w:rsidRPr="00760A15" w:rsidTr="00AF1F08">
        <w:tc>
          <w:tcPr>
            <w:tcW w:w="1242" w:type="dxa"/>
          </w:tcPr>
          <w:p w:rsidR="00710878" w:rsidRPr="00760A15" w:rsidRDefault="00710878" w:rsidP="00710878">
            <w:pPr>
              <w:spacing w:after="0" w:line="240" w:lineRule="auto"/>
              <w:rPr>
                <w:rFonts w:ascii="Times New Roman" w:hAnsi="Times New Roman"/>
                <w:sz w:val="20"/>
              </w:rPr>
            </w:pPr>
            <w:r w:rsidRPr="00760A15">
              <w:rPr>
                <w:rFonts w:ascii="Times New Roman" w:hAnsi="Times New Roman"/>
                <w:sz w:val="20"/>
              </w:rPr>
              <w:t>Č 3</w:t>
            </w:r>
          </w:p>
        </w:tc>
        <w:tc>
          <w:tcPr>
            <w:tcW w:w="3544" w:type="dxa"/>
          </w:tcPr>
          <w:p w:rsidR="00710878" w:rsidRPr="00760A15" w:rsidRDefault="00710878" w:rsidP="00710878">
            <w:pPr>
              <w:pStyle w:val="Default"/>
              <w:spacing w:before="120" w:after="120"/>
              <w:jc w:val="both"/>
              <w:rPr>
                <w:rFonts w:ascii="Times New Roman" w:hAnsi="Times New Roman" w:cs="Times New Roman"/>
                <w:color w:val="auto"/>
                <w:sz w:val="20"/>
                <w:szCs w:val="20"/>
              </w:rPr>
            </w:pPr>
            <w:r w:rsidRPr="00760A15">
              <w:rPr>
                <w:rFonts w:ascii="Times New Roman" w:hAnsi="Times New Roman" w:cs="Times New Roman"/>
                <w:color w:val="auto"/>
                <w:sz w:val="20"/>
                <w:szCs w:val="20"/>
              </w:rPr>
              <w:t>Na účely tejto smernice sa uplatňuje toto vymedzenie pojmov:</w:t>
            </w:r>
          </w:p>
        </w:tc>
        <w:tc>
          <w:tcPr>
            <w:tcW w:w="1276" w:type="dxa"/>
          </w:tcPr>
          <w:p w:rsidR="00710878" w:rsidRPr="00760A15" w:rsidRDefault="00180E2F">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710878" w:rsidRPr="00760A15" w:rsidRDefault="00180E2F">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710878" w:rsidRPr="00760A15" w:rsidRDefault="00710878">
            <w:pPr>
              <w:spacing w:after="0" w:line="240" w:lineRule="auto"/>
              <w:rPr>
                <w:rFonts w:ascii="Times New Roman" w:hAnsi="Times New Roman"/>
                <w:sz w:val="20"/>
              </w:rPr>
            </w:pPr>
            <w:r w:rsidRPr="00760A15">
              <w:rPr>
                <w:rFonts w:ascii="Times New Roman" w:hAnsi="Times New Roman"/>
                <w:sz w:val="20"/>
              </w:rPr>
              <w:t>Č I, § 2, P n)</w:t>
            </w:r>
          </w:p>
        </w:tc>
        <w:tc>
          <w:tcPr>
            <w:tcW w:w="3686" w:type="dxa"/>
          </w:tcPr>
          <w:p w:rsidR="00710878" w:rsidRPr="00760A15" w:rsidRDefault="00710878" w:rsidP="00AE4B33">
            <w:pPr>
              <w:pStyle w:val="tl1"/>
              <w:numPr>
                <w:ilvl w:val="0"/>
                <w:numId w:val="0"/>
              </w:numPr>
              <w:tabs>
                <w:tab w:val="clear" w:pos="454"/>
                <w:tab w:val="left" w:pos="-108"/>
              </w:tabs>
              <w:jc w:val="left"/>
              <w:rPr>
                <w:sz w:val="20"/>
                <w:szCs w:val="20"/>
              </w:rPr>
            </w:pPr>
            <w:r w:rsidRPr="00760A15">
              <w:rPr>
                <w:sz w:val="20"/>
              </w:rPr>
              <w:t xml:space="preserve">Na účely tohto zákona </w:t>
            </w:r>
            <w:r w:rsidRPr="00760A15">
              <w:rPr>
                <w:sz w:val="20"/>
                <w:szCs w:val="20"/>
              </w:rPr>
              <w:t>sa rozumie</w:t>
            </w:r>
          </w:p>
          <w:p w:rsidR="00710878" w:rsidRPr="00760A15" w:rsidRDefault="00710878" w:rsidP="00710878">
            <w:pPr>
              <w:autoSpaceDE w:val="0"/>
              <w:autoSpaceDN w:val="0"/>
              <w:adjustRightInd w:val="0"/>
              <w:spacing w:after="0" w:line="240" w:lineRule="auto"/>
              <w:rPr>
                <w:sz w:val="20"/>
              </w:rPr>
            </w:pPr>
            <w:r w:rsidRPr="00760A15">
              <w:rPr>
                <w:rFonts w:ascii="Times New Roman" w:hAnsi="Times New Roman"/>
                <w:sz w:val="20"/>
                <w:szCs w:val="20"/>
              </w:rPr>
              <w:t xml:space="preserve">n) </w:t>
            </w:r>
            <w:r w:rsidRPr="00760A15">
              <w:rPr>
                <w:rFonts w:ascii="Times New Roman" w:hAnsi="Times New Roman"/>
                <w:color w:val="231F20"/>
                <w:sz w:val="20"/>
                <w:szCs w:val="20"/>
                <w:lang w:eastAsia="sk-SK"/>
              </w:rPr>
              <w:t xml:space="preserve">primárnou tesnosťou štruktúry súbor geologických a </w:t>
            </w:r>
            <w:proofErr w:type="spellStart"/>
            <w:r w:rsidRPr="00760A15">
              <w:rPr>
                <w:rFonts w:ascii="Times New Roman" w:hAnsi="Times New Roman"/>
                <w:color w:val="231F20"/>
                <w:sz w:val="20"/>
                <w:szCs w:val="20"/>
                <w:lang w:eastAsia="sk-SK"/>
              </w:rPr>
              <w:t>petrofyzikálnych</w:t>
            </w:r>
            <w:proofErr w:type="spellEnd"/>
            <w:r w:rsidRPr="00760A15">
              <w:rPr>
                <w:rFonts w:ascii="Times New Roman" w:hAnsi="Times New Roman"/>
                <w:color w:val="231F20"/>
                <w:sz w:val="20"/>
                <w:szCs w:val="20"/>
                <w:lang w:eastAsia="sk-SK"/>
              </w:rPr>
              <w:t xml:space="preserve"> vlastností štruktúry a jej bezprostredného nadložia akumulovať</w:t>
            </w:r>
            <w:r w:rsidRPr="00760A15">
              <w:rPr>
                <w:rFonts w:ascii="Times New Roman" w:hAnsi="Times New Roman"/>
                <w:color w:val="231F20"/>
                <w:sz w:val="20"/>
                <w:szCs w:val="20"/>
              </w:rPr>
              <w:t xml:space="preserve"> a </w:t>
            </w:r>
            <w:r w:rsidRPr="00760A15">
              <w:rPr>
                <w:rFonts w:ascii="Times New Roman" w:hAnsi="Times New Roman"/>
                <w:sz w:val="20"/>
                <w:szCs w:val="20"/>
              </w:rPr>
              <w:t>úplne a trvalo izolovať</w:t>
            </w:r>
            <w:r w:rsidRPr="00760A15">
              <w:rPr>
                <w:rFonts w:ascii="Times New Roman" w:hAnsi="Times New Roman"/>
                <w:color w:val="231F20"/>
                <w:sz w:val="20"/>
                <w:szCs w:val="20"/>
                <w:lang w:eastAsia="sk-SK"/>
              </w:rPr>
              <w:t xml:space="preserve"> oxid uhličitý</w:t>
            </w:r>
            <w:r w:rsidR="00F127BD" w:rsidRPr="00760A15">
              <w:rPr>
                <w:rFonts w:ascii="Times New Roman" w:hAnsi="Times New Roman"/>
                <w:color w:val="231F20"/>
                <w:sz w:val="20"/>
                <w:szCs w:val="20"/>
                <w:lang w:eastAsia="sk-SK"/>
              </w:rPr>
              <w:t>,</w:t>
            </w:r>
          </w:p>
        </w:tc>
        <w:tc>
          <w:tcPr>
            <w:tcW w:w="850" w:type="dxa"/>
          </w:tcPr>
          <w:p w:rsidR="00710878" w:rsidRPr="00760A15" w:rsidRDefault="00180E2F">
            <w:pPr>
              <w:spacing w:after="0" w:line="240" w:lineRule="auto"/>
              <w:rPr>
                <w:rFonts w:ascii="Times New Roman" w:hAnsi="Times New Roman"/>
                <w:b/>
                <w:sz w:val="20"/>
              </w:rPr>
            </w:pPr>
            <w:r w:rsidRPr="00760A15">
              <w:rPr>
                <w:rFonts w:ascii="Times New Roman" w:hAnsi="Times New Roman"/>
                <w:sz w:val="20"/>
              </w:rPr>
              <w:t>Ú</w:t>
            </w:r>
          </w:p>
        </w:tc>
        <w:tc>
          <w:tcPr>
            <w:tcW w:w="1418" w:type="dxa"/>
          </w:tcPr>
          <w:p w:rsidR="00710878" w:rsidRPr="00760A15" w:rsidRDefault="00710878">
            <w:pPr>
              <w:spacing w:after="0" w:line="240" w:lineRule="auto"/>
              <w:rPr>
                <w:rFonts w:ascii="Times New Roman" w:hAnsi="Times New Roman"/>
                <w:sz w:val="20"/>
              </w:rPr>
            </w:pPr>
          </w:p>
        </w:tc>
      </w:tr>
      <w:tr w:rsidR="004B3261" w:rsidRPr="00760A15" w:rsidTr="00AF1F08">
        <w:tc>
          <w:tcPr>
            <w:tcW w:w="1242" w:type="dxa"/>
          </w:tcPr>
          <w:p w:rsidR="004B3261" w:rsidRPr="00760A15" w:rsidRDefault="004B3261" w:rsidP="00F1551E">
            <w:pPr>
              <w:spacing w:after="0" w:line="240" w:lineRule="auto"/>
              <w:rPr>
                <w:rFonts w:ascii="Times New Roman" w:hAnsi="Times New Roman"/>
                <w:sz w:val="20"/>
              </w:rPr>
            </w:pPr>
            <w:r w:rsidRPr="00760A15">
              <w:rPr>
                <w:rFonts w:ascii="Times New Roman" w:hAnsi="Times New Roman"/>
                <w:sz w:val="20"/>
              </w:rPr>
              <w:t>Č 4, O 3</w:t>
            </w:r>
          </w:p>
        </w:tc>
        <w:tc>
          <w:tcPr>
            <w:tcW w:w="3544" w:type="dxa"/>
          </w:tcPr>
          <w:p w:rsidR="004B3261" w:rsidRPr="00760A15" w:rsidRDefault="004B3261" w:rsidP="004B3261">
            <w:pPr>
              <w:pStyle w:val="tl1"/>
              <w:numPr>
                <w:ilvl w:val="0"/>
                <w:numId w:val="0"/>
              </w:numPr>
              <w:tabs>
                <w:tab w:val="clear" w:pos="454"/>
                <w:tab w:val="left" w:pos="-108"/>
              </w:tabs>
              <w:jc w:val="left"/>
              <w:rPr>
                <w:sz w:val="20"/>
                <w:szCs w:val="20"/>
              </w:rPr>
            </w:pPr>
            <w:r w:rsidRPr="00760A15">
              <w:rPr>
                <w:sz w:val="20"/>
                <w:szCs w:val="20"/>
              </w:rPr>
              <w:t>Vhodnosť geologickej jednotky na využívanie ako úložiska sa určuje prostredníctvom charakterizácie a posudzovania potenciálneho úložného komplexu a okolitej oblasti podľa kritérií vymedzených v prílohe I.</w:t>
            </w:r>
          </w:p>
        </w:tc>
        <w:tc>
          <w:tcPr>
            <w:tcW w:w="1276" w:type="dxa"/>
          </w:tcPr>
          <w:p w:rsidR="004B3261" w:rsidRPr="00760A15" w:rsidRDefault="004B3261"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4B3261" w:rsidRPr="00760A15" w:rsidRDefault="004B3261"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4B3261" w:rsidRPr="00760A15" w:rsidRDefault="004B3261" w:rsidP="00F1551E">
            <w:pPr>
              <w:spacing w:after="0" w:line="240" w:lineRule="auto"/>
              <w:rPr>
                <w:rFonts w:ascii="Times New Roman" w:hAnsi="Times New Roman"/>
                <w:sz w:val="20"/>
              </w:rPr>
            </w:pPr>
            <w:r w:rsidRPr="00760A15">
              <w:rPr>
                <w:rFonts w:ascii="Times New Roman" w:hAnsi="Times New Roman"/>
                <w:sz w:val="20"/>
              </w:rPr>
              <w:t>Č I, § 4, O 1, P b)</w:t>
            </w:r>
          </w:p>
        </w:tc>
        <w:tc>
          <w:tcPr>
            <w:tcW w:w="3686" w:type="dxa"/>
          </w:tcPr>
          <w:p w:rsidR="009415DB" w:rsidRPr="00760A15" w:rsidRDefault="009415DB" w:rsidP="009415DB">
            <w:pPr>
              <w:pStyle w:val="tl1"/>
              <w:numPr>
                <w:ilvl w:val="0"/>
                <w:numId w:val="0"/>
              </w:numPr>
              <w:tabs>
                <w:tab w:val="clear" w:pos="454"/>
                <w:tab w:val="left" w:pos="-108"/>
              </w:tabs>
              <w:jc w:val="left"/>
              <w:rPr>
                <w:sz w:val="20"/>
              </w:rPr>
            </w:pPr>
            <w:r w:rsidRPr="00760A15">
              <w:rPr>
                <w:sz w:val="20"/>
              </w:rPr>
              <w:t>b) popis charakteristiky úložiska, úložného komplexu a okolitej oblasti a posúdenie predpokladanej bezpečnosti ukladania</w:t>
            </w:r>
          </w:p>
          <w:p w:rsidR="004B3261" w:rsidRPr="00760A15" w:rsidRDefault="009415DB" w:rsidP="009415DB">
            <w:pPr>
              <w:pStyle w:val="tl1"/>
              <w:numPr>
                <w:ilvl w:val="0"/>
                <w:numId w:val="0"/>
              </w:numPr>
              <w:tabs>
                <w:tab w:val="clear" w:pos="454"/>
                <w:tab w:val="left" w:pos="-108"/>
              </w:tabs>
              <w:jc w:val="left"/>
              <w:rPr>
                <w:sz w:val="20"/>
              </w:rPr>
            </w:pPr>
            <w:r w:rsidRPr="00760A15">
              <w:rPr>
                <w:sz w:val="20"/>
              </w:rPr>
              <w:t>podľa § 3 ods. 2 a prílohy č. 1,</w:t>
            </w:r>
          </w:p>
        </w:tc>
        <w:tc>
          <w:tcPr>
            <w:tcW w:w="850" w:type="dxa"/>
          </w:tcPr>
          <w:p w:rsidR="004B3261" w:rsidRPr="00760A15" w:rsidRDefault="004B3261"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4B3261" w:rsidRPr="00760A15" w:rsidRDefault="004B3261" w:rsidP="00F1551E">
            <w:pPr>
              <w:spacing w:after="0" w:line="240" w:lineRule="auto"/>
              <w:rPr>
                <w:rFonts w:ascii="Times New Roman" w:hAnsi="Times New Roman"/>
                <w:sz w:val="20"/>
              </w:rPr>
            </w:pPr>
          </w:p>
        </w:tc>
      </w:tr>
      <w:tr w:rsidR="00F1551E" w:rsidRPr="00760A15" w:rsidTr="00AF1F08">
        <w:tc>
          <w:tcPr>
            <w:tcW w:w="1242" w:type="dxa"/>
          </w:tcPr>
          <w:p w:rsidR="00F1551E" w:rsidRPr="00760A15" w:rsidRDefault="00F1551E" w:rsidP="00F1551E">
            <w:pPr>
              <w:spacing w:after="0" w:line="240" w:lineRule="auto"/>
              <w:rPr>
                <w:rFonts w:ascii="Times New Roman" w:hAnsi="Times New Roman"/>
                <w:sz w:val="20"/>
              </w:rPr>
            </w:pPr>
            <w:r w:rsidRPr="00760A15">
              <w:rPr>
                <w:rFonts w:ascii="Times New Roman" w:hAnsi="Times New Roman"/>
                <w:sz w:val="20"/>
              </w:rPr>
              <w:t>Č 6, O 3, V 2</w:t>
            </w:r>
          </w:p>
        </w:tc>
        <w:tc>
          <w:tcPr>
            <w:tcW w:w="3544" w:type="dxa"/>
          </w:tcPr>
          <w:p w:rsidR="00F1551E" w:rsidRPr="00760A15" w:rsidRDefault="00F1551E" w:rsidP="00F1551E">
            <w:pPr>
              <w:spacing w:after="0" w:line="240" w:lineRule="auto"/>
              <w:rPr>
                <w:rFonts w:ascii="Times New Roman" w:hAnsi="Times New Roman"/>
                <w:sz w:val="20"/>
              </w:rPr>
            </w:pPr>
            <w:r w:rsidRPr="00760A15">
              <w:rPr>
                <w:rFonts w:ascii="Times New Roman" w:hAnsi="Times New Roman"/>
                <w:sz w:val="20"/>
                <w:lang w:eastAsia="sk-SK"/>
              </w:rPr>
              <w:t>Členské štáty zabezpečia, aby sa počas udeľovania povolenia nepovolilo žiadne konfliktné využívanie komplexu.</w:t>
            </w:r>
          </w:p>
        </w:tc>
        <w:tc>
          <w:tcPr>
            <w:tcW w:w="1276" w:type="dxa"/>
          </w:tcPr>
          <w:p w:rsidR="00F1551E" w:rsidRPr="00760A15" w:rsidRDefault="00F1551E"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F1551E" w:rsidRPr="00760A15" w:rsidRDefault="00F1551E"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F1551E" w:rsidRPr="00760A15" w:rsidRDefault="00057906" w:rsidP="00F1551E">
            <w:pPr>
              <w:spacing w:after="0" w:line="240" w:lineRule="auto"/>
              <w:rPr>
                <w:rFonts w:ascii="Times New Roman" w:hAnsi="Times New Roman"/>
                <w:sz w:val="20"/>
              </w:rPr>
            </w:pPr>
            <w:r w:rsidRPr="00760A15">
              <w:rPr>
                <w:rFonts w:ascii="Times New Roman" w:hAnsi="Times New Roman"/>
                <w:sz w:val="20"/>
              </w:rPr>
              <w:t>Č I</w:t>
            </w:r>
            <w:r w:rsidR="00F1551E" w:rsidRPr="00760A15">
              <w:rPr>
                <w:rFonts w:ascii="Times New Roman" w:hAnsi="Times New Roman"/>
                <w:sz w:val="20"/>
              </w:rPr>
              <w:t>, § 6, O 5</w:t>
            </w:r>
          </w:p>
        </w:tc>
        <w:tc>
          <w:tcPr>
            <w:tcW w:w="3686" w:type="dxa"/>
          </w:tcPr>
          <w:p w:rsidR="00CB6323" w:rsidRPr="00760A15" w:rsidRDefault="00CB6323" w:rsidP="00CB6323">
            <w:pPr>
              <w:autoSpaceDE w:val="0"/>
              <w:autoSpaceDN w:val="0"/>
              <w:adjustRightInd w:val="0"/>
              <w:spacing w:after="0" w:line="240" w:lineRule="auto"/>
              <w:jc w:val="both"/>
              <w:rPr>
                <w:rFonts w:ascii="Times New Roman" w:hAnsi="Times New Roman"/>
                <w:sz w:val="20"/>
                <w:szCs w:val="20"/>
              </w:rPr>
            </w:pPr>
            <w:r w:rsidRPr="00760A15">
              <w:rPr>
                <w:rFonts w:ascii="Times New Roman" w:hAnsi="Times New Roman"/>
                <w:sz w:val="20"/>
                <w:szCs w:val="20"/>
              </w:rPr>
              <w:t>(5) Od začatia konania o vydaní povolenia na ukladanie až do jeho právoplatného ukon</w:t>
            </w:r>
            <w:r w:rsidRPr="00760A15">
              <w:rPr>
                <w:rFonts w:ascii="Times New Roman" w:hAnsi="Times New Roman"/>
                <w:sz w:val="20"/>
                <w:szCs w:val="20"/>
              </w:rPr>
              <w:lastRenderedPageBreak/>
              <w:t>čenia nesmie byť v úložnom komplexe určené nové prieskumné územie pre vybrané geologické práce podľa osobitného predpisu.</w:t>
            </w:r>
            <w:r w:rsidRPr="00760A15">
              <w:rPr>
                <w:rFonts w:ascii="Times New Roman" w:hAnsi="Times New Roman"/>
                <w:sz w:val="20"/>
                <w:szCs w:val="20"/>
                <w:vertAlign w:val="superscript"/>
              </w:rPr>
              <w:t>8a)</w:t>
            </w:r>
          </w:p>
          <w:p w:rsidR="00F1551E" w:rsidRPr="00760A15" w:rsidRDefault="00F1551E" w:rsidP="00F1551E">
            <w:pPr>
              <w:pStyle w:val="tl1"/>
              <w:numPr>
                <w:ilvl w:val="0"/>
                <w:numId w:val="0"/>
              </w:numPr>
              <w:tabs>
                <w:tab w:val="clear" w:pos="454"/>
                <w:tab w:val="left" w:pos="-108"/>
              </w:tabs>
              <w:jc w:val="left"/>
              <w:rPr>
                <w:sz w:val="20"/>
                <w:szCs w:val="20"/>
              </w:rPr>
            </w:pPr>
          </w:p>
        </w:tc>
        <w:tc>
          <w:tcPr>
            <w:tcW w:w="850" w:type="dxa"/>
          </w:tcPr>
          <w:p w:rsidR="00F1551E" w:rsidRPr="00760A15" w:rsidRDefault="00F1551E" w:rsidP="00F1551E">
            <w:pPr>
              <w:spacing w:after="0" w:line="240" w:lineRule="auto"/>
              <w:rPr>
                <w:rFonts w:ascii="Times New Roman" w:hAnsi="Times New Roman"/>
                <w:sz w:val="20"/>
              </w:rPr>
            </w:pPr>
            <w:r w:rsidRPr="00760A15">
              <w:rPr>
                <w:rFonts w:ascii="Times New Roman" w:hAnsi="Times New Roman"/>
                <w:sz w:val="20"/>
              </w:rPr>
              <w:lastRenderedPageBreak/>
              <w:t>Ú</w:t>
            </w:r>
          </w:p>
        </w:tc>
        <w:tc>
          <w:tcPr>
            <w:tcW w:w="1418" w:type="dxa"/>
          </w:tcPr>
          <w:p w:rsidR="00F1551E" w:rsidRPr="00760A15" w:rsidRDefault="00F1551E" w:rsidP="00F1551E">
            <w:pPr>
              <w:spacing w:after="0" w:line="240" w:lineRule="auto"/>
              <w:rPr>
                <w:rFonts w:ascii="Times New Roman" w:hAnsi="Times New Roman"/>
                <w:sz w:val="20"/>
              </w:rPr>
            </w:pPr>
          </w:p>
        </w:tc>
      </w:tr>
      <w:tr w:rsidR="00F1551E" w:rsidRPr="00760A15" w:rsidTr="00AF1F08">
        <w:tc>
          <w:tcPr>
            <w:tcW w:w="1242" w:type="dxa"/>
          </w:tcPr>
          <w:p w:rsidR="00F1551E" w:rsidRPr="00760A15" w:rsidRDefault="002D70D1" w:rsidP="00F1551E">
            <w:pPr>
              <w:spacing w:after="0" w:line="240" w:lineRule="auto"/>
              <w:rPr>
                <w:rFonts w:ascii="Times New Roman" w:hAnsi="Times New Roman"/>
                <w:sz w:val="20"/>
              </w:rPr>
            </w:pPr>
            <w:r w:rsidRPr="00760A15">
              <w:rPr>
                <w:rFonts w:ascii="Times New Roman" w:hAnsi="Times New Roman"/>
                <w:sz w:val="20"/>
              </w:rPr>
              <w:lastRenderedPageBreak/>
              <w:t xml:space="preserve">Č 7, B 9 </w:t>
            </w:r>
          </w:p>
        </w:tc>
        <w:tc>
          <w:tcPr>
            <w:tcW w:w="3544" w:type="dxa"/>
          </w:tcPr>
          <w:p w:rsidR="002D70D1" w:rsidRPr="00760A15" w:rsidRDefault="002D70D1" w:rsidP="002D70D1">
            <w:pPr>
              <w:spacing w:after="0" w:line="240" w:lineRule="auto"/>
              <w:rPr>
                <w:rFonts w:ascii="Times New Roman" w:hAnsi="Times New Roman"/>
                <w:sz w:val="20"/>
                <w:lang w:eastAsia="sk-SK"/>
              </w:rPr>
            </w:pPr>
            <w:r w:rsidRPr="00760A15">
              <w:rPr>
                <w:rFonts w:ascii="Times New Roman" w:hAnsi="Times New Roman"/>
                <w:sz w:val="20"/>
                <w:lang w:eastAsia="sk-SK"/>
              </w:rPr>
              <w:t xml:space="preserve">Žiadosti o povolenia na ukladanie, ktoré sa predkladajú príslušnému orgánu, obsahujú aspoň tieto informácie: </w:t>
            </w:r>
          </w:p>
          <w:p w:rsidR="002D70D1" w:rsidRPr="00760A15" w:rsidRDefault="00037C1C" w:rsidP="002D70D1">
            <w:pPr>
              <w:spacing w:after="0" w:line="240" w:lineRule="auto"/>
              <w:rPr>
                <w:rFonts w:ascii="Times New Roman" w:hAnsi="Times New Roman"/>
                <w:sz w:val="20"/>
                <w:lang w:eastAsia="sk-SK"/>
              </w:rPr>
            </w:pPr>
            <w:r w:rsidRPr="00760A15">
              <w:rPr>
                <w:rFonts w:ascii="Times New Roman" w:hAnsi="Times New Roman"/>
                <w:sz w:val="20"/>
                <w:lang w:eastAsia="sk-SK"/>
              </w:rPr>
              <w:t>(</w:t>
            </w:r>
            <w:r w:rsidR="002D70D1" w:rsidRPr="00760A15">
              <w:rPr>
                <w:rFonts w:ascii="Times New Roman" w:hAnsi="Times New Roman"/>
                <w:sz w:val="20"/>
                <w:lang w:eastAsia="sk-SK"/>
              </w:rPr>
              <w:t>...</w:t>
            </w:r>
            <w:r w:rsidRPr="00760A15">
              <w:rPr>
                <w:rFonts w:ascii="Times New Roman" w:hAnsi="Times New Roman"/>
                <w:sz w:val="20"/>
                <w:lang w:eastAsia="sk-SK"/>
              </w:rPr>
              <w:t>)</w:t>
            </w:r>
          </w:p>
          <w:p w:rsidR="00F1551E" w:rsidRPr="00760A15" w:rsidRDefault="002D70D1" w:rsidP="002D70D1">
            <w:pPr>
              <w:spacing w:after="0" w:line="240" w:lineRule="auto"/>
              <w:rPr>
                <w:rFonts w:ascii="Times New Roman" w:hAnsi="Times New Roman"/>
                <w:sz w:val="20"/>
                <w:lang w:eastAsia="sk-SK"/>
              </w:rPr>
            </w:pPr>
            <w:r w:rsidRPr="00760A15">
              <w:rPr>
                <w:rFonts w:ascii="Times New Roman" w:hAnsi="Times New Roman"/>
                <w:sz w:val="20"/>
                <w:lang w:eastAsia="sk-SK"/>
              </w:rPr>
              <w:t>informácie, ktoré sa poskytujú podľa článku 5 smernice 85/337/EHS;</w:t>
            </w:r>
          </w:p>
        </w:tc>
        <w:tc>
          <w:tcPr>
            <w:tcW w:w="1276" w:type="dxa"/>
          </w:tcPr>
          <w:p w:rsidR="00F1551E" w:rsidRPr="00760A15" w:rsidRDefault="002D70D1"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F1551E" w:rsidRPr="00760A15" w:rsidRDefault="002D70D1"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F1551E" w:rsidRPr="00760A15" w:rsidRDefault="00057906" w:rsidP="00F1551E">
            <w:pPr>
              <w:spacing w:after="0" w:line="240" w:lineRule="auto"/>
              <w:rPr>
                <w:rFonts w:ascii="Times New Roman" w:hAnsi="Times New Roman"/>
                <w:sz w:val="20"/>
              </w:rPr>
            </w:pPr>
            <w:r w:rsidRPr="00760A15">
              <w:rPr>
                <w:rFonts w:ascii="Times New Roman" w:hAnsi="Times New Roman"/>
                <w:sz w:val="20"/>
              </w:rPr>
              <w:t>Č I</w:t>
            </w:r>
            <w:r w:rsidR="00442262" w:rsidRPr="00760A15">
              <w:rPr>
                <w:rFonts w:ascii="Times New Roman" w:hAnsi="Times New Roman"/>
                <w:sz w:val="20"/>
              </w:rPr>
              <w:t>, § 4, O 2, P f)</w:t>
            </w:r>
          </w:p>
        </w:tc>
        <w:tc>
          <w:tcPr>
            <w:tcW w:w="3686" w:type="dxa"/>
          </w:tcPr>
          <w:p w:rsidR="0054442A" w:rsidRPr="00EC4757" w:rsidRDefault="0054442A" w:rsidP="0054442A">
            <w:pPr>
              <w:autoSpaceDE w:val="0"/>
              <w:autoSpaceDN w:val="0"/>
              <w:adjustRightInd w:val="0"/>
              <w:spacing w:after="0" w:line="240" w:lineRule="auto"/>
              <w:jc w:val="both"/>
              <w:rPr>
                <w:rFonts w:ascii="Times New Roman" w:hAnsi="Times New Roman"/>
                <w:sz w:val="20"/>
                <w:szCs w:val="20"/>
              </w:rPr>
            </w:pPr>
            <w:r w:rsidRPr="00760A15">
              <w:rPr>
                <w:rFonts w:ascii="Times New Roman" w:hAnsi="Times New Roman"/>
                <w:sz w:val="20"/>
                <w:szCs w:val="20"/>
              </w:rPr>
              <w:t>f)  záverečné stanovisko z posudzovania vplyvov plánovanej činnosti alebo jej zmeny podľa osobitného predpisu,</w:t>
            </w:r>
            <w:r w:rsidR="00EC4757">
              <w:rPr>
                <w:rFonts w:ascii="Times New Roman" w:hAnsi="Times New Roman"/>
                <w:sz w:val="20"/>
                <w:szCs w:val="20"/>
                <w:vertAlign w:val="superscript"/>
              </w:rPr>
              <w:t>3</w:t>
            </w:r>
            <w:r w:rsidR="00EC4757">
              <w:rPr>
                <w:rFonts w:ascii="Times New Roman" w:hAnsi="Times New Roman"/>
                <w:sz w:val="20"/>
                <w:szCs w:val="20"/>
              </w:rPr>
              <w:t>)</w:t>
            </w:r>
            <w:r w:rsidRPr="00760A15">
              <w:rPr>
                <w:rFonts w:ascii="Times New Roman" w:hAnsi="Times New Roman"/>
                <w:sz w:val="20"/>
                <w:szCs w:val="20"/>
              </w:rPr>
              <w:t xml:space="preserve"> alebo rozhodnutie vydané v zisťovacom konaní podľa osobitného predpisu,</w:t>
            </w:r>
            <w:r w:rsidR="00EC4757">
              <w:rPr>
                <w:rFonts w:ascii="Times New Roman" w:hAnsi="Times New Roman"/>
                <w:sz w:val="20"/>
                <w:szCs w:val="20"/>
                <w:vertAlign w:val="superscript"/>
              </w:rPr>
              <w:t>3a</w:t>
            </w:r>
            <w:r w:rsidR="00EC4757">
              <w:rPr>
                <w:rFonts w:ascii="Times New Roman" w:hAnsi="Times New Roman"/>
                <w:sz w:val="20"/>
                <w:szCs w:val="20"/>
              </w:rPr>
              <w:t>)</w:t>
            </w:r>
          </w:p>
          <w:p w:rsidR="00F1551E" w:rsidRPr="00760A15" w:rsidRDefault="00F1551E" w:rsidP="00442262">
            <w:pPr>
              <w:pStyle w:val="tl1"/>
              <w:numPr>
                <w:ilvl w:val="0"/>
                <w:numId w:val="0"/>
              </w:numPr>
              <w:tabs>
                <w:tab w:val="clear" w:pos="454"/>
                <w:tab w:val="left" w:pos="-108"/>
              </w:tabs>
              <w:jc w:val="left"/>
              <w:rPr>
                <w:sz w:val="18"/>
                <w:szCs w:val="18"/>
              </w:rPr>
            </w:pPr>
          </w:p>
        </w:tc>
        <w:tc>
          <w:tcPr>
            <w:tcW w:w="850" w:type="dxa"/>
          </w:tcPr>
          <w:p w:rsidR="00F1551E" w:rsidRPr="00760A15" w:rsidRDefault="00B90A79"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F1551E" w:rsidRPr="00760A15" w:rsidRDefault="00F1551E" w:rsidP="00F1551E">
            <w:pPr>
              <w:spacing w:after="0" w:line="240" w:lineRule="auto"/>
              <w:rPr>
                <w:rFonts w:ascii="Times New Roman" w:hAnsi="Times New Roman"/>
                <w:sz w:val="20"/>
              </w:rPr>
            </w:pPr>
          </w:p>
        </w:tc>
      </w:tr>
      <w:tr w:rsidR="00F1551E" w:rsidRPr="00760A15" w:rsidTr="00AF1F08">
        <w:tc>
          <w:tcPr>
            <w:tcW w:w="1242" w:type="dxa"/>
          </w:tcPr>
          <w:p w:rsidR="00F1551E" w:rsidRPr="00760A15" w:rsidRDefault="00B90A79" w:rsidP="00F1551E">
            <w:pPr>
              <w:spacing w:after="0" w:line="240" w:lineRule="auto"/>
              <w:rPr>
                <w:rFonts w:ascii="Times New Roman" w:hAnsi="Times New Roman"/>
                <w:sz w:val="20"/>
              </w:rPr>
            </w:pPr>
            <w:r w:rsidRPr="00760A15">
              <w:rPr>
                <w:rFonts w:ascii="Times New Roman" w:hAnsi="Times New Roman"/>
                <w:sz w:val="20"/>
              </w:rPr>
              <w:t>Č 11, O 2</w:t>
            </w:r>
          </w:p>
        </w:tc>
        <w:tc>
          <w:tcPr>
            <w:tcW w:w="3544" w:type="dxa"/>
          </w:tcPr>
          <w:p w:rsidR="00F1551E" w:rsidRPr="00760A15" w:rsidRDefault="00B90A79" w:rsidP="00B90A79">
            <w:pPr>
              <w:spacing w:after="0" w:line="240" w:lineRule="auto"/>
              <w:rPr>
                <w:rFonts w:ascii="Times New Roman" w:hAnsi="Times New Roman"/>
                <w:sz w:val="20"/>
                <w:lang w:eastAsia="sk-SK"/>
              </w:rPr>
            </w:pPr>
            <w:r w:rsidRPr="00760A15">
              <w:rPr>
                <w:rFonts w:ascii="Times New Roman" w:hAnsi="Times New Roman"/>
                <w:sz w:val="20"/>
                <w:lang w:eastAsia="sk-SK"/>
              </w:rPr>
              <w:t>Členské štáty zabezpečia, aby sa nevykonala žiadna podstatná zmena bez nového alebo zaktualizovaného povolenia na ukladanie vydaného v súlade s touto smernicou. V takýchto prípadoch sa uplatňuje príloha II bod 13 prvá zarážka smernice 85/337/EHS.</w:t>
            </w:r>
          </w:p>
        </w:tc>
        <w:tc>
          <w:tcPr>
            <w:tcW w:w="1276" w:type="dxa"/>
          </w:tcPr>
          <w:p w:rsidR="00F1551E" w:rsidRPr="00760A15" w:rsidRDefault="00B90A79"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F1551E" w:rsidRPr="00760A15" w:rsidRDefault="00B90A79"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F1551E" w:rsidRPr="00760A15" w:rsidRDefault="00057906" w:rsidP="00F1551E">
            <w:pPr>
              <w:spacing w:after="0" w:line="240" w:lineRule="auto"/>
              <w:rPr>
                <w:rFonts w:ascii="Times New Roman" w:hAnsi="Times New Roman"/>
                <w:sz w:val="20"/>
              </w:rPr>
            </w:pPr>
            <w:r w:rsidRPr="00760A15">
              <w:rPr>
                <w:rFonts w:ascii="Times New Roman" w:hAnsi="Times New Roman"/>
                <w:sz w:val="20"/>
              </w:rPr>
              <w:t>Č I</w:t>
            </w:r>
            <w:r w:rsidR="00194939" w:rsidRPr="00760A15">
              <w:rPr>
                <w:rFonts w:ascii="Times New Roman" w:hAnsi="Times New Roman"/>
                <w:sz w:val="20"/>
              </w:rPr>
              <w:t>, § 8, O 6</w:t>
            </w:r>
          </w:p>
        </w:tc>
        <w:tc>
          <w:tcPr>
            <w:tcW w:w="3686" w:type="dxa"/>
          </w:tcPr>
          <w:p w:rsidR="00F1551E" w:rsidRPr="00760A15" w:rsidRDefault="00194939" w:rsidP="00B90A79">
            <w:pPr>
              <w:pStyle w:val="tl1"/>
              <w:numPr>
                <w:ilvl w:val="0"/>
                <w:numId w:val="0"/>
              </w:numPr>
              <w:tabs>
                <w:tab w:val="clear" w:pos="454"/>
                <w:tab w:val="left" w:pos="-108"/>
              </w:tabs>
              <w:jc w:val="left"/>
              <w:rPr>
                <w:sz w:val="18"/>
                <w:szCs w:val="18"/>
              </w:rPr>
            </w:pPr>
            <w:r w:rsidRPr="00760A15">
              <w:rPr>
                <w:sz w:val="20"/>
                <w:szCs w:val="20"/>
              </w:rPr>
              <w:t>Obvodný banský úrad v konaní podľa odseku 5 vydá nové povolenie na ukladanie, ktoré obsahuje aktualizované podmienky už vydaného povolenia na ukladanie.</w:t>
            </w:r>
            <w:r w:rsidRPr="00760A15">
              <w:t xml:space="preserve"> </w:t>
            </w:r>
            <w:r w:rsidR="00EC4757" w:rsidRPr="00EC4757">
              <w:rPr>
                <w:sz w:val="20"/>
                <w:szCs w:val="20"/>
              </w:rPr>
              <w:t>Vydaniu tohto povolenia predchádza zisťovacie konanie a vydanie záverečného stanoviska podľa osobitného predpisu.</w:t>
            </w:r>
            <w:r w:rsidR="00EC4757" w:rsidRPr="00EC4757">
              <w:rPr>
                <w:sz w:val="20"/>
                <w:szCs w:val="20"/>
                <w:vertAlign w:val="superscript"/>
              </w:rPr>
              <w:t>8b</w:t>
            </w:r>
            <w:r w:rsidR="00EC4757" w:rsidRPr="00EC4757">
              <w:rPr>
                <w:sz w:val="20"/>
                <w:szCs w:val="20"/>
              </w:rPr>
              <w:t>)</w:t>
            </w:r>
          </w:p>
        </w:tc>
        <w:tc>
          <w:tcPr>
            <w:tcW w:w="850" w:type="dxa"/>
          </w:tcPr>
          <w:p w:rsidR="00F1551E" w:rsidRPr="00760A15" w:rsidRDefault="00E65E98"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F1551E" w:rsidRPr="00760A15" w:rsidRDefault="00F1551E" w:rsidP="00F1551E">
            <w:pPr>
              <w:spacing w:after="0" w:line="240" w:lineRule="auto"/>
              <w:rPr>
                <w:rFonts w:ascii="Times New Roman" w:hAnsi="Times New Roman"/>
                <w:sz w:val="20"/>
              </w:rPr>
            </w:pPr>
          </w:p>
        </w:tc>
      </w:tr>
      <w:tr w:rsidR="0035770F" w:rsidRPr="00760A15" w:rsidTr="00964B6E">
        <w:trPr>
          <w:trHeight w:val="4466"/>
        </w:trPr>
        <w:tc>
          <w:tcPr>
            <w:tcW w:w="1242" w:type="dxa"/>
            <w:vMerge w:val="restart"/>
            <w:tcBorders>
              <w:bottom w:val="single" w:sz="4" w:space="0" w:color="000000"/>
            </w:tcBorders>
          </w:tcPr>
          <w:p w:rsidR="0035770F" w:rsidRPr="00760A15" w:rsidRDefault="0035770F" w:rsidP="00F1551E">
            <w:pPr>
              <w:spacing w:after="0" w:line="240" w:lineRule="auto"/>
              <w:rPr>
                <w:rFonts w:ascii="Times New Roman" w:hAnsi="Times New Roman"/>
                <w:sz w:val="20"/>
              </w:rPr>
            </w:pPr>
            <w:r w:rsidRPr="00760A15">
              <w:rPr>
                <w:rFonts w:ascii="Times New Roman" w:hAnsi="Times New Roman"/>
                <w:sz w:val="20"/>
              </w:rPr>
              <w:t>Č 13, O 1, P a), b), c), e), ... g)</w:t>
            </w:r>
          </w:p>
        </w:tc>
        <w:tc>
          <w:tcPr>
            <w:tcW w:w="3544" w:type="dxa"/>
            <w:vMerge w:val="restart"/>
            <w:tcBorders>
              <w:bottom w:val="single" w:sz="4" w:space="0" w:color="000000"/>
            </w:tcBorders>
          </w:tcPr>
          <w:p w:rsidR="0035770F" w:rsidRPr="00760A15" w:rsidRDefault="0035770F" w:rsidP="00037C1C">
            <w:pPr>
              <w:spacing w:after="0" w:line="240" w:lineRule="auto"/>
              <w:rPr>
                <w:rFonts w:ascii="Times New Roman" w:hAnsi="Times New Roman"/>
                <w:sz w:val="20"/>
                <w:szCs w:val="20"/>
                <w:lang w:eastAsia="sk-SK"/>
              </w:rPr>
            </w:pPr>
            <w:r w:rsidRPr="00760A15">
              <w:rPr>
                <w:rFonts w:ascii="Times New Roman" w:hAnsi="Times New Roman"/>
                <w:sz w:val="20"/>
                <w:szCs w:val="20"/>
                <w:lang w:eastAsia="sk-SK"/>
              </w:rPr>
              <w:t xml:space="preserve">Členské štáty zabezpečia, aby prevádzkovateľ vykonával monitorovanie </w:t>
            </w:r>
            <w:proofErr w:type="spellStart"/>
            <w:r w:rsidRPr="00760A15">
              <w:rPr>
                <w:rFonts w:ascii="Times New Roman" w:hAnsi="Times New Roman"/>
                <w:sz w:val="20"/>
                <w:szCs w:val="20"/>
                <w:lang w:eastAsia="sk-SK"/>
              </w:rPr>
              <w:t>vtláčacích</w:t>
            </w:r>
            <w:proofErr w:type="spellEnd"/>
            <w:r w:rsidRPr="00760A15">
              <w:rPr>
                <w:rFonts w:ascii="Times New Roman" w:hAnsi="Times New Roman"/>
                <w:sz w:val="20"/>
                <w:szCs w:val="20"/>
                <w:lang w:eastAsia="sk-SK"/>
              </w:rPr>
              <w:t xml:space="preserve"> zariadení, úložného komplexu (vrátane oblaku CO</w:t>
            </w:r>
            <w:r w:rsidRPr="00760A15">
              <w:rPr>
                <w:rFonts w:ascii="Times New Roman" w:hAnsi="Times New Roman"/>
                <w:sz w:val="20"/>
                <w:szCs w:val="20"/>
                <w:vertAlign w:val="subscript"/>
                <w:lang w:eastAsia="sk-SK"/>
              </w:rPr>
              <w:t>2</w:t>
            </w:r>
            <w:r w:rsidRPr="00760A15">
              <w:rPr>
                <w:rFonts w:ascii="Times New Roman" w:hAnsi="Times New Roman"/>
                <w:sz w:val="20"/>
                <w:szCs w:val="20"/>
                <w:lang w:eastAsia="sk-SK"/>
              </w:rPr>
              <w:t xml:space="preserve">, kde je to možné), a kde je to vhodné, aj okolitého prostredia na účely: </w:t>
            </w:r>
          </w:p>
          <w:p w:rsidR="0035770F" w:rsidRPr="00760A15" w:rsidRDefault="0035770F" w:rsidP="00D30B28">
            <w:pPr>
              <w:pStyle w:val="Default"/>
              <w:spacing w:before="120" w:after="120"/>
              <w:jc w:val="both"/>
              <w:rPr>
                <w:rFonts w:ascii="Times New Roman" w:hAnsi="Times New Roman" w:cs="Times New Roman"/>
                <w:color w:val="auto"/>
                <w:sz w:val="20"/>
                <w:szCs w:val="20"/>
              </w:rPr>
            </w:pPr>
            <w:r w:rsidRPr="00760A15">
              <w:rPr>
                <w:rFonts w:ascii="Times New Roman" w:hAnsi="Times New Roman" w:cs="Times New Roman"/>
                <w:color w:val="auto"/>
                <w:sz w:val="20"/>
                <w:szCs w:val="20"/>
              </w:rPr>
              <w:t>a) porovnania skutočného a modelového správania CO2 a formačnej vody v úložisku;</w:t>
            </w:r>
          </w:p>
          <w:p w:rsidR="0035770F" w:rsidRPr="00760A15" w:rsidRDefault="0035770F" w:rsidP="00D30B28">
            <w:pPr>
              <w:pStyle w:val="Default"/>
              <w:spacing w:before="120" w:after="120"/>
              <w:jc w:val="both"/>
              <w:rPr>
                <w:rFonts w:ascii="Times New Roman" w:hAnsi="Times New Roman" w:cs="Times New Roman"/>
                <w:color w:val="auto"/>
                <w:sz w:val="20"/>
                <w:szCs w:val="20"/>
              </w:rPr>
            </w:pPr>
            <w:r w:rsidRPr="00760A15">
              <w:rPr>
                <w:rFonts w:ascii="Times New Roman" w:hAnsi="Times New Roman" w:cs="Times New Roman"/>
                <w:color w:val="auto"/>
                <w:sz w:val="20"/>
                <w:szCs w:val="20"/>
              </w:rPr>
              <w:t>b) zisťovania významných nedostatkov;</w:t>
            </w:r>
          </w:p>
          <w:p w:rsidR="0035770F" w:rsidRPr="00760A15" w:rsidRDefault="0035770F" w:rsidP="00D30B28">
            <w:pPr>
              <w:pStyle w:val="Default"/>
              <w:spacing w:before="120" w:after="120"/>
              <w:jc w:val="both"/>
              <w:rPr>
                <w:rFonts w:ascii="Times New Roman" w:hAnsi="Times New Roman" w:cs="Times New Roman"/>
                <w:color w:val="auto"/>
                <w:sz w:val="20"/>
                <w:szCs w:val="20"/>
              </w:rPr>
            </w:pPr>
            <w:r w:rsidRPr="00760A15">
              <w:rPr>
                <w:rFonts w:ascii="Times New Roman" w:hAnsi="Times New Roman" w:cs="Times New Roman"/>
                <w:color w:val="auto"/>
                <w:sz w:val="20"/>
                <w:szCs w:val="20"/>
              </w:rPr>
              <w:t>c) zisťovania migrácie CO2;</w:t>
            </w:r>
          </w:p>
          <w:p w:rsidR="0035770F" w:rsidRPr="00760A15" w:rsidRDefault="0035770F" w:rsidP="00D30B28">
            <w:pPr>
              <w:pStyle w:val="Default"/>
              <w:spacing w:before="120" w:after="120"/>
              <w:jc w:val="both"/>
              <w:rPr>
                <w:rFonts w:ascii="Times New Roman" w:hAnsi="Times New Roman" w:cs="Times New Roman"/>
                <w:color w:val="auto"/>
                <w:sz w:val="20"/>
                <w:szCs w:val="20"/>
              </w:rPr>
            </w:pPr>
            <w:r w:rsidRPr="00760A15">
              <w:rPr>
                <w:rFonts w:ascii="Times New Roman" w:hAnsi="Times New Roman" w:cs="Times New Roman"/>
                <w:color w:val="auto"/>
                <w:sz w:val="20"/>
                <w:szCs w:val="20"/>
              </w:rPr>
              <w:t>d) zisťovania únikov CO2;</w:t>
            </w:r>
          </w:p>
          <w:p w:rsidR="0035770F" w:rsidRPr="00760A15" w:rsidRDefault="0035770F" w:rsidP="00037C1C">
            <w:pPr>
              <w:spacing w:after="0" w:line="240" w:lineRule="auto"/>
              <w:rPr>
                <w:rFonts w:ascii="Times New Roman" w:hAnsi="Times New Roman"/>
                <w:sz w:val="20"/>
                <w:szCs w:val="20"/>
                <w:lang w:eastAsia="sk-SK"/>
              </w:rPr>
            </w:pPr>
            <w:r w:rsidRPr="00760A15">
              <w:rPr>
                <w:rFonts w:ascii="Times New Roman" w:hAnsi="Times New Roman"/>
                <w:sz w:val="20"/>
                <w:szCs w:val="20"/>
                <w:lang w:eastAsia="sk-SK"/>
              </w:rPr>
              <w:t>e) zisťovania významných nepriaznivých účinkov na okolité prostredie, najmä na pitnú vodu, na obyvateľstvo alebo na používateľov okolitej biosféry;</w:t>
            </w:r>
          </w:p>
          <w:p w:rsidR="0035770F" w:rsidRPr="00760A15" w:rsidRDefault="0035770F" w:rsidP="00037C1C">
            <w:pPr>
              <w:spacing w:after="0" w:line="240" w:lineRule="auto"/>
              <w:rPr>
                <w:rFonts w:ascii="Times New Roman" w:hAnsi="Times New Roman"/>
                <w:sz w:val="20"/>
                <w:szCs w:val="20"/>
                <w:lang w:eastAsia="sk-SK"/>
              </w:rPr>
            </w:pPr>
          </w:p>
          <w:p w:rsidR="0035770F" w:rsidRPr="00760A15" w:rsidRDefault="0035770F" w:rsidP="00037C1C">
            <w:pPr>
              <w:spacing w:after="0" w:line="240" w:lineRule="auto"/>
              <w:rPr>
                <w:rFonts w:ascii="Times New Roman" w:hAnsi="Times New Roman"/>
                <w:sz w:val="20"/>
                <w:szCs w:val="20"/>
                <w:lang w:eastAsia="sk-SK"/>
              </w:rPr>
            </w:pPr>
            <w:r w:rsidRPr="00760A15">
              <w:rPr>
                <w:rFonts w:ascii="Times New Roman" w:hAnsi="Times New Roman"/>
                <w:sz w:val="20"/>
                <w:szCs w:val="20"/>
              </w:rPr>
              <w:lastRenderedPageBreak/>
              <w:t>g) aktualizácie posudzovania bezpečnosti a neporušenosti úložného komplexu z krátkodobého a dlhodobého hľadiska vrátane posúdenia, či uložený CO2 bude úplne a trvalo izolovaný</w:t>
            </w:r>
          </w:p>
        </w:tc>
        <w:tc>
          <w:tcPr>
            <w:tcW w:w="1276" w:type="dxa"/>
            <w:vMerge w:val="restart"/>
            <w:tcBorders>
              <w:bottom w:val="single" w:sz="4" w:space="0" w:color="000000"/>
            </w:tcBorders>
          </w:tcPr>
          <w:p w:rsidR="0035770F" w:rsidRPr="00760A15" w:rsidRDefault="0035770F" w:rsidP="00F1551E">
            <w:pPr>
              <w:spacing w:after="0" w:line="240" w:lineRule="auto"/>
              <w:rPr>
                <w:rFonts w:ascii="Times New Roman" w:hAnsi="Times New Roman"/>
                <w:sz w:val="20"/>
                <w:szCs w:val="20"/>
              </w:rPr>
            </w:pPr>
            <w:r w:rsidRPr="00760A15">
              <w:rPr>
                <w:rFonts w:ascii="Times New Roman" w:hAnsi="Times New Roman"/>
                <w:sz w:val="20"/>
                <w:szCs w:val="20"/>
              </w:rPr>
              <w:lastRenderedPageBreak/>
              <w:t>N</w:t>
            </w:r>
          </w:p>
          <w:p w:rsidR="0035770F" w:rsidRPr="00760A15" w:rsidRDefault="0035770F" w:rsidP="00F1551E">
            <w:pPr>
              <w:spacing w:after="0" w:line="240" w:lineRule="auto"/>
              <w:rPr>
                <w:rFonts w:ascii="Times New Roman" w:hAnsi="Times New Roman"/>
                <w:sz w:val="20"/>
                <w:szCs w:val="20"/>
              </w:rPr>
            </w:pPr>
          </w:p>
        </w:tc>
        <w:tc>
          <w:tcPr>
            <w:tcW w:w="709" w:type="dxa"/>
            <w:vMerge w:val="restart"/>
            <w:tcBorders>
              <w:bottom w:val="single" w:sz="4" w:space="0" w:color="000000"/>
            </w:tcBorders>
          </w:tcPr>
          <w:p w:rsidR="0035770F" w:rsidRPr="00760A15" w:rsidRDefault="0035770F" w:rsidP="00F1551E">
            <w:pPr>
              <w:spacing w:after="0" w:line="240" w:lineRule="auto"/>
              <w:rPr>
                <w:rFonts w:ascii="Times New Roman" w:hAnsi="Times New Roman"/>
                <w:sz w:val="20"/>
                <w:szCs w:val="20"/>
              </w:rPr>
            </w:pPr>
            <w:r w:rsidRPr="00760A15">
              <w:rPr>
                <w:rFonts w:ascii="Times New Roman" w:hAnsi="Times New Roman"/>
                <w:sz w:val="20"/>
                <w:szCs w:val="20"/>
              </w:rPr>
              <w:t>NZ</w:t>
            </w:r>
          </w:p>
        </w:tc>
        <w:tc>
          <w:tcPr>
            <w:tcW w:w="1417" w:type="dxa"/>
            <w:vMerge w:val="restart"/>
            <w:tcBorders>
              <w:bottom w:val="single" w:sz="4" w:space="0" w:color="000000"/>
            </w:tcBorders>
          </w:tcPr>
          <w:p w:rsidR="0035770F" w:rsidRPr="00760A15" w:rsidRDefault="0035770F" w:rsidP="00F1551E">
            <w:pPr>
              <w:spacing w:after="0" w:line="240" w:lineRule="auto"/>
              <w:rPr>
                <w:rFonts w:ascii="Times New Roman" w:hAnsi="Times New Roman"/>
                <w:sz w:val="20"/>
                <w:szCs w:val="20"/>
              </w:rPr>
            </w:pPr>
            <w:r w:rsidRPr="00760A15">
              <w:rPr>
                <w:rFonts w:ascii="Times New Roman" w:hAnsi="Times New Roman"/>
                <w:sz w:val="20"/>
                <w:szCs w:val="20"/>
              </w:rPr>
              <w:t>Č I, § 10, O 1</w:t>
            </w:r>
          </w:p>
          <w:p w:rsidR="0035770F" w:rsidRPr="00760A15" w:rsidRDefault="0035770F" w:rsidP="00F1551E">
            <w:pPr>
              <w:spacing w:after="0" w:line="240" w:lineRule="auto"/>
              <w:rPr>
                <w:rFonts w:ascii="Times New Roman" w:hAnsi="Times New Roman"/>
                <w:sz w:val="20"/>
                <w:szCs w:val="20"/>
              </w:rPr>
            </w:pPr>
          </w:p>
          <w:p w:rsidR="0035770F" w:rsidRPr="00760A15" w:rsidRDefault="0035770F" w:rsidP="00F1551E">
            <w:pPr>
              <w:spacing w:after="0" w:line="240" w:lineRule="auto"/>
              <w:rPr>
                <w:rFonts w:ascii="Times New Roman" w:hAnsi="Times New Roman"/>
                <w:sz w:val="20"/>
                <w:szCs w:val="20"/>
              </w:rPr>
            </w:pPr>
          </w:p>
          <w:p w:rsidR="0035770F" w:rsidRPr="00760A15" w:rsidRDefault="0035770F" w:rsidP="00F1551E">
            <w:pPr>
              <w:spacing w:after="0" w:line="240" w:lineRule="auto"/>
              <w:rPr>
                <w:rFonts w:ascii="Times New Roman" w:hAnsi="Times New Roman"/>
                <w:sz w:val="20"/>
                <w:szCs w:val="20"/>
              </w:rPr>
            </w:pPr>
          </w:p>
          <w:p w:rsidR="0035770F" w:rsidRPr="00760A15" w:rsidRDefault="0035770F" w:rsidP="00D30B28">
            <w:pPr>
              <w:spacing w:after="0" w:line="240" w:lineRule="auto"/>
              <w:rPr>
                <w:rFonts w:ascii="Times New Roman" w:hAnsi="Times New Roman"/>
                <w:sz w:val="20"/>
                <w:szCs w:val="20"/>
              </w:rPr>
            </w:pPr>
          </w:p>
        </w:tc>
        <w:tc>
          <w:tcPr>
            <w:tcW w:w="3686" w:type="dxa"/>
            <w:vMerge w:val="restart"/>
            <w:tcBorders>
              <w:bottom w:val="single" w:sz="4" w:space="0" w:color="000000"/>
            </w:tcBorders>
          </w:tcPr>
          <w:p w:rsidR="0035770F" w:rsidRPr="00760A15" w:rsidRDefault="0035770F" w:rsidP="00194939">
            <w:pPr>
              <w:pStyle w:val="tl1"/>
              <w:numPr>
                <w:ilvl w:val="0"/>
                <w:numId w:val="0"/>
              </w:numPr>
              <w:tabs>
                <w:tab w:val="clear" w:pos="454"/>
                <w:tab w:val="left" w:pos="0"/>
              </w:tabs>
              <w:ind w:left="-3" w:firstLine="3"/>
              <w:rPr>
                <w:sz w:val="20"/>
                <w:szCs w:val="20"/>
              </w:rPr>
            </w:pPr>
            <w:r w:rsidRPr="00760A15">
              <w:rPr>
                <w:sz w:val="20"/>
                <w:szCs w:val="20"/>
              </w:rPr>
              <w:t xml:space="preserve">Prevádzkovateľ je povinný vykonávať monitorovanie </w:t>
            </w:r>
            <w:proofErr w:type="spellStart"/>
            <w:r w:rsidRPr="00760A15">
              <w:rPr>
                <w:sz w:val="20"/>
                <w:szCs w:val="20"/>
              </w:rPr>
              <w:t>vtláčacích</w:t>
            </w:r>
            <w:proofErr w:type="spellEnd"/>
            <w:r w:rsidRPr="00760A15">
              <w:rPr>
                <w:sz w:val="20"/>
                <w:szCs w:val="20"/>
              </w:rPr>
              <w:t xml:space="preserve"> zariadení, úložného komplexu, a tam, kde je to možné, aj mraku oxidu uhličitého, a ak je to vhodné, aj okolitého prostredia na účely</w:t>
            </w:r>
          </w:p>
          <w:p w:rsidR="0035770F" w:rsidRPr="00760A15" w:rsidRDefault="0035770F" w:rsidP="00194939">
            <w:pPr>
              <w:pStyle w:val="tl1"/>
              <w:numPr>
                <w:ilvl w:val="0"/>
                <w:numId w:val="0"/>
              </w:numPr>
              <w:tabs>
                <w:tab w:val="clear" w:pos="454"/>
                <w:tab w:val="left" w:pos="426"/>
              </w:tabs>
              <w:ind w:left="-3" w:firstLine="3"/>
              <w:rPr>
                <w:bCs/>
                <w:sz w:val="20"/>
                <w:szCs w:val="20"/>
              </w:rPr>
            </w:pPr>
            <w:r w:rsidRPr="00760A15">
              <w:rPr>
                <w:bCs/>
                <w:sz w:val="20"/>
                <w:szCs w:val="20"/>
              </w:rPr>
              <w:t>a) porovnania skutočného a modelového správania oxidu uhličitého a formačnej vody v úložisku,</w:t>
            </w:r>
          </w:p>
          <w:p w:rsidR="0035770F" w:rsidRPr="00760A15" w:rsidRDefault="0035770F" w:rsidP="00194939">
            <w:pPr>
              <w:pStyle w:val="tl1"/>
              <w:numPr>
                <w:ilvl w:val="0"/>
                <w:numId w:val="0"/>
              </w:numPr>
              <w:tabs>
                <w:tab w:val="clear" w:pos="454"/>
                <w:tab w:val="left" w:pos="426"/>
              </w:tabs>
              <w:ind w:left="-3" w:firstLine="3"/>
              <w:rPr>
                <w:bCs/>
                <w:sz w:val="20"/>
                <w:szCs w:val="20"/>
              </w:rPr>
            </w:pPr>
            <w:r w:rsidRPr="00760A15">
              <w:rPr>
                <w:bCs/>
                <w:sz w:val="20"/>
                <w:szCs w:val="20"/>
              </w:rPr>
              <w:t>b) zisťovania významných nedostatkov,</w:t>
            </w:r>
          </w:p>
          <w:p w:rsidR="0035770F" w:rsidRPr="00760A15" w:rsidRDefault="0035770F" w:rsidP="00194939">
            <w:pPr>
              <w:pStyle w:val="tl1"/>
              <w:numPr>
                <w:ilvl w:val="0"/>
                <w:numId w:val="0"/>
              </w:numPr>
              <w:tabs>
                <w:tab w:val="clear" w:pos="454"/>
                <w:tab w:val="left" w:pos="426"/>
              </w:tabs>
              <w:ind w:left="-3" w:firstLine="3"/>
              <w:rPr>
                <w:bCs/>
                <w:sz w:val="20"/>
                <w:szCs w:val="20"/>
              </w:rPr>
            </w:pPr>
            <w:r w:rsidRPr="00760A15">
              <w:rPr>
                <w:bCs/>
                <w:sz w:val="20"/>
                <w:szCs w:val="20"/>
              </w:rPr>
              <w:t>c) zisťovania migrácie oxidu uhličitého,</w:t>
            </w:r>
          </w:p>
          <w:p w:rsidR="0035770F" w:rsidRPr="00760A15" w:rsidRDefault="00E91771" w:rsidP="00194939">
            <w:pPr>
              <w:pStyle w:val="tl1"/>
              <w:numPr>
                <w:ilvl w:val="0"/>
                <w:numId w:val="0"/>
              </w:numPr>
              <w:tabs>
                <w:tab w:val="clear" w:pos="454"/>
                <w:tab w:val="left" w:pos="426"/>
              </w:tabs>
              <w:ind w:left="-3" w:firstLine="3"/>
              <w:rPr>
                <w:bCs/>
                <w:sz w:val="20"/>
                <w:szCs w:val="20"/>
              </w:rPr>
            </w:pPr>
            <w:r>
              <w:rPr>
                <w:bCs/>
                <w:sz w:val="20"/>
                <w:szCs w:val="20"/>
              </w:rPr>
              <w:t>d) zisťovania úniku</w:t>
            </w:r>
            <w:r w:rsidR="0035770F" w:rsidRPr="00760A15">
              <w:rPr>
                <w:bCs/>
                <w:sz w:val="20"/>
                <w:szCs w:val="20"/>
              </w:rPr>
              <w:t xml:space="preserve"> oxidu uhličitého,</w:t>
            </w:r>
          </w:p>
          <w:p w:rsidR="0035770F" w:rsidRPr="00760A15" w:rsidRDefault="0035770F" w:rsidP="00194939">
            <w:pPr>
              <w:pStyle w:val="tl1"/>
              <w:numPr>
                <w:ilvl w:val="0"/>
                <w:numId w:val="0"/>
              </w:numPr>
              <w:tabs>
                <w:tab w:val="clear" w:pos="454"/>
                <w:tab w:val="left" w:pos="426"/>
              </w:tabs>
              <w:ind w:left="-3" w:firstLine="3"/>
              <w:rPr>
                <w:sz w:val="20"/>
                <w:szCs w:val="20"/>
              </w:rPr>
            </w:pPr>
            <w:r w:rsidRPr="00760A15">
              <w:rPr>
                <w:bCs/>
                <w:sz w:val="20"/>
                <w:szCs w:val="20"/>
              </w:rPr>
              <w:t xml:space="preserve">e) </w:t>
            </w:r>
            <w:r w:rsidRPr="00760A15">
              <w:rPr>
                <w:sz w:val="20"/>
                <w:szCs w:val="20"/>
              </w:rPr>
              <w:t>zis</w:t>
            </w:r>
            <w:r w:rsidRPr="00760A15">
              <w:rPr>
                <w:rFonts w:hint="eastAsia"/>
                <w:sz w:val="20"/>
                <w:szCs w:val="20"/>
              </w:rPr>
              <w:t>ť</w:t>
            </w:r>
            <w:r w:rsidRPr="00760A15">
              <w:rPr>
                <w:sz w:val="20"/>
                <w:szCs w:val="20"/>
              </w:rPr>
              <w:t xml:space="preserve">ovania významných nepriaznivých </w:t>
            </w:r>
            <w:r w:rsidRPr="00760A15">
              <w:rPr>
                <w:rFonts w:hint="eastAsia"/>
                <w:sz w:val="20"/>
                <w:szCs w:val="20"/>
              </w:rPr>
              <w:t>úč</w:t>
            </w:r>
            <w:r w:rsidRPr="00760A15">
              <w:rPr>
                <w:sz w:val="20"/>
                <w:szCs w:val="20"/>
              </w:rPr>
              <w:t xml:space="preserve">inkov na </w:t>
            </w:r>
            <w:r w:rsidRPr="00760A15">
              <w:rPr>
                <w:rFonts w:hint="eastAsia"/>
                <w:sz w:val="20"/>
                <w:szCs w:val="20"/>
              </w:rPr>
              <w:t>ž</w:t>
            </w:r>
            <w:r w:rsidRPr="00760A15">
              <w:rPr>
                <w:sz w:val="20"/>
                <w:szCs w:val="20"/>
              </w:rPr>
              <w:t>ivotné prostredie a jeho zložky,</w:t>
            </w:r>
            <w:hyperlink r:id="rId10" w:anchor="poznamky.poznamka-13" w:tooltip="Odkaz na predpis alebo ustanovenie" w:history="1">
              <w:r w:rsidRPr="00760A15">
                <w:rPr>
                  <w:bCs/>
                  <w:sz w:val="20"/>
                  <w:szCs w:val="20"/>
                  <w:vertAlign w:val="superscript"/>
                </w:rPr>
                <w:t>13</w:t>
              </w:r>
              <w:r w:rsidRPr="00760A15">
                <w:rPr>
                  <w:bCs/>
                  <w:sz w:val="20"/>
                  <w:szCs w:val="20"/>
                </w:rPr>
                <w:t>)</w:t>
              </w:r>
            </w:hyperlink>
            <w:r w:rsidRPr="00760A15">
              <w:rPr>
                <w:sz w:val="20"/>
                <w:szCs w:val="20"/>
              </w:rPr>
              <w:t xml:space="preserve">vrátane </w:t>
            </w:r>
            <w:r w:rsidRPr="00760A15">
              <w:rPr>
                <w:bCs/>
                <w:sz w:val="20"/>
                <w:szCs w:val="20"/>
              </w:rPr>
              <w:t>pitnej vody, obyvateľov a používateľov okolitej biosféry,</w:t>
            </w:r>
            <w:r w:rsidRPr="00760A15">
              <w:rPr>
                <w:sz w:val="20"/>
                <w:szCs w:val="20"/>
              </w:rPr>
              <w:t xml:space="preserve"> </w:t>
            </w:r>
          </w:p>
          <w:p w:rsidR="0035770F" w:rsidRPr="00760A15" w:rsidRDefault="0035770F" w:rsidP="00194939">
            <w:pPr>
              <w:tabs>
                <w:tab w:val="left" w:pos="426"/>
              </w:tabs>
              <w:spacing w:after="0"/>
              <w:ind w:left="-3" w:firstLine="3"/>
              <w:jc w:val="both"/>
              <w:rPr>
                <w:rFonts w:ascii="Times New Roman" w:hAnsi="Times New Roman"/>
                <w:sz w:val="20"/>
                <w:szCs w:val="20"/>
                <w:lang w:eastAsia="sk-SK"/>
              </w:rPr>
            </w:pPr>
            <w:r w:rsidRPr="00760A15">
              <w:rPr>
                <w:rFonts w:ascii="Times New Roman" w:hAnsi="Times New Roman"/>
                <w:sz w:val="20"/>
                <w:szCs w:val="20"/>
                <w:lang w:eastAsia="sk-SK"/>
              </w:rPr>
              <w:t xml:space="preserve">g) </w:t>
            </w:r>
            <w:r w:rsidRPr="00760A15">
              <w:rPr>
                <w:rFonts w:ascii="Times New Roman" w:hAnsi="Times New Roman"/>
                <w:sz w:val="20"/>
                <w:szCs w:val="20"/>
              </w:rPr>
              <w:t>aktualizácie posudzovania bezpečnosti a neporušenosti úložného komplexu z</w:t>
            </w:r>
            <w:r w:rsidR="00706E18">
              <w:rPr>
                <w:rFonts w:ascii="Times New Roman" w:hAnsi="Times New Roman"/>
                <w:sz w:val="20"/>
                <w:szCs w:val="20"/>
              </w:rPr>
              <w:t> </w:t>
            </w:r>
            <w:r w:rsidRPr="00760A15">
              <w:rPr>
                <w:rFonts w:ascii="Times New Roman" w:hAnsi="Times New Roman"/>
                <w:sz w:val="20"/>
                <w:szCs w:val="20"/>
              </w:rPr>
              <w:t>krátkodobého</w:t>
            </w:r>
            <w:r w:rsidR="00706E18">
              <w:rPr>
                <w:rFonts w:ascii="Times New Roman" w:hAnsi="Times New Roman"/>
                <w:sz w:val="20"/>
                <w:szCs w:val="20"/>
              </w:rPr>
              <w:t xml:space="preserve"> hľadiska</w:t>
            </w:r>
            <w:r w:rsidRPr="00760A15">
              <w:rPr>
                <w:rFonts w:ascii="Times New Roman" w:hAnsi="Times New Roman"/>
                <w:sz w:val="20"/>
                <w:szCs w:val="20"/>
              </w:rPr>
              <w:t xml:space="preserve"> a dlhodobého hľadiska </w:t>
            </w:r>
            <w:r w:rsidRPr="00760A15">
              <w:rPr>
                <w:rFonts w:ascii="Times New Roman" w:hAnsi="Times New Roman"/>
                <w:sz w:val="20"/>
                <w:szCs w:val="20"/>
              </w:rPr>
              <w:lastRenderedPageBreak/>
              <w:t>vrátane posúdenia, či uložený oxid uhličitý bude úplne a trvalo izolovaný.</w:t>
            </w:r>
          </w:p>
          <w:p w:rsidR="0035770F" w:rsidRPr="00760A15" w:rsidRDefault="0035770F" w:rsidP="00E65E98">
            <w:pPr>
              <w:pStyle w:val="tl1"/>
              <w:tabs>
                <w:tab w:val="left" w:pos="-108"/>
              </w:tabs>
              <w:ind w:left="0"/>
              <w:jc w:val="left"/>
              <w:rPr>
                <w:sz w:val="20"/>
              </w:rPr>
            </w:pPr>
          </w:p>
        </w:tc>
        <w:tc>
          <w:tcPr>
            <w:tcW w:w="850" w:type="dxa"/>
            <w:vMerge w:val="restart"/>
            <w:tcBorders>
              <w:bottom w:val="single" w:sz="4" w:space="0" w:color="000000"/>
            </w:tcBorders>
          </w:tcPr>
          <w:p w:rsidR="0035770F" w:rsidRPr="00760A15" w:rsidRDefault="0035770F" w:rsidP="00F1551E">
            <w:pPr>
              <w:spacing w:after="0" w:line="240" w:lineRule="auto"/>
              <w:rPr>
                <w:rFonts w:ascii="Times New Roman" w:hAnsi="Times New Roman"/>
                <w:sz w:val="20"/>
              </w:rPr>
            </w:pPr>
            <w:r w:rsidRPr="00760A15">
              <w:rPr>
                <w:rFonts w:ascii="Times New Roman" w:hAnsi="Times New Roman"/>
                <w:sz w:val="20"/>
              </w:rPr>
              <w:lastRenderedPageBreak/>
              <w:t>Ú</w:t>
            </w:r>
          </w:p>
          <w:p w:rsidR="0035770F" w:rsidRPr="00760A15" w:rsidRDefault="0035770F" w:rsidP="00F1551E">
            <w:pPr>
              <w:spacing w:after="0" w:line="240" w:lineRule="auto"/>
              <w:rPr>
                <w:rFonts w:ascii="Times New Roman" w:hAnsi="Times New Roman"/>
                <w:sz w:val="20"/>
              </w:rPr>
            </w:pPr>
          </w:p>
          <w:p w:rsidR="0035770F" w:rsidRPr="00760A15" w:rsidRDefault="0035770F" w:rsidP="00F1551E">
            <w:pPr>
              <w:spacing w:after="0" w:line="240" w:lineRule="auto"/>
              <w:rPr>
                <w:rFonts w:ascii="Times New Roman" w:hAnsi="Times New Roman"/>
                <w:sz w:val="20"/>
              </w:rPr>
            </w:pPr>
          </w:p>
          <w:p w:rsidR="0035770F" w:rsidRPr="00760A15" w:rsidRDefault="0035770F" w:rsidP="00F1551E">
            <w:pPr>
              <w:spacing w:after="0" w:line="240" w:lineRule="auto"/>
              <w:rPr>
                <w:rFonts w:ascii="Times New Roman" w:hAnsi="Times New Roman"/>
                <w:sz w:val="20"/>
              </w:rPr>
            </w:pPr>
          </w:p>
        </w:tc>
        <w:tc>
          <w:tcPr>
            <w:tcW w:w="1418" w:type="dxa"/>
            <w:tcBorders>
              <w:bottom w:val="single" w:sz="4" w:space="0" w:color="000000"/>
            </w:tcBorders>
          </w:tcPr>
          <w:p w:rsidR="0035770F" w:rsidRPr="00760A15" w:rsidRDefault="0035770F" w:rsidP="00F1551E">
            <w:pPr>
              <w:spacing w:after="0" w:line="240" w:lineRule="auto"/>
              <w:rPr>
                <w:rFonts w:ascii="Times New Roman" w:hAnsi="Times New Roman"/>
                <w:sz w:val="20"/>
              </w:rPr>
            </w:pPr>
          </w:p>
          <w:p w:rsidR="0035770F" w:rsidRPr="00760A15" w:rsidRDefault="0035770F" w:rsidP="00F1551E">
            <w:pPr>
              <w:spacing w:after="0" w:line="240" w:lineRule="auto"/>
              <w:rPr>
                <w:rFonts w:ascii="Times New Roman" w:hAnsi="Times New Roman"/>
                <w:sz w:val="20"/>
              </w:rPr>
            </w:pPr>
          </w:p>
          <w:p w:rsidR="0035770F" w:rsidRPr="00760A15" w:rsidRDefault="0035770F" w:rsidP="00F1551E">
            <w:pPr>
              <w:spacing w:after="0" w:line="240" w:lineRule="auto"/>
              <w:rPr>
                <w:rFonts w:ascii="Times New Roman" w:hAnsi="Times New Roman"/>
                <w:sz w:val="20"/>
              </w:rPr>
            </w:pPr>
          </w:p>
          <w:p w:rsidR="0035770F" w:rsidRPr="00760A15" w:rsidRDefault="0035770F" w:rsidP="00F1551E">
            <w:pPr>
              <w:spacing w:after="0" w:line="240" w:lineRule="auto"/>
              <w:rPr>
                <w:rFonts w:ascii="Times New Roman" w:hAnsi="Times New Roman"/>
                <w:sz w:val="20"/>
              </w:rPr>
            </w:pPr>
          </w:p>
          <w:p w:rsidR="0035770F" w:rsidRPr="00760A15" w:rsidRDefault="0035770F" w:rsidP="00F1551E">
            <w:pPr>
              <w:spacing w:after="0" w:line="240" w:lineRule="auto"/>
              <w:rPr>
                <w:rFonts w:ascii="Times New Roman" w:hAnsi="Times New Roman"/>
                <w:sz w:val="20"/>
              </w:rPr>
            </w:pPr>
          </w:p>
        </w:tc>
      </w:tr>
      <w:tr w:rsidR="0035770F" w:rsidRPr="00760A15" w:rsidTr="004A159A">
        <w:trPr>
          <w:trHeight w:val="1362"/>
        </w:trPr>
        <w:tc>
          <w:tcPr>
            <w:tcW w:w="1242" w:type="dxa"/>
            <w:vMerge/>
          </w:tcPr>
          <w:p w:rsidR="0035770F" w:rsidRPr="00760A15" w:rsidRDefault="0035770F" w:rsidP="00F1551E">
            <w:pPr>
              <w:spacing w:after="0" w:line="240" w:lineRule="auto"/>
              <w:rPr>
                <w:rFonts w:ascii="Times New Roman" w:hAnsi="Times New Roman"/>
                <w:sz w:val="20"/>
              </w:rPr>
            </w:pPr>
          </w:p>
        </w:tc>
        <w:tc>
          <w:tcPr>
            <w:tcW w:w="3544" w:type="dxa"/>
            <w:vMerge/>
          </w:tcPr>
          <w:p w:rsidR="0035770F" w:rsidRPr="00760A15" w:rsidRDefault="0035770F" w:rsidP="00037C1C">
            <w:pPr>
              <w:spacing w:after="0" w:line="240" w:lineRule="auto"/>
              <w:rPr>
                <w:rFonts w:ascii="Times New Roman" w:hAnsi="Times New Roman"/>
                <w:sz w:val="20"/>
                <w:lang w:eastAsia="sk-SK"/>
              </w:rPr>
            </w:pPr>
          </w:p>
        </w:tc>
        <w:tc>
          <w:tcPr>
            <w:tcW w:w="1276" w:type="dxa"/>
            <w:vMerge/>
          </w:tcPr>
          <w:p w:rsidR="0035770F" w:rsidRPr="00760A15" w:rsidRDefault="0035770F" w:rsidP="00F1551E">
            <w:pPr>
              <w:spacing w:after="0" w:line="240" w:lineRule="auto"/>
              <w:rPr>
                <w:rFonts w:ascii="Times New Roman" w:hAnsi="Times New Roman"/>
                <w:sz w:val="20"/>
              </w:rPr>
            </w:pPr>
          </w:p>
        </w:tc>
        <w:tc>
          <w:tcPr>
            <w:tcW w:w="709" w:type="dxa"/>
            <w:vMerge/>
          </w:tcPr>
          <w:p w:rsidR="0035770F" w:rsidRPr="00760A15" w:rsidRDefault="0035770F" w:rsidP="00F1551E">
            <w:pPr>
              <w:spacing w:after="0" w:line="240" w:lineRule="auto"/>
              <w:rPr>
                <w:rFonts w:ascii="Times New Roman" w:hAnsi="Times New Roman"/>
                <w:sz w:val="20"/>
              </w:rPr>
            </w:pPr>
          </w:p>
        </w:tc>
        <w:tc>
          <w:tcPr>
            <w:tcW w:w="1417" w:type="dxa"/>
            <w:vMerge/>
          </w:tcPr>
          <w:p w:rsidR="0035770F" w:rsidRPr="00760A15" w:rsidRDefault="0035770F" w:rsidP="00D30B28">
            <w:pPr>
              <w:spacing w:after="0" w:line="240" w:lineRule="auto"/>
              <w:rPr>
                <w:rFonts w:ascii="Times New Roman" w:hAnsi="Times New Roman"/>
                <w:sz w:val="20"/>
              </w:rPr>
            </w:pPr>
          </w:p>
        </w:tc>
        <w:tc>
          <w:tcPr>
            <w:tcW w:w="3686" w:type="dxa"/>
            <w:vMerge/>
          </w:tcPr>
          <w:p w:rsidR="0035770F" w:rsidRPr="00760A15" w:rsidRDefault="0035770F" w:rsidP="00E65E98">
            <w:pPr>
              <w:pStyle w:val="tl1"/>
              <w:tabs>
                <w:tab w:val="left" w:pos="-108"/>
              </w:tabs>
              <w:ind w:left="0"/>
              <w:jc w:val="left"/>
              <w:rPr>
                <w:sz w:val="20"/>
              </w:rPr>
            </w:pPr>
          </w:p>
        </w:tc>
        <w:tc>
          <w:tcPr>
            <w:tcW w:w="850" w:type="dxa"/>
            <w:vMerge/>
          </w:tcPr>
          <w:p w:rsidR="0035770F" w:rsidRPr="00760A15" w:rsidRDefault="0035770F" w:rsidP="00F1551E">
            <w:pPr>
              <w:spacing w:after="0" w:line="240" w:lineRule="auto"/>
              <w:rPr>
                <w:rFonts w:ascii="Times New Roman" w:hAnsi="Times New Roman"/>
                <w:sz w:val="20"/>
              </w:rPr>
            </w:pPr>
          </w:p>
        </w:tc>
        <w:tc>
          <w:tcPr>
            <w:tcW w:w="1418" w:type="dxa"/>
          </w:tcPr>
          <w:p w:rsidR="0035770F" w:rsidRPr="00760A15" w:rsidRDefault="0035770F" w:rsidP="00F1551E">
            <w:pPr>
              <w:spacing w:after="0" w:line="240" w:lineRule="auto"/>
              <w:rPr>
                <w:rFonts w:ascii="Times New Roman" w:hAnsi="Times New Roman"/>
                <w:sz w:val="20"/>
              </w:rPr>
            </w:pPr>
          </w:p>
        </w:tc>
      </w:tr>
      <w:tr w:rsidR="0001177B" w:rsidRPr="00760A15" w:rsidTr="00AF1F08">
        <w:trPr>
          <w:trHeight w:val="676"/>
        </w:trPr>
        <w:tc>
          <w:tcPr>
            <w:tcW w:w="1242" w:type="dxa"/>
          </w:tcPr>
          <w:p w:rsidR="0001177B" w:rsidRPr="00760A15" w:rsidRDefault="0001177B" w:rsidP="0001177B">
            <w:pPr>
              <w:spacing w:after="0" w:line="240" w:lineRule="auto"/>
              <w:rPr>
                <w:rFonts w:ascii="Times New Roman" w:hAnsi="Times New Roman"/>
                <w:sz w:val="20"/>
              </w:rPr>
            </w:pPr>
            <w:r w:rsidRPr="00760A15">
              <w:rPr>
                <w:rFonts w:ascii="Times New Roman" w:hAnsi="Times New Roman"/>
                <w:sz w:val="20"/>
              </w:rPr>
              <w:lastRenderedPageBreak/>
              <w:t>Č 13, O 2</w:t>
            </w:r>
          </w:p>
        </w:tc>
        <w:tc>
          <w:tcPr>
            <w:tcW w:w="3544" w:type="dxa"/>
          </w:tcPr>
          <w:p w:rsidR="0001177B" w:rsidRPr="00760A15" w:rsidRDefault="0001177B" w:rsidP="00037C1C">
            <w:pPr>
              <w:spacing w:after="0" w:line="240" w:lineRule="auto"/>
              <w:rPr>
                <w:rFonts w:ascii="Times New Roman" w:hAnsi="Times New Roman"/>
                <w:sz w:val="20"/>
                <w:lang w:eastAsia="sk-SK"/>
              </w:rPr>
            </w:pPr>
          </w:p>
        </w:tc>
        <w:tc>
          <w:tcPr>
            <w:tcW w:w="1276" w:type="dxa"/>
          </w:tcPr>
          <w:p w:rsidR="0001177B" w:rsidRPr="00760A15" w:rsidRDefault="00180E2F"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01177B" w:rsidRPr="00760A15" w:rsidRDefault="00180E2F"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01177B" w:rsidRPr="00760A15" w:rsidRDefault="0001177B" w:rsidP="0001177B">
            <w:pPr>
              <w:spacing w:after="0" w:line="240" w:lineRule="auto"/>
              <w:rPr>
                <w:rFonts w:ascii="Times New Roman" w:hAnsi="Times New Roman"/>
                <w:sz w:val="20"/>
              </w:rPr>
            </w:pPr>
            <w:r w:rsidRPr="00760A15">
              <w:rPr>
                <w:rFonts w:ascii="Times New Roman" w:hAnsi="Times New Roman"/>
                <w:sz w:val="20"/>
              </w:rPr>
              <w:t>Č I, § 10, O</w:t>
            </w:r>
            <w:r w:rsidR="00C144C3" w:rsidRPr="00760A15">
              <w:rPr>
                <w:rFonts w:ascii="Times New Roman" w:hAnsi="Times New Roman"/>
                <w:sz w:val="20"/>
              </w:rPr>
              <w:t> 3,</w:t>
            </w:r>
          </w:p>
          <w:p w:rsidR="0001177B" w:rsidRPr="00760A15" w:rsidRDefault="0001177B" w:rsidP="0001177B">
            <w:pPr>
              <w:spacing w:after="0" w:line="240" w:lineRule="auto"/>
              <w:rPr>
                <w:rFonts w:ascii="Times New Roman" w:hAnsi="Times New Roman"/>
                <w:sz w:val="20"/>
              </w:rPr>
            </w:pPr>
            <w:r w:rsidRPr="00760A15">
              <w:rPr>
                <w:rFonts w:ascii="Times New Roman" w:hAnsi="Times New Roman"/>
                <w:sz w:val="20"/>
              </w:rPr>
              <w:t>P a)</w:t>
            </w:r>
          </w:p>
        </w:tc>
        <w:tc>
          <w:tcPr>
            <w:tcW w:w="3686" w:type="dxa"/>
          </w:tcPr>
          <w:p w:rsidR="0001177B" w:rsidRPr="00760A15" w:rsidRDefault="0001177B" w:rsidP="00C24376">
            <w:pPr>
              <w:pStyle w:val="tl1"/>
              <w:numPr>
                <w:ilvl w:val="0"/>
                <w:numId w:val="15"/>
              </w:numPr>
              <w:tabs>
                <w:tab w:val="clear" w:pos="454"/>
                <w:tab w:val="left" w:pos="-108"/>
                <w:tab w:val="left" w:pos="280"/>
              </w:tabs>
              <w:ind w:left="0" w:hanging="3"/>
              <w:jc w:val="left"/>
              <w:rPr>
                <w:sz w:val="20"/>
              </w:rPr>
            </w:pPr>
            <w:r w:rsidRPr="00760A15">
              <w:rPr>
                <w:sz w:val="20"/>
                <w:szCs w:val="20"/>
              </w:rPr>
              <w:t>zmeny posúdeného rizika úniku a rizika pre životné prostredie a zdravie ľudí</w:t>
            </w:r>
            <w:r w:rsidR="008C5449" w:rsidRPr="00760A15">
              <w:rPr>
                <w:sz w:val="20"/>
                <w:szCs w:val="20"/>
              </w:rPr>
              <w:t>,</w:t>
            </w:r>
          </w:p>
        </w:tc>
        <w:tc>
          <w:tcPr>
            <w:tcW w:w="850" w:type="dxa"/>
          </w:tcPr>
          <w:p w:rsidR="0001177B" w:rsidRPr="00760A15" w:rsidRDefault="00180E2F"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01177B" w:rsidRPr="00760A15" w:rsidRDefault="0001177B" w:rsidP="00F1551E">
            <w:pPr>
              <w:spacing w:after="0" w:line="240" w:lineRule="auto"/>
              <w:rPr>
                <w:rFonts w:ascii="Times New Roman" w:hAnsi="Times New Roman"/>
                <w:sz w:val="20"/>
              </w:rPr>
            </w:pPr>
          </w:p>
        </w:tc>
      </w:tr>
      <w:tr w:rsidR="005A4554" w:rsidRPr="00760A15" w:rsidTr="00AF1F08">
        <w:trPr>
          <w:trHeight w:val="676"/>
        </w:trPr>
        <w:tc>
          <w:tcPr>
            <w:tcW w:w="1242" w:type="dxa"/>
          </w:tcPr>
          <w:p w:rsidR="005A4554" w:rsidRPr="00760A15" w:rsidRDefault="005A4554" w:rsidP="0001177B">
            <w:pPr>
              <w:spacing w:after="0" w:line="240" w:lineRule="auto"/>
              <w:rPr>
                <w:rFonts w:ascii="Times New Roman" w:hAnsi="Times New Roman"/>
                <w:sz w:val="20"/>
              </w:rPr>
            </w:pPr>
          </w:p>
        </w:tc>
        <w:tc>
          <w:tcPr>
            <w:tcW w:w="3544" w:type="dxa"/>
          </w:tcPr>
          <w:p w:rsidR="005A4554" w:rsidRPr="00760A15" w:rsidRDefault="005A4554" w:rsidP="00037C1C">
            <w:pPr>
              <w:spacing w:after="0" w:line="240" w:lineRule="auto"/>
              <w:rPr>
                <w:rFonts w:ascii="Times New Roman" w:hAnsi="Times New Roman"/>
                <w:sz w:val="20"/>
                <w:lang w:eastAsia="sk-SK"/>
              </w:rPr>
            </w:pPr>
          </w:p>
        </w:tc>
        <w:tc>
          <w:tcPr>
            <w:tcW w:w="1276" w:type="dxa"/>
          </w:tcPr>
          <w:p w:rsidR="005A4554" w:rsidRPr="00760A15" w:rsidRDefault="00180E2F"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5A4554" w:rsidRPr="00760A15" w:rsidRDefault="00180E2F"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5A4554" w:rsidRPr="00760A15" w:rsidRDefault="005A4554" w:rsidP="005A4554">
            <w:pPr>
              <w:spacing w:after="0" w:line="240" w:lineRule="auto"/>
              <w:rPr>
                <w:rFonts w:ascii="Times New Roman" w:hAnsi="Times New Roman"/>
                <w:sz w:val="20"/>
              </w:rPr>
            </w:pPr>
            <w:r w:rsidRPr="00760A15">
              <w:rPr>
                <w:rFonts w:ascii="Times New Roman" w:hAnsi="Times New Roman"/>
                <w:sz w:val="20"/>
              </w:rPr>
              <w:t>Č I, § 10, O</w:t>
            </w:r>
            <w:r w:rsidR="00C144C3" w:rsidRPr="00760A15">
              <w:rPr>
                <w:rFonts w:ascii="Times New Roman" w:hAnsi="Times New Roman"/>
                <w:sz w:val="20"/>
              </w:rPr>
              <w:t> 3,</w:t>
            </w:r>
          </w:p>
          <w:p w:rsidR="005A4554" w:rsidRPr="00760A15" w:rsidRDefault="005A4554" w:rsidP="005A4554">
            <w:pPr>
              <w:spacing w:after="0" w:line="240" w:lineRule="auto"/>
              <w:rPr>
                <w:rFonts w:ascii="Times New Roman" w:hAnsi="Times New Roman"/>
                <w:sz w:val="20"/>
              </w:rPr>
            </w:pPr>
            <w:r w:rsidRPr="00760A15">
              <w:rPr>
                <w:rFonts w:ascii="Times New Roman" w:hAnsi="Times New Roman"/>
                <w:sz w:val="20"/>
              </w:rPr>
              <w:t>P c)</w:t>
            </w:r>
          </w:p>
        </w:tc>
        <w:tc>
          <w:tcPr>
            <w:tcW w:w="3686" w:type="dxa"/>
          </w:tcPr>
          <w:p w:rsidR="005A4554" w:rsidRPr="00760A15" w:rsidRDefault="001C17B8" w:rsidP="0001177B">
            <w:pPr>
              <w:autoSpaceDE w:val="0"/>
              <w:autoSpaceDN w:val="0"/>
              <w:adjustRightInd w:val="0"/>
              <w:spacing w:after="0" w:line="240" w:lineRule="auto"/>
              <w:rPr>
                <w:rFonts w:ascii="Times New Roman" w:hAnsi="Times New Roman"/>
                <w:color w:val="231F20"/>
                <w:sz w:val="20"/>
                <w:szCs w:val="20"/>
                <w:lang w:eastAsia="sk-SK"/>
              </w:rPr>
            </w:pPr>
            <w:r>
              <w:rPr>
                <w:rFonts w:ascii="Times New Roman" w:hAnsi="Times New Roman"/>
                <w:sz w:val="20"/>
                <w:szCs w:val="20"/>
              </w:rPr>
              <w:t>c) zlepšene</w:t>
            </w:r>
            <w:r w:rsidR="005A4554" w:rsidRPr="00760A15">
              <w:rPr>
                <w:rFonts w:ascii="Times New Roman" w:hAnsi="Times New Roman"/>
                <w:sz w:val="20"/>
                <w:szCs w:val="20"/>
              </w:rPr>
              <w:t xml:space="preserve"> najlepšie dostupných techník</w:t>
            </w:r>
            <w:r w:rsidR="00C24376" w:rsidRPr="00760A15">
              <w:rPr>
                <w:rFonts w:ascii="Times New Roman" w:hAnsi="Times New Roman"/>
                <w:sz w:val="20"/>
                <w:szCs w:val="20"/>
              </w:rPr>
              <w:t>.</w:t>
            </w:r>
            <w:r w:rsidR="00C24376" w:rsidRPr="00760A15">
              <w:rPr>
                <w:rFonts w:ascii="Times New Roman" w:hAnsi="Times New Roman"/>
                <w:sz w:val="20"/>
                <w:szCs w:val="20"/>
                <w:vertAlign w:val="superscript"/>
              </w:rPr>
              <w:t>14</w:t>
            </w:r>
            <w:r w:rsidR="00C24376" w:rsidRPr="00760A15">
              <w:rPr>
                <w:rFonts w:ascii="Times New Roman" w:hAnsi="Times New Roman"/>
                <w:sz w:val="20"/>
                <w:szCs w:val="20"/>
              </w:rPr>
              <w:t>)</w:t>
            </w:r>
          </w:p>
        </w:tc>
        <w:tc>
          <w:tcPr>
            <w:tcW w:w="850" w:type="dxa"/>
          </w:tcPr>
          <w:p w:rsidR="005A4554" w:rsidRPr="00760A15" w:rsidRDefault="00180E2F"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5A4554" w:rsidRPr="00760A15" w:rsidRDefault="005A4554" w:rsidP="00F1551E">
            <w:pPr>
              <w:spacing w:after="0" w:line="240" w:lineRule="auto"/>
              <w:rPr>
                <w:rFonts w:ascii="Times New Roman" w:hAnsi="Times New Roman"/>
                <w:sz w:val="20"/>
              </w:rPr>
            </w:pPr>
          </w:p>
        </w:tc>
      </w:tr>
      <w:tr w:rsidR="00C144C3" w:rsidRPr="00760A15" w:rsidTr="00AF1F08">
        <w:trPr>
          <w:trHeight w:val="676"/>
        </w:trPr>
        <w:tc>
          <w:tcPr>
            <w:tcW w:w="1242" w:type="dxa"/>
          </w:tcPr>
          <w:p w:rsidR="00C144C3" w:rsidRPr="00760A15" w:rsidRDefault="002B1247" w:rsidP="002B1247">
            <w:pPr>
              <w:spacing w:after="0" w:line="240" w:lineRule="auto"/>
              <w:rPr>
                <w:rFonts w:ascii="Times New Roman" w:hAnsi="Times New Roman"/>
                <w:sz w:val="20"/>
              </w:rPr>
            </w:pPr>
            <w:r w:rsidRPr="00760A15">
              <w:rPr>
                <w:rFonts w:ascii="Times New Roman" w:hAnsi="Times New Roman"/>
                <w:sz w:val="20"/>
              </w:rPr>
              <w:t>Č 14, O 1, P a), b), c), d)</w:t>
            </w:r>
          </w:p>
        </w:tc>
        <w:tc>
          <w:tcPr>
            <w:tcW w:w="3544" w:type="dxa"/>
          </w:tcPr>
          <w:p w:rsidR="002B1247" w:rsidRPr="00760A15" w:rsidRDefault="002B1247" w:rsidP="00C24376">
            <w:pPr>
              <w:pStyle w:val="Default"/>
              <w:jc w:val="both"/>
              <w:rPr>
                <w:rFonts w:ascii="Times New Roman" w:hAnsi="Times New Roman" w:cs="Times New Roman"/>
                <w:color w:val="auto"/>
                <w:sz w:val="20"/>
                <w:szCs w:val="20"/>
              </w:rPr>
            </w:pPr>
            <w:r w:rsidRPr="00760A15">
              <w:rPr>
                <w:rFonts w:ascii="Times New Roman" w:hAnsi="Times New Roman" w:cs="Times New Roman"/>
                <w:color w:val="auto"/>
                <w:sz w:val="20"/>
                <w:szCs w:val="20"/>
              </w:rPr>
              <w:t>S periodicitou, ktorú určí príslušný orgán, a vždy aspoň jeden krát za rok prevádzkovateľ predloží príslušnému orgánu:</w:t>
            </w:r>
          </w:p>
          <w:p w:rsidR="002B1247" w:rsidRPr="00760A15" w:rsidRDefault="002B1247" w:rsidP="00C24376">
            <w:pPr>
              <w:pStyle w:val="Default"/>
              <w:numPr>
                <w:ilvl w:val="0"/>
                <w:numId w:val="6"/>
              </w:numPr>
              <w:ind w:left="360" w:hanging="360"/>
              <w:jc w:val="both"/>
              <w:rPr>
                <w:rFonts w:ascii="Times New Roman" w:hAnsi="Times New Roman" w:cs="Times New Roman"/>
                <w:color w:val="auto"/>
                <w:sz w:val="20"/>
                <w:szCs w:val="20"/>
              </w:rPr>
            </w:pPr>
            <w:r w:rsidRPr="00760A15">
              <w:rPr>
                <w:rFonts w:ascii="Times New Roman" w:hAnsi="Times New Roman" w:cs="Times New Roman"/>
                <w:color w:val="auto"/>
                <w:sz w:val="20"/>
                <w:szCs w:val="20"/>
              </w:rPr>
              <w:t>všetky výsledky monitorovania podľa článku 13 za obdobie, ktorého sa správa týka, vrátane informácií o použitej monitorovacej technike;</w:t>
            </w:r>
          </w:p>
          <w:p w:rsidR="002B1247" w:rsidRPr="00760A15" w:rsidRDefault="002B1247" w:rsidP="00C24376">
            <w:pPr>
              <w:pStyle w:val="Default"/>
              <w:numPr>
                <w:ilvl w:val="0"/>
                <w:numId w:val="6"/>
              </w:numPr>
              <w:ind w:left="360" w:hanging="360"/>
              <w:jc w:val="both"/>
              <w:rPr>
                <w:rFonts w:ascii="Times New Roman" w:hAnsi="Times New Roman" w:cs="Times New Roman"/>
                <w:color w:val="auto"/>
                <w:sz w:val="20"/>
                <w:szCs w:val="20"/>
              </w:rPr>
            </w:pPr>
            <w:r w:rsidRPr="00760A15">
              <w:rPr>
                <w:rFonts w:ascii="Times New Roman" w:hAnsi="Times New Roman" w:cs="Times New Roman"/>
                <w:color w:val="auto"/>
                <w:sz w:val="20"/>
                <w:szCs w:val="20"/>
              </w:rPr>
              <w:t>množstvá a vlastnosti prúdov CO2 dodaných a vtláčaných v období, ktorého sa správa týka, vrátane zloženia týchto prúdov CO2 registrovaných podľa článku 12 ods. 3 písm. b);</w:t>
            </w:r>
          </w:p>
          <w:p w:rsidR="002B1247" w:rsidRPr="00760A15" w:rsidRDefault="002B1247" w:rsidP="00C24376">
            <w:pPr>
              <w:pStyle w:val="Default"/>
              <w:numPr>
                <w:ilvl w:val="0"/>
                <w:numId w:val="6"/>
              </w:numPr>
              <w:ind w:left="360" w:hanging="360"/>
              <w:jc w:val="both"/>
              <w:rPr>
                <w:rFonts w:ascii="Times New Roman" w:hAnsi="Times New Roman" w:cs="Times New Roman"/>
                <w:color w:val="auto"/>
                <w:sz w:val="20"/>
                <w:szCs w:val="20"/>
              </w:rPr>
            </w:pPr>
            <w:r w:rsidRPr="00760A15">
              <w:rPr>
                <w:rFonts w:ascii="Times New Roman" w:hAnsi="Times New Roman" w:cs="Times New Roman"/>
                <w:color w:val="auto"/>
                <w:sz w:val="20"/>
                <w:szCs w:val="20"/>
              </w:rPr>
              <w:t>dôkaz o zložení a udržiavaní finančnej záruky podľa článku 19 a článku 9 bodu 9;</w:t>
            </w:r>
          </w:p>
          <w:p w:rsidR="00C144C3" w:rsidRPr="00760A15" w:rsidRDefault="002B1247" w:rsidP="00C24376">
            <w:pPr>
              <w:pStyle w:val="Default"/>
              <w:numPr>
                <w:ilvl w:val="0"/>
                <w:numId w:val="6"/>
              </w:numPr>
              <w:ind w:left="360" w:hanging="360"/>
              <w:jc w:val="both"/>
              <w:rPr>
                <w:rFonts w:ascii="Times New Roman" w:hAnsi="Times New Roman"/>
                <w:sz w:val="20"/>
              </w:rPr>
            </w:pPr>
            <w:r w:rsidRPr="00760A15">
              <w:rPr>
                <w:rFonts w:ascii="Times New Roman" w:hAnsi="Times New Roman" w:cs="Times New Roman"/>
                <w:color w:val="auto"/>
                <w:sz w:val="20"/>
                <w:szCs w:val="20"/>
              </w:rPr>
              <w:t>všetky ďalšie informácie, ktoré príslušný orgán považuje za dôležité na účely posúdenia plnenia podmienok povolenia naukladanie a rozširovania poznatkov o správaní CO2v úložisku.</w:t>
            </w:r>
          </w:p>
        </w:tc>
        <w:tc>
          <w:tcPr>
            <w:tcW w:w="1276" w:type="dxa"/>
          </w:tcPr>
          <w:p w:rsidR="00C144C3" w:rsidRPr="00760A15" w:rsidRDefault="00180E2F"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C144C3" w:rsidRPr="00760A15" w:rsidRDefault="00180E2F"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2B1247" w:rsidRPr="00760A15" w:rsidRDefault="00C24376" w:rsidP="002B1247">
            <w:pPr>
              <w:spacing w:after="0" w:line="240" w:lineRule="auto"/>
              <w:rPr>
                <w:rFonts w:ascii="Times New Roman" w:hAnsi="Times New Roman"/>
                <w:sz w:val="20"/>
              </w:rPr>
            </w:pPr>
            <w:r w:rsidRPr="00760A15">
              <w:rPr>
                <w:rFonts w:ascii="Times New Roman" w:hAnsi="Times New Roman"/>
                <w:sz w:val="20"/>
              </w:rPr>
              <w:t>Č I, § 11, O 1</w:t>
            </w:r>
          </w:p>
          <w:p w:rsidR="00C144C3" w:rsidRPr="00760A15" w:rsidRDefault="00C144C3" w:rsidP="002B1247">
            <w:pPr>
              <w:spacing w:after="0" w:line="240" w:lineRule="auto"/>
              <w:rPr>
                <w:rFonts w:ascii="Times New Roman" w:hAnsi="Times New Roman"/>
                <w:sz w:val="20"/>
              </w:rPr>
            </w:pPr>
          </w:p>
        </w:tc>
        <w:tc>
          <w:tcPr>
            <w:tcW w:w="3686" w:type="dxa"/>
          </w:tcPr>
          <w:p w:rsidR="00C24376" w:rsidRPr="00760A15" w:rsidRDefault="00C24376" w:rsidP="00C24376">
            <w:pPr>
              <w:pStyle w:val="tl1"/>
              <w:numPr>
                <w:ilvl w:val="0"/>
                <w:numId w:val="0"/>
              </w:numPr>
              <w:tabs>
                <w:tab w:val="clear" w:pos="454"/>
                <w:tab w:val="left" w:pos="0"/>
              </w:tabs>
              <w:ind w:left="-3" w:firstLine="3"/>
              <w:rPr>
                <w:sz w:val="20"/>
                <w:szCs w:val="20"/>
              </w:rPr>
            </w:pPr>
            <w:r w:rsidRPr="00760A15">
              <w:rPr>
                <w:sz w:val="20"/>
                <w:szCs w:val="20"/>
              </w:rPr>
              <w:t>(1) Prevádzkovateľ je povinný zaslať obvodnému banskému úradu každoročne v lehote do 31. januára správu o vykonanej činnosti za predchádzajúci kalendárny rok, ktorá obsahuje</w:t>
            </w:r>
          </w:p>
          <w:p w:rsidR="00C24376" w:rsidRPr="00760A15" w:rsidRDefault="00C24376" w:rsidP="00C24376">
            <w:pPr>
              <w:pStyle w:val="tl1"/>
              <w:numPr>
                <w:ilvl w:val="0"/>
                <w:numId w:val="0"/>
              </w:numPr>
              <w:tabs>
                <w:tab w:val="clear" w:pos="454"/>
                <w:tab w:val="left" w:pos="0"/>
              </w:tabs>
              <w:ind w:left="-3" w:firstLine="3"/>
              <w:rPr>
                <w:sz w:val="20"/>
                <w:szCs w:val="20"/>
              </w:rPr>
            </w:pPr>
            <w:r w:rsidRPr="00760A15">
              <w:rPr>
                <w:sz w:val="20"/>
                <w:szCs w:val="20"/>
              </w:rPr>
              <w:t>a) výsledky monitorovania vrátane informácií o použitej monitorovacej technike,</w:t>
            </w:r>
          </w:p>
          <w:p w:rsidR="00C24376" w:rsidRPr="00760A15" w:rsidRDefault="00C24376" w:rsidP="00C24376">
            <w:pPr>
              <w:pStyle w:val="tl1"/>
              <w:numPr>
                <w:ilvl w:val="0"/>
                <w:numId w:val="0"/>
              </w:numPr>
              <w:tabs>
                <w:tab w:val="clear" w:pos="454"/>
                <w:tab w:val="left" w:pos="0"/>
              </w:tabs>
              <w:ind w:left="-3" w:firstLine="3"/>
              <w:rPr>
                <w:sz w:val="20"/>
                <w:szCs w:val="20"/>
              </w:rPr>
            </w:pPr>
            <w:r w:rsidRPr="00760A15">
              <w:rPr>
                <w:sz w:val="20"/>
                <w:szCs w:val="20"/>
              </w:rPr>
              <w:t>b) množstvo, zloženie a vlastnosti vtláčaných</w:t>
            </w:r>
            <w:r w:rsidR="005639EA">
              <w:rPr>
                <w:sz w:val="20"/>
                <w:szCs w:val="20"/>
              </w:rPr>
              <w:t xml:space="preserve"> prúdov</w:t>
            </w:r>
            <w:r w:rsidRPr="00760A15">
              <w:rPr>
                <w:sz w:val="20"/>
                <w:szCs w:val="20"/>
              </w:rPr>
              <w:t xml:space="preserve"> a uložených prúdov oxidu uhličitého,</w:t>
            </w:r>
          </w:p>
          <w:p w:rsidR="00C24376" w:rsidRPr="00760A15" w:rsidRDefault="00682B00" w:rsidP="00C24376">
            <w:pPr>
              <w:pStyle w:val="tl1"/>
              <w:numPr>
                <w:ilvl w:val="0"/>
                <w:numId w:val="0"/>
              </w:numPr>
              <w:tabs>
                <w:tab w:val="clear" w:pos="454"/>
                <w:tab w:val="left" w:pos="0"/>
              </w:tabs>
              <w:ind w:left="-3" w:firstLine="3"/>
              <w:rPr>
                <w:sz w:val="20"/>
                <w:szCs w:val="20"/>
              </w:rPr>
            </w:pPr>
            <w:r>
              <w:rPr>
                <w:sz w:val="20"/>
                <w:szCs w:val="20"/>
              </w:rPr>
              <w:t>c) doklad o zložení</w:t>
            </w:r>
            <w:r w:rsidR="00C24376" w:rsidRPr="00760A15">
              <w:rPr>
                <w:sz w:val="20"/>
                <w:szCs w:val="20"/>
              </w:rPr>
              <w:t xml:space="preserve"> finančného zabezpečenia upraveného podľa § 16 ods. 5</w:t>
            </w:r>
            <w:r w:rsidR="005639EA">
              <w:rPr>
                <w:sz w:val="20"/>
                <w:szCs w:val="20"/>
              </w:rPr>
              <w:t xml:space="preserve"> a</w:t>
            </w:r>
            <w:r w:rsidR="005639EA" w:rsidRPr="005639EA">
              <w:rPr>
                <w:sz w:val="20"/>
                <w:szCs w:val="20"/>
              </w:rPr>
              <w:t> doklad o vytvorení finančnej úhrady podľa § 17 ods. 1 a o jej výške</w:t>
            </w:r>
            <w:r w:rsidR="00C24376" w:rsidRPr="005639EA">
              <w:rPr>
                <w:sz w:val="20"/>
                <w:szCs w:val="20"/>
              </w:rPr>
              <w:t>,</w:t>
            </w:r>
          </w:p>
          <w:p w:rsidR="00C24376" w:rsidRPr="00760A15" w:rsidRDefault="00C24376" w:rsidP="00C24376">
            <w:pPr>
              <w:pStyle w:val="tl1"/>
              <w:numPr>
                <w:ilvl w:val="0"/>
                <w:numId w:val="0"/>
              </w:numPr>
              <w:tabs>
                <w:tab w:val="clear" w:pos="454"/>
                <w:tab w:val="left" w:pos="0"/>
              </w:tabs>
              <w:ind w:left="-3" w:firstLine="3"/>
              <w:rPr>
                <w:sz w:val="20"/>
                <w:szCs w:val="20"/>
              </w:rPr>
            </w:pPr>
            <w:r w:rsidRPr="00760A15">
              <w:rPr>
                <w:sz w:val="20"/>
                <w:szCs w:val="20"/>
              </w:rPr>
              <w:t xml:space="preserve">d) </w:t>
            </w:r>
            <w:r w:rsidR="007F4B47" w:rsidRPr="007F4B47">
              <w:rPr>
                <w:sz w:val="20"/>
                <w:szCs w:val="20"/>
              </w:rPr>
              <w:t xml:space="preserve">informácie dôležité na posúdenie plnenia podmienok povolenia na ukladanie a rozširovanie </w:t>
            </w:r>
            <w:r w:rsidRPr="007F4B47">
              <w:rPr>
                <w:sz w:val="20"/>
                <w:szCs w:val="20"/>
              </w:rPr>
              <w:t>poznatkov o pôsobení oxidu uhličitého v úložisku</w:t>
            </w:r>
            <w:r w:rsidRPr="00760A15">
              <w:rPr>
                <w:sz w:val="20"/>
                <w:szCs w:val="20"/>
              </w:rPr>
              <w:t>.</w:t>
            </w:r>
          </w:p>
          <w:p w:rsidR="002B1247" w:rsidRPr="00760A15" w:rsidRDefault="002B1247" w:rsidP="002B1247">
            <w:pPr>
              <w:autoSpaceDE w:val="0"/>
              <w:autoSpaceDN w:val="0"/>
              <w:adjustRightInd w:val="0"/>
              <w:spacing w:after="0" w:line="240" w:lineRule="auto"/>
              <w:rPr>
                <w:rFonts w:ascii="Times New Roman" w:hAnsi="Times New Roman"/>
                <w:color w:val="231F20"/>
                <w:sz w:val="20"/>
                <w:szCs w:val="20"/>
                <w:lang w:eastAsia="sk-SK"/>
              </w:rPr>
            </w:pPr>
          </w:p>
        </w:tc>
        <w:tc>
          <w:tcPr>
            <w:tcW w:w="850" w:type="dxa"/>
          </w:tcPr>
          <w:p w:rsidR="00C144C3" w:rsidRPr="00760A15" w:rsidRDefault="00180E2F"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C144C3" w:rsidRPr="00760A15" w:rsidRDefault="00C144C3" w:rsidP="00F1551E">
            <w:pPr>
              <w:spacing w:after="0" w:line="240" w:lineRule="auto"/>
              <w:rPr>
                <w:rFonts w:ascii="Times New Roman" w:hAnsi="Times New Roman"/>
                <w:sz w:val="20"/>
              </w:rPr>
            </w:pPr>
          </w:p>
        </w:tc>
      </w:tr>
      <w:tr w:rsidR="002E6A8E" w:rsidRPr="00760A15" w:rsidTr="00AF1F08">
        <w:tc>
          <w:tcPr>
            <w:tcW w:w="1242" w:type="dxa"/>
          </w:tcPr>
          <w:p w:rsidR="002E6A8E" w:rsidRPr="00760A15" w:rsidRDefault="002E6A8E" w:rsidP="002E6A8E">
            <w:pPr>
              <w:spacing w:after="0" w:line="240" w:lineRule="auto"/>
              <w:rPr>
                <w:rFonts w:ascii="Times New Roman" w:hAnsi="Times New Roman"/>
                <w:sz w:val="20"/>
              </w:rPr>
            </w:pPr>
            <w:r w:rsidRPr="00760A15">
              <w:rPr>
                <w:rFonts w:ascii="Times New Roman" w:hAnsi="Times New Roman"/>
                <w:sz w:val="20"/>
              </w:rPr>
              <w:t>Č 15</w:t>
            </w:r>
            <w:r w:rsidR="002605B6" w:rsidRPr="00760A15">
              <w:rPr>
                <w:rFonts w:ascii="Times New Roman" w:hAnsi="Times New Roman"/>
                <w:sz w:val="20"/>
              </w:rPr>
              <w:t>, O 2</w:t>
            </w:r>
          </w:p>
        </w:tc>
        <w:tc>
          <w:tcPr>
            <w:tcW w:w="3544" w:type="dxa"/>
          </w:tcPr>
          <w:p w:rsidR="002E6A8E" w:rsidRPr="00760A15" w:rsidRDefault="002E6A8E" w:rsidP="00156BE4">
            <w:pPr>
              <w:spacing w:after="0" w:line="240" w:lineRule="auto"/>
              <w:rPr>
                <w:rFonts w:ascii="Times New Roman" w:hAnsi="Times New Roman"/>
                <w:sz w:val="20"/>
                <w:szCs w:val="20"/>
                <w:lang w:eastAsia="sk-SK"/>
              </w:rPr>
            </w:pPr>
            <w:r w:rsidRPr="00760A15">
              <w:rPr>
                <w:rFonts w:ascii="Times New Roman" w:hAnsi="Times New Roman"/>
                <w:sz w:val="20"/>
                <w:szCs w:val="20"/>
              </w:rPr>
              <w:t xml:space="preserve">Kontroly by mali zahŕňať také činnosti, ako sú návštevy povrchových zariadení vrátane </w:t>
            </w:r>
            <w:proofErr w:type="spellStart"/>
            <w:r w:rsidRPr="00760A15">
              <w:rPr>
                <w:rFonts w:ascii="Times New Roman" w:hAnsi="Times New Roman"/>
                <w:sz w:val="20"/>
                <w:szCs w:val="20"/>
              </w:rPr>
              <w:t>vtláčacích</w:t>
            </w:r>
            <w:proofErr w:type="spellEnd"/>
            <w:r w:rsidRPr="00760A15">
              <w:rPr>
                <w:rFonts w:ascii="Times New Roman" w:hAnsi="Times New Roman"/>
                <w:sz w:val="20"/>
                <w:szCs w:val="20"/>
              </w:rPr>
              <w:t xml:space="preserve"> zariadení, posúdenie </w:t>
            </w:r>
            <w:proofErr w:type="spellStart"/>
            <w:r w:rsidRPr="00760A15">
              <w:rPr>
                <w:rFonts w:ascii="Times New Roman" w:hAnsi="Times New Roman"/>
                <w:sz w:val="20"/>
                <w:szCs w:val="20"/>
              </w:rPr>
              <w:t>vtláčacích</w:t>
            </w:r>
            <w:proofErr w:type="spellEnd"/>
            <w:r w:rsidRPr="00760A15">
              <w:rPr>
                <w:rFonts w:ascii="Times New Roman" w:hAnsi="Times New Roman"/>
                <w:sz w:val="20"/>
                <w:szCs w:val="20"/>
              </w:rPr>
              <w:t xml:space="preserve"> a monitorovacích činností, </w:t>
            </w:r>
            <w:r w:rsidRPr="00760A15">
              <w:rPr>
                <w:rFonts w:ascii="Times New Roman" w:hAnsi="Times New Roman"/>
                <w:sz w:val="20"/>
                <w:szCs w:val="20"/>
              </w:rPr>
              <w:lastRenderedPageBreak/>
              <w:t>ktoré vykonáva prevádzkovateľ, a kontroly všetkých súvisiacich záznamov, ktoré vedie prevádzkovateľ.</w:t>
            </w:r>
          </w:p>
        </w:tc>
        <w:tc>
          <w:tcPr>
            <w:tcW w:w="1276" w:type="dxa"/>
          </w:tcPr>
          <w:p w:rsidR="002E6A8E" w:rsidRPr="00760A15" w:rsidRDefault="00180E2F" w:rsidP="00F1551E">
            <w:pPr>
              <w:spacing w:after="0" w:line="240" w:lineRule="auto"/>
              <w:rPr>
                <w:rFonts w:ascii="Times New Roman" w:hAnsi="Times New Roman"/>
                <w:sz w:val="20"/>
              </w:rPr>
            </w:pPr>
            <w:r w:rsidRPr="00760A15">
              <w:rPr>
                <w:rFonts w:ascii="Times New Roman" w:hAnsi="Times New Roman"/>
                <w:sz w:val="20"/>
              </w:rPr>
              <w:lastRenderedPageBreak/>
              <w:t>N</w:t>
            </w:r>
          </w:p>
        </w:tc>
        <w:tc>
          <w:tcPr>
            <w:tcW w:w="709" w:type="dxa"/>
          </w:tcPr>
          <w:p w:rsidR="002E6A8E" w:rsidRPr="00760A15" w:rsidRDefault="00180E2F"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2E6A8E" w:rsidRPr="00760A15" w:rsidRDefault="002E6A8E" w:rsidP="002E6A8E">
            <w:pPr>
              <w:spacing w:after="0" w:line="240" w:lineRule="auto"/>
              <w:rPr>
                <w:rFonts w:ascii="Times New Roman" w:hAnsi="Times New Roman"/>
                <w:sz w:val="20"/>
              </w:rPr>
            </w:pPr>
            <w:r w:rsidRPr="00760A15">
              <w:rPr>
                <w:rFonts w:ascii="Times New Roman" w:hAnsi="Times New Roman"/>
                <w:sz w:val="20"/>
              </w:rPr>
              <w:t>Č 1, § 12, O 2</w:t>
            </w:r>
          </w:p>
        </w:tc>
        <w:tc>
          <w:tcPr>
            <w:tcW w:w="3686" w:type="dxa"/>
          </w:tcPr>
          <w:p w:rsidR="002E6A8E" w:rsidRPr="00760A15" w:rsidRDefault="002E6A8E" w:rsidP="002E6A8E">
            <w:pPr>
              <w:autoSpaceDE w:val="0"/>
              <w:autoSpaceDN w:val="0"/>
              <w:adjustRightInd w:val="0"/>
              <w:spacing w:after="0" w:line="240" w:lineRule="auto"/>
              <w:rPr>
                <w:rFonts w:ascii="Times New Roman" w:hAnsi="Times New Roman"/>
                <w:color w:val="231F20"/>
                <w:sz w:val="20"/>
                <w:szCs w:val="20"/>
                <w:lang w:eastAsia="sk-SK"/>
              </w:rPr>
            </w:pPr>
            <w:r w:rsidRPr="00760A15">
              <w:rPr>
                <w:rFonts w:ascii="Times New Roman" w:hAnsi="Times New Roman"/>
                <w:color w:val="231F20"/>
                <w:sz w:val="20"/>
                <w:szCs w:val="20"/>
                <w:lang w:eastAsia="sk-SK"/>
              </w:rPr>
              <w:t xml:space="preserve">(2) Prehliadky sa zameriavajú na kontrolu a funkčnosť </w:t>
            </w:r>
            <w:proofErr w:type="spellStart"/>
            <w:r w:rsidRPr="00760A15">
              <w:rPr>
                <w:rFonts w:ascii="Times New Roman" w:hAnsi="Times New Roman"/>
                <w:color w:val="231F20"/>
                <w:sz w:val="20"/>
                <w:szCs w:val="20"/>
                <w:lang w:eastAsia="sk-SK"/>
              </w:rPr>
              <w:t>vtláčacích</w:t>
            </w:r>
            <w:proofErr w:type="spellEnd"/>
            <w:r w:rsidRPr="00760A15">
              <w:rPr>
                <w:rFonts w:ascii="Times New Roman" w:hAnsi="Times New Roman"/>
                <w:color w:val="231F20"/>
                <w:sz w:val="20"/>
                <w:szCs w:val="20"/>
                <w:lang w:eastAsia="sk-SK"/>
              </w:rPr>
              <w:t>, monitorovacích a súvisiacich povrchových zariadení, na kontrolu činností súvisiacich s prevádzkou ukladania a na kontrolu všetkých záznamov</w:t>
            </w:r>
          </w:p>
          <w:p w:rsidR="002E6A8E" w:rsidRPr="00760A15" w:rsidRDefault="002E6A8E" w:rsidP="002E6A8E">
            <w:pPr>
              <w:pStyle w:val="tl1"/>
              <w:numPr>
                <w:ilvl w:val="0"/>
                <w:numId w:val="0"/>
              </w:numPr>
              <w:tabs>
                <w:tab w:val="clear" w:pos="454"/>
                <w:tab w:val="left" w:pos="-108"/>
              </w:tabs>
              <w:jc w:val="left"/>
              <w:rPr>
                <w:sz w:val="20"/>
              </w:rPr>
            </w:pPr>
            <w:r w:rsidRPr="00760A15">
              <w:rPr>
                <w:color w:val="231F20"/>
                <w:sz w:val="20"/>
                <w:szCs w:val="20"/>
              </w:rPr>
              <w:lastRenderedPageBreak/>
              <w:t xml:space="preserve">súvisiacich s ukladaním, </w:t>
            </w:r>
            <w:r w:rsidRPr="00760A15">
              <w:rPr>
                <w:sz w:val="20"/>
                <w:szCs w:val="20"/>
              </w:rPr>
              <w:t>ktoré vedie prevádzkovateľ.</w:t>
            </w:r>
          </w:p>
        </w:tc>
        <w:tc>
          <w:tcPr>
            <w:tcW w:w="850" w:type="dxa"/>
          </w:tcPr>
          <w:p w:rsidR="002E6A8E" w:rsidRPr="00760A15" w:rsidRDefault="00180E2F" w:rsidP="00F1551E">
            <w:pPr>
              <w:spacing w:after="0" w:line="240" w:lineRule="auto"/>
              <w:rPr>
                <w:rFonts w:ascii="Times New Roman" w:hAnsi="Times New Roman"/>
                <w:sz w:val="20"/>
              </w:rPr>
            </w:pPr>
            <w:r w:rsidRPr="00760A15">
              <w:rPr>
                <w:rFonts w:ascii="Times New Roman" w:hAnsi="Times New Roman"/>
                <w:sz w:val="20"/>
              </w:rPr>
              <w:lastRenderedPageBreak/>
              <w:t>Ú</w:t>
            </w:r>
          </w:p>
        </w:tc>
        <w:tc>
          <w:tcPr>
            <w:tcW w:w="1418" w:type="dxa"/>
          </w:tcPr>
          <w:p w:rsidR="002E6A8E" w:rsidRPr="00760A15" w:rsidRDefault="002E6A8E" w:rsidP="00F1551E">
            <w:pPr>
              <w:spacing w:after="0" w:line="240" w:lineRule="auto"/>
              <w:rPr>
                <w:rFonts w:ascii="Times New Roman" w:hAnsi="Times New Roman"/>
                <w:sz w:val="20"/>
              </w:rPr>
            </w:pPr>
          </w:p>
        </w:tc>
      </w:tr>
      <w:tr w:rsidR="002605B6" w:rsidRPr="00760A15" w:rsidTr="00AF1F08">
        <w:tc>
          <w:tcPr>
            <w:tcW w:w="1242" w:type="dxa"/>
          </w:tcPr>
          <w:p w:rsidR="002605B6" w:rsidRPr="00760A15" w:rsidRDefault="002605B6" w:rsidP="002E6A8E">
            <w:pPr>
              <w:spacing w:after="0" w:line="240" w:lineRule="auto"/>
              <w:rPr>
                <w:rFonts w:ascii="Times New Roman" w:hAnsi="Times New Roman"/>
                <w:sz w:val="20"/>
              </w:rPr>
            </w:pPr>
            <w:r w:rsidRPr="00760A15">
              <w:rPr>
                <w:rFonts w:ascii="Times New Roman" w:hAnsi="Times New Roman"/>
                <w:sz w:val="20"/>
              </w:rPr>
              <w:lastRenderedPageBreak/>
              <w:t>Č 15, O 3</w:t>
            </w:r>
          </w:p>
        </w:tc>
        <w:tc>
          <w:tcPr>
            <w:tcW w:w="3544" w:type="dxa"/>
          </w:tcPr>
          <w:p w:rsidR="002605B6" w:rsidRPr="00760A15" w:rsidRDefault="002605B6" w:rsidP="002605B6">
            <w:pPr>
              <w:autoSpaceDE w:val="0"/>
              <w:autoSpaceDN w:val="0"/>
              <w:adjustRightInd w:val="0"/>
              <w:spacing w:after="0" w:line="240" w:lineRule="auto"/>
              <w:rPr>
                <w:rFonts w:ascii="Times New Roman" w:hAnsi="Times New Roman"/>
                <w:sz w:val="20"/>
                <w:szCs w:val="20"/>
              </w:rPr>
            </w:pPr>
            <w:r w:rsidRPr="00760A15">
              <w:rPr>
                <w:rFonts w:ascii="Times New Roman" w:hAnsi="Times New Roman"/>
                <w:sz w:val="20"/>
                <w:szCs w:val="20"/>
              </w:rPr>
              <w:t xml:space="preserve">Rutinné kontroly sa vykonávajú najmenej jedenkrát za rok, pokým neuplynú tri roky od uzavretia, a každých päť rokov, pokým nedôjde k prenosu zodpovednosti na príslušný orgán. Preveria sa pri nich príslušné </w:t>
            </w:r>
            <w:proofErr w:type="spellStart"/>
            <w:r w:rsidRPr="00760A15">
              <w:rPr>
                <w:rFonts w:ascii="Times New Roman" w:hAnsi="Times New Roman"/>
                <w:sz w:val="20"/>
                <w:szCs w:val="20"/>
              </w:rPr>
              <w:t>vtláčacie</w:t>
            </w:r>
            <w:proofErr w:type="spellEnd"/>
            <w:r w:rsidRPr="00760A15">
              <w:rPr>
                <w:rFonts w:ascii="Times New Roman" w:hAnsi="Times New Roman"/>
                <w:sz w:val="20"/>
                <w:szCs w:val="20"/>
              </w:rPr>
              <w:t xml:space="preserve"> a monitorovacie zariadenia, ako aj celá škála súvisiacich účinkov úložného komplexu na životné prostredie a zdravie ľudí.</w:t>
            </w:r>
          </w:p>
        </w:tc>
        <w:tc>
          <w:tcPr>
            <w:tcW w:w="1276" w:type="dxa"/>
          </w:tcPr>
          <w:p w:rsidR="002605B6" w:rsidRPr="00760A15" w:rsidRDefault="00180E2F"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2605B6" w:rsidRPr="00760A15" w:rsidRDefault="00180E2F"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2605B6" w:rsidRPr="00760A15" w:rsidRDefault="002605B6" w:rsidP="002E6A8E">
            <w:pPr>
              <w:spacing w:after="0" w:line="240" w:lineRule="auto"/>
              <w:rPr>
                <w:rFonts w:ascii="Times New Roman" w:hAnsi="Times New Roman"/>
                <w:sz w:val="20"/>
              </w:rPr>
            </w:pPr>
            <w:r w:rsidRPr="00760A15">
              <w:rPr>
                <w:rFonts w:ascii="Times New Roman" w:hAnsi="Times New Roman"/>
                <w:sz w:val="20"/>
              </w:rPr>
              <w:t>Č 1, § 12, O 3</w:t>
            </w:r>
          </w:p>
        </w:tc>
        <w:tc>
          <w:tcPr>
            <w:tcW w:w="3686" w:type="dxa"/>
          </w:tcPr>
          <w:p w:rsidR="002605B6" w:rsidRPr="00760A15" w:rsidRDefault="002605B6" w:rsidP="00947C2A">
            <w:pPr>
              <w:autoSpaceDE w:val="0"/>
              <w:autoSpaceDN w:val="0"/>
              <w:adjustRightInd w:val="0"/>
              <w:spacing w:after="0" w:line="240" w:lineRule="auto"/>
              <w:rPr>
                <w:rFonts w:ascii="Times New Roman" w:hAnsi="Times New Roman"/>
                <w:color w:val="231F20"/>
                <w:sz w:val="20"/>
                <w:szCs w:val="20"/>
                <w:lang w:eastAsia="sk-SK"/>
              </w:rPr>
            </w:pPr>
            <w:r w:rsidRPr="00760A15">
              <w:rPr>
                <w:rFonts w:ascii="Times New Roman" w:hAnsi="Times New Roman"/>
                <w:color w:val="231F20"/>
                <w:sz w:val="20"/>
                <w:szCs w:val="20"/>
                <w:lang w:eastAsia="sk-SK"/>
              </w:rPr>
              <w:t>(3) Priebežné prehliadky sa vykonávajú minimálne raz ročne do doby uplynutia troch rokov od uzavretia úložiska a každých päť rokov do doby prechodu povinností na obvodný banský úrad.</w:t>
            </w:r>
            <w:r w:rsidR="00947C2A" w:rsidRPr="00760A15">
              <w:rPr>
                <w:rFonts w:ascii="Times New Roman" w:hAnsi="Times New Roman"/>
                <w:color w:val="231F20"/>
                <w:sz w:val="20"/>
                <w:szCs w:val="20"/>
                <w:lang w:eastAsia="sk-SK"/>
              </w:rPr>
              <w:t xml:space="preserve"> </w:t>
            </w:r>
            <w:r w:rsidR="008C5449" w:rsidRPr="00760A15">
              <w:rPr>
                <w:rFonts w:ascii="Times New Roman" w:hAnsi="Times New Roman"/>
                <w:sz w:val="20"/>
                <w:szCs w:val="20"/>
              </w:rPr>
              <w:t xml:space="preserve">Pri predbežných prehliadkach sa preveria príslušné </w:t>
            </w:r>
            <w:proofErr w:type="spellStart"/>
            <w:r w:rsidR="008C5449" w:rsidRPr="00760A15">
              <w:rPr>
                <w:rFonts w:ascii="Times New Roman" w:hAnsi="Times New Roman"/>
                <w:sz w:val="20"/>
                <w:szCs w:val="20"/>
              </w:rPr>
              <w:t>vtláčacie</w:t>
            </w:r>
            <w:proofErr w:type="spellEnd"/>
            <w:r w:rsidR="00826993">
              <w:rPr>
                <w:rFonts w:ascii="Times New Roman" w:hAnsi="Times New Roman"/>
                <w:sz w:val="20"/>
                <w:szCs w:val="20"/>
              </w:rPr>
              <w:t xml:space="preserve"> zariadenia</w:t>
            </w:r>
            <w:r w:rsidR="008C5449" w:rsidRPr="00760A15">
              <w:rPr>
                <w:rFonts w:ascii="Times New Roman" w:hAnsi="Times New Roman"/>
                <w:sz w:val="20"/>
                <w:szCs w:val="20"/>
              </w:rPr>
              <w:t xml:space="preserve"> a </w:t>
            </w:r>
            <w:r w:rsidR="00CE275A">
              <w:rPr>
                <w:rFonts w:ascii="Times New Roman" w:hAnsi="Times New Roman"/>
                <w:sz w:val="20"/>
                <w:szCs w:val="20"/>
              </w:rPr>
              <w:t>monitorovacie zariadenia a rozsah</w:t>
            </w:r>
            <w:r w:rsidR="008C5449" w:rsidRPr="00760A15">
              <w:rPr>
                <w:rFonts w:ascii="Times New Roman" w:hAnsi="Times New Roman"/>
                <w:sz w:val="20"/>
                <w:szCs w:val="20"/>
              </w:rPr>
              <w:t xml:space="preserve"> súvisiacich účinkov úložného komplexu na verejné zdravie a na životné prostredie.</w:t>
            </w:r>
          </w:p>
        </w:tc>
        <w:tc>
          <w:tcPr>
            <w:tcW w:w="850" w:type="dxa"/>
          </w:tcPr>
          <w:p w:rsidR="002605B6" w:rsidRPr="00760A15" w:rsidRDefault="00180E2F"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2605B6" w:rsidRPr="00760A15" w:rsidRDefault="002605B6" w:rsidP="00F1551E">
            <w:pPr>
              <w:spacing w:after="0" w:line="240" w:lineRule="auto"/>
              <w:rPr>
                <w:rFonts w:ascii="Times New Roman" w:hAnsi="Times New Roman"/>
                <w:sz w:val="20"/>
              </w:rPr>
            </w:pPr>
          </w:p>
        </w:tc>
      </w:tr>
      <w:tr w:rsidR="00747234" w:rsidRPr="00760A15" w:rsidTr="00AF1F08">
        <w:tc>
          <w:tcPr>
            <w:tcW w:w="1242" w:type="dxa"/>
          </w:tcPr>
          <w:p w:rsidR="00747234" w:rsidRPr="00760A15" w:rsidRDefault="00747234" w:rsidP="00747234">
            <w:pPr>
              <w:spacing w:after="0" w:line="240" w:lineRule="auto"/>
              <w:rPr>
                <w:rFonts w:ascii="Times New Roman" w:hAnsi="Times New Roman"/>
                <w:sz w:val="20"/>
              </w:rPr>
            </w:pPr>
            <w:r w:rsidRPr="00760A15">
              <w:rPr>
                <w:rFonts w:ascii="Times New Roman" w:hAnsi="Times New Roman"/>
                <w:sz w:val="20"/>
              </w:rPr>
              <w:t>Č 16, O 3</w:t>
            </w:r>
          </w:p>
        </w:tc>
        <w:tc>
          <w:tcPr>
            <w:tcW w:w="3544" w:type="dxa"/>
          </w:tcPr>
          <w:p w:rsidR="00747234" w:rsidRPr="00760A15" w:rsidRDefault="00747234" w:rsidP="002605B6">
            <w:pPr>
              <w:autoSpaceDE w:val="0"/>
              <w:autoSpaceDN w:val="0"/>
              <w:adjustRightInd w:val="0"/>
              <w:spacing w:after="0" w:line="240" w:lineRule="auto"/>
              <w:rPr>
                <w:rFonts w:ascii="Times New Roman" w:hAnsi="Times New Roman"/>
                <w:sz w:val="20"/>
                <w:szCs w:val="20"/>
              </w:rPr>
            </w:pPr>
            <w:r w:rsidRPr="00760A15">
              <w:rPr>
                <w:rFonts w:ascii="Times New Roman" w:hAnsi="Times New Roman"/>
                <w:sz w:val="20"/>
                <w:szCs w:val="20"/>
              </w:rPr>
              <w:t>Príslušný orgán môže kedykoľvek požiadať prevádzkovateľa, aby prijal potrebné opravné opatrenia, ako aj opatrenia týkajúce sa ochrany zdravia ľudí. Tieto opatrenia môžu dopĺňať opatrenia stanovené v pláne opravných opatrení, alebo sa od nich odlišovať. Opravné opatrenia môže príslušný orgán kedykoľvek prijať aj sám.</w:t>
            </w:r>
          </w:p>
        </w:tc>
        <w:tc>
          <w:tcPr>
            <w:tcW w:w="1276" w:type="dxa"/>
          </w:tcPr>
          <w:p w:rsidR="00747234" w:rsidRPr="00760A15" w:rsidRDefault="00180E2F"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747234" w:rsidRPr="00760A15" w:rsidRDefault="00180E2F"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747234" w:rsidRPr="00760A15" w:rsidRDefault="00747234" w:rsidP="00747234">
            <w:pPr>
              <w:spacing w:after="0" w:line="240" w:lineRule="auto"/>
              <w:rPr>
                <w:rFonts w:ascii="Times New Roman" w:hAnsi="Times New Roman"/>
                <w:sz w:val="20"/>
              </w:rPr>
            </w:pPr>
            <w:r w:rsidRPr="00760A15">
              <w:rPr>
                <w:rFonts w:ascii="Times New Roman" w:hAnsi="Times New Roman"/>
                <w:sz w:val="20"/>
              </w:rPr>
              <w:t>Č 1, § 13, O 5</w:t>
            </w:r>
          </w:p>
        </w:tc>
        <w:tc>
          <w:tcPr>
            <w:tcW w:w="3686" w:type="dxa"/>
          </w:tcPr>
          <w:p w:rsidR="00DE112F" w:rsidRPr="00760A15" w:rsidRDefault="00DE112F" w:rsidP="00495DC8">
            <w:pPr>
              <w:pStyle w:val="Odsekzoznamu"/>
              <w:numPr>
                <w:ilvl w:val="0"/>
                <w:numId w:val="16"/>
              </w:numPr>
              <w:tabs>
                <w:tab w:val="left" w:pos="280"/>
              </w:tabs>
              <w:spacing w:after="0" w:line="240" w:lineRule="auto"/>
              <w:ind w:left="0" w:firstLine="0"/>
              <w:jc w:val="both"/>
              <w:rPr>
                <w:rFonts w:ascii="Times New Roman" w:hAnsi="Times New Roman" w:cs="Times New Roman"/>
                <w:sz w:val="20"/>
                <w:szCs w:val="20"/>
              </w:rPr>
            </w:pPr>
            <w:r w:rsidRPr="00760A15">
              <w:rPr>
                <w:rFonts w:ascii="Times New Roman" w:hAnsi="Times New Roman" w:cs="Times New Roman"/>
                <w:sz w:val="20"/>
                <w:szCs w:val="20"/>
              </w:rPr>
              <w:t>Obvodný banský úrad môže prevádzkovateľovi nariadiť, aby vykonal potrebné nápravné opatrenia vrátane opatrení týkajúcich sa verejného zdravia, ktoré môžu meniť alebo dopĺňať opatrenia v schválenom pláne nápravných opatrení. Potrebné nápravné opatrenia môže obvodný banský úrad vykonať aj z vlastného podnetu.</w:t>
            </w:r>
          </w:p>
          <w:p w:rsidR="00747234" w:rsidRPr="00760A15" w:rsidRDefault="00747234" w:rsidP="00747234">
            <w:pPr>
              <w:autoSpaceDE w:val="0"/>
              <w:autoSpaceDN w:val="0"/>
              <w:adjustRightInd w:val="0"/>
              <w:spacing w:after="0" w:line="240" w:lineRule="auto"/>
              <w:rPr>
                <w:rFonts w:ascii="Times New Roman" w:hAnsi="Times New Roman"/>
                <w:color w:val="231F20"/>
                <w:sz w:val="20"/>
                <w:szCs w:val="20"/>
                <w:lang w:eastAsia="sk-SK"/>
              </w:rPr>
            </w:pPr>
          </w:p>
        </w:tc>
        <w:tc>
          <w:tcPr>
            <w:tcW w:w="850" w:type="dxa"/>
          </w:tcPr>
          <w:p w:rsidR="00747234" w:rsidRPr="00760A15" w:rsidRDefault="00180E2F"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747234" w:rsidRPr="00760A15" w:rsidRDefault="00747234" w:rsidP="00F1551E">
            <w:pPr>
              <w:spacing w:after="0" w:line="240" w:lineRule="auto"/>
              <w:rPr>
                <w:rFonts w:ascii="Times New Roman" w:hAnsi="Times New Roman"/>
                <w:sz w:val="20"/>
              </w:rPr>
            </w:pPr>
          </w:p>
        </w:tc>
      </w:tr>
      <w:tr w:rsidR="00747234" w:rsidRPr="00760A15" w:rsidTr="00AF1F08">
        <w:tc>
          <w:tcPr>
            <w:tcW w:w="1242" w:type="dxa"/>
          </w:tcPr>
          <w:p w:rsidR="00747234" w:rsidRPr="00760A15" w:rsidRDefault="00747234" w:rsidP="00747234">
            <w:pPr>
              <w:spacing w:after="0" w:line="240" w:lineRule="auto"/>
              <w:rPr>
                <w:rFonts w:ascii="Times New Roman" w:hAnsi="Times New Roman"/>
                <w:sz w:val="20"/>
              </w:rPr>
            </w:pPr>
            <w:r w:rsidRPr="00760A15">
              <w:rPr>
                <w:rFonts w:ascii="Times New Roman" w:hAnsi="Times New Roman"/>
                <w:sz w:val="20"/>
              </w:rPr>
              <w:t>Č 16, O 4</w:t>
            </w:r>
          </w:p>
        </w:tc>
        <w:tc>
          <w:tcPr>
            <w:tcW w:w="3544" w:type="dxa"/>
          </w:tcPr>
          <w:p w:rsidR="00747234" w:rsidRPr="00760A15" w:rsidRDefault="00747234" w:rsidP="002605B6">
            <w:pPr>
              <w:autoSpaceDE w:val="0"/>
              <w:autoSpaceDN w:val="0"/>
              <w:adjustRightInd w:val="0"/>
              <w:spacing w:after="0" w:line="240" w:lineRule="auto"/>
              <w:rPr>
                <w:rFonts w:ascii="Times New Roman" w:hAnsi="Times New Roman"/>
                <w:sz w:val="20"/>
                <w:szCs w:val="20"/>
              </w:rPr>
            </w:pPr>
            <w:r w:rsidRPr="00760A15">
              <w:rPr>
                <w:rFonts w:ascii="Times New Roman" w:hAnsi="Times New Roman"/>
                <w:sz w:val="20"/>
                <w:szCs w:val="20"/>
              </w:rPr>
              <w:t>Ak prevádzkovateľ neprijme potrebné opravné opatrenia, prijme ich zodpovedný orgán.</w:t>
            </w:r>
          </w:p>
        </w:tc>
        <w:tc>
          <w:tcPr>
            <w:tcW w:w="1276" w:type="dxa"/>
          </w:tcPr>
          <w:p w:rsidR="00747234" w:rsidRPr="00760A15" w:rsidRDefault="00180E2F"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747234" w:rsidRPr="00760A15" w:rsidRDefault="00180E2F"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747234" w:rsidRPr="00760A15" w:rsidRDefault="00747234" w:rsidP="00747234">
            <w:pPr>
              <w:spacing w:after="0" w:line="240" w:lineRule="auto"/>
              <w:rPr>
                <w:rFonts w:ascii="Times New Roman" w:hAnsi="Times New Roman"/>
                <w:sz w:val="20"/>
              </w:rPr>
            </w:pPr>
            <w:r w:rsidRPr="00760A15">
              <w:rPr>
                <w:rFonts w:ascii="Times New Roman" w:hAnsi="Times New Roman"/>
                <w:sz w:val="20"/>
              </w:rPr>
              <w:t>Č 1, § 13, O 6</w:t>
            </w:r>
          </w:p>
        </w:tc>
        <w:tc>
          <w:tcPr>
            <w:tcW w:w="3686" w:type="dxa"/>
          </w:tcPr>
          <w:p w:rsidR="00747234" w:rsidRPr="00760A15" w:rsidRDefault="00747234" w:rsidP="00747234">
            <w:pPr>
              <w:autoSpaceDE w:val="0"/>
              <w:autoSpaceDN w:val="0"/>
              <w:adjustRightInd w:val="0"/>
              <w:spacing w:after="0" w:line="240" w:lineRule="auto"/>
              <w:rPr>
                <w:rFonts w:ascii="Times New Roman" w:hAnsi="Times New Roman"/>
                <w:color w:val="231F20"/>
                <w:sz w:val="20"/>
                <w:szCs w:val="20"/>
                <w:lang w:eastAsia="sk-SK"/>
              </w:rPr>
            </w:pPr>
            <w:r w:rsidRPr="00760A15">
              <w:rPr>
                <w:rFonts w:ascii="Times New Roman" w:hAnsi="Times New Roman"/>
                <w:color w:val="231F20"/>
                <w:sz w:val="20"/>
                <w:szCs w:val="20"/>
                <w:lang w:eastAsia="sk-SK"/>
              </w:rPr>
              <w:t>(6) Ak prevádzkovateľ nevykoná potrebné nápravné opatrenia, zabezpečí ich vykonanie obvodný banský úrad.</w:t>
            </w:r>
          </w:p>
        </w:tc>
        <w:tc>
          <w:tcPr>
            <w:tcW w:w="850" w:type="dxa"/>
          </w:tcPr>
          <w:p w:rsidR="00747234" w:rsidRPr="00760A15" w:rsidRDefault="00180E2F"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747234" w:rsidRPr="00760A15" w:rsidRDefault="00747234" w:rsidP="00F1551E">
            <w:pPr>
              <w:spacing w:after="0" w:line="240" w:lineRule="auto"/>
              <w:rPr>
                <w:rFonts w:ascii="Times New Roman" w:hAnsi="Times New Roman"/>
                <w:sz w:val="20"/>
              </w:rPr>
            </w:pPr>
          </w:p>
        </w:tc>
      </w:tr>
      <w:tr w:rsidR="00747234" w:rsidRPr="00760A15" w:rsidTr="00AF1F08">
        <w:tc>
          <w:tcPr>
            <w:tcW w:w="1242" w:type="dxa"/>
          </w:tcPr>
          <w:p w:rsidR="00747234" w:rsidRPr="00760A15" w:rsidRDefault="00747234" w:rsidP="00004334">
            <w:pPr>
              <w:spacing w:after="0" w:line="240" w:lineRule="auto"/>
              <w:rPr>
                <w:rFonts w:ascii="Times New Roman" w:hAnsi="Times New Roman"/>
                <w:sz w:val="20"/>
              </w:rPr>
            </w:pPr>
          </w:p>
        </w:tc>
        <w:tc>
          <w:tcPr>
            <w:tcW w:w="3544" w:type="dxa"/>
          </w:tcPr>
          <w:p w:rsidR="00747234" w:rsidRPr="00760A15" w:rsidRDefault="00747234" w:rsidP="002605B6">
            <w:pPr>
              <w:autoSpaceDE w:val="0"/>
              <w:autoSpaceDN w:val="0"/>
              <w:adjustRightInd w:val="0"/>
              <w:spacing w:after="0" w:line="240" w:lineRule="auto"/>
              <w:rPr>
                <w:rFonts w:ascii="Times New Roman" w:hAnsi="Times New Roman"/>
                <w:sz w:val="20"/>
                <w:szCs w:val="20"/>
              </w:rPr>
            </w:pPr>
          </w:p>
        </w:tc>
        <w:tc>
          <w:tcPr>
            <w:tcW w:w="1276" w:type="dxa"/>
          </w:tcPr>
          <w:p w:rsidR="00747234" w:rsidRPr="00760A15" w:rsidRDefault="00180E2F"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747234" w:rsidRPr="00760A15" w:rsidRDefault="00180E2F"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747234" w:rsidRPr="00760A15" w:rsidRDefault="00747234" w:rsidP="00747234">
            <w:pPr>
              <w:spacing w:after="0" w:line="240" w:lineRule="auto"/>
              <w:rPr>
                <w:rFonts w:ascii="Times New Roman" w:hAnsi="Times New Roman"/>
                <w:sz w:val="20"/>
              </w:rPr>
            </w:pPr>
            <w:r w:rsidRPr="00760A15">
              <w:rPr>
                <w:rFonts w:ascii="Times New Roman" w:hAnsi="Times New Roman"/>
                <w:sz w:val="20"/>
              </w:rPr>
              <w:t>Č 1, § 13, O 7</w:t>
            </w:r>
          </w:p>
        </w:tc>
        <w:tc>
          <w:tcPr>
            <w:tcW w:w="3686" w:type="dxa"/>
          </w:tcPr>
          <w:p w:rsidR="00747234" w:rsidRPr="00760A15" w:rsidRDefault="00747234" w:rsidP="00747234">
            <w:pPr>
              <w:autoSpaceDE w:val="0"/>
              <w:autoSpaceDN w:val="0"/>
              <w:adjustRightInd w:val="0"/>
              <w:spacing w:after="0" w:line="240" w:lineRule="auto"/>
              <w:rPr>
                <w:rFonts w:ascii="Times New Roman" w:hAnsi="Times New Roman"/>
                <w:color w:val="231F20"/>
                <w:sz w:val="20"/>
                <w:szCs w:val="20"/>
                <w:lang w:eastAsia="sk-SK"/>
              </w:rPr>
            </w:pPr>
            <w:r w:rsidRPr="00760A15">
              <w:rPr>
                <w:rFonts w:ascii="Times New Roman" w:hAnsi="Times New Roman"/>
                <w:color w:val="231F20"/>
                <w:sz w:val="20"/>
                <w:szCs w:val="20"/>
                <w:lang w:eastAsia="sk-SK"/>
              </w:rPr>
              <w:t>(7) Prevádzkovateľ uhradí obvodnému banskému úradu náklady, ktoré vznikli vykonaním potrebných nápravných opatrení podľa odseku 6. Túto povinnosť môže prevádzkovateľ splniť prostriedkami podľa § 16 a 17.</w:t>
            </w:r>
          </w:p>
        </w:tc>
        <w:tc>
          <w:tcPr>
            <w:tcW w:w="850" w:type="dxa"/>
          </w:tcPr>
          <w:p w:rsidR="00747234" w:rsidRPr="00760A15" w:rsidRDefault="00180E2F"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747234" w:rsidRPr="00760A15" w:rsidRDefault="00747234" w:rsidP="00F1551E">
            <w:pPr>
              <w:spacing w:after="0" w:line="240" w:lineRule="auto"/>
              <w:rPr>
                <w:rFonts w:ascii="Times New Roman" w:hAnsi="Times New Roman"/>
                <w:sz w:val="20"/>
              </w:rPr>
            </w:pPr>
          </w:p>
        </w:tc>
      </w:tr>
      <w:tr w:rsidR="00004334" w:rsidRPr="00760A15" w:rsidTr="00AF1F08">
        <w:tc>
          <w:tcPr>
            <w:tcW w:w="1242" w:type="dxa"/>
          </w:tcPr>
          <w:p w:rsidR="00004334" w:rsidRPr="00760A15" w:rsidRDefault="00004334" w:rsidP="00004334">
            <w:pPr>
              <w:spacing w:after="0" w:line="240" w:lineRule="auto"/>
              <w:rPr>
                <w:rFonts w:ascii="Times New Roman" w:hAnsi="Times New Roman"/>
                <w:sz w:val="20"/>
              </w:rPr>
            </w:pPr>
            <w:r w:rsidRPr="00760A15">
              <w:rPr>
                <w:rFonts w:ascii="Times New Roman" w:hAnsi="Times New Roman"/>
                <w:sz w:val="20"/>
              </w:rPr>
              <w:t>Č 17, O 2</w:t>
            </w:r>
          </w:p>
        </w:tc>
        <w:tc>
          <w:tcPr>
            <w:tcW w:w="3544" w:type="dxa"/>
          </w:tcPr>
          <w:p w:rsidR="00004334" w:rsidRPr="00760A15" w:rsidRDefault="00004334" w:rsidP="002605B6">
            <w:pPr>
              <w:autoSpaceDE w:val="0"/>
              <w:autoSpaceDN w:val="0"/>
              <w:adjustRightInd w:val="0"/>
              <w:spacing w:after="0" w:line="240" w:lineRule="auto"/>
              <w:rPr>
                <w:rFonts w:ascii="Times New Roman" w:hAnsi="Times New Roman"/>
                <w:sz w:val="20"/>
                <w:szCs w:val="20"/>
              </w:rPr>
            </w:pPr>
            <w:r w:rsidRPr="00760A15">
              <w:rPr>
                <w:rFonts w:ascii="Times New Roman" w:hAnsi="Times New Roman"/>
                <w:sz w:val="20"/>
                <w:szCs w:val="20"/>
              </w:rPr>
              <w:t>Po uzavretí úložiska podľa odseku 1 písm. a) alebo b) je prevádzkovateľ naďalej zodpovedný za monitorovanie, ...</w:t>
            </w:r>
          </w:p>
        </w:tc>
        <w:tc>
          <w:tcPr>
            <w:tcW w:w="1276" w:type="dxa"/>
          </w:tcPr>
          <w:p w:rsidR="00004334" w:rsidRPr="00760A15" w:rsidRDefault="00180E2F"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004334" w:rsidRPr="00760A15" w:rsidRDefault="00180E2F"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004334" w:rsidRPr="00760A15" w:rsidRDefault="00004334" w:rsidP="00004334">
            <w:pPr>
              <w:spacing w:after="0" w:line="240" w:lineRule="auto"/>
              <w:rPr>
                <w:rFonts w:ascii="Times New Roman" w:hAnsi="Times New Roman"/>
                <w:sz w:val="20"/>
              </w:rPr>
            </w:pPr>
            <w:r w:rsidRPr="00760A15">
              <w:rPr>
                <w:rFonts w:ascii="Times New Roman" w:hAnsi="Times New Roman"/>
                <w:sz w:val="20"/>
              </w:rPr>
              <w:t>Č 1, § 14, O 3</w:t>
            </w:r>
          </w:p>
        </w:tc>
        <w:tc>
          <w:tcPr>
            <w:tcW w:w="3686" w:type="dxa"/>
          </w:tcPr>
          <w:p w:rsidR="00004334" w:rsidRPr="00760A15" w:rsidRDefault="00004334" w:rsidP="00004334">
            <w:pPr>
              <w:autoSpaceDE w:val="0"/>
              <w:autoSpaceDN w:val="0"/>
              <w:adjustRightInd w:val="0"/>
              <w:spacing w:after="0" w:line="240" w:lineRule="auto"/>
              <w:rPr>
                <w:rFonts w:ascii="Times New Roman" w:hAnsi="Times New Roman"/>
                <w:color w:val="231F20"/>
                <w:sz w:val="20"/>
                <w:szCs w:val="20"/>
                <w:lang w:eastAsia="sk-SK"/>
              </w:rPr>
            </w:pPr>
            <w:r w:rsidRPr="00760A15">
              <w:rPr>
                <w:rFonts w:ascii="ITCBookmanEE" w:hAnsi="ITCBookmanEE" w:cs="ITCBookmanEE"/>
                <w:color w:val="231F20"/>
                <w:sz w:val="19"/>
                <w:szCs w:val="19"/>
                <w:lang w:eastAsia="sk-SK"/>
              </w:rPr>
              <w:t>(</w:t>
            </w:r>
            <w:r w:rsidRPr="00760A15">
              <w:rPr>
                <w:rFonts w:ascii="Times New Roman" w:hAnsi="Times New Roman"/>
                <w:color w:val="231F20"/>
                <w:sz w:val="20"/>
                <w:szCs w:val="20"/>
                <w:lang w:eastAsia="sk-SK"/>
              </w:rPr>
              <w:t>3) Po uzavretí úložiska podľa odseku 1 až do nadobudnutia účinnosti rozhodnutia o prechode povinností na obvodný banský úrad podľa § 15 je prevádzkovateľ povinný</w:t>
            </w:r>
          </w:p>
        </w:tc>
        <w:tc>
          <w:tcPr>
            <w:tcW w:w="850" w:type="dxa"/>
          </w:tcPr>
          <w:p w:rsidR="00004334" w:rsidRPr="00760A15" w:rsidRDefault="00180E2F"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004334" w:rsidRPr="00760A15" w:rsidRDefault="00004334" w:rsidP="00F1551E">
            <w:pPr>
              <w:spacing w:after="0" w:line="240" w:lineRule="auto"/>
              <w:rPr>
                <w:rFonts w:ascii="Times New Roman" w:hAnsi="Times New Roman"/>
                <w:sz w:val="20"/>
              </w:rPr>
            </w:pPr>
          </w:p>
        </w:tc>
      </w:tr>
      <w:tr w:rsidR="00004334" w:rsidRPr="00760A15" w:rsidTr="00AF1F08">
        <w:tc>
          <w:tcPr>
            <w:tcW w:w="1242" w:type="dxa"/>
          </w:tcPr>
          <w:p w:rsidR="00004334" w:rsidRPr="00760A15" w:rsidRDefault="00004334" w:rsidP="00004334">
            <w:pPr>
              <w:spacing w:after="0" w:line="240" w:lineRule="auto"/>
              <w:rPr>
                <w:rFonts w:ascii="Times New Roman" w:hAnsi="Times New Roman"/>
                <w:sz w:val="20"/>
              </w:rPr>
            </w:pPr>
            <w:r w:rsidRPr="00760A15">
              <w:rPr>
                <w:rFonts w:ascii="Times New Roman" w:hAnsi="Times New Roman"/>
                <w:sz w:val="20"/>
              </w:rPr>
              <w:t>Č 17, O 2, P a)</w:t>
            </w:r>
          </w:p>
        </w:tc>
        <w:tc>
          <w:tcPr>
            <w:tcW w:w="3544" w:type="dxa"/>
          </w:tcPr>
          <w:p w:rsidR="00004334" w:rsidRPr="00760A15" w:rsidRDefault="00004334" w:rsidP="00004334">
            <w:pPr>
              <w:pStyle w:val="Default"/>
              <w:spacing w:before="120" w:after="120"/>
              <w:jc w:val="both"/>
              <w:rPr>
                <w:rFonts w:ascii="Times New Roman" w:hAnsi="Times New Roman" w:cs="Times New Roman"/>
                <w:color w:val="auto"/>
                <w:sz w:val="20"/>
                <w:szCs w:val="20"/>
              </w:rPr>
            </w:pPr>
            <w:r w:rsidRPr="00760A15">
              <w:rPr>
                <w:rFonts w:ascii="Times New Roman" w:hAnsi="Times New Roman" w:cs="Times New Roman"/>
                <w:color w:val="auto"/>
                <w:sz w:val="20"/>
                <w:szCs w:val="20"/>
              </w:rPr>
              <w:t xml:space="preserve">Povinnosti uvedené v odseku 2 sa plnia na základe plánu pre etapu po uzavretí, ktorý vypracuje prevádzkovateľ podľa najlepších postupov a v súlade s požiadavkami </w:t>
            </w:r>
            <w:r w:rsidRPr="00760A15">
              <w:rPr>
                <w:rFonts w:ascii="Times New Roman" w:hAnsi="Times New Roman" w:cs="Times New Roman"/>
                <w:color w:val="auto"/>
                <w:sz w:val="20"/>
                <w:szCs w:val="20"/>
              </w:rPr>
              <w:lastRenderedPageBreak/>
              <w:t xml:space="preserve">ustanovenými v prílohe II. Predbežný plán pre etapu po uzavretí sa predkladá na schválenie príslušnému orgánu podľa článku 7 bodu 8 a článku 9bodu 7. Pred uzavretím úložiska podľa ustanovení uvedených v odseku 1 písm. a) alebo b) tohto článku sa predbežný plán pre etapu po uzavretí: </w:t>
            </w:r>
          </w:p>
          <w:p w:rsidR="00004334" w:rsidRPr="00760A15" w:rsidRDefault="00004334" w:rsidP="00004334">
            <w:pPr>
              <w:pStyle w:val="Default"/>
              <w:spacing w:before="120" w:after="120"/>
              <w:jc w:val="both"/>
              <w:rPr>
                <w:rFonts w:ascii="Times New Roman" w:hAnsi="Times New Roman" w:cs="Times New Roman"/>
                <w:color w:val="auto"/>
                <w:sz w:val="20"/>
                <w:szCs w:val="20"/>
              </w:rPr>
            </w:pPr>
            <w:r w:rsidRPr="00760A15">
              <w:rPr>
                <w:rFonts w:ascii="Times New Roman" w:hAnsi="Times New Roman" w:cs="Times New Roman"/>
                <w:color w:val="auto"/>
                <w:sz w:val="20"/>
                <w:szCs w:val="20"/>
              </w:rPr>
              <w:t>a) podľa potreby aktualizuje, pričom sa zohľadní analýza rizika, najlepšie postupy a technologické zlepšenia;</w:t>
            </w:r>
          </w:p>
        </w:tc>
        <w:tc>
          <w:tcPr>
            <w:tcW w:w="1276" w:type="dxa"/>
          </w:tcPr>
          <w:p w:rsidR="00004334" w:rsidRPr="00760A15" w:rsidRDefault="00180E2F" w:rsidP="00F1551E">
            <w:pPr>
              <w:spacing w:after="0" w:line="240" w:lineRule="auto"/>
              <w:rPr>
                <w:rFonts w:ascii="Times New Roman" w:hAnsi="Times New Roman"/>
                <w:sz w:val="20"/>
              </w:rPr>
            </w:pPr>
            <w:r w:rsidRPr="00760A15">
              <w:rPr>
                <w:rFonts w:ascii="Times New Roman" w:hAnsi="Times New Roman"/>
                <w:sz w:val="20"/>
              </w:rPr>
              <w:lastRenderedPageBreak/>
              <w:t>N</w:t>
            </w:r>
          </w:p>
        </w:tc>
        <w:tc>
          <w:tcPr>
            <w:tcW w:w="709" w:type="dxa"/>
          </w:tcPr>
          <w:p w:rsidR="00004334" w:rsidRPr="00760A15" w:rsidRDefault="00180E2F"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004334" w:rsidRPr="00760A15" w:rsidRDefault="00004334" w:rsidP="00004334">
            <w:pPr>
              <w:spacing w:after="0" w:line="240" w:lineRule="auto"/>
              <w:rPr>
                <w:rFonts w:ascii="Times New Roman" w:hAnsi="Times New Roman"/>
                <w:sz w:val="20"/>
              </w:rPr>
            </w:pPr>
            <w:r w:rsidRPr="00760A15">
              <w:rPr>
                <w:rFonts w:ascii="Times New Roman" w:hAnsi="Times New Roman"/>
                <w:sz w:val="20"/>
              </w:rPr>
              <w:t>Č 1, § 14, O 4, P c)</w:t>
            </w:r>
          </w:p>
        </w:tc>
        <w:tc>
          <w:tcPr>
            <w:tcW w:w="3686" w:type="dxa"/>
          </w:tcPr>
          <w:p w:rsidR="00004334" w:rsidRPr="00760A15" w:rsidRDefault="00004334" w:rsidP="00004334">
            <w:pPr>
              <w:autoSpaceDE w:val="0"/>
              <w:autoSpaceDN w:val="0"/>
              <w:adjustRightInd w:val="0"/>
              <w:spacing w:after="0" w:line="240" w:lineRule="auto"/>
              <w:rPr>
                <w:rFonts w:ascii="Times New Roman" w:hAnsi="Times New Roman"/>
                <w:color w:val="231F20"/>
                <w:sz w:val="20"/>
                <w:szCs w:val="20"/>
                <w:lang w:eastAsia="sk-SK"/>
              </w:rPr>
            </w:pPr>
            <w:r w:rsidRPr="00760A15">
              <w:rPr>
                <w:rFonts w:ascii="Times New Roman" w:hAnsi="Times New Roman"/>
                <w:color w:val="231F20"/>
                <w:sz w:val="20"/>
                <w:szCs w:val="20"/>
                <w:lang w:eastAsia="sk-SK"/>
              </w:rPr>
              <w:t>(4) Povinnosti uvedené v odseku 3 plní prevádzkovateľ podľa plánu pre etapu po uzavretí, ktorý pred uzavretím úložiska spôsobom podľa odseku 1</w:t>
            </w:r>
          </w:p>
          <w:p w:rsidR="00004334" w:rsidRPr="00760A15" w:rsidRDefault="00004334" w:rsidP="00004334">
            <w:pPr>
              <w:autoSpaceDE w:val="0"/>
              <w:autoSpaceDN w:val="0"/>
              <w:adjustRightInd w:val="0"/>
              <w:spacing w:after="0" w:line="240" w:lineRule="auto"/>
              <w:rPr>
                <w:rFonts w:ascii="Times New Roman" w:hAnsi="Times New Roman"/>
                <w:color w:val="231F20"/>
                <w:sz w:val="20"/>
                <w:szCs w:val="20"/>
                <w:lang w:eastAsia="sk-SK"/>
              </w:rPr>
            </w:pPr>
            <w:r w:rsidRPr="00760A15">
              <w:rPr>
                <w:rFonts w:ascii="Times New Roman" w:hAnsi="Times New Roman"/>
                <w:color w:val="231F20"/>
                <w:sz w:val="20"/>
                <w:szCs w:val="20"/>
                <w:lang w:eastAsia="sk-SK"/>
              </w:rPr>
              <w:lastRenderedPageBreak/>
              <w:t>(...)</w:t>
            </w:r>
          </w:p>
          <w:p w:rsidR="00004334" w:rsidRPr="00760A15" w:rsidRDefault="00004334" w:rsidP="00004334">
            <w:pPr>
              <w:autoSpaceDE w:val="0"/>
              <w:autoSpaceDN w:val="0"/>
              <w:adjustRightInd w:val="0"/>
              <w:spacing w:after="0" w:line="240" w:lineRule="auto"/>
              <w:rPr>
                <w:rFonts w:ascii="ITCBookmanEE" w:hAnsi="ITCBookmanEE" w:cs="ITCBookmanEE"/>
                <w:color w:val="231F20"/>
                <w:sz w:val="19"/>
                <w:szCs w:val="19"/>
                <w:lang w:eastAsia="sk-SK"/>
              </w:rPr>
            </w:pPr>
            <w:r w:rsidRPr="00760A15">
              <w:rPr>
                <w:rFonts w:ascii="Times New Roman" w:hAnsi="Times New Roman"/>
                <w:color w:val="231F20"/>
                <w:sz w:val="20"/>
                <w:szCs w:val="20"/>
                <w:lang w:eastAsia="sk-SK"/>
              </w:rPr>
              <w:t>c</w:t>
            </w:r>
            <w:r w:rsidR="000A0603" w:rsidRPr="00760A15">
              <w:rPr>
                <w:rFonts w:ascii="Times New Roman" w:hAnsi="Times New Roman"/>
                <w:color w:val="231F20"/>
                <w:sz w:val="20"/>
                <w:szCs w:val="20"/>
                <w:lang w:eastAsia="sk-SK"/>
              </w:rPr>
              <w:t>) doplní o nové vedecké postupy</w:t>
            </w:r>
            <w:r w:rsidRPr="00760A15">
              <w:rPr>
                <w:rFonts w:ascii="Times New Roman" w:hAnsi="Times New Roman"/>
                <w:color w:val="231F20"/>
                <w:sz w:val="20"/>
                <w:szCs w:val="20"/>
                <w:lang w:eastAsia="sk-SK"/>
              </w:rPr>
              <w:t xml:space="preserve"> a najlepšie dostupné techniky a</w:t>
            </w:r>
          </w:p>
        </w:tc>
        <w:tc>
          <w:tcPr>
            <w:tcW w:w="850" w:type="dxa"/>
          </w:tcPr>
          <w:p w:rsidR="00004334" w:rsidRPr="00760A15" w:rsidRDefault="00180E2F" w:rsidP="00F1551E">
            <w:pPr>
              <w:spacing w:after="0" w:line="240" w:lineRule="auto"/>
              <w:rPr>
                <w:rFonts w:ascii="Times New Roman" w:hAnsi="Times New Roman"/>
                <w:sz w:val="20"/>
              </w:rPr>
            </w:pPr>
            <w:r w:rsidRPr="00760A15">
              <w:rPr>
                <w:rFonts w:ascii="Times New Roman" w:hAnsi="Times New Roman"/>
                <w:sz w:val="20"/>
              </w:rPr>
              <w:lastRenderedPageBreak/>
              <w:t>Ú</w:t>
            </w:r>
          </w:p>
        </w:tc>
        <w:tc>
          <w:tcPr>
            <w:tcW w:w="1418" w:type="dxa"/>
          </w:tcPr>
          <w:p w:rsidR="00004334" w:rsidRPr="00760A15" w:rsidRDefault="00004334" w:rsidP="00F1551E">
            <w:pPr>
              <w:spacing w:after="0" w:line="240" w:lineRule="auto"/>
              <w:rPr>
                <w:rFonts w:ascii="Times New Roman" w:hAnsi="Times New Roman"/>
                <w:sz w:val="20"/>
              </w:rPr>
            </w:pPr>
          </w:p>
        </w:tc>
      </w:tr>
      <w:tr w:rsidR="00DD3355" w:rsidRPr="00760A15" w:rsidTr="00AF1F08">
        <w:tc>
          <w:tcPr>
            <w:tcW w:w="1242" w:type="dxa"/>
          </w:tcPr>
          <w:p w:rsidR="00DD3355" w:rsidRPr="00760A15" w:rsidRDefault="00F22A00" w:rsidP="00004334">
            <w:pPr>
              <w:spacing w:after="0" w:line="240" w:lineRule="auto"/>
              <w:rPr>
                <w:rFonts w:ascii="Times New Roman" w:hAnsi="Times New Roman"/>
                <w:sz w:val="20"/>
              </w:rPr>
            </w:pPr>
            <w:r w:rsidRPr="00760A15">
              <w:rPr>
                <w:rFonts w:ascii="Times New Roman" w:hAnsi="Times New Roman"/>
                <w:sz w:val="20"/>
              </w:rPr>
              <w:lastRenderedPageBreak/>
              <w:t>Č 18, O 2, P a)</w:t>
            </w:r>
          </w:p>
        </w:tc>
        <w:tc>
          <w:tcPr>
            <w:tcW w:w="3544" w:type="dxa"/>
          </w:tcPr>
          <w:p w:rsidR="00F22A00" w:rsidRPr="00760A15" w:rsidRDefault="00F22A00" w:rsidP="00F22A00">
            <w:pPr>
              <w:pStyle w:val="Default"/>
              <w:spacing w:before="120" w:after="120"/>
              <w:jc w:val="both"/>
              <w:rPr>
                <w:rFonts w:ascii="Times New Roman" w:hAnsi="Times New Roman" w:cs="Times New Roman"/>
                <w:color w:val="auto"/>
                <w:sz w:val="20"/>
                <w:szCs w:val="20"/>
              </w:rPr>
            </w:pPr>
            <w:r w:rsidRPr="00760A15">
              <w:rPr>
                <w:rFonts w:ascii="Times New Roman" w:hAnsi="Times New Roman" w:cs="Times New Roman"/>
                <w:color w:val="auto"/>
                <w:sz w:val="20"/>
                <w:szCs w:val="20"/>
              </w:rPr>
              <w:t xml:space="preserve">Prevádzkovateľ vypracuje správu, v ktorej preukáže, že podmienka uvedená v odseku 1 písm. a), sa splnila a predloží ju príslušnému orgánu, aby schválil prenos zodpovednosti. Táto správa preukazuje aspoň: </w:t>
            </w:r>
          </w:p>
          <w:p w:rsidR="00DD3355" w:rsidRPr="00760A15" w:rsidRDefault="00F22A00" w:rsidP="00F22A00">
            <w:pPr>
              <w:pStyle w:val="Default"/>
              <w:spacing w:before="120" w:after="120"/>
              <w:jc w:val="both"/>
              <w:rPr>
                <w:rFonts w:ascii="Times New Roman" w:hAnsi="Times New Roman" w:cs="Times New Roman"/>
                <w:color w:val="auto"/>
                <w:sz w:val="20"/>
                <w:szCs w:val="20"/>
              </w:rPr>
            </w:pPr>
            <w:r w:rsidRPr="00760A15">
              <w:rPr>
                <w:rFonts w:ascii="Times New Roman" w:hAnsi="Times New Roman" w:cs="Times New Roman"/>
                <w:color w:val="auto"/>
                <w:sz w:val="20"/>
                <w:szCs w:val="20"/>
              </w:rPr>
              <w:t>a) súlad skutočného správania vtláčaného CO2 s modelovým správaním;</w:t>
            </w:r>
          </w:p>
        </w:tc>
        <w:tc>
          <w:tcPr>
            <w:tcW w:w="1276" w:type="dxa"/>
          </w:tcPr>
          <w:p w:rsidR="00DD3355" w:rsidRPr="00760A15" w:rsidRDefault="00180E2F"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DD3355" w:rsidRPr="00760A15" w:rsidRDefault="00180E2F"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DD3355" w:rsidRPr="00760A15" w:rsidRDefault="00F22A00" w:rsidP="00F22A00">
            <w:pPr>
              <w:spacing w:after="0" w:line="240" w:lineRule="auto"/>
              <w:rPr>
                <w:rFonts w:ascii="Times New Roman" w:hAnsi="Times New Roman"/>
                <w:sz w:val="20"/>
              </w:rPr>
            </w:pPr>
            <w:r w:rsidRPr="00760A15">
              <w:rPr>
                <w:rFonts w:ascii="Times New Roman" w:hAnsi="Times New Roman"/>
                <w:sz w:val="20"/>
              </w:rPr>
              <w:t>Č 1, § 15, O 3, P a)</w:t>
            </w:r>
          </w:p>
        </w:tc>
        <w:tc>
          <w:tcPr>
            <w:tcW w:w="3686" w:type="dxa"/>
          </w:tcPr>
          <w:p w:rsidR="00F22A00" w:rsidRPr="00760A15" w:rsidRDefault="00F22A00" w:rsidP="00F22A00">
            <w:pPr>
              <w:autoSpaceDE w:val="0"/>
              <w:autoSpaceDN w:val="0"/>
              <w:adjustRightInd w:val="0"/>
              <w:spacing w:after="0" w:line="240" w:lineRule="auto"/>
              <w:rPr>
                <w:rFonts w:ascii="Times New Roman" w:hAnsi="Times New Roman"/>
                <w:color w:val="231F20"/>
                <w:sz w:val="20"/>
                <w:szCs w:val="20"/>
                <w:lang w:eastAsia="sk-SK"/>
              </w:rPr>
            </w:pPr>
            <w:r w:rsidRPr="00760A15">
              <w:rPr>
                <w:rFonts w:ascii="Times New Roman" w:hAnsi="Times New Roman"/>
                <w:color w:val="231F20"/>
                <w:sz w:val="20"/>
                <w:szCs w:val="20"/>
                <w:lang w:eastAsia="sk-SK"/>
              </w:rPr>
              <w:t xml:space="preserve">(3) Po zabezpečení primárnej tesnosti štruktúry prevádzkovateľ zašle obvodnému banskému úradu spolu so žiadosťou súhrnnú správu, ktorá obsahuje </w:t>
            </w:r>
          </w:p>
          <w:p w:rsidR="00DD3355" w:rsidRPr="00760A15" w:rsidRDefault="000A0603" w:rsidP="00F22A00">
            <w:pPr>
              <w:autoSpaceDE w:val="0"/>
              <w:autoSpaceDN w:val="0"/>
              <w:adjustRightInd w:val="0"/>
              <w:spacing w:after="0" w:line="240" w:lineRule="auto"/>
              <w:rPr>
                <w:rFonts w:ascii="Times New Roman" w:hAnsi="Times New Roman"/>
                <w:color w:val="231F20"/>
                <w:sz w:val="20"/>
                <w:szCs w:val="20"/>
                <w:lang w:eastAsia="sk-SK"/>
              </w:rPr>
            </w:pPr>
            <w:r w:rsidRPr="00760A15">
              <w:rPr>
                <w:rFonts w:ascii="Times New Roman" w:eastAsiaTheme="minorHAnsi" w:hAnsi="Times New Roman"/>
                <w:sz w:val="20"/>
                <w:szCs w:val="20"/>
              </w:rPr>
              <w:t>a) súlad skutočného správania vtláčaného oxidu uhličitého s modelovým správaním</w:t>
            </w:r>
          </w:p>
        </w:tc>
        <w:tc>
          <w:tcPr>
            <w:tcW w:w="850" w:type="dxa"/>
          </w:tcPr>
          <w:p w:rsidR="00DD3355" w:rsidRPr="00760A15" w:rsidRDefault="00180E2F"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DD3355" w:rsidRPr="00760A15" w:rsidRDefault="00DD3355" w:rsidP="00F1551E">
            <w:pPr>
              <w:spacing w:after="0" w:line="240" w:lineRule="auto"/>
              <w:rPr>
                <w:rFonts w:ascii="Times New Roman" w:hAnsi="Times New Roman"/>
                <w:sz w:val="20"/>
              </w:rPr>
            </w:pPr>
          </w:p>
        </w:tc>
      </w:tr>
      <w:tr w:rsidR="00DD3355" w:rsidRPr="00760A15" w:rsidTr="00AF1F08">
        <w:tc>
          <w:tcPr>
            <w:tcW w:w="1242" w:type="dxa"/>
          </w:tcPr>
          <w:p w:rsidR="00DD3355" w:rsidRPr="00760A15" w:rsidRDefault="00F22A00" w:rsidP="00004334">
            <w:pPr>
              <w:spacing w:after="0" w:line="240" w:lineRule="auto"/>
              <w:rPr>
                <w:rFonts w:ascii="Times New Roman" w:hAnsi="Times New Roman"/>
                <w:sz w:val="20"/>
              </w:rPr>
            </w:pPr>
            <w:r w:rsidRPr="00760A15">
              <w:rPr>
                <w:rFonts w:ascii="Times New Roman" w:hAnsi="Times New Roman"/>
                <w:sz w:val="20"/>
              </w:rPr>
              <w:t>Č 18, O 2, P c)</w:t>
            </w:r>
          </w:p>
        </w:tc>
        <w:tc>
          <w:tcPr>
            <w:tcW w:w="3544" w:type="dxa"/>
          </w:tcPr>
          <w:p w:rsidR="00DD3355" w:rsidRPr="00760A15" w:rsidRDefault="00F22A00" w:rsidP="00F22A00">
            <w:pPr>
              <w:pStyle w:val="Default"/>
              <w:spacing w:before="120" w:after="120"/>
              <w:jc w:val="both"/>
              <w:rPr>
                <w:rFonts w:ascii="Times New Roman" w:hAnsi="Times New Roman" w:cs="Times New Roman"/>
                <w:color w:val="auto"/>
                <w:sz w:val="20"/>
                <w:szCs w:val="20"/>
              </w:rPr>
            </w:pPr>
            <w:r w:rsidRPr="00760A15">
              <w:rPr>
                <w:rFonts w:ascii="Times New Roman" w:hAnsi="Times New Roman" w:cs="Times New Roman"/>
                <w:color w:val="auto"/>
                <w:sz w:val="20"/>
                <w:szCs w:val="20"/>
              </w:rPr>
              <w:t>c) vývoj úložiska smerom k dlhodobej stabilite.</w:t>
            </w:r>
          </w:p>
        </w:tc>
        <w:tc>
          <w:tcPr>
            <w:tcW w:w="1276" w:type="dxa"/>
          </w:tcPr>
          <w:p w:rsidR="00DD3355" w:rsidRPr="00760A15" w:rsidRDefault="00180E2F"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DD3355" w:rsidRPr="00760A15" w:rsidRDefault="00180E2F"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DD3355" w:rsidRPr="00760A15" w:rsidRDefault="00F22A00" w:rsidP="00004334">
            <w:pPr>
              <w:spacing w:after="0" w:line="240" w:lineRule="auto"/>
              <w:rPr>
                <w:rFonts w:ascii="Times New Roman" w:hAnsi="Times New Roman"/>
                <w:sz w:val="20"/>
              </w:rPr>
            </w:pPr>
            <w:r w:rsidRPr="00760A15">
              <w:rPr>
                <w:rFonts w:ascii="Times New Roman" w:hAnsi="Times New Roman"/>
                <w:sz w:val="20"/>
              </w:rPr>
              <w:t>Č 1, § 15, O 3, P c)</w:t>
            </w:r>
          </w:p>
        </w:tc>
        <w:tc>
          <w:tcPr>
            <w:tcW w:w="3686" w:type="dxa"/>
          </w:tcPr>
          <w:p w:rsidR="00DD3355" w:rsidRPr="00760A15" w:rsidRDefault="00F22A00" w:rsidP="00F22A00">
            <w:pPr>
              <w:autoSpaceDE w:val="0"/>
              <w:autoSpaceDN w:val="0"/>
              <w:adjustRightInd w:val="0"/>
              <w:spacing w:after="0" w:line="240" w:lineRule="auto"/>
              <w:rPr>
                <w:rFonts w:ascii="Times New Roman" w:hAnsi="Times New Roman"/>
                <w:color w:val="231F20"/>
                <w:sz w:val="20"/>
                <w:szCs w:val="20"/>
                <w:lang w:eastAsia="sk-SK"/>
              </w:rPr>
            </w:pPr>
            <w:r w:rsidRPr="00760A15">
              <w:rPr>
                <w:rFonts w:ascii="Times New Roman" w:eastAsiaTheme="minorHAnsi" w:hAnsi="Times New Roman"/>
                <w:sz w:val="20"/>
                <w:szCs w:val="20"/>
              </w:rPr>
              <w:t>c) vývojový trend úložiska k dlhodobej stabilite.</w:t>
            </w:r>
          </w:p>
        </w:tc>
        <w:tc>
          <w:tcPr>
            <w:tcW w:w="850" w:type="dxa"/>
          </w:tcPr>
          <w:p w:rsidR="00DD3355" w:rsidRPr="00760A15" w:rsidRDefault="00180E2F"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DD3355" w:rsidRPr="00760A15" w:rsidRDefault="00DD3355" w:rsidP="00F1551E">
            <w:pPr>
              <w:spacing w:after="0" w:line="240" w:lineRule="auto"/>
              <w:rPr>
                <w:rFonts w:ascii="Times New Roman" w:hAnsi="Times New Roman"/>
                <w:sz w:val="20"/>
              </w:rPr>
            </w:pPr>
          </w:p>
        </w:tc>
      </w:tr>
      <w:tr w:rsidR="00442262" w:rsidRPr="00760A15" w:rsidTr="00AF1F08">
        <w:tc>
          <w:tcPr>
            <w:tcW w:w="1242" w:type="dxa"/>
          </w:tcPr>
          <w:p w:rsidR="00442262" w:rsidRPr="00760A15" w:rsidRDefault="00156BE4" w:rsidP="00F1551E">
            <w:pPr>
              <w:spacing w:after="0" w:line="240" w:lineRule="auto"/>
              <w:rPr>
                <w:rFonts w:ascii="Times New Roman" w:hAnsi="Times New Roman"/>
                <w:sz w:val="20"/>
              </w:rPr>
            </w:pPr>
            <w:r w:rsidRPr="00760A15">
              <w:rPr>
                <w:rFonts w:ascii="Times New Roman" w:hAnsi="Times New Roman"/>
                <w:sz w:val="20"/>
              </w:rPr>
              <w:t>Č 18, O 3</w:t>
            </w:r>
          </w:p>
        </w:tc>
        <w:tc>
          <w:tcPr>
            <w:tcW w:w="3544" w:type="dxa"/>
          </w:tcPr>
          <w:p w:rsidR="00442262" w:rsidRPr="00760A15" w:rsidRDefault="00156BE4" w:rsidP="00156BE4">
            <w:pPr>
              <w:spacing w:after="0" w:line="240" w:lineRule="auto"/>
              <w:rPr>
                <w:rFonts w:ascii="Times New Roman" w:hAnsi="Times New Roman"/>
                <w:sz w:val="20"/>
                <w:lang w:eastAsia="sk-SK"/>
              </w:rPr>
            </w:pPr>
            <w:r w:rsidRPr="00760A15">
              <w:rPr>
                <w:rFonts w:ascii="Times New Roman" w:hAnsi="Times New Roman"/>
                <w:sz w:val="20"/>
                <w:lang w:eastAsia="sk-SK"/>
              </w:rPr>
              <w:t xml:space="preserve">Keď sa príslušný orgán ubezpečí, že sa splnili podmienky uvedené v odseku 1 písm. a) a b), vypracuje návrh rozhodnutia o schválení prenosu zodpovednosti. V návrhu rozhodnutia sa uvedie metóda na stanovenie splnenia podmienok uvedených v odseku 1 písm. d), ako aj všetky aktualizované požiadavky na zaplombovanie úložiska a odstránenie </w:t>
            </w:r>
            <w:proofErr w:type="spellStart"/>
            <w:r w:rsidRPr="00760A15">
              <w:rPr>
                <w:rFonts w:ascii="Times New Roman" w:hAnsi="Times New Roman"/>
                <w:sz w:val="20"/>
                <w:lang w:eastAsia="sk-SK"/>
              </w:rPr>
              <w:t>vtláčacích</w:t>
            </w:r>
            <w:proofErr w:type="spellEnd"/>
            <w:r w:rsidRPr="00760A15">
              <w:rPr>
                <w:rFonts w:ascii="Times New Roman" w:hAnsi="Times New Roman"/>
                <w:sz w:val="20"/>
                <w:lang w:eastAsia="sk-SK"/>
              </w:rPr>
              <w:t xml:space="preserve"> zariadení. </w:t>
            </w:r>
          </w:p>
        </w:tc>
        <w:tc>
          <w:tcPr>
            <w:tcW w:w="1276" w:type="dxa"/>
          </w:tcPr>
          <w:p w:rsidR="00442262" w:rsidRPr="00760A15" w:rsidRDefault="00156BE4"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442262" w:rsidRPr="00760A15" w:rsidRDefault="00156BE4"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442262" w:rsidRPr="00760A15" w:rsidRDefault="007D2A00" w:rsidP="00F1551E">
            <w:pPr>
              <w:spacing w:after="0" w:line="240" w:lineRule="auto"/>
              <w:rPr>
                <w:rFonts w:ascii="Times New Roman" w:hAnsi="Times New Roman"/>
                <w:sz w:val="20"/>
              </w:rPr>
            </w:pPr>
            <w:r w:rsidRPr="00760A15">
              <w:rPr>
                <w:rFonts w:ascii="Times New Roman" w:hAnsi="Times New Roman"/>
                <w:sz w:val="20"/>
              </w:rPr>
              <w:t>Č 1, § 15, O</w:t>
            </w:r>
            <w:r w:rsidR="00C144C3" w:rsidRPr="00760A15">
              <w:rPr>
                <w:rFonts w:ascii="Times New Roman" w:hAnsi="Times New Roman"/>
                <w:sz w:val="20"/>
              </w:rPr>
              <w:t> </w:t>
            </w:r>
            <w:r w:rsidRPr="00760A15">
              <w:rPr>
                <w:rFonts w:ascii="Times New Roman" w:hAnsi="Times New Roman"/>
                <w:sz w:val="20"/>
              </w:rPr>
              <w:t>4</w:t>
            </w:r>
          </w:p>
        </w:tc>
        <w:tc>
          <w:tcPr>
            <w:tcW w:w="3686" w:type="dxa"/>
          </w:tcPr>
          <w:p w:rsidR="007D2A00" w:rsidRPr="00760A15" w:rsidRDefault="007D2A00" w:rsidP="007D2A00">
            <w:pPr>
              <w:pStyle w:val="tl1"/>
              <w:numPr>
                <w:ilvl w:val="0"/>
                <w:numId w:val="0"/>
              </w:numPr>
              <w:tabs>
                <w:tab w:val="clear" w:pos="454"/>
                <w:tab w:val="left" w:pos="-108"/>
              </w:tabs>
              <w:jc w:val="left"/>
              <w:rPr>
                <w:sz w:val="20"/>
              </w:rPr>
            </w:pPr>
            <w:r w:rsidRPr="00760A15">
              <w:rPr>
                <w:sz w:val="20"/>
              </w:rPr>
              <w:t>Ak boli splnené podmienky uvedené v odseku 1 písm. a) a b), obvodný banský úrad vypracuje návrh rozhodnutia o prechode povinností, v ktorom uvedie spôsob splnenia podmienky ustanovenej v odseku 1</w:t>
            </w:r>
          </w:p>
          <w:p w:rsidR="007D2A00" w:rsidRPr="00760A15" w:rsidRDefault="007D2A00" w:rsidP="007D2A00">
            <w:pPr>
              <w:pStyle w:val="tl1"/>
              <w:numPr>
                <w:ilvl w:val="0"/>
                <w:numId w:val="0"/>
              </w:numPr>
              <w:tabs>
                <w:tab w:val="clear" w:pos="454"/>
                <w:tab w:val="left" w:pos="-108"/>
              </w:tabs>
              <w:jc w:val="left"/>
              <w:rPr>
                <w:sz w:val="20"/>
              </w:rPr>
            </w:pPr>
            <w:r w:rsidRPr="00760A15">
              <w:rPr>
                <w:sz w:val="20"/>
              </w:rPr>
              <w:t xml:space="preserve">písm. e) vrátane všetkých aktualizovaných požiadaviek na zapečatenie úložiska a odstránenie </w:t>
            </w:r>
            <w:proofErr w:type="spellStart"/>
            <w:r w:rsidRPr="00760A15">
              <w:rPr>
                <w:sz w:val="20"/>
              </w:rPr>
              <w:t>vtláčacích</w:t>
            </w:r>
            <w:proofErr w:type="spellEnd"/>
            <w:r w:rsidRPr="00760A15">
              <w:rPr>
                <w:sz w:val="20"/>
              </w:rPr>
              <w:t xml:space="preserve"> zariadení.</w:t>
            </w:r>
          </w:p>
          <w:p w:rsidR="00442262" w:rsidRPr="00760A15" w:rsidRDefault="00442262" w:rsidP="007D2A00">
            <w:pPr>
              <w:pStyle w:val="tl1"/>
              <w:numPr>
                <w:ilvl w:val="0"/>
                <w:numId w:val="0"/>
              </w:numPr>
              <w:tabs>
                <w:tab w:val="clear" w:pos="454"/>
                <w:tab w:val="left" w:pos="-108"/>
              </w:tabs>
              <w:jc w:val="left"/>
              <w:rPr>
                <w:sz w:val="20"/>
              </w:rPr>
            </w:pPr>
          </w:p>
        </w:tc>
        <w:tc>
          <w:tcPr>
            <w:tcW w:w="850" w:type="dxa"/>
          </w:tcPr>
          <w:p w:rsidR="00442262" w:rsidRPr="00760A15" w:rsidRDefault="007D2A00"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442262" w:rsidRPr="00760A15" w:rsidRDefault="00442262" w:rsidP="00F1551E">
            <w:pPr>
              <w:spacing w:after="0" w:line="240" w:lineRule="auto"/>
              <w:rPr>
                <w:rFonts w:ascii="Times New Roman" w:hAnsi="Times New Roman"/>
                <w:sz w:val="20"/>
              </w:rPr>
            </w:pPr>
          </w:p>
        </w:tc>
      </w:tr>
      <w:tr w:rsidR="00181B41" w:rsidRPr="00760A15" w:rsidTr="00AF1F08">
        <w:tc>
          <w:tcPr>
            <w:tcW w:w="1242" w:type="dxa"/>
          </w:tcPr>
          <w:p w:rsidR="00181B41" w:rsidRPr="00760A15" w:rsidRDefault="00FE3E30" w:rsidP="00F1551E">
            <w:pPr>
              <w:spacing w:after="0" w:line="240" w:lineRule="auto"/>
              <w:rPr>
                <w:rFonts w:ascii="Times New Roman" w:hAnsi="Times New Roman"/>
                <w:sz w:val="20"/>
              </w:rPr>
            </w:pPr>
            <w:r w:rsidRPr="00760A15">
              <w:rPr>
                <w:rFonts w:ascii="Times New Roman" w:hAnsi="Times New Roman"/>
                <w:sz w:val="20"/>
              </w:rPr>
              <w:t>Č 20, O 1</w:t>
            </w:r>
          </w:p>
        </w:tc>
        <w:tc>
          <w:tcPr>
            <w:tcW w:w="3544" w:type="dxa"/>
          </w:tcPr>
          <w:p w:rsidR="00181B41" w:rsidRPr="00760A15" w:rsidRDefault="00FE3E30" w:rsidP="00156BE4">
            <w:pPr>
              <w:spacing w:after="0" w:line="240" w:lineRule="auto"/>
              <w:rPr>
                <w:rFonts w:ascii="Times New Roman" w:hAnsi="Times New Roman"/>
                <w:sz w:val="20"/>
                <w:szCs w:val="20"/>
                <w:lang w:eastAsia="sk-SK"/>
              </w:rPr>
            </w:pPr>
            <w:r w:rsidRPr="00760A15">
              <w:rPr>
                <w:rFonts w:ascii="Times New Roman" w:hAnsi="Times New Roman"/>
                <w:sz w:val="20"/>
                <w:szCs w:val="20"/>
              </w:rPr>
              <w:t xml:space="preserve">Členské štáty zabezpečia, aby prevádzkovateľ poskytol príslušnému orgánu pred uskutočnením prenosu zodpovednosti podľa článku 18 finančný príspevok, a to </w:t>
            </w:r>
            <w:r w:rsidRPr="00760A15">
              <w:rPr>
                <w:rFonts w:ascii="Times New Roman" w:hAnsi="Times New Roman"/>
                <w:sz w:val="20"/>
                <w:szCs w:val="20"/>
              </w:rPr>
              <w:lastRenderedPageBreak/>
              <w:t>na základe úpravy, ktorú určia členské štáty. Príspevok prevádzkovateľa zohľadňuje kritériá uvedené v prílohe I a parametre týkajúce sa histórie ukladania CO</w:t>
            </w:r>
            <w:r w:rsidRPr="00760A15">
              <w:rPr>
                <w:rFonts w:ascii="Times New Roman" w:hAnsi="Times New Roman"/>
                <w:sz w:val="20"/>
                <w:szCs w:val="20"/>
                <w:vertAlign w:val="subscript"/>
              </w:rPr>
              <w:t>2</w:t>
            </w:r>
            <w:r w:rsidRPr="00760A15">
              <w:rPr>
                <w:rFonts w:ascii="Times New Roman" w:hAnsi="Times New Roman"/>
                <w:sz w:val="20"/>
                <w:szCs w:val="20"/>
              </w:rPr>
              <w:t xml:space="preserve"> významné z hľadiska určenia povinností po uskutočnení prenosu a pokrýva aspoň predpokladané náklady na monitorovanie po dobu 30 rokov.</w:t>
            </w:r>
          </w:p>
        </w:tc>
        <w:tc>
          <w:tcPr>
            <w:tcW w:w="1276" w:type="dxa"/>
          </w:tcPr>
          <w:p w:rsidR="00181B41" w:rsidRPr="00760A15" w:rsidRDefault="00180E2F" w:rsidP="00F1551E">
            <w:pPr>
              <w:spacing w:after="0" w:line="240" w:lineRule="auto"/>
              <w:rPr>
                <w:rFonts w:ascii="Times New Roman" w:hAnsi="Times New Roman"/>
                <w:sz w:val="20"/>
              </w:rPr>
            </w:pPr>
            <w:r w:rsidRPr="00760A15">
              <w:rPr>
                <w:rFonts w:ascii="Times New Roman" w:hAnsi="Times New Roman"/>
                <w:sz w:val="20"/>
              </w:rPr>
              <w:lastRenderedPageBreak/>
              <w:t>N</w:t>
            </w:r>
          </w:p>
        </w:tc>
        <w:tc>
          <w:tcPr>
            <w:tcW w:w="709" w:type="dxa"/>
          </w:tcPr>
          <w:p w:rsidR="00181B41" w:rsidRPr="00760A15" w:rsidRDefault="00180E2F"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181B41" w:rsidRPr="00760A15" w:rsidRDefault="00181B41" w:rsidP="000A0603">
            <w:pPr>
              <w:spacing w:after="0" w:line="240" w:lineRule="auto"/>
              <w:rPr>
                <w:rFonts w:ascii="Times New Roman" w:hAnsi="Times New Roman"/>
                <w:sz w:val="20"/>
              </w:rPr>
            </w:pPr>
            <w:r w:rsidRPr="00760A15">
              <w:rPr>
                <w:rFonts w:ascii="Times New Roman" w:hAnsi="Times New Roman"/>
                <w:sz w:val="20"/>
              </w:rPr>
              <w:t>Č 1, § 17, O 1</w:t>
            </w:r>
            <w:r w:rsidR="000A0603" w:rsidRPr="00760A15">
              <w:rPr>
                <w:rFonts w:ascii="Times New Roman" w:hAnsi="Times New Roman"/>
                <w:sz w:val="20"/>
              </w:rPr>
              <w:t>3</w:t>
            </w:r>
          </w:p>
        </w:tc>
        <w:tc>
          <w:tcPr>
            <w:tcW w:w="3686" w:type="dxa"/>
          </w:tcPr>
          <w:p w:rsidR="00181B41" w:rsidRPr="00760A15" w:rsidRDefault="00181B41" w:rsidP="00530829">
            <w:pPr>
              <w:autoSpaceDE w:val="0"/>
              <w:autoSpaceDN w:val="0"/>
              <w:adjustRightInd w:val="0"/>
              <w:spacing w:after="0" w:line="240" w:lineRule="auto"/>
              <w:rPr>
                <w:sz w:val="20"/>
              </w:rPr>
            </w:pPr>
            <w:r w:rsidRPr="00760A15">
              <w:rPr>
                <w:rFonts w:ascii="Times New Roman" w:hAnsi="Times New Roman"/>
                <w:color w:val="231F20"/>
                <w:sz w:val="20"/>
                <w:szCs w:val="20"/>
                <w:lang w:eastAsia="sk-SK"/>
              </w:rPr>
              <w:t xml:space="preserve">(12) Pred nadobudnutím právoplatnosti rozhodnutia o prechode povinností podľa § 15 prevedie prevádzkovateľ na osobitný účet obvodného banského úradu finančnú </w:t>
            </w:r>
            <w:r w:rsidRPr="00760A15">
              <w:rPr>
                <w:rFonts w:ascii="Times New Roman" w:hAnsi="Times New Roman"/>
                <w:color w:val="231F20"/>
                <w:sz w:val="20"/>
                <w:szCs w:val="20"/>
                <w:lang w:eastAsia="sk-SK"/>
              </w:rPr>
              <w:lastRenderedPageBreak/>
              <w:t>úhradu. Finančná úhrada sa použije na účely podľa odseku 1. Výška finančnej úhrady zohľadňuje kritériá uvedené v prílohách č. 1 a</w:t>
            </w:r>
            <w:r w:rsidR="00530829" w:rsidRPr="00760A15">
              <w:rPr>
                <w:rFonts w:ascii="Times New Roman" w:hAnsi="Times New Roman"/>
                <w:color w:val="231F20"/>
                <w:sz w:val="20"/>
                <w:szCs w:val="20"/>
                <w:lang w:eastAsia="sk-SK"/>
              </w:rPr>
              <w:t> </w:t>
            </w:r>
            <w:r w:rsidRPr="00760A15">
              <w:rPr>
                <w:rFonts w:ascii="Times New Roman" w:hAnsi="Times New Roman"/>
                <w:color w:val="231F20"/>
                <w:sz w:val="20"/>
                <w:szCs w:val="20"/>
                <w:lang w:eastAsia="sk-SK"/>
              </w:rPr>
              <w:t>2</w:t>
            </w:r>
            <w:r w:rsidR="00530829" w:rsidRPr="00760A15">
              <w:rPr>
                <w:rFonts w:ascii="Times New Roman" w:hAnsi="Times New Roman"/>
                <w:color w:val="231F20"/>
                <w:sz w:val="20"/>
                <w:szCs w:val="20"/>
                <w:lang w:eastAsia="sk-SK"/>
              </w:rPr>
              <w:t xml:space="preserve"> </w:t>
            </w:r>
            <w:r w:rsidR="00530829" w:rsidRPr="00760A15">
              <w:rPr>
                <w:rFonts w:ascii="Times New Roman" w:eastAsiaTheme="minorHAnsi" w:hAnsi="Times New Roman"/>
                <w:sz w:val="20"/>
                <w:szCs w:val="20"/>
              </w:rPr>
              <w:t>a parametre týkajúce sa histórie ukladania oxidu uhličitého významné z hľadiska určenia povinností po ukončení prechodu povinností.</w:t>
            </w:r>
          </w:p>
        </w:tc>
        <w:tc>
          <w:tcPr>
            <w:tcW w:w="850" w:type="dxa"/>
          </w:tcPr>
          <w:p w:rsidR="00181B41" w:rsidRPr="00760A15" w:rsidRDefault="00180E2F" w:rsidP="00F1551E">
            <w:pPr>
              <w:spacing w:after="0" w:line="240" w:lineRule="auto"/>
              <w:rPr>
                <w:rFonts w:ascii="Times New Roman" w:hAnsi="Times New Roman"/>
                <w:sz w:val="20"/>
              </w:rPr>
            </w:pPr>
            <w:r w:rsidRPr="00760A15">
              <w:rPr>
                <w:rFonts w:ascii="Times New Roman" w:hAnsi="Times New Roman"/>
                <w:sz w:val="20"/>
              </w:rPr>
              <w:lastRenderedPageBreak/>
              <w:t>Ú</w:t>
            </w:r>
          </w:p>
        </w:tc>
        <w:tc>
          <w:tcPr>
            <w:tcW w:w="1418" w:type="dxa"/>
          </w:tcPr>
          <w:p w:rsidR="00181B41" w:rsidRPr="00760A15" w:rsidRDefault="00181B41" w:rsidP="00F1551E">
            <w:pPr>
              <w:spacing w:after="0" w:line="240" w:lineRule="auto"/>
              <w:rPr>
                <w:rFonts w:ascii="Times New Roman" w:hAnsi="Times New Roman"/>
                <w:sz w:val="20"/>
              </w:rPr>
            </w:pPr>
          </w:p>
        </w:tc>
      </w:tr>
      <w:tr w:rsidR="000B314F" w:rsidRPr="00760A15" w:rsidTr="00AF1F08">
        <w:tc>
          <w:tcPr>
            <w:tcW w:w="1242" w:type="dxa"/>
          </w:tcPr>
          <w:p w:rsidR="000B314F" w:rsidRPr="00760A15" w:rsidRDefault="00FB4E9A" w:rsidP="00F1551E">
            <w:pPr>
              <w:spacing w:after="0" w:line="240" w:lineRule="auto"/>
              <w:rPr>
                <w:rFonts w:ascii="Times New Roman" w:hAnsi="Times New Roman"/>
                <w:sz w:val="20"/>
              </w:rPr>
            </w:pPr>
            <w:r w:rsidRPr="00760A15">
              <w:rPr>
                <w:rFonts w:ascii="Times New Roman" w:hAnsi="Times New Roman"/>
                <w:sz w:val="20"/>
              </w:rPr>
              <w:lastRenderedPageBreak/>
              <w:t>Č 21, O 2, P a), c)</w:t>
            </w:r>
          </w:p>
        </w:tc>
        <w:tc>
          <w:tcPr>
            <w:tcW w:w="3544" w:type="dxa"/>
          </w:tcPr>
          <w:p w:rsidR="00FB4E9A" w:rsidRPr="00760A15" w:rsidRDefault="00FB4E9A" w:rsidP="00FB4E9A">
            <w:pPr>
              <w:pStyle w:val="Default"/>
              <w:spacing w:before="120" w:after="120"/>
              <w:jc w:val="both"/>
              <w:rPr>
                <w:rFonts w:ascii="Times New Roman" w:hAnsi="Times New Roman" w:cs="Times New Roman"/>
                <w:color w:val="auto"/>
                <w:sz w:val="20"/>
                <w:szCs w:val="20"/>
              </w:rPr>
            </w:pPr>
            <w:r w:rsidRPr="00760A15">
              <w:rPr>
                <w:rFonts w:ascii="Times New Roman" w:hAnsi="Times New Roman" w:cs="Times New Roman"/>
                <w:color w:val="auto"/>
                <w:sz w:val="20"/>
                <w:szCs w:val="20"/>
              </w:rPr>
              <w:t xml:space="preserve">Prístup uvedený v odseku 1 sa poskytuje transparentným a nediskriminačným spôsobom, ktorý určí členský štát. Členský štát uplatňuje ciele spravodlivého a otvoreného prístupu, s prihliadnutím na: </w:t>
            </w:r>
          </w:p>
          <w:p w:rsidR="006D150A" w:rsidRPr="00760A15" w:rsidRDefault="00FB4E9A" w:rsidP="00FB4E9A">
            <w:pPr>
              <w:pStyle w:val="Default"/>
              <w:spacing w:before="120" w:after="120"/>
              <w:jc w:val="both"/>
              <w:rPr>
                <w:rFonts w:ascii="Times New Roman" w:hAnsi="Times New Roman" w:cs="Times New Roman"/>
                <w:color w:val="auto"/>
                <w:sz w:val="20"/>
                <w:szCs w:val="20"/>
              </w:rPr>
            </w:pPr>
            <w:r w:rsidRPr="00760A15">
              <w:rPr>
                <w:rFonts w:ascii="Times New Roman" w:hAnsi="Times New Roman" w:cs="Times New Roman"/>
                <w:color w:val="auto"/>
                <w:sz w:val="20"/>
                <w:szCs w:val="20"/>
              </w:rPr>
              <w:t>a) úložnú kapacitu, ktorá je k dispozícii alebo sa môže v primeranej miere sprístupniť na územiach, ktoré sú na to určené na základe článku 4, a na prepravnú kapacitu, ktorá je k dispozícii alebo sa môže v primeranej miere dať k dispozícii;</w:t>
            </w:r>
          </w:p>
          <w:p w:rsidR="000B314F" w:rsidRPr="00760A15" w:rsidRDefault="006D150A" w:rsidP="00FB4E9A">
            <w:pPr>
              <w:pStyle w:val="Default"/>
              <w:spacing w:before="120" w:after="120"/>
              <w:jc w:val="both"/>
              <w:rPr>
                <w:rFonts w:ascii="Times New Roman" w:hAnsi="Times New Roman" w:cs="Times New Roman"/>
                <w:color w:val="auto"/>
                <w:sz w:val="20"/>
                <w:szCs w:val="20"/>
              </w:rPr>
            </w:pPr>
            <w:r w:rsidRPr="00760A15">
              <w:rPr>
                <w:rFonts w:ascii="Times New Roman" w:hAnsi="Times New Roman"/>
                <w:sz w:val="20"/>
                <w:szCs w:val="20"/>
              </w:rPr>
              <w:t>c) potrebu odmietnuť prístup, ak existuje nezlučiteľnosť technických špecifikácií, ktorú nemožno vhodným spôsobom prekonať;</w:t>
            </w:r>
          </w:p>
        </w:tc>
        <w:tc>
          <w:tcPr>
            <w:tcW w:w="1276" w:type="dxa"/>
          </w:tcPr>
          <w:p w:rsidR="000B314F" w:rsidRPr="00760A15" w:rsidRDefault="00180E2F"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0B314F" w:rsidRPr="00760A15" w:rsidRDefault="00180E2F"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0B314F" w:rsidRPr="00760A15" w:rsidRDefault="00FB4E9A" w:rsidP="00FB4E9A">
            <w:pPr>
              <w:spacing w:after="0" w:line="240" w:lineRule="auto"/>
              <w:rPr>
                <w:rFonts w:ascii="Times New Roman" w:hAnsi="Times New Roman"/>
                <w:sz w:val="20"/>
              </w:rPr>
            </w:pPr>
            <w:r w:rsidRPr="00760A15">
              <w:rPr>
                <w:rFonts w:ascii="Times New Roman" w:hAnsi="Times New Roman"/>
                <w:sz w:val="20"/>
              </w:rPr>
              <w:t>Č I, § 18, O 4, P a)</w:t>
            </w:r>
            <w:r w:rsidR="006D150A" w:rsidRPr="00760A15">
              <w:rPr>
                <w:rFonts w:ascii="Times New Roman" w:hAnsi="Times New Roman"/>
                <w:sz w:val="20"/>
              </w:rPr>
              <w:t xml:space="preserve"> až c)</w:t>
            </w:r>
          </w:p>
        </w:tc>
        <w:tc>
          <w:tcPr>
            <w:tcW w:w="3686" w:type="dxa"/>
          </w:tcPr>
          <w:p w:rsidR="00FB4E9A" w:rsidRPr="00760A15" w:rsidRDefault="00FB4E9A" w:rsidP="00FB4E9A">
            <w:pPr>
              <w:autoSpaceDE w:val="0"/>
              <w:autoSpaceDN w:val="0"/>
              <w:adjustRightInd w:val="0"/>
              <w:spacing w:after="0" w:line="240" w:lineRule="auto"/>
              <w:rPr>
                <w:rFonts w:ascii="Times New Roman" w:hAnsi="Times New Roman"/>
                <w:color w:val="231F20"/>
                <w:sz w:val="20"/>
                <w:szCs w:val="20"/>
                <w:lang w:eastAsia="sk-SK"/>
              </w:rPr>
            </w:pPr>
            <w:r w:rsidRPr="00760A15">
              <w:rPr>
                <w:rFonts w:ascii="Times New Roman" w:hAnsi="Times New Roman"/>
                <w:color w:val="231F20"/>
                <w:sz w:val="20"/>
                <w:szCs w:val="20"/>
                <w:lang w:eastAsia="sk-SK"/>
              </w:rPr>
              <w:t>(4) Obvodný banský úrad pri povoľovaní prístupu prihliada na</w:t>
            </w:r>
          </w:p>
          <w:p w:rsidR="00113D00" w:rsidRPr="00113D00" w:rsidRDefault="00113D00" w:rsidP="00113D00">
            <w:pPr>
              <w:pStyle w:val="tl1"/>
              <w:numPr>
                <w:ilvl w:val="0"/>
                <w:numId w:val="0"/>
              </w:numPr>
              <w:tabs>
                <w:tab w:val="clear" w:pos="454"/>
                <w:tab w:val="left" w:pos="0"/>
              </w:tabs>
              <w:rPr>
                <w:rFonts w:eastAsia="Calibri"/>
                <w:sz w:val="20"/>
                <w:szCs w:val="20"/>
                <w:lang w:eastAsia="en-US"/>
              </w:rPr>
            </w:pPr>
            <w:r w:rsidRPr="00113D00">
              <w:rPr>
                <w:rFonts w:eastAsia="Calibri"/>
                <w:sz w:val="20"/>
                <w:szCs w:val="20"/>
                <w:lang w:eastAsia="en-US"/>
              </w:rPr>
              <w:t>„a) využiteľnú kapacitu úložiska, ktorá sa môže v primeranej miere sprístupniť na územiach podľa § 3,</w:t>
            </w:r>
          </w:p>
          <w:p w:rsidR="00113D00" w:rsidRPr="00113D00" w:rsidRDefault="00113D00" w:rsidP="00113D00">
            <w:pPr>
              <w:pStyle w:val="tl1"/>
              <w:numPr>
                <w:ilvl w:val="0"/>
                <w:numId w:val="0"/>
              </w:numPr>
              <w:tabs>
                <w:tab w:val="clear" w:pos="454"/>
                <w:tab w:val="left" w:pos="0"/>
              </w:tabs>
              <w:rPr>
                <w:rFonts w:eastAsia="Calibri"/>
                <w:sz w:val="20"/>
                <w:szCs w:val="20"/>
                <w:lang w:eastAsia="en-US"/>
              </w:rPr>
            </w:pPr>
            <w:r w:rsidRPr="00113D00" w:rsidDel="001412F5">
              <w:rPr>
                <w:rFonts w:eastAsia="Calibri"/>
                <w:sz w:val="20"/>
                <w:szCs w:val="20"/>
                <w:lang w:eastAsia="en-US"/>
              </w:rPr>
              <w:t xml:space="preserve"> </w:t>
            </w:r>
            <w:r w:rsidRPr="00113D00">
              <w:rPr>
                <w:rFonts w:eastAsia="Calibri"/>
                <w:sz w:val="20"/>
                <w:szCs w:val="20"/>
                <w:lang w:eastAsia="en-US"/>
              </w:rPr>
              <w:t>b) využiteľnú kapacitu prepravnej siete,</w:t>
            </w:r>
          </w:p>
          <w:p w:rsidR="00113D00" w:rsidRPr="00113D00" w:rsidRDefault="00113D00" w:rsidP="00113D00">
            <w:pPr>
              <w:pStyle w:val="tl1"/>
              <w:numPr>
                <w:ilvl w:val="0"/>
                <w:numId w:val="0"/>
              </w:numPr>
              <w:tabs>
                <w:tab w:val="clear" w:pos="454"/>
                <w:tab w:val="left" w:pos="0"/>
              </w:tabs>
              <w:rPr>
                <w:sz w:val="20"/>
                <w:szCs w:val="20"/>
              </w:rPr>
            </w:pPr>
            <w:r w:rsidRPr="00113D00" w:rsidDel="00C53BED">
              <w:rPr>
                <w:rFonts w:eastAsia="Calibri"/>
                <w:sz w:val="20"/>
                <w:szCs w:val="20"/>
                <w:lang w:eastAsia="en-US"/>
              </w:rPr>
              <w:t xml:space="preserve"> </w:t>
            </w:r>
            <w:r w:rsidRPr="00113D00">
              <w:rPr>
                <w:rFonts w:eastAsia="Calibri"/>
                <w:sz w:val="20"/>
                <w:szCs w:val="20"/>
                <w:lang w:eastAsia="en-US"/>
              </w:rPr>
              <w:t>c) potrebu odmietnuť prístup, ak existuje nezlučiteľnosť neprekonateľných technických špecifikácií,“.</w:t>
            </w:r>
          </w:p>
          <w:p w:rsidR="000B314F" w:rsidRPr="00760A15" w:rsidRDefault="000B314F" w:rsidP="00FB4E9A">
            <w:pPr>
              <w:autoSpaceDE w:val="0"/>
              <w:autoSpaceDN w:val="0"/>
              <w:adjustRightInd w:val="0"/>
              <w:spacing w:after="0" w:line="240" w:lineRule="auto"/>
              <w:rPr>
                <w:rFonts w:ascii="Times New Roman" w:hAnsi="Times New Roman"/>
                <w:color w:val="231F20"/>
                <w:sz w:val="20"/>
                <w:szCs w:val="20"/>
                <w:lang w:eastAsia="sk-SK"/>
              </w:rPr>
            </w:pPr>
          </w:p>
        </w:tc>
        <w:tc>
          <w:tcPr>
            <w:tcW w:w="850" w:type="dxa"/>
          </w:tcPr>
          <w:p w:rsidR="000B314F" w:rsidRPr="00760A15" w:rsidRDefault="00180E2F"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0B314F" w:rsidRPr="00760A15" w:rsidRDefault="000B314F" w:rsidP="00F1551E">
            <w:pPr>
              <w:spacing w:after="0" w:line="240" w:lineRule="auto"/>
              <w:rPr>
                <w:rFonts w:ascii="Times New Roman" w:hAnsi="Times New Roman"/>
                <w:sz w:val="20"/>
              </w:rPr>
            </w:pPr>
          </w:p>
        </w:tc>
      </w:tr>
      <w:tr w:rsidR="00442262" w:rsidRPr="00760A15" w:rsidTr="00AF1F08">
        <w:tc>
          <w:tcPr>
            <w:tcW w:w="1242" w:type="dxa"/>
          </w:tcPr>
          <w:p w:rsidR="00442262" w:rsidRPr="00760A15" w:rsidRDefault="007D2A00" w:rsidP="00F1551E">
            <w:pPr>
              <w:spacing w:after="0" w:line="240" w:lineRule="auto"/>
              <w:rPr>
                <w:rFonts w:ascii="Times New Roman" w:hAnsi="Times New Roman"/>
                <w:sz w:val="20"/>
              </w:rPr>
            </w:pPr>
            <w:r w:rsidRPr="00760A15">
              <w:rPr>
                <w:rFonts w:ascii="Times New Roman" w:hAnsi="Times New Roman"/>
                <w:sz w:val="20"/>
              </w:rPr>
              <w:t>Č 21, O 4</w:t>
            </w:r>
          </w:p>
        </w:tc>
        <w:tc>
          <w:tcPr>
            <w:tcW w:w="3544" w:type="dxa"/>
          </w:tcPr>
          <w:p w:rsidR="00442262" w:rsidRPr="00760A15" w:rsidRDefault="007D2A00" w:rsidP="007D2A00">
            <w:pPr>
              <w:spacing w:after="0" w:line="240" w:lineRule="auto"/>
              <w:rPr>
                <w:rFonts w:ascii="Times New Roman" w:hAnsi="Times New Roman"/>
                <w:sz w:val="20"/>
                <w:lang w:eastAsia="sk-SK"/>
              </w:rPr>
            </w:pPr>
            <w:r w:rsidRPr="00760A15">
              <w:rPr>
                <w:rFonts w:ascii="Times New Roman" w:hAnsi="Times New Roman"/>
                <w:sz w:val="20"/>
                <w:lang w:eastAsia="sk-SK"/>
              </w:rPr>
              <w:t xml:space="preserve">Členské štáty prijmú opatrenia potrebné na zabezpečenie toho, aby prevádzkovateľ, ktorý odmieta prístup na základe nedostatočnej kapacity alebo nedostatočného spojenia, vykonal všetky potrebné zlepšenia, pokiaľ sú ekonomicky prijateľné alebo ak je potenciálny zákazník ochotný za </w:t>
            </w:r>
            <w:proofErr w:type="spellStart"/>
            <w:r w:rsidRPr="00760A15">
              <w:rPr>
                <w:rFonts w:ascii="Times New Roman" w:hAnsi="Times New Roman"/>
                <w:sz w:val="20"/>
                <w:lang w:eastAsia="sk-SK"/>
              </w:rPr>
              <w:t>ne</w:t>
            </w:r>
            <w:proofErr w:type="spellEnd"/>
            <w:r w:rsidRPr="00760A15">
              <w:rPr>
                <w:rFonts w:ascii="Times New Roman" w:hAnsi="Times New Roman"/>
                <w:sz w:val="20"/>
                <w:lang w:eastAsia="sk-SK"/>
              </w:rPr>
              <w:t xml:space="preserve"> zaplatiť, a to za predpokladu, že to nepriaznivo neovplyvní environmentálnu bezpečnosť prepravy a geologického ukladania CO</w:t>
            </w:r>
            <w:r w:rsidRPr="00760A15">
              <w:rPr>
                <w:rFonts w:ascii="Times New Roman" w:hAnsi="Times New Roman"/>
                <w:sz w:val="20"/>
                <w:vertAlign w:val="subscript"/>
                <w:lang w:eastAsia="sk-SK"/>
              </w:rPr>
              <w:t>2</w:t>
            </w:r>
            <w:r w:rsidRPr="00760A15">
              <w:rPr>
                <w:rFonts w:ascii="Times New Roman" w:hAnsi="Times New Roman"/>
                <w:sz w:val="20"/>
                <w:lang w:eastAsia="sk-SK"/>
              </w:rPr>
              <w:t>.</w:t>
            </w:r>
          </w:p>
        </w:tc>
        <w:tc>
          <w:tcPr>
            <w:tcW w:w="1276" w:type="dxa"/>
          </w:tcPr>
          <w:p w:rsidR="00442262" w:rsidRPr="00760A15" w:rsidRDefault="007D2A00"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442262" w:rsidRPr="00760A15" w:rsidRDefault="007D2A00"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442262" w:rsidRPr="00760A15" w:rsidRDefault="00057906" w:rsidP="00F1551E">
            <w:pPr>
              <w:spacing w:after="0" w:line="240" w:lineRule="auto"/>
              <w:rPr>
                <w:rFonts w:ascii="Times New Roman" w:hAnsi="Times New Roman"/>
                <w:sz w:val="20"/>
              </w:rPr>
            </w:pPr>
            <w:r w:rsidRPr="00760A15">
              <w:rPr>
                <w:rFonts w:ascii="Times New Roman" w:hAnsi="Times New Roman"/>
                <w:sz w:val="20"/>
              </w:rPr>
              <w:t>Č I</w:t>
            </w:r>
            <w:r w:rsidR="007D2A00" w:rsidRPr="00760A15">
              <w:rPr>
                <w:rFonts w:ascii="Times New Roman" w:hAnsi="Times New Roman"/>
                <w:sz w:val="20"/>
              </w:rPr>
              <w:t>, § 18, O 7</w:t>
            </w:r>
          </w:p>
        </w:tc>
        <w:tc>
          <w:tcPr>
            <w:tcW w:w="3686" w:type="dxa"/>
          </w:tcPr>
          <w:p w:rsidR="007D2A00" w:rsidRPr="00760A15" w:rsidRDefault="007D2A00" w:rsidP="007D2A00">
            <w:pPr>
              <w:pStyle w:val="tl1"/>
              <w:numPr>
                <w:ilvl w:val="0"/>
                <w:numId w:val="0"/>
              </w:numPr>
              <w:tabs>
                <w:tab w:val="clear" w:pos="454"/>
                <w:tab w:val="left" w:pos="-108"/>
              </w:tabs>
              <w:jc w:val="left"/>
              <w:rPr>
                <w:sz w:val="20"/>
              </w:rPr>
            </w:pPr>
            <w:r w:rsidRPr="00760A15">
              <w:rPr>
                <w:sz w:val="20"/>
              </w:rPr>
              <w:t>Ak prevádzkovateľ alebo prevádzkovateľ prepravnej siete odmietne prístup na základe nedostatočnej kapacity alebo nedostatočného spojenia, obvodný banský</w:t>
            </w:r>
          </w:p>
          <w:p w:rsidR="007D2A00" w:rsidRPr="00760A15" w:rsidRDefault="007D2A00" w:rsidP="007D2A00">
            <w:pPr>
              <w:pStyle w:val="tl1"/>
              <w:numPr>
                <w:ilvl w:val="0"/>
                <w:numId w:val="0"/>
              </w:numPr>
              <w:tabs>
                <w:tab w:val="clear" w:pos="454"/>
                <w:tab w:val="left" w:pos="-108"/>
              </w:tabs>
              <w:jc w:val="left"/>
              <w:rPr>
                <w:sz w:val="20"/>
              </w:rPr>
            </w:pPr>
            <w:r w:rsidRPr="00760A15">
              <w:rPr>
                <w:sz w:val="20"/>
              </w:rPr>
              <w:t>úrad nariadi umožnenie prístupu a vykonanie potrebných opatrení, ktoré nepriaznivo neovplyvnia bezpečnosť ukladania, ak</w:t>
            </w:r>
          </w:p>
          <w:p w:rsidR="007D2A00" w:rsidRPr="00760A15" w:rsidRDefault="007D2A00" w:rsidP="007D2A00">
            <w:pPr>
              <w:pStyle w:val="tl1"/>
              <w:numPr>
                <w:ilvl w:val="0"/>
                <w:numId w:val="0"/>
              </w:numPr>
              <w:tabs>
                <w:tab w:val="clear" w:pos="454"/>
                <w:tab w:val="left" w:pos="-108"/>
              </w:tabs>
              <w:jc w:val="left"/>
              <w:rPr>
                <w:sz w:val="20"/>
              </w:rPr>
            </w:pPr>
            <w:r w:rsidRPr="00760A15">
              <w:rPr>
                <w:sz w:val="20"/>
              </w:rPr>
              <w:t>a) budú ekonomicky</w:t>
            </w:r>
            <w:r w:rsidR="008D3D46" w:rsidRPr="00760A15">
              <w:rPr>
                <w:sz w:val="20"/>
              </w:rPr>
              <w:t xml:space="preserve"> prijateľné pre prevádzkovateľa </w:t>
            </w:r>
            <w:r w:rsidRPr="00760A15">
              <w:rPr>
                <w:sz w:val="20"/>
              </w:rPr>
              <w:t>alebo prevádzkovateľa prepravnej siete alebo</w:t>
            </w:r>
          </w:p>
          <w:p w:rsidR="00442262" w:rsidRPr="00760A15" w:rsidRDefault="007D2A00" w:rsidP="007D2A00">
            <w:pPr>
              <w:pStyle w:val="tl1"/>
              <w:numPr>
                <w:ilvl w:val="0"/>
                <w:numId w:val="0"/>
              </w:numPr>
              <w:tabs>
                <w:tab w:val="clear" w:pos="454"/>
                <w:tab w:val="left" w:pos="-108"/>
              </w:tabs>
              <w:jc w:val="left"/>
              <w:rPr>
                <w:sz w:val="20"/>
              </w:rPr>
            </w:pPr>
            <w:r w:rsidRPr="00760A15">
              <w:rPr>
                <w:sz w:val="20"/>
              </w:rPr>
              <w:lastRenderedPageBreak/>
              <w:t>b) osoba, ktorá podala</w:t>
            </w:r>
            <w:r w:rsidR="008D3D46" w:rsidRPr="00760A15">
              <w:rPr>
                <w:sz w:val="20"/>
              </w:rPr>
              <w:t xml:space="preserve"> žiadosť, uhradí všetky náklady na ich vykonanie za predpokladu, že to nepriaznivo neovplyvní environmentálnu bezpečnosť prepravy a ukladania.</w:t>
            </w:r>
          </w:p>
        </w:tc>
        <w:tc>
          <w:tcPr>
            <w:tcW w:w="850" w:type="dxa"/>
          </w:tcPr>
          <w:p w:rsidR="00442262" w:rsidRPr="00760A15" w:rsidRDefault="008D3D46" w:rsidP="00F1551E">
            <w:pPr>
              <w:spacing w:after="0" w:line="240" w:lineRule="auto"/>
              <w:rPr>
                <w:rFonts w:ascii="Times New Roman" w:hAnsi="Times New Roman"/>
                <w:sz w:val="20"/>
              </w:rPr>
            </w:pPr>
            <w:r w:rsidRPr="00760A15">
              <w:rPr>
                <w:rFonts w:ascii="Times New Roman" w:hAnsi="Times New Roman"/>
                <w:sz w:val="20"/>
              </w:rPr>
              <w:lastRenderedPageBreak/>
              <w:t>Ú</w:t>
            </w:r>
          </w:p>
        </w:tc>
        <w:tc>
          <w:tcPr>
            <w:tcW w:w="1418" w:type="dxa"/>
          </w:tcPr>
          <w:p w:rsidR="00442262" w:rsidRPr="00760A15" w:rsidRDefault="00442262" w:rsidP="00F1551E">
            <w:pPr>
              <w:spacing w:after="0" w:line="240" w:lineRule="auto"/>
              <w:rPr>
                <w:rFonts w:ascii="Times New Roman" w:hAnsi="Times New Roman"/>
                <w:sz w:val="20"/>
              </w:rPr>
            </w:pPr>
          </w:p>
        </w:tc>
      </w:tr>
      <w:tr w:rsidR="005445E9" w:rsidRPr="00760A15" w:rsidTr="00AF1F08">
        <w:trPr>
          <w:trHeight w:val="363"/>
        </w:trPr>
        <w:tc>
          <w:tcPr>
            <w:tcW w:w="1242" w:type="dxa"/>
          </w:tcPr>
          <w:p w:rsidR="005445E9" w:rsidRPr="00760A15" w:rsidRDefault="005445E9" w:rsidP="00F1551E">
            <w:pPr>
              <w:spacing w:after="0" w:line="240" w:lineRule="auto"/>
              <w:rPr>
                <w:rFonts w:ascii="Times New Roman" w:hAnsi="Times New Roman"/>
                <w:sz w:val="20"/>
              </w:rPr>
            </w:pPr>
            <w:r w:rsidRPr="00760A15">
              <w:rPr>
                <w:rFonts w:ascii="Times New Roman" w:hAnsi="Times New Roman"/>
                <w:sz w:val="20"/>
              </w:rPr>
              <w:lastRenderedPageBreak/>
              <w:t xml:space="preserve">Č 25, O 1, P b) </w:t>
            </w:r>
          </w:p>
        </w:tc>
        <w:tc>
          <w:tcPr>
            <w:tcW w:w="3544" w:type="dxa"/>
          </w:tcPr>
          <w:p w:rsidR="005445E9" w:rsidRPr="00760A15" w:rsidRDefault="005445E9" w:rsidP="008D3D46">
            <w:pPr>
              <w:spacing w:after="0" w:line="240" w:lineRule="auto"/>
              <w:rPr>
                <w:rFonts w:ascii="Times New Roman" w:hAnsi="Times New Roman"/>
                <w:sz w:val="20"/>
                <w:lang w:eastAsia="sk-SK"/>
              </w:rPr>
            </w:pPr>
            <w:r w:rsidRPr="00760A15">
              <w:rPr>
                <w:rFonts w:ascii="Times New Roman" w:hAnsi="Times New Roman"/>
                <w:sz w:val="20"/>
                <w:lang w:eastAsia="sk-SK"/>
              </w:rPr>
              <w:t>Príslušný orgán vytvorí a vedie:</w:t>
            </w:r>
          </w:p>
          <w:p w:rsidR="005445E9" w:rsidRPr="00760A15" w:rsidRDefault="005445E9" w:rsidP="008D3D46">
            <w:pPr>
              <w:spacing w:after="0" w:line="240" w:lineRule="auto"/>
              <w:rPr>
                <w:rFonts w:ascii="Times New Roman" w:hAnsi="Times New Roman"/>
                <w:sz w:val="20"/>
                <w:lang w:eastAsia="sk-SK"/>
              </w:rPr>
            </w:pPr>
            <w:r w:rsidRPr="00760A15">
              <w:rPr>
                <w:rFonts w:ascii="Times New Roman" w:hAnsi="Times New Roman"/>
                <w:sz w:val="20"/>
                <w:lang w:eastAsia="sk-SK"/>
              </w:rPr>
              <w:t>(...)</w:t>
            </w:r>
          </w:p>
          <w:p w:rsidR="005445E9" w:rsidRPr="00760A15" w:rsidRDefault="005445E9" w:rsidP="008D3D46">
            <w:pPr>
              <w:spacing w:after="0" w:line="240" w:lineRule="auto"/>
              <w:rPr>
                <w:rFonts w:ascii="Times New Roman" w:hAnsi="Times New Roman"/>
                <w:sz w:val="20"/>
                <w:lang w:eastAsia="sk-SK"/>
              </w:rPr>
            </w:pPr>
            <w:r w:rsidRPr="00760A15">
              <w:rPr>
                <w:rFonts w:ascii="Times New Roman" w:hAnsi="Times New Roman"/>
                <w:sz w:val="20"/>
                <w:lang w:eastAsia="sk-SK"/>
              </w:rPr>
              <w:t>stály register všetkých uzavretých úložísk a okolitých úložných komplexov vrátane máp a prierezov ich priestorového rozsahu a dostupných informácií relevantných pre posúdenie úplnej a trvalej izolácie uloženého CO</w:t>
            </w:r>
            <w:r w:rsidRPr="00760A15">
              <w:rPr>
                <w:rFonts w:ascii="Times New Roman" w:hAnsi="Times New Roman"/>
                <w:sz w:val="20"/>
                <w:vertAlign w:val="subscript"/>
                <w:lang w:eastAsia="sk-SK"/>
              </w:rPr>
              <w:t>2</w:t>
            </w:r>
            <w:r w:rsidRPr="00760A15">
              <w:rPr>
                <w:rFonts w:ascii="Times New Roman" w:hAnsi="Times New Roman"/>
                <w:sz w:val="20"/>
                <w:lang w:eastAsia="sk-SK"/>
              </w:rPr>
              <w:t>.</w:t>
            </w:r>
          </w:p>
        </w:tc>
        <w:tc>
          <w:tcPr>
            <w:tcW w:w="1276" w:type="dxa"/>
          </w:tcPr>
          <w:p w:rsidR="005445E9" w:rsidRPr="00760A15" w:rsidRDefault="005445E9"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5445E9" w:rsidRPr="00760A15" w:rsidRDefault="005445E9"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5445E9" w:rsidRPr="00760A15" w:rsidRDefault="00057906" w:rsidP="00F1551E">
            <w:pPr>
              <w:spacing w:after="0" w:line="240" w:lineRule="auto"/>
              <w:rPr>
                <w:rFonts w:ascii="Times New Roman" w:hAnsi="Times New Roman"/>
                <w:sz w:val="20"/>
              </w:rPr>
            </w:pPr>
            <w:r w:rsidRPr="00760A15">
              <w:rPr>
                <w:rFonts w:ascii="Times New Roman" w:hAnsi="Times New Roman"/>
                <w:sz w:val="20"/>
              </w:rPr>
              <w:t>Č I</w:t>
            </w:r>
            <w:r w:rsidR="006D150A" w:rsidRPr="00760A15">
              <w:rPr>
                <w:rFonts w:ascii="Times New Roman" w:hAnsi="Times New Roman"/>
                <w:sz w:val="20"/>
              </w:rPr>
              <w:t>, § 19, O 2, P c), f), g)</w:t>
            </w:r>
          </w:p>
        </w:tc>
        <w:tc>
          <w:tcPr>
            <w:tcW w:w="3686" w:type="dxa"/>
          </w:tcPr>
          <w:p w:rsidR="005445E9" w:rsidRPr="00760A15" w:rsidRDefault="005445E9" w:rsidP="005445E9">
            <w:pPr>
              <w:pStyle w:val="tl1"/>
              <w:numPr>
                <w:ilvl w:val="0"/>
                <w:numId w:val="0"/>
              </w:numPr>
              <w:tabs>
                <w:tab w:val="clear" w:pos="454"/>
                <w:tab w:val="left" w:pos="-108"/>
              </w:tabs>
              <w:jc w:val="left"/>
              <w:rPr>
                <w:sz w:val="20"/>
              </w:rPr>
            </w:pPr>
            <w:r w:rsidRPr="00760A15">
              <w:rPr>
                <w:sz w:val="20"/>
              </w:rPr>
              <w:t>Informačný systém ukladania obsahuje register</w:t>
            </w:r>
          </w:p>
          <w:p w:rsidR="008215CF" w:rsidRPr="00760A15" w:rsidRDefault="005445E9" w:rsidP="005445E9">
            <w:pPr>
              <w:pStyle w:val="tl1"/>
              <w:numPr>
                <w:ilvl w:val="0"/>
                <w:numId w:val="0"/>
              </w:numPr>
              <w:tabs>
                <w:tab w:val="clear" w:pos="454"/>
                <w:tab w:val="left" w:pos="-108"/>
              </w:tabs>
              <w:jc w:val="left"/>
              <w:rPr>
                <w:sz w:val="20"/>
              </w:rPr>
            </w:pPr>
            <w:r w:rsidRPr="00760A15">
              <w:rPr>
                <w:sz w:val="20"/>
              </w:rPr>
              <w:t>c) uzavretých úložísk a okolitých úložných komplexov vrátane ich grafického znázornenia na mapovom podklade a na geologických rezoch,</w:t>
            </w:r>
            <w:r w:rsidR="006D150A" w:rsidRPr="00760A15">
              <w:rPr>
                <w:sz w:val="20"/>
              </w:rPr>
              <w:t xml:space="preserve"> </w:t>
            </w:r>
          </w:p>
          <w:p w:rsidR="008215CF" w:rsidRPr="00760A15" w:rsidRDefault="006D150A" w:rsidP="005445E9">
            <w:pPr>
              <w:pStyle w:val="tl1"/>
              <w:numPr>
                <w:ilvl w:val="0"/>
                <w:numId w:val="0"/>
              </w:numPr>
              <w:tabs>
                <w:tab w:val="clear" w:pos="454"/>
                <w:tab w:val="left" w:pos="-108"/>
              </w:tabs>
              <w:jc w:val="left"/>
              <w:rPr>
                <w:sz w:val="20"/>
              </w:rPr>
            </w:pPr>
            <w:r w:rsidRPr="00760A15">
              <w:rPr>
                <w:sz w:val="20"/>
              </w:rPr>
              <w:t>f) charakteristík úložísk a úložných komplexov a posúdení úplnej a trvalej izolácie oxidu uhličitého podľa § 3 ods. 2 a prílohy č. 1,</w:t>
            </w:r>
            <w:r w:rsidR="008215CF" w:rsidRPr="00760A15">
              <w:rPr>
                <w:sz w:val="20"/>
              </w:rPr>
              <w:t xml:space="preserve"> </w:t>
            </w:r>
          </w:p>
          <w:p w:rsidR="005445E9" w:rsidRPr="00760A15" w:rsidRDefault="008215CF" w:rsidP="005445E9">
            <w:pPr>
              <w:pStyle w:val="tl1"/>
              <w:numPr>
                <w:ilvl w:val="0"/>
                <w:numId w:val="0"/>
              </w:numPr>
              <w:tabs>
                <w:tab w:val="clear" w:pos="454"/>
                <w:tab w:val="left" w:pos="-108"/>
              </w:tabs>
              <w:jc w:val="left"/>
              <w:rPr>
                <w:sz w:val="20"/>
              </w:rPr>
            </w:pPr>
            <w:r w:rsidRPr="00760A15">
              <w:rPr>
                <w:sz w:val="20"/>
              </w:rPr>
              <w:t>g) dostupných informácií potrebných pre posúdenie úplnej a trvalej izolácie uloženého oxidu uhličitého.</w:t>
            </w:r>
          </w:p>
        </w:tc>
        <w:tc>
          <w:tcPr>
            <w:tcW w:w="850" w:type="dxa"/>
          </w:tcPr>
          <w:p w:rsidR="005445E9" w:rsidRPr="00760A15" w:rsidRDefault="005445E9"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5445E9" w:rsidRPr="00760A15" w:rsidRDefault="005445E9" w:rsidP="00F1551E">
            <w:pPr>
              <w:spacing w:after="0" w:line="240" w:lineRule="auto"/>
              <w:rPr>
                <w:rFonts w:ascii="Times New Roman" w:hAnsi="Times New Roman"/>
                <w:sz w:val="20"/>
              </w:rPr>
            </w:pPr>
          </w:p>
        </w:tc>
      </w:tr>
      <w:tr w:rsidR="00FB4E9A" w:rsidRPr="00760A15" w:rsidTr="00AF1F08">
        <w:trPr>
          <w:trHeight w:val="362"/>
        </w:trPr>
        <w:tc>
          <w:tcPr>
            <w:tcW w:w="1242" w:type="dxa"/>
          </w:tcPr>
          <w:p w:rsidR="00FB4E9A" w:rsidRPr="00760A15" w:rsidRDefault="00A30B07" w:rsidP="00041E5F">
            <w:pPr>
              <w:spacing w:after="0" w:line="240" w:lineRule="auto"/>
              <w:rPr>
                <w:rFonts w:ascii="Times New Roman" w:hAnsi="Times New Roman"/>
                <w:sz w:val="20"/>
              </w:rPr>
            </w:pPr>
            <w:proofErr w:type="spellStart"/>
            <w:r w:rsidRPr="00760A15">
              <w:rPr>
                <w:rFonts w:ascii="Times New Roman" w:hAnsi="Times New Roman"/>
                <w:sz w:val="20"/>
              </w:rPr>
              <w:t>žý</w:t>
            </w:r>
            <w:r w:rsidR="00041E5F" w:rsidRPr="00760A15">
              <w:rPr>
                <w:rFonts w:ascii="Times New Roman" w:hAnsi="Times New Roman"/>
                <w:sz w:val="20"/>
              </w:rPr>
              <w:t>Č</w:t>
            </w:r>
            <w:proofErr w:type="spellEnd"/>
            <w:r w:rsidR="00041E5F" w:rsidRPr="00760A15">
              <w:rPr>
                <w:rFonts w:ascii="Times New Roman" w:hAnsi="Times New Roman"/>
                <w:sz w:val="20"/>
              </w:rPr>
              <w:t xml:space="preserve"> 25, O 2</w:t>
            </w:r>
          </w:p>
        </w:tc>
        <w:tc>
          <w:tcPr>
            <w:tcW w:w="3544" w:type="dxa"/>
          </w:tcPr>
          <w:p w:rsidR="00FB4E9A" w:rsidRPr="00760A15" w:rsidRDefault="00041E5F" w:rsidP="00041E5F">
            <w:pPr>
              <w:pStyle w:val="Default"/>
              <w:spacing w:before="120" w:after="120"/>
              <w:jc w:val="both"/>
              <w:rPr>
                <w:rFonts w:ascii="Times New Roman" w:hAnsi="Times New Roman" w:cs="Times New Roman"/>
                <w:color w:val="auto"/>
                <w:sz w:val="20"/>
                <w:szCs w:val="20"/>
              </w:rPr>
            </w:pPr>
            <w:r w:rsidRPr="00760A15">
              <w:rPr>
                <w:rFonts w:ascii="Times New Roman" w:hAnsi="Times New Roman" w:cs="Times New Roman"/>
                <w:color w:val="auto"/>
                <w:sz w:val="20"/>
                <w:szCs w:val="20"/>
              </w:rPr>
              <w:t>O registre uvedené v odseku 1 sa opierajú príslušné štátne orgány pri relevantných plánovacích postupoch a pri povoľovaní nejakej činnosti, ktorá by mohla ovplyvniť alebo by mohla byť ovplyvnená geologickým ukladaním CO2 v registrovaných úložiskách.</w:t>
            </w:r>
          </w:p>
        </w:tc>
        <w:tc>
          <w:tcPr>
            <w:tcW w:w="1276" w:type="dxa"/>
          </w:tcPr>
          <w:p w:rsidR="00FB4E9A" w:rsidRPr="00760A15" w:rsidRDefault="00180E2F"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FB4E9A" w:rsidRPr="00760A15" w:rsidRDefault="00180E2F"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FB4E9A" w:rsidRPr="00760A15" w:rsidRDefault="00FB4E9A" w:rsidP="00FB4E9A">
            <w:pPr>
              <w:spacing w:after="0" w:line="240" w:lineRule="auto"/>
              <w:rPr>
                <w:rFonts w:ascii="Times New Roman" w:hAnsi="Times New Roman"/>
                <w:sz w:val="20"/>
              </w:rPr>
            </w:pPr>
            <w:r w:rsidRPr="00760A15">
              <w:rPr>
                <w:rFonts w:ascii="Times New Roman" w:hAnsi="Times New Roman"/>
                <w:sz w:val="20"/>
              </w:rPr>
              <w:t>Č I, § 19, O 3</w:t>
            </w:r>
          </w:p>
        </w:tc>
        <w:tc>
          <w:tcPr>
            <w:tcW w:w="3686" w:type="dxa"/>
          </w:tcPr>
          <w:p w:rsidR="00FB4E9A" w:rsidRPr="00760A15" w:rsidRDefault="00FB4E9A" w:rsidP="00FB4E9A">
            <w:pPr>
              <w:autoSpaceDE w:val="0"/>
              <w:autoSpaceDN w:val="0"/>
              <w:adjustRightInd w:val="0"/>
              <w:spacing w:after="0" w:line="240" w:lineRule="auto"/>
              <w:rPr>
                <w:sz w:val="20"/>
              </w:rPr>
            </w:pPr>
            <w:r w:rsidRPr="00760A15">
              <w:rPr>
                <w:rFonts w:ascii="Times New Roman" w:hAnsi="Times New Roman"/>
                <w:color w:val="231F20"/>
                <w:sz w:val="20"/>
                <w:szCs w:val="20"/>
                <w:lang w:eastAsia="sk-SK"/>
              </w:rPr>
              <w:t>(3) Správcom informačného systému ukladania je ministerstvo. Hlavný banský úrad, ktorý informačný systém ukladania prevádzkuje, sprístupňuje jeho obsah najmä pre orgány verejnej správy</w:t>
            </w:r>
            <w:r w:rsidR="00A30B07" w:rsidRPr="00760A15">
              <w:rPr>
                <w:rFonts w:ascii="Times New Roman" w:hAnsi="Times New Roman"/>
                <w:color w:val="231F20"/>
                <w:sz w:val="20"/>
                <w:szCs w:val="20"/>
                <w:lang w:eastAsia="sk-SK"/>
              </w:rPr>
              <w:t xml:space="preserve"> pri plánovacích postupoch a</w:t>
            </w:r>
            <w:r w:rsidRPr="00760A15">
              <w:rPr>
                <w:rFonts w:ascii="Times New Roman" w:hAnsi="Times New Roman"/>
                <w:color w:val="231F20"/>
                <w:sz w:val="20"/>
                <w:szCs w:val="20"/>
                <w:lang w:eastAsia="sk-SK"/>
              </w:rPr>
              <w:t xml:space="preserve"> pri povoľovaní činnosti, ktorá môže ovplyvniť ukladanie alebo môže byť ukladaním ovplyvnená.</w:t>
            </w:r>
          </w:p>
        </w:tc>
        <w:tc>
          <w:tcPr>
            <w:tcW w:w="850" w:type="dxa"/>
          </w:tcPr>
          <w:p w:rsidR="00FB4E9A" w:rsidRPr="00760A15" w:rsidRDefault="00180E2F"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FB4E9A" w:rsidRPr="00760A15" w:rsidRDefault="00FB4E9A" w:rsidP="00F1551E">
            <w:pPr>
              <w:spacing w:after="0" w:line="240" w:lineRule="auto"/>
              <w:rPr>
                <w:rFonts w:ascii="Times New Roman" w:hAnsi="Times New Roman"/>
                <w:sz w:val="20"/>
              </w:rPr>
            </w:pPr>
          </w:p>
        </w:tc>
      </w:tr>
      <w:tr w:rsidR="00F1551E" w:rsidRPr="00760A15" w:rsidTr="00AF1F08">
        <w:tc>
          <w:tcPr>
            <w:tcW w:w="1242" w:type="dxa"/>
          </w:tcPr>
          <w:p w:rsidR="00F1551E" w:rsidRPr="00760A15" w:rsidRDefault="00E91DD9" w:rsidP="00F1551E">
            <w:pPr>
              <w:spacing w:after="0" w:line="240" w:lineRule="auto"/>
              <w:rPr>
                <w:rFonts w:ascii="Times New Roman" w:hAnsi="Times New Roman"/>
                <w:sz w:val="20"/>
              </w:rPr>
            </w:pPr>
            <w:r w:rsidRPr="00760A15">
              <w:rPr>
                <w:rFonts w:ascii="Times New Roman" w:hAnsi="Times New Roman"/>
                <w:sz w:val="20"/>
              </w:rPr>
              <w:t>Č 33, O 2</w:t>
            </w:r>
          </w:p>
        </w:tc>
        <w:tc>
          <w:tcPr>
            <w:tcW w:w="3544" w:type="dxa"/>
          </w:tcPr>
          <w:p w:rsidR="00F1551E" w:rsidRPr="00760A15" w:rsidRDefault="00E91DD9" w:rsidP="00E91DD9">
            <w:pPr>
              <w:spacing w:after="0" w:line="240" w:lineRule="auto"/>
              <w:rPr>
                <w:rFonts w:ascii="Times New Roman" w:hAnsi="Times New Roman"/>
                <w:sz w:val="20"/>
                <w:lang w:eastAsia="sk-SK"/>
              </w:rPr>
            </w:pPr>
            <w:r w:rsidRPr="00760A15">
              <w:rPr>
                <w:rFonts w:ascii="Times New Roman" w:hAnsi="Times New Roman"/>
                <w:sz w:val="20"/>
                <w:lang w:eastAsia="sk-SK"/>
              </w:rPr>
              <w:t>Ak sa splnia podmienky uvedené v odseku 1, príslušný orgán zabezpečí, aby sa na mieste zariadenia vyčlenil vhodný priestor na umiestnenie vybavenia potrebného na zachytávanie a stláčanie CO</w:t>
            </w:r>
            <w:r w:rsidRPr="00760A15">
              <w:rPr>
                <w:rFonts w:ascii="Times New Roman" w:hAnsi="Times New Roman"/>
                <w:sz w:val="20"/>
                <w:vertAlign w:val="subscript"/>
                <w:lang w:eastAsia="sk-SK"/>
              </w:rPr>
              <w:t>2</w:t>
            </w:r>
            <w:r w:rsidRPr="00760A15">
              <w:rPr>
                <w:rFonts w:ascii="Times New Roman" w:hAnsi="Times New Roman"/>
                <w:sz w:val="20"/>
                <w:lang w:eastAsia="sk-SK"/>
              </w:rPr>
              <w:t>. Príslušný orgán stanoví, či sa splnili uvedené podmienky, na základe posúdenia uved</w:t>
            </w:r>
            <w:r w:rsidR="00057906" w:rsidRPr="00760A15">
              <w:rPr>
                <w:rFonts w:ascii="Times New Roman" w:hAnsi="Times New Roman"/>
                <w:sz w:val="20"/>
                <w:lang w:eastAsia="sk-SK"/>
              </w:rPr>
              <w:t>e</w:t>
            </w:r>
            <w:r w:rsidRPr="00760A15">
              <w:rPr>
                <w:rFonts w:ascii="Times New Roman" w:hAnsi="Times New Roman"/>
                <w:sz w:val="20"/>
                <w:lang w:eastAsia="sk-SK"/>
              </w:rPr>
              <w:t xml:space="preserve">ného v odseku </w:t>
            </w:r>
            <w:smartTag w:uri="urn:schemas-microsoft-com:office:smarttags" w:element="metricconverter">
              <w:smartTagPr>
                <w:attr w:name="ProductID" w:val="1 a"/>
              </w:smartTagPr>
              <w:r w:rsidRPr="00760A15">
                <w:rPr>
                  <w:rFonts w:ascii="Times New Roman" w:hAnsi="Times New Roman"/>
                  <w:sz w:val="20"/>
                  <w:lang w:eastAsia="sk-SK"/>
                </w:rPr>
                <w:t>1 a</w:t>
              </w:r>
            </w:smartTag>
            <w:r w:rsidRPr="00760A15">
              <w:rPr>
                <w:rFonts w:ascii="Times New Roman" w:hAnsi="Times New Roman"/>
                <w:sz w:val="20"/>
                <w:lang w:eastAsia="sk-SK"/>
              </w:rPr>
              <w:t xml:space="preserve"> iných dostupných informácií, ktoré sa týkajú najmä ochrany životného prostredia a zdravia ľudí.</w:t>
            </w:r>
          </w:p>
        </w:tc>
        <w:tc>
          <w:tcPr>
            <w:tcW w:w="1276" w:type="dxa"/>
          </w:tcPr>
          <w:p w:rsidR="00F1551E" w:rsidRPr="00760A15" w:rsidRDefault="00057906"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F1551E" w:rsidRPr="00760A15" w:rsidRDefault="00057906"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F1551E" w:rsidRPr="00760A15" w:rsidRDefault="00A30B07" w:rsidP="00F1551E">
            <w:pPr>
              <w:spacing w:after="0" w:line="240" w:lineRule="auto"/>
              <w:rPr>
                <w:rFonts w:ascii="Times New Roman" w:hAnsi="Times New Roman"/>
                <w:sz w:val="20"/>
              </w:rPr>
            </w:pPr>
            <w:r w:rsidRPr="00760A15">
              <w:rPr>
                <w:rFonts w:ascii="Times New Roman" w:hAnsi="Times New Roman"/>
                <w:sz w:val="20"/>
              </w:rPr>
              <w:t>Čl. II 39/2013</w:t>
            </w:r>
          </w:p>
          <w:p w:rsidR="00A30B07" w:rsidRPr="00760A15" w:rsidRDefault="00A30B07" w:rsidP="00A30B07">
            <w:pPr>
              <w:spacing w:after="0" w:line="240" w:lineRule="auto"/>
              <w:rPr>
                <w:rFonts w:ascii="Times New Roman" w:hAnsi="Times New Roman"/>
                <w:sz w:val="20"/>
              </w:rPr>
            </w:pPr>
            <w:r w:rsidRPr="00760A15">
              <w:rPr>
                <w:rFonts w:ascii="Times New Roman" w:hAnsi="Times New Roman"/>
                <w:sz w:val="20"/>
              </w:rPr>
              <w:t>§ 21 O2 P p)</w:t>
            </w:r>
          </w:p>
        </w:tc>
        <w:tc>
          <w:tcPr>
            <w:tcW w:w="3686" w:type="dxa"/>
          </w:tcPr>
          <w:p w:rsidR="00F1551E" w:rsidRPr="00760A15" w:rsidRDefault="00E61396" w:rsidP="00BF5A96">
            <w:pPr>
              <w:pStyle w:val="tl1"/>
              <w:numPr>
                <w:ilvl w:val="0"/>
                <w:numId w:val="0"/>
              </w:numPr>
              <w:tabs>
                <w:tab w:val="clear" w:pos="454"/>
                <w:tab w:val="left" w:pos="-108"/>
              </w:tabs>
              <w:jc w:val="left"/>
              <w:rPr>
                <w:sz w:val="20"/>
                <w:szCs w:val="20"/>
              </w:rPr>
            </w:pPr>
            <w:r w:rsidRPr="00760A15">
              <w:rPr>
                <w:sz w:val="20"/>
                <w:szCs w:val="20"/>
              </w:rPr>
              <w:t xml:space="preserve">p) </w:t>
            </w:r>
            <w:r w:rsidR="00BF5A96">
              <w:rPr>
                <w:sz w:val="20"/>
                <w:szCs w:val="20"/>
              </w:rPr>
              <w:t>určí pri splnení</w:t>
            </w:r>
            <w:r w:rsidR="00CA420B" w:rsidRPr="00CA420B">
              <w:rPr>
                <w:sz w:val="20"/>
                <w:szCs w:val="20"/>
              </w:rPr>
              <w:t xml:space="preserve"> podmieno</w:t>
            </w:r>
            <w:r w:rsidR="00BF5A96">
              <w:rPr>
                <w:sz w:val="20"/>
                <w:szCs w:val="20"/>
              </w:rPr>
              <w:t xml:space="preserve">k podľa § 7 ods. 1 písm. j) </w:t>
            </w:r>
            <w:bookmarkStart w:id="0" w:name="_GoBack"/>
            <w:bookmarkEnd w:id="0"/>
            <w:r w:rsidR="00CA420B" w:rsidRPr="00CA420B">
              <w:rPr>
                <w:sz w:val="20"/>
                <w:szCs w:val="20"/>
              </w:rPr>
              <w:t>opatrenia na vyčlenenie vhodného priestoru na umiestnenie zariadení na zachytávanie a vtláčanie oxidu uhličitého a určí, či boli tieto podmienky splnené na základe posúdenia uvedeného v § 7 ods. 1 písm. i) a iných dostupných informácií, ktoré sa týkajú najmä ochrany životného prostredia a zdravia ľudí.</w:t>
            </w:r>
          </w:p>
        </w:tc>
        <w:tc>
          <w:tcPr>
            <w:tcW w:w="850" w:type="dxa"/>
          </w:tcPr>
          <w:p w:rsidR="00F1551E" w:rsidRPr="00760A15" w:rsidRDefault="00180E2F"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F1551E" w:rsidRPr="00760A15" w:rsidRDefault="00F1551E" w:rsidP="00F1551E">
            <w:pPr>
              <w:spacing w:after="0" w:line="240" w:lineRule="auto"/>
              <w:rPr>
                <w:rFonts w:ascii="Times New Roman" w:hAnsi="Times New Roman"/>
                <w:sz w:val="20"/>
              </w:rPr>
            </w:pPr>
          </w:p>
        </w:tc>
      </w:tr>
      <w:tr w:rsidR="00AF1F08" w:rsidRPr="00760A15" w:rsidTr="00AF1F08">
        <w:tc>
          <w:tcPr>
            <w:tcW w:w="1242" w:type="dxa"/>
          </w:tcPr>
          <w:p w:rsidR="00AF1F08" w:rsidRPr="00760A15" w:rsidRDefault="00AF1F08" w:rsidP="00F611DE">
            <w:pPr>
              <w:spacing w:after="0" w:line="240" w:lineRule="auto"/>
              <w:rPr>
                <w:rFonts w:ascii="Times New Roman" w:hAnsi="Times New Roman"/>
                <w:sz w:val="20"/>
              </w:rPr>
            </w:pPr>
            <w:r w:rsidRPr="00760A15">
              <w:rPr>
                <w:rFonts w:ascii="Times New Roman" w:hAnsi="Times New Roman"/>
                <w:sz w:val="20"/>
              </w:rPr>
              <w:lastRenderedPageBreak/>
              <w:t>P 1</w:t>
            </w:r>
          </w:p>
        </w:tc>
        <w:tc>
          <w:tcPr>
            <w:tcW w:w="3544" w:type="dxa"/>
          </w:tcPr>
          <w:p w:rsidR="00AF1F08" w:rsidRPr="00760A15" w:rsidRDefault="00AF1F08" w:rsidP="00F611DE">
            <w:pPr>
              <w:spacing w:after="0" w:line="240" w:lineRule="auto"/>
              <w:rPr>
                <w:rFonts w:ascii="Times New Roman" w:hAnsi="Times New Roman"/>
                <w:sz w:val="20"/>
              </w:rPr>
            </w:pPr>
            <w:r w:rsidRPr="00760A15">
              <w:rPr>
                <w:rFonts w:ascii="Times New Roman" w:hAnsi="Times New Roman"/>
                <w:sz w:val="20"/>
              </w:rPr>
              <w:t xml:space="preserve">KRITÉRIÁ </w:t>
            </w:r>
            <w:r w:rsidR="00CE1718" w:rsidRPr="00760A15">
              <w:rPr>
                <w:rFonts w:ascii="Times New Roman" w:hAnsi="Times New Roman"/>
                <w:sz w:val="20"/>
              </w:rPr>
              <w:t xml:space="preserve">CHARAKTERIZÁCIE A POSUDZOVANIA </w:t>
            </w:r>
            <w:r w:rsidRPr="00760A15">
              <w:rPr>
                <w:rFonts w:ascii="Times New Roman" w:hAnsi="Times New Roman"/>
                <w:sz w:val="20"/>
              </w:rPr>
              <w:t>POTENCIONÁLNEHO ÚLOŽNÉ</w:t>
            </w:r>
            <w:r w:rsidR="00CE1718" w:rsidRPr="00760A15">
              <w:rPr>
                <w:rFonts w:ascii="Times New Roman" w:hAnsi="Times New Roman"/>
                <w:sz w:val="20"/>
              </w:rPr>
              <w:t xml:space="preserve">HO KOMPLEXU A OKOLITEJ OBLASTI </w:t>
            </w:r>
            <w:r w:rsidRPr="00760A15">
              <w:rPr>
                <w:rFonts w:ascii="Times New Roman" w:hAnsi="Times New Roman"/>
                <w:sz w:val="20"/>
              </w:rPr>
              <w:t>UVEDENÉ V ČLÁNKU 4 ODS. 3</w:t>
            </w:r>
          </w:p>
        </w:tc>
        <w:tc>
          <w:tcPr>
            <w:tcW w:w="1276" w:type="dxa"/>
          </w:tcPr>
          <w:p w:rsidR="00AF1F08" w:rsidRPr="00760A15" w:rsidRDefault="00AF1F08" w:rsidP="00F611D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AF1F08" w:rsidRPr="00760A15" w:rsidRDefault="00AF1F08" w:rsidP="00F611D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AF1F08" w:rsidRPr="00760A15" w:rsidRDefault="00AF1F08" w:rsidP="00F611DE">
            <w:pPr>
              <w:spacing w:after="0" w:line="240" w:lineRule="auto"/>
              <w:rPr>
                <w:rFonts w:ascii="Times New Roman" w:hAnsi="Times New Roman"/>
                <w:sz w:val="20"/>
              </w:rPr>
            </w:pPr>
            <w:r w:rsidRPr="00760A15">
              <w:rPr>
                <w:rFonts w:ascii="Times New Roman" w:hAnsi="Times New Roman"/>
                <w:sz w:val="20"/>
              </w:rPr>
              <w:t>P 1</w:t>
            </w:r>
          </w:p>
        </w:tc>
        <w:tc>
          <w:tcPr>
            <w:tcW w:w="3686" w:type="dxa"/>
          </w:tcPr>
          <w:p w:rsidR="00AF1F08" w:rsidRPr="00760A15" w:rsidRDefault="00AF1F08" w:rsidP="00F611DE">
            <w:pPr>
              <w:spacing w:after="0" w:line="240" w:lineRule="auto"/>
              <w:rPr>
                <w:rFonts w:ascii="Times New Roman" w:hAnsi="Times New Roman"/>
                <w:sz w:val="20"/>
              </w:rPr>
            </w:pPr>
            <w:r w:rsidRPr="00760A15">
              <w:rPr>
                <w:rFonts w:ascii="Times New Roman" w:hAnsi="Times New Roman"/>
                <w:sz w:val="20"/>
              </w:rPr>
              <w:t>KRITÉRIÁ A POSTUP PRI POSUDZOVAN</w:t>
            </w:r>
            <w:r w:rsidRPr="00760A15">
              <w:rPr>
                <w:rFonts w:ascii="Times New Roman" w:hAnsi="Times New Roman"/>
                <w:caps/>
                <w:sz w:val="20"/>
              </w:rPr>
              <w:t>í</w:t>
            </w:r>
            <w:r w:rsidRPr="00760A15">
              <w:rPr>
                <w:rFonts w:ascii="Times New Roman" w:hAnsi="Times New Roman"/>
                <w:sz w:val="20"/>
              </w:rPr>
              <w:t xml:space="preserve"> ÚLOŽNÉHO KOMPLEXU A OKOLITEJ OBLASTI</w:t>
            </w:r>
          </w:p>
          <w:p w:rsidR="00AF1F08" w:rsidRPr="00760A15" w:rsidRDefault="00AF1F08" w:rsidP="00F611DE">
            <w:pPr>
              <w:spacing w:after="0" w:line="240" w:lineRule="auto"/>
              <w:rPr>
                <w:rFonts w:ascii="Times New Roman" w:hAnsi="Times New Roman"/>
                <w:sz w:val="20"/>
              </w:rPr>
            </w:pPr>
          </w:p>
        </w:tc>
        <w:tc>
          <w:tcPr>
            <w:tcW w:w="850" w:type="dxa"/>
          </w:tcPr>
          <w:p w:rsidR="00AF1F08" w:rsidRPr="00760A15" w:rsidRDefault="00AF1F08" w:rsidP="00F611D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AF1F08" w:rsidRPr="00760A15" w:rsidRDefault="009415DB" w:rsidP="00F611DE">
            <w:pPr>
              <w:spacing w:after="0" w:line="240" w:lineRule="auto"/>
              <w:rPr>
                <w:rFonts w:ascii="Times New Roman" w:hAnsi="Times New Roman"/>
                <w:sz w:val="20"/>
              </w:rPr>
            </w:pPr>
            <w:r w:rsidRPr="00760A15">
              <w:rPr>
                <w:rFonts w:ascii="Times New Roman" w:hAnsi="Times New Roman"/>
                <w:sz w:val="20"/>
              </w:rPr>
              <w:t>názov prílohy</w:t>
            </w:r>
          </w:p>
        </w:tc>
      </w:tr>
      <w:tr w:rsidR="00F1551E" w:rsidRPr="00760A15" w:rsidTr="00AF1F08">
        <w:tc>
          <w:tcPr>
            <w:tcW w:w="1242" w:type="dxa"/>
          </w:tcPr>
          <w:p w:rsidR="00F1551E" w:rsidRPr="00760A15" w:rsidRDefault="009415DB" w:rsidP="00F1551E">
            <w:pPr>
              <w:spacing w:after="0" w:line="240" w:lineRule="auto"/>
              <w:rPr>
                <w:rFonts w:ascii="Times New Roman" w:hAnsi="Times New Roman"/>
                <w:sz w:val="20"/>
              </w:rPr>
            </w:pPr>
            <w:r w:rsidRPr="00760A15">
              <w:rPr>
                <w:rFonts w:ascii="Times New Roman" w:hAnsi="Times New Roman"/>
                <w:sz w:val="20"/>
              </w:rPr>
              <w:t>P 1, V 1</w:t>
            </w:r>
          </w:p>
        </w:tc>
        <w:tc>
          <w:tcPr>
            <w:tcW w:w="3544" w:type="dxa"/>
          </w:tcPr>
          <w:p w:rsidR="00F1551E" w:rsidRPr="00760A15" w:rsidRDefault="009415DB" w:rsidP="009415DB">
            <w:pPr>
              <w:spacing w:after="0" w:line="240" w:lineRule="auto"/>
              <w:rPr>
                <w:rFonts w:ascii="Times New Roman" w:hAnsi="Times New Roman"/>
                <w:sz w:val="20"/>
                <w:lang w:eastAsia="sk-SK"/>
              </w:rPr>
            </w:pPr>
            <w:r w:rsidRPr="00760A15">
              <w:rPr>
                <w:rFonts w:ascii="Times New Roman" w:hAnsi="Times New Roman"/>
                <w:sz w:val="20"/>
                <w:lang w:eastAsia="sk-SK"/>
              </w:rPr>
              <w:t>Charakterizácia a posudzovanie potenciálneho úložného komplexu a okolitej oblasti uvedené v článku 4 ods. 3 sa vykonávajú v troch krokoch podľa najlepších postupov v čase posudzovania a týchto kritérií.</w:t>
            </w:r>
          </w:p>
        </w:tc>
        <w:tc>
          <w:tcPr>
            <w:tcW w:w="1276" w:type="dxa"/>
          </w:tcPr>
          <w:p w:rsidR="00F1551E" w:rsidRPr="00760A15" w:rsidRDefault="009415DB"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F1551E" w:rsidRPr="00760A15" w:rsidRDefault="009415DB"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F1551E" w:rsidRPr="00760A15" w:rsidRDefault="009415DB" w:rsidP="00F1551E">
            <w:pPr>
              <w:spacing w:after="0" w:line="240" w:lineRule="auto"/>
              <w:rPr>
                <w:rFonts w:ascii="Times New Roman" w:hAnsi="Times New Roman"/>
                <w:sz w:val="20"/>
              </w:rPr>
            </w:pPr>
            <w:r w:rsidRPr="00760A15">
              <w:rPr>
                <w:rFonts w:ascii="Times New Roman" w:hAnsi="Times New Roman"/>
                <w:sz w:val="20"/>
              </w:rPr>
              <w:t>P 1</w:t>
            </w:r>
          </w:p>
        </w:tc>
        <w:tc>
          <w:tcPr>
            <w:tcW w:w="3686" w:type="dxa"/>
          </w:tcPr>
          <w:p w:rsidR="00F1551E" w:rsidRPr="00760A15" w:rsidRDefault="009415DB" w:rsidP="00F1551E">
            <w:pPr>
              <w:pStyle w:val="tl1"/>
              <w:numPr>
                <w:ilvl w:val="0"/>
                <w:numId w:val="0"/>
              </w:numPr>
              <w:tabs>
                <w:tab w:val="clear" w:pos="454"/>
                <w:tab w:val="left" w:pos="-108"/>
              </w:tabs>
              <w:jc w:val="left"/>
              <w:rPr>
                <w:sz w:val="20"/>
              </w:rPr>
            </w:pPr>
            <w:r w:rsidRPr="00760A15">
              <w:rPr>
                <w:sz w:val="20"/>
              </w:rPr>
              <w:t>Posúdenie úložného komplexu a okolitej oblasti podľa § 4 ods. 1 písm. b) sa vykoná podľa najlepšie dostupnej techniky</w:t>
            </w:r>
            <w:r w:rsidRPr="00760A15">
              <w:rPr>
                <w:sz w:val="20"/>
                <w:vertAlign w:val="superscript"/>
              </w:rPr>
              <w:t>14)</w:t>
            </w:r>
            <w:r w:rsidRPr="00760A15">
              <w:rPr>
                <w:sz w:val="20"/>
              </w:rPr>
              <w:t xml:space="preserve"> takto:</w:t>
            </w:r>
          </w:p>
          <w:p w:rsidR="009415DB" w:rsidRPr="00760A15" w:rsidRDefault="009415DB" w:rsidP="00F1551E">
            <w:pPr>
              <w:pStyle w:val="tl1"/>
              <w:numPr>
                <w:ilvl w:val="0"/>
                <w:numId w:val="0"/>
              </w:numPr>
              <w:tabs>
                <w:tab w:val="clear" w:pos="454"/>
                <w:tab w:val="left" w:pos="-108"/>
              </w:tabs>
              <w:jc w:val="left"/>
              <w:rPr>
                <w:sz w:val="18"/>
                <w:szCs w:val="18"/>
              </w:rPr>
            </w:pPr>
          </w:p>
        </w:tc>
        <w:tc>
          <w:tcPr>
            <w:tcW w:w="850" w:type="dxa"/>
          </w:tcPr>
          <w:p w:rsidR="00F1551E" w:rsidRPr="00760A15" w:rsidRDefault="00391DA7"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F1551E" w:rsidRPr="00760A15" w:rsidRDefault="009415DB" w:rsidP="00F1551E">
            <w:pPr>
              <w:spacing w:after="0" w:line="240" w:lineRule="auto"/>
              <w:rPr>
                <w:rFonts w:ascii="Times New Roman" w:hAnsi="Times New Roman"/>
                <w:sz w:val="20"/>
              </w:rPr>
            </w:pPr>
            <w:r w:rsidRPr="00760A15">
              <w:rPr>
                <w:rFonts w:ascii="Times New Roman" w:hAnsi="Times New Roman"/>
                <w:sz w:val="20"/>
              </w:rPr>
              <w:t>úvodná veta</w:t>
            </w:r>
          </w:p>
        </w:tc>
      </w:tr>
      <w:tr w:rsidR="00705CD2" w:rsidRPr="00760A15" w:rsidTr="00AF1F08">
        <w:tc>
          <w:tcPr>
            <w:tcW w:w="1242" w:type="dxa"/>
          </w:tcPr>
          <w:p w:rsidR="00705CD2" w:rsidRPr="00760A15" w:rsidRDefault="00705CD2" w:rsidP="00F1551E">
            <w:pPr>
              <w:spacing w:after="0" w:line="240" w:lineRule="auto"/>
              <w:rPr>
                <w:rFonts w:ascii="Times New Roman" w:hAnsi="Times New Roman"/>
                <w:sz w:val="20"/>
              </w:rPr>
            </w:pPr>
            <w:r w:rsidRPr="00760A15">
              <w:rPr>
                <w:rFonts w:ascii="Times New Roman" w:hAnsi="Times New Roman"/>
                <w:sz w:val="20"/>
              </w:rPr>
              <w:t>P 1, O 2, V 1</w:t>
            </w:r>
          </w:p>
        </w:tc>
        <w:tc>
          <w:tcPr>
            <w:tcW w:w="3544" w:type="dxa"/>
          </w:tcPr>
          <w:p w:rsidR="00705CD2" w:rsidRPr="00760A15" w:rsidRDefault="00705CD2" w:rsidP="00AA42D3">
            <w:pPr>
              <w:spacing w:after="0" w:line="240" w:lineRule="auto"/>
              <w:rPr>
                <w:rFonts w:ascii="Times New Roman" w:hAnsi="Times New Roman"/>
                <w:sz w:val="20"/>
                <w:lang w:eastAsia="sk-SK"/>
              </w:rPr>
            </w:pPr>
            <w:r w:rsidRPr="00760A15">
              <w:rPr>
                <w:rFonts w:ascii="Times New Roman" w:hAnsi="Times New Roman"/>
                <w:sz w:val="20"/>
                <w:lang w:eastAsia="sk-SK"/>
              </w:rPr>
              <w:t>S použitím údajov zozbieraných v kroku 1 sa pomocou počítačových simulácií zásobníka vytvorí trojrozmerný statický geologický zemský model alebo súbor takýchto modelov kandidátskeho úložného komplexu vrátane krycej horniny a hydraulicky prepojených oblastí a kvapalín.</w:t>
            </w:r>
          </w:p>
        </w:tc>
        <w:tc>
          <w:tcPr>
            <w:tcW w:w="1276" w:type="dxa"/>
          </w:tcPr>
          <w:p w:rsidR="00705CD2" w:rsidRPr="00760A15" w:rsidRDefault="00705CD2"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705CD2" w:rsidRPr="00760A15" w:rsidRDefault="00705CD2"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vMerge w:val="restart"/>
          </w:tcPr>
          <w:p w:rsidR="00705CD2" w:rsidRPr="00760A15" w:rsidRDefault="00705CD2" w:rsidP="00F1551E">
            <w:pPr>
              <w:spacing w:after="0" w:line="240" w:lineRule="auto"/>
              <w:rPr>
                <w:rFonts w:ascii="Times New Roman" w:hAnsi="Times New Roman"/>
                <w:sz w:val="20"/>
              </w:rPr>
            </w:pPr>
            <w:r w:rsidRPr="00760A15">
              <w:rPr>
                <w:rFonts w:ascii="Times New Roman" w:hAnsi="Times New Roman"/>
                <w:sz w:val="20"/>
              </w:rPr>
              <w:t>P 1, O 2, V 1, O 2.3</w:t>
            </w:r>
          </w:p>
        </w:tc>
        <w:tc>
          <w:tcPr>
            <w:tcW w:w="3686" w:type="dxa"/>
            <w:vMerge w:val="restart"/>
          </w:tcPr>
          <w:p w:rsidR="00705CD2" w:rsidRPr="00760A15" w:rsidRDefault="00705CD2" w:rsidP="00F1551E">
            <w:pPr>
              <w:pStyle w:val="tl1"/>
              <w:numPr>
                <w:ilvl w:val="0"/>
                <w:numId w:val="0"/>
              </w:numPr>
              <w:tabs>
                <w:tab w:val="clear" w:pos="454"/>
                <w:tab w:val="left" w:pos="-108"/>
              </w:tabs>
              <w:jc w:val="left"/>
              <w:rPr>
                <w:sz w:val="20"/>
              </w:rPr>
            </w:pPr>
            <w:r w:rsidRPr="00760A15">
              <w:rPr>
                <w:sz w:val="20"/>
              </w:rPr>
              <w:t>Počítačovou simuláciou sa vytvorí trojrozmerný statický geologický model</w:t>
            </w:r>
            <w:r w:rsidR="00E61396" w:rsidRPr="00760A15">
              <w:rPr>
                <w:sz w:val="20"/>
              </w:rPr>
              <w:t xml:space="preserve"> alebo </w:t>
            </w:r>
            <w:r w:rsidRPr="00760A15">
              <w:rPr>
                <w:sz w:val="20"/>
              </w:rPr>
              <w:t>modely úložného komplexu, nadložia a hydraulicky prepojených oblastí a kvapalín na základe</w:t>
            </w:r>
          </w:p>
          <w:p w:rsidR="00705CD2" w:rsidRPr="00760A15" w:rsidRDefault="00705CD2" w:rsidP="00F1551E">
            <w:pPr>
              <w:pStyle w:val="tl1"/>
              <w:numPr>
                <w:ilvl w:val="0"/>
                <w:numId w:val="0"/>
              </w:numPr>
              <w:tabs>
                <w:tab w:val="clear" w:pos="454"/>
                <w:tab w:val="left" w:pos="-108"/>
              </w:tabs>
              <w:jc w:val="left"/>
              <w:rPr>
                <w:sz w:val="20"/>
              </w:rPr>
            </w:pPr>
            <w:r w:rsidRPr="00760A15">
              <w:rPr>
                <w:sz w:val="20"/>
              </w:rPr>
              <w:t>(...)</w:t>
            </w:r>
          </w:p>
          <w:p w:rsidR="00705CD2" w:rsidRPr="00760A15" w:rsidRDefault="00705CD2" w:rsidP="00F1551E">
            <w:pPr>
              <w:pStyle w:val="tl1"/>
              <w:numPr>
                <w:ilvl w:val="0"/>
                <w:numId w:val="0"/>
              </w:numPr>
              <w:tabs>
                <w:tab w:val="clear" w:pos="454"/>
                <w:tab w:val="left" w:pos="-108"/>
              </w:tabs>
              <w:jc w:val="left"/>
              <w:rPr>
                <w:sz w:val="20"/>
              </w:rPr>
            </w:pPr>
            <w:proofErr w:type="spellStart"/>
            <w:r w:rsidRPr="00760A15">
              <w:rPr>
                <w:sz w:val="20"/>
              </w:rPr>
              <w:t>geomechanických</w:t>
            </w:r>
            <w:proofErr w:type="spellEnd"/>
            <w:r w:rsidRPr="00760A15">
              <w:rPr>
                <w:sz w:val="20"/>
              </w:rPr>
              <w:t>, geochemických a prietokových vlastností nadložia úložiska a okolitých jednotiek,</w:t>
            </w:r>
          </w:p>
          <w:p w:rsidR="00705CD2" w:rsidRPr="00760A15" w:rsidRDefault="00705CD2" w:rsidP="00705CD2">
            <w:pPr>
              <w:pStyle w:val="tl1"/>
              <w:numPr>
                <w:ilvl w:val="0"/>
                <w:numId w:val="0"/>
              </w:numPr>
              <w:tabs>
                <w:tab w:val="left" w:pos="-108"/>
              </w:tabs>
              <w:jc w:val="left"/>
              <w:rPr>
                <w:sz w:val="20"/>
              </w:rPr>
            </w:pPr>
          </w:p>
        </w:tc>
        <w:tc>
          <w:tcPr>
            <w:tcW w:w="850" w:type="dxa"/>
            <w:vMerge w:val="restart"/>
          </w:tcPr>
          <w:p w:rsidR="00705CD2" w:rsidRPr="00760A15" w:rsidRDefault="00705CD2"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705CD2" w:rsidRPr="00760A15" w:rsidRDefault="00705CD2" w:rsidP="00F1551E">
            <w:pPr>
              <w:spacing w:after="0" w:line="240" w:lineRule="auto"/>
              <w:rPr>
                <w:rFonts w:ascii="Times New Roman" w:hAnsi="Times New Roman"/>
                <w:sz w:val="20"/>
              </w:rPr>
            </w:pPr>
          </w:p>
        </w:tc>
      </w:tr>
      <w:tr w:rsidR="00705CD2" w:rsidRPr="00760A15" w:rsidTr="00AF1F08">
        <w:tc>
          <w:tcPr>
            <w:tcW w:w="1242" w:type="dxa"/>
          </w:tcPr>
          <w:p w:rsidR="00705CD2" w:rsidRPr="00760A15" w:rsidRDefault="00705CD2" w:rsidP="00F1551E">
            <w:pPr>
              <w:spacing w:after="0" w:line="240" w:lineRule="auto"/>
              <w:rPr>
                <w:rFonts w:ascii="Times New Roman" w:hAnsi="Times New Roman"/>
                <w:sz w:val="20"/>
              </w:rPr>
            </w:pPr>
            <w:r w:rsidRPr="00760A15">
              <w:rPr>
                <w:rFonts w:ascii="Times New Roman" w:hAnsi="Times New Roman"/>
                <w:sz w:val="20"/>
              </w:rPr>
              <w:t>P 1, O 2, V 2, P b)</w:t>
            </w:r>
          </w:p>
        </w:tc>
        <w:tc>
          <w:tcPr>
            <w:tcW w:w="3544" w:type="dxa"/>
          </w:tcPr>
          <w:p w:rsidR="00705CD2" w:rsidRPr="00760A15" w:rsidRDefault="00705CD2" w:rsidP="00F02086">
            <w:pPr>
              <w:spacing w:after="0" w:line="240" w:lineRule="auto"/>
              <w:rPr>
                <w:rFonts w:ascii="Times New Roman" w:hAnsi="Times New Roman"/>
                <w:sz w:val="20"/>
                <w:lang w:eastAsia="sk-SK"/>
              </w:rPr>
            </w:pPr>
            <w:r w:rsidRPr="00760A15">
              <w:rPr>
                <w:rFonts w:ascii="Times New Roman" w:hAnsi="Times New Roman"/>
                <w:sz w:val="20"/>
                <w:lang w:eastAsia="sk-SK"/>
              </w:rPr>
              <w:t>Staticko-geologický(-é) zemský(-é) model(-y) charakterizuje(-ú) úložný komplex na základe:</w:t>
            </w:r>
          </w:p>
          <w:p w:rsidR="00705CD2" w:rsidRPr="00760A15" w:rsidRDefault="00705CD2" w:rsidP="00F02086">
            <w:pPr>
              <w:spacing w:after="0" w:line="240" w:lineRule="auto"/>
              <w:rPr>
                <w:rFonts w:ascii="Times New Roman" w:hAnsi="Times New Roman"/>
                <w:sz w:val="20"/>
                <w:lang w:eastAsia="sk-SK"/>
              </w:rPr>
            </w:pPr>
            <w:r w:rsidRPr="00760A15">
              <w:rPr>
                <w:rFonts w:ascii="Times New Roman" w:hAnsi="Times New Roman"/>
                <w:sz w:val="20"/>
                <w:lang w:eastAsia="sk-SK"/>
              </w:rPr>
              <w:t>(...)</w:t>
            </w:r>
          </w:p>
          <w:p w:rsidR="00705CD2" w:rsidRPr="00760A15" w:rsidRDefault="00705CD2" w:rsidP="00F02086">
            <w:pPr>
              <w:spacing w:after="0" w:line="240" w:lineRule="auto"/>
              <w:rPr>
                <w:rFonts w:ascii="Times New Roman" w:hAnsi="Times New Roman"/>
                <w:sz w:val="20"/>
                <w:lang w:eastAsia="sk-SK"/>
              </w:rPr>
            </w:pPr>
            <w:proofErr w:type="spellStart"/>
            <w:r w:rsidRPr="00760A15">
              <w:rPr>
                <w:rFonts w:ascii="Times New Roman" w:hAnsi="Times New Roman"/>
                <w:sz w:val="20"/>
                <w:lang w:eastAsia="sk-SK"/>
              </w:rPr>
              <w:t>geomechanických</w:t>
            </w:r>
            <w:proofErr w:type="spellEnd"/>
            <w:r w:rsidRPr="00760A15">
              <w:rPr>
                <w:rFonts w:ascii="Times New Roman" w:hAnsi="Times New Roman"/>
                <w:sz w:val="20"/>
                <w:lang w:eastAsia="sk-SK"/>
              </w:rPr>
              <w:t>, geochemických a prúdových vlastností nadložia zásobníka (krycej horniny, zaplombovania, poréznych a priepustných vrstiev) a okolitých jednotiek;</w:t>
            </w:r>
          </w:p>
        </w:tc>
        <w:tc>
          <w:tcPr>
            <w:tcW w:w="1276" w:type="dxa"/>
          </w:tcPr>
          <w:p w:rsidR="00705CD2" w:rsidRPr="00760A15" w:rsidRDefault="00705CD2"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705CD2" w:rsidRPr="00760A15" w:rsidRDefault="00705CD2"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vMerge/>
          </w:tcPr>
          <w:p w:rsidR="00705CD2" w:rsidRPr="00760A15" w:rsidRDefault="00705CD2" w:rsidP="00F1551E">
            <w:pPr>
              <w:spacing w:after="0" w:line="240" w:lineRule="auto"/>
              <w:rPr>
                <w:rFonts w:ascii="Times New Roman" w:hAnsi="Times New Roman"/>
                <w:sz w:val="20"/>
              </w:rPr>
            </w:pPr>
          </w:p>
        </w:tc>
        <w:tc>
          <w:tcPr>
            <w:tcW w:w="3686" w:type="dxa"/>
            <w:vMerge/>
          </w:tcPr>
          <w:p w:rsidR="00705CD2" w:rsidRPr="00760A15" w:rsidRDefault="00705CD2" w:rsidP="00F1551E">
            <w:pPr>
              <w:pStyle w:val="tl1"/>
              <w:numPr>
                <w:ilvl w:val="0"/>
                <w:numId w:val="0"/>
              </w:numPr>
              <w:tabs>
                <w:tab w:val="clear" w:pos="454"/>
                <w:tab w:val="left" w:pos="-108"/>
              </w:tabs>
              <w:jc w:val="left"/>
              <w:rPr>
                <w:sz w:val="20"/>
              </w:rPr>
            </w:pPr>
          </w:p>
        </w:tc>
        <w:tc>
          <w:tcPr>
            <w:tcW w:w="850" w:type="dxa"/>
            <w:vMerge/>
          </w:tcPr>
          <w:p w:rsidR="00705CD2" w:rsidRPr="00760A15" w:rsidRDefault="00705CD2" w:rsidP="00F1551E">
            <w:pPr>
              <w:spacing w:after="0" w:line="240" w:lineRule="auto"/>
              <w:rPr>
                <w:rFonts w:ascii="Times New Roman" w:hAnsi="Times New Roman"/>
                <w:sz w:val="20"/>
              </w:rPr>
            </w:pPr>
          </w:p>
        </w:tc>
        <w:tc>
          <w:tcPr>
            <w:tcW w:w="1418" w:type="dxa"/>
          </w:tcPr>
          <w:p w:rsidR="00705CD2" w:rsidRPr="00760A15" w:rsidRDefault="00705CD2" w:rsidP="00F1551E">
            <w:pPr>
              <w:spacing w:after="0" w:line="240" w:lineRule="auto"/>
              <w:rPr>
                <w:rFonts w:ascii="Times New Roman" w:hAnsi="Times New Roman"/>
                <w:sz w:val="20"/>
              </w:rPr>
            </w:pPr>
          </w:p>
        </w:tc>
      </w:tr>
      <w:tr w:rsidR="00391DA7" w:rsidTr="00AF1F08">
        <w:tc>
          <w:tcPr>
            <w:tcW w:w="1242" w:type="dxa"/>
          </w:tcPr>
          <w:p w:rsidR="00391DA7" w:rsidRPr="00760A15" w:rsidRDefault="00705CD2" w:rsidP="00F1551E">
            <w:pPr>
              <w:spacing w:after="0" w:line="240" w:lineRule="auto"/>
              <w:rPr>
                <w:rFonts w:ascii="Times New Roman" w:hAnsi="Times New Roman"/>
                <w:sz w:val="20"/>
              </w:rPr>
            </w:pPr>
            <w:r w:rsidRPr="00760A15">
              <w:rPr>
                <w:rFonts w:ascii="Times New Roman" w:hAnsi="Times New Roman"/>
                <w:sz w:val="20"/>
              </w:rPr>
              <w:t>P 1, O</w:t>
            </w:r>
            <w:r w:rsidR="0035508A" w:rsidRPr="00760A15">
              <w:rPr>
                <w:rFonts w:ascii="Times New Roman" w:hAnsi="Times New Roman"/>
                <w:sz w:val="20"/>
              </w:rPr>
              <w:t> </w:t>
            </w:r>
            <w:r w:rsidRPr="00760A15">
              <w:rPr>
                <w:rFonts w:ascii="Times New Roman" w:hAnsi="Times New Roman"/>
                <w:sz w:val="20"/>
              </w:rPr>
              <w:t>2</w:t>
            </w:r>
            <w:r w:rsidR="0035508A" w:rsidRPr="00760A15">
              <w:rPr>
                <w:rFonts w:ascii="Times New Roman" w:hAnsi="Times New Roman"/>
                <w:sz w:val="20"/>
              </w:rPr>
              <w:t>, V 3</w:t>
            </w:r>
          </w:p>
        </w:tc>
        <w:tc>
          <w:tcPr>
            <w:tcW w:w="3544" w:type="dxa"/>
          </w:tcPr>
          <w:p w:rsidR="00391DA7" w:rsidRPr="00760A15" w:rsidRDefault="0035508A" w:rsidP="0035508A">
            <w:pPr>
              <w:spacing w:after="0" w:line="240" w:lineRule="auto"/>
              <w:rPr>
                <w:rFonts w:ascii="Times New Roman" w:hAnsi="Times New Roman"/>
                <w:sz w:val="20"/>
                <w:lang w:eastAsia="sk-SK"/>
              </w:rPr>
            </w:pPr>
            <w:r w:rsidRPr="00760A15">
              <w:rPr>
                <w:rFonts w:ascii="Times New Roman" w:hAnsi="Times New Roman"/>
                <w:sz w:val="20"/>
                <w:lang w:eastAsia="sk-SK"/>
              </w:rPr>
              <w:t xml:space="preserve">Neistota spojená s ktorýmkoľvek z parametrov používaných na zostavenie modelu sa posudzuje vytvorením radu scenárov pre každý parameter a výpočtom príslušných medzí spoľahlivosti. </w:t>
            </w:r>
          </w:p>
        </w:tc>
        <w:tc>
          <w:tcPr>
            <w:tcW w:w="1276" w:type="dxa"/>
          </w:tcPr>
          <w:p w:rsidR="00391DA7" w:rsidRPr="00760A15" w:rsidRDefault="0035508A" w:rsidP="00F1551E">
            <w:pPr>
              <w:spacing w:after="0" w:line="240" w:lineRule="auto"/>
              <w:rPr>
                <w:rFonts w:ascii="Times New Roman" w:hAnsi="Times New Roman"/>
                <w:sz w:val="20"/>
              </w:rPr>
            </w:pPr>
            <w:r w:rsidRPr="00760A15">
              <w:rPr>
                <w:rFonts w:ascii="Times New Roman" w:hAnsi="Times New Roman"/>
                <w:sz w:val="20"/>
              </w:rPr>
              <w:t>N</w:t>
            </w:r>
          </w:p>
        </w:tc>
        <w:tc>
          <w:tcPr>
            <w:tcW w:w="709" w:type="dxa"/>
          </w:tcPr>
          <w:p w:rsidR="00391DA7" w:rsidRPr="00760A15" w:rsidRDefault="0035508A" w:rsidP="00F1551E">
            <w:pPr>
              <w:spacing w:after="0" w:line="240" w:lineRule="auto"/>
              <w:rPr>
                <w:rFonts w:ascii="Times New Roman" w:hAnsi="Times New Roman"/>
                <w:sz w:val="20"/>
              </w:rPr>
            </w:pPr>
            <w:r w:rsidRPr="00760A15">
              <w:rPr>
                <w:rFonts w:ascii="Times New Roman" w:hAnsi="Times New Roman"/>
                <w:sz w:val="20"/>
              </w:rPr>
              <w:t>NZ</w:t>
            </w:r>
          </w:p>
        </w:tc>
        <w:tc>
          <w:tcPr>
            <w:tcW w:w="1417" w:type="dxa"/>
          </w:tcPr>
          <w:p w:rsidR="00391DA7" w:rsidRPr="00760A15" w:rsidRDefault="0035508A" w:rsidP="00F1551E">
            <w:pPr>
              <w:spacing w:after="0" w:line="240" w:lineRule="auto"/>
              <w:rPr>
                <w:rFonts w:ascii="Times New Roman" w:hAnsi="Times New Roman"/>
                <w:sz w:val="20"/>
              </w:rPr>
            </w:pPr>
            <w:r w:rsidRPr="00760A15">
              <w:rPr>
                <w:rFonts w:ascii="Times New Roman" w:hAnsi="Times New Roman"/>
                <w:sz w:val="20"/>
              </w:rPr>
              <w:t>P 1, O 2, V 2</w:t>
            </w:r>
          </w:p>
        </w:tc>
        <w:tc>
          <w:tcPr>
            <w:tcW w:w="3686" w:type="dxa"/>
          </w:tcPr>
          <w:p w:rsidR="00391DA7" w:rsidRPr="00760A15" w:rsidRDefault="0035508A" w:rsidP="0035508A">
            <w:pPr>
              <w:pStyle w:val="tl1"/>
              <w:numPr>
                <w:ilvl w:val="0"/>
                <w:numId w:val="0"/>
              </w:numPr>
              <w:tabs>
                <w:tab w:val="clear" w:pos="454"/>
                <w:tab w:val="left" w:pos="-108"/>
              </w:tabs>
              <w:jc w:val="left"/>
              <w:rPr>
                <w:sz w:val="20"/>
              </w:rPr>
            </w:pPr>
            <w:r w:rsidRPr="00760A15">
              <w:rPr>
                <w:sz w:val="20"/>
              </w:rPr>
              <w:t>Nedostatky a neurčitosti použitých parametrov na zostavenie trojrozmerného statického geologického modelu úložného komplexu, nadložia a hydraulicky prepojených oblastí a kvapalín sa vykonajú vytvorením alternatívnych riešení pre každý parameter s odhadom medzí spoľahlivosti a neistôt.</w:t>
            </w:r>
          </w:p>
        </w:tc>
        <w:tc>
          <w:tcPr>
            <w:tcW w:w="850" w:type="dxa"/>
          </w:tcPr>
          <w:p w:rsidR="00391DA7" w:rsidRDefault="00BA623F" w:rsidP="00F1551E">
            <w:pPr>
              <w:spacing w:after="0" w:line="240" w:lineRule="auto"/>
              <w:rPr>
                <w:rFonts w:ascii="Times New Roman" w:hAnsi="Times New Roman"/>
                <w:sz w:val="20"/>
              </w:rPr>
            </w:pPr>
            <w:r w:rsidRPr="00760A15">
              <w:rPr>
                <w:rFonts w:ascii="Times New Roman" w:hAnsi="Times New Roman"/>
                <w:sz w:val="20"/>
              </w:rPr>
              <w:t>Ú</w:t>
            </w:r>
          </w:p>
        </w:tc>
        <w:tc>
          <w:tcPr>
            <w:tcW w:w="1418" w:type="dxa"/>
          </w:tcPr>
          <w:p w:rsidR="00391DA7" w:rsidRDefault="00391DA7" w:rsidP="00F1551E">
            <w:pPr>
              <w:spacing w:after="0" w:line="240" w:lineRule="auto"/>
              <w:rPr>
                <w:rFonts w:ascii="Times New Roman" w:hAnsi="Times New Roman"/>
                <w:sz w:val="20"/>
              </w:rPr>
            </w:pPr>
          </w:p>
        </w:tc>
      </w:tr>
    </w:tbl>
    <w:p w:rsidR="009A1B32" w:rsidRDefault="009A1B32" w:rsidP="00180E2F">
      <w:pPr>
        <w:spacing w:after="0" w:line="240" w:lineRule="auto"/>
        <w:rPr>
          <w:rFonts w:ascii="Times New Roman" w:hAnsi="Times New Roman"/>
          <w:sz w:val="24"/>
        </w:rPr>
      </w:pPr>
    </w:p>
    <w:sectPr w:rsidR="009A1B32" w:rsidSect="00B16342">
      <w:footerReference w:type="default" r:id="rId11"/>
      <w:footnotePr>
        <w:numFmt w:val="chicago"/>
      </w:footnotePr>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2FC" w:rsidRDefault="004F32FC">
      <w:pPr>
        <w:spacing w:after="0" w:line="240" w:lineRule="auto"/>
      </w:pPr>
      <w:r>
        <w:separator/>
      </w:r>
    </w:p>
  </w:endnote>
  <w:endnote w:type="continuationSeparator" w:id="0">
    <w:p w:rsidR="004F32FC" w:rsidRDefault="004F3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EUAlbertina">
    <w:altName w:val="EU Albertina"/>
    <w:panose1 w:val="00000000000000000000"/>
    <w:charset w:val="EE"/>
    <w:family w:val="swiss"/>
    <w:notTrueType/>
    <w:pitch w:val="default"/>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ITCBookmanEE">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1DE" w:rsidRDefault="00F611DE">
    <w:pPr>
      <w:pStyle w:val="Pta"/>
      <w:jc w:val="right"/>
    </w:pPr>
    <w:r>
      <w:fldChar w:fldCharType="begin"/>
    </w:r>
    <w:r>
      <w:instrText xml:space="preserve"> PAGE   \* MERGEFORMAT </w:instrText>
    </w:r>
    <w:r>
      <w:fldChar w:fldCharType="separate"/>
    </w:r>
    <w:r w:rsidR="00BF5A96">
      <w:rPr>
        <w:noProof/>
      </w:rPr>
      <w:t>6</w:t>
    </w:r>
    <w:r>
      <w:fldChar w:fldCharType="end"/>
    </w:r>
  </w:p>
  <w:p w:rsidR="00F611DE" w:rsidRDefault="00F611D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2FC" w:rsidRDefault="004F32FC">
      <w:pPr>
        <w:spacing w:after="0" w:line="240" w:lineRule="auto"/>
      </w:pPr>
      <w:r>
        <w:separator/>
      </w:r>
    </w:p>
  </w:footnote>
  <w:footnote w:type="continuationSeparator" w:id="0">
    <w:p w:rsidR="004F32FC" w:rsidRDefault="004F32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907246B"/>
    <w:multiLevelType w:val="hybridMultilevel"/>
    <w:tmpl w:val="327E8C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0C4699"/>
    <w:multiLevelType w:val="hybridMultilevel"/>
    <w:tmpl w:val="D706AE54"/>
    <w:lvl w:ilvl="0" w:tplc="447818B8">
      <w:start w:val="1"/>
      <w:numFmt w:val="low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64CBE78"/>
    <w:multiLevelType w:val="hybridMultilevel"/>
    <w:tmpl w:val="726077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8"/>
    <w:multiLevelType w:val="singleLevel"/>
    <w:tmpl w:val="D3224F34"/>
    <w:lvl w:ilvl="0">
      <w:start w:val="1"/>
      <w:numFmt w:val="decimal"/>
      <w:pStyle w:val="slovanzoznam"/>
      <w:lvlText w:val="%1."/>
      <w:lvlJc w:val="left"/>
      <w:pPr>
        <w:tabs>
          <w:tab w:val="num" w:pos="360"/>
        </w:tabs>
        <w:ind w:left="360" w:hanging="360"/>
      </w:pPr>
      <w:rPr>
        <w:rFonts w:cs="Times New Roman"/>
      </w:rPr>
    </w:lvl>
  </w:abstractNum>
  <w:abstractNum w:abstractNumId="4" w15:restartNumberingAfterBreak="0">
    <w:nsid w:val="08321F6B"/>
    <w:multiLevelType w:val="hybridMultilevel"/>
    <w:tmpl w:val="007013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A83DCD"/>
    <w:multiLevelType w:val="hybridMultilevel"/>
    <w:tmpl w:val="F432D77E"/>
    <w:lvl w:ilvl="0" w:tplc="FFFFFFFF">
      <w:start w:val="1"/>
      <w:numFmt w:val="decimal"/>
      <w:pStyle w:val="t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1FCB541B"/>
    <w:multiLevelType w:val="hybridMultilevel"/>
    <w:tmpl w:val="987C5C28"/>
    <w:lvl w:ilvl="0" w:tplc="FFFFFFFF">
      <w:start w:val="2"/>
      <w:numFmt w:val="bullet"/>
      <w:pStyle w:val="tl4"/>
      <w:lvlText w:val="-"/>
      <w:lvlJc w:val="left"/>
      <w:pPr>
        <w:tabs>
          <w:tab w:val="num" w:pos="1097"/>
        </w:tabs>
        <w:ind w:left="1097" w:hanging="360"/>
      </w:pPr>
      <w:rPr>
        <w:rFonts w:ascii="Times New Roman" w:eastAsia="Times New Roman" w:hAnsi="Times New Roman" w:hint="default"/>
      </w:rPr>
    </w:lvl>
    <w:lvl w:ilvl="1" w:tplc="FFFFFFFF" w:tentative="1">
      <w:start w:val="1"/>
      <w:numFmt w:val="bullet"/>
      <w:lvlText w:val="o"/>
      <w:lvlJc w:val="left"/>
      <w:pPr>
        <w:tabs>
          <w:tab w:val="num" w:pos="2461"/>
        </w:tabs>
        <w:ind w:left="2461" w:hanging="360"/>
      </w:pPr>
      <w:rPr>
        <w:rFonts w:ascii="Courier New" w:hAnsi="Courier New" w:hint="default"/>
      </w:rPr>
    </w:lvl>
    <w:lvl w:ilvl="2" w:tplc="FFFFFFFF" w:tentative="1">
      <w:start w:val="1"/>
      <w:numFmt w:val="bullet"/>
      <w:lvlText w:val=""/>
      <w:lvlJc w:val="left"/>
      <w:pPr>
        <w:tabs>
          <w:tab w:val="num" w:pos="3181"/>
        </w:tabs>
        <w:ind w:left="3181" w:hanging="360"/>
      </w:pPr>
      <w:rPr>
        <w:rFonts w:ascii="Wingdings" w:hAnsi="Wingdings" w:hint="default"/>
      </w:rPr>
    </w:lvl>
    <w:lvl w:ilvl="3" w:tplc="FFFFFFFF" w:tentative="1">
      <w:start w:val="1"/>
      <w:numFmt w:val="bullet"/>
      <w:lvlText w:val=""/>
      <w:lvlJc w:val="left"/>
      <w:pPr>
        <w:tabs>
          <w:tab w:val="num" w:pos="3901"/>
        </w:tabs>
        <w:ind w:left="3901" w:hanging="360"/>
      </w:pPr>
      <w:rPr>
        <w:rFonts w:ascii="Symbol" w:hAnsi="Symbol" w:hint="default"/>
      </w:rPr>
    </w:lvl>
    <w:lvl w:ilvl="4" w:tplc="FFFFFFFF" w:tentative="1">
      <w:start w:val="1"/>
      <w:numFmt w:val="bullet"/>
      <w:lvlText w:val="o"/>
      <w:lvlJc w:val="left"/>
      <w:pPr>
        <w:tabs>
          <w:tab w:val="num" w:pos="4621"/>
        </w:tabs>
        <w:ind w:left="4621" w:hanging="360"/>
      </w:pPr>
      <w:rPr>
        <w:rFonts w:ascii="Courier New" w:hAnsi="Courier New" w:hint="default"/>
      </w:rPr>
    </w:lvl>
    <w:lvl w:ilvl="5" w:tplc="FFFFFFFF" w:tentative="1">
      <w:start w:val="1"/>
      <w:numFmt w:val="bullet"/>
      <w:lvlText w:val=""/>
      <w:lvlJc w:val="left"/>
      <w:pPr>
        <w:tabs>
          <w:tab w:val="num" w:pos="5341"/>
        </w:tabs>
        <w:ind w:left="5341" w:hanging="360"/>
      </w:pPr>
      <w:rPr>
        <w:rFonts w:ascii="Wingdings" w:hAnsi="Wingdings" w:hint="default"/>
      </w:rPr>
    </w:lvl>
    <w:lvl w:ilvl="6" w:tplc="FFFFFFFF" w:tentative="1">
      <w:start w:val="1"/>
      <w:numFmt w:val="bullet"/>
      <w:lvlText w:val=""/>
      <w:lvlJc w:val="left"/>
      <w:pPr>
        <w:tabs>
          <w:tab w:val="num" w:pos="6061"/>
        </w:tabs>
        <w:ind w:left="6061" w:hanging="360"/>
      </w:pPr>
      <w:rPr>
        <w:rFonts w:ascii="Symbol" w:hAnsi="Symbol" w:hint="default"/>
      </w:rPr>
    </w:lvl>
    <w:lvl w:ilvl="7" w:tplc="FFFFFFFF" w:tentative="1">
      <w:start w:val="1"/>
      <w:numFmt w:val="bullet"/>
      <w:lvlText w:val="o"/>
      <w:lvlJc w:val="left"/>
      <w:pPr>
        <w:tabs>
          <w:tab w:val="num" w:pos="6781"/>
        </w:tabs>
        <w:ind w:left="6781" w:hanging="360"/>
      </w:pPr>
      <w:rPr>
        <w:rFonts w:ascii="Courier New" w:hAnsi="Courier New" w:hint="default"/>
      </w:rPr>
    </w:lvl>
    <w:lvl w:ilvl="8" w:tplc="FFFFFFFF" w:tentative="1">
      <w:start w:val="1"/>
      <w:numFmt w:val="bullet"/>
      <w:lvlText w:val=""/>
      <w:lvlJc w:val="left"/>
      <w:pPr>
        <w:tabs>
          <w:tab w:val="num" w:pos="7501"/>
        </w:tabs>
        <w:ind w:left="7501" w:hanging="360"/>
      </w:pPr>
      <w:rPr>
        <w:rFonts w:ascii="Wingdings" w:hAnsi="Wingdings" w:hint="default"/>
      </w:rPr>
    </w:lvl>
  </w:abstractNum>
  <w:abstractNum w:abstractNumId="7" w15:restartNumberingAfterBreak="0">
    <w:nsid w:val="27534672"/>
    <w:multiLevelType w:val="hybridMultilevel"/>
    <w:tmpl w:val="B1AE07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F91019"/>
    <w:multiLevelType w:val="hybridMultilevel"/>
    <w:tmpl w:val="F43EB3C8"/>
    <w:lvl w:ilvl="0" w:tplc="041B0017">
      <w:start w:val="1"/>
      <w:numFmt w:val="lowerLetter"/>
      <w:lvlText w:val="%1)"/>
      <w:lvlJc w:val="left"/>
      <w:pPr>
        <w:ind w:left="720" w:hanging="360"/>
      </w:pPr>
      <w:rPr>
        <w:rFonts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5A1832"/>
    <w:multiLevelType w:val="hybridMultilevel"/>
    <w:tmpl w:val="E544FAD0"/>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9745E67"/>
    <w:multiLevelType w:val="hybridMultilevel"/>
    <w:tmpl w:val="B8C86B72"/>
    <w:lvl w:ilvl="0" w:tplc="FFFFFFFF">
      <w:start w:val="1"/>
      <w:numFmt w:val="decimal"/>
      <w:pStyle w:val="tl1"/>
      <w:lvlText w:val="%1."/>
      <w:lvlJc w:val="left"/>
      <w:pPr>
        <w:tabs>
          <w:tab w:val="num" w:pos="0"/>
        </w:tabs>
        <w:ind w:left="454" w:hanging="454"/>
      </w:pPr>
      <w:rPr>
        <w:rFonts w:cs="Times New Roman" w:hint="default"/>
      </w:rPr>
    </w:lvl>
    <w:lvl w:ilvl="1" w:tplc="FFFFFFFF">
      <w:start w:val="1"/>
      <w:numFmt w:val="lowerLetter"/>
      <w:pStyle w:val="tl3"/>
      <w:lvlText w:val="%2)"/>
      <w:lvlJc w:val="left"/>
      <w:pPr>
        <w:tabs>
          <w:tab w:val="num" w:pos="1440"/>
        </w:tabs>
        <w:ind w:left="1440" w:hanging="360"/>
      </w:pPr>
      <w:rPr>
        <w:rFonts w:cs="Times New Roman" w:hint="default"/>
      </w:rPr>
    </w:lvl>
    <w:lvl w:ilvl="2" w:tplc="FFFFFFFF">
      <w:start w:val="2"/>
      <w:numFmt w:val="bullet"/>
      <w:lvlText w:val="-"/>
      <w:lvlJc w:val="left"/>
      <w:pPr>
        <w:tabs>
          <w:tab w:val="num" w:pos="2340"/>
        </w:tabs>
        <w:ind w:left="2340" w:hanging="360"/>
      </w:pPr>
      <w:rPr>
        <w:rFonts w:ascii="Times New Roman" w:eastAsia="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46A02B0D"/>
    <w:multiLevelType w:val="hybridMultilevel"/>
    <w:tmpl w:val="CC1022CA"/>
    <w:lvl w:ilvl="0" w:tplc="D32E298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EED14F4"/>
    <w:multiLevelType w:val="hybridMultilevel"/>
    <w:tmpl w:val="535691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D570BDA"/>
    <w:multiLevelType w:val="hybridMultilevel"/>
    <w:tmpl w:val="8982D6AA"/>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CCC884"/>
    <w:multiLevelType w:val="hybridMultilevel"/>
    <w:tmpl w:val="6E42531E"/>
    <w:lvl w:ilvl="0" w:tplc="1D6AD196">
      <w:start w:val="1"/>
      <w:numFmt w:val="low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9118BFD"/>
    <w:multiLevelType w:val="hybridMultilevel"/>
    <w:tmpl w:val="82806DF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3"/>
  </w:num>
  <w:num w:numId="3">
    <w:abstractNumId w:val="5"/>
  </w:num>
  <w:num w:numId="4">
    <w:abstractNumId w:val="6"/>
  </w:num>
  <w:num w:numId="5">
    <w:abstractNumId w:val="14"/>
  </w:num>
  <w:num w:numId="6">
    <w:abstractNumId w:val="15"/>
  </w:num>
  <w:num w:numId="7">
    <w:abstractNumId w:val="0"/>
  </w:num>
  <w:num w:numId="8">
    <w:abstractNumId w:val="8"/>
  </w:num>
  <w:num w:numId="9">
    <w:abstractNumId w:val="7"/>
  </w:num>
  <w:num w:numId="10">
    <w:abstractNumId w:val="4"/>
  </w:num>
  <w:num w:numId="11">
    <w:abstractNumId w:val="2"/>
  </w:num>
  <w:num w:numId="12">
    <w:abstractNumId w:val="9"/>
  </w:num>
  <w:num w:numId="13">
    <w:abstractNumId w:val="13"/>
  </w:num>
  <w:num w:numId="14">
    <w:abstractNumId w:val="1"/>
  </w:num>
  <w:num w:numId="15">
    <w:abstractNumId w:val="12"/>
  </w:num>
  <w:num w:numId="1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B32"/>
    <w:rsid w:val="00004334"/>
    <w:rsid w:val="00010801"/>
    <w:rsid w:val="0001177B"/>
    <w:rsid w:val="00014324"/>
    <w:rsid w:val="00037C1C"/>
    <w:rsid w:val="0004064F"/>
    <w:rsid w:val="00041CA9"/>
    <w:rsid w:val="00041E5F"/>
    <w:rsid w:val="00057906"/>
    <w:rsid w:val="000A0603"/>
    <w:rsid w:val="000A1A33"/>
    <w:rsid w:val="000B1D91"/>
    <w:rsid w:val="000B314F"/>
    <w:rsid w:val="000B46A8"/>
    <w:rsid w:val="0010715D"/>
    <w:rsid w:val="00113D00"/>
    <w:rsid w:val="00143B62"/>
    <w:rsid w:val="00156BE4"/>
    <w:rsid w:val="00180E2F"/>
    <w:rsid w:val="00181B41"/>
    <w:rsid w:val="00190B01"/>
    <w:rsid w:val="00194939"/>
    <w:rsid w:val="001C17B8"/>
    <w:rsid w:val="001C3BD0"/>
    <w:rsid w:val="001D7B18"/>
    <w:rsid w:val="001E3BA5"/>
    <w:rsid w:val="00222363"/>
    <w:rsid w:val="00232E0F"/>
    <w:rsid w:val="00234C09"/>
    <w:rsid w:val="002605B6"/>
    <w:rsid w:val="002B1247"/>
    <w:rsid w:val="002D70D1"/>
    <w:rsid w:val="002E6A8E"/>
    <w:rsid w:val="0035508A"/>
    <w:rsid w:val="0035770F"/>
    <w:rsid w:val="0037432C"/>
    <w:rsid w:val="00391DA7"/>
    <w:rsid w:val="003B7EBE"/>
    <w:rsid w:val="003C0FE2"/>
    <w:rsid w:val="003C5CCB"/>
    <w:rsid w:val="003F1A1F"/>
    <w:rsid w:val="00442262"/>
    <w:rsid w:val="004743E1"/>
    <w:rsid w:val="00495DC8"/>
    <w:rsid w:val="004B3261"/>
    <w:rsid w:val="004C1BA5"/>
    <w:rsid w:val="004C21B1"/>
    <w:rsid w:val="004D4FF3"/>
    <w:rsid w:val="004F32FC"/>
    <w:rsid w:val="00530829"/>
    <w:rsid w:val="00531616"/>
    <w:rsid w:val="0054442A"/>
    <w:rsid w:val="005445E9"/>
    <w:rsid w:val="00553E05"/>
    <w:rsid w:val="005604E2"/>
    <w:rsid w:val="005639EA"/>
    <w:rsid w:val="005739CA"/>
    <w:rsid w:val="005963FD"/>
    <w:rsid w:val="005A4554"/>
    <w:rsid w:val="0062360D"/>
    <w:rsid w:val="006305DE"/>
    <w:rsid w:val="00674C76"/>
    <w:rsid w:val="00682B00"/>
    <w:rsid w:val="006C46A4"/>
    <w:rsid w:val="006D150A"/>
    <w:rsid w:val="006D3A6E"/>
    <w:rsid w:val="006D4D91"/>
    <w:rsid w:val="006D7A64"/>
    <w:rsid w:val="006F6826"/>
    <w:rsid w:val="00705CD2"/>
    <w:rsid w:val="00706E18"/>
    <w:rsid w:val="00710878"/>
    <w:rsid w:val="00726295"/>
    <w:rsid w:val="0073688F"/>
    <w:rsid w:val="00747234"/>
    <w:rsid w:val="00760A15"/>
    <w:rsid w:val="007936D9"/>
    <w:rsid w:val="007C2CC4"/>
    <w:rsid w:val="007C4BE0"/>
    <w:rsid w:val="007D2A00"/>
    <w:rsid w:val="007E217F"/>
    <w:rsid w:val="007F4B47"/>
    <w:rsid w:val="00802AA4"/>
    <w:rsid w:val="00805B42"/>
    <w:rsid w:val="008215CF"/>
    <w:rsid w:val="00826993"/>
    <w:rsid w:val="00856BDB"/>
    <w:rsid w:val="00864CA6"/>
    <w:rsid w:val="00865271"/>
    <w:rsid w:val="00883CB6"/>
    <w:rsid w:val="008A2939"/>
    <w:rsid w:val="008C5449"/>
    <w:rsid w:val="008D3D46"/>
    <w:rsid w:val="008E4439"/>
    <w:rsid w:val="00901EDB"/>
    <w:rsid w:val="0093119B"/>
    <w:rsid w:val="00940A70"/>
    <w:rsid w:val="009415DB"/>
    <w:rsid w:val="00941849"/>
    <w:rsid w:val="00947C2A"/>
    <w:rsid w:val="00994951"/>
    <w:rsid w:val="009A1B32"/>
    <w:rsid w:val="009C5089"/>
    <w:rsid w:val="009D599F"/>
    <w:rsid w:val="00A00E5D"/>
    <w:rsid w:val="00A30B07"/>
    <w:rsid w:val="00A37A23"/>
    <w:rsid w:val="00A852C1"/>
    <w:rsid w:val="00AA42D3"/>
    <w:rsid w:val="00AE4B33"/>
    <w:rsid w:val="00AF1F08"/>
    <w:rsid w:val="00AF254D"/>
    <w:rsid w:val="00B16342"/>
    <w:rsid w:val="00B63853"/>
    <w:rsid w:val="00B6655D"/>
    <w:rsid w:val="00B90A79"/>
    <w:rsid w:val="00B942EF"/>
    <w:rsid w:val="00B95905"/>
    <w:rsid w:val="00BA5825"/>
    <w:rsid w:val="00BA623F"/>
    <w:rsid w:val="00BB12C5"/>
    <w:rsid w:val="00BF5A96"/>
    <w:rsid w:val="00C12132"/>
    <w:rsid w:val="00C144C3"/>
    <w:rsid w:val="00C24376"/>
    <w:rsid w:val="00C44FAF"/>
    <w:rsid w:val="00CA420B"/>
    <w:rsid w:val="00CB6323"/>
    <w:rsid w:val="00CC7324"/>
    <w:rsid w:val="00CD49DC"/>
    <w:rsid w:val="00CE1718"/>
    <w:rsid w:val="00CE275A"/>
    <w:rsid w:val="00CF429F"/>
    <w:rsid w:val="00D30B28"/>
    <w:rsid w:val="00D62D5B"/>
    <w:rsid w:val="00DD3355"/>
    <w:rsid w:val="00DE112F"/>
    <w:rsid w:val="00E16786"/>
    <w:rsid w:val="00E61396"/>
    <w:rsid w:val="00E65E98"/>
    <w:rsid w:val="00E77265"/>
    <w:rsid w:val="00E91771"/>
    <w:rsid w:val="00E91DD9"/>
    <w:rsid w:val="00EC4757"/>
    <w:rsid w:val="00F02086"/>
    <w:rsid w:val="00F127BD"/>
    <w:rsid w:val="00F1551E"/>
    <w:rsid w:val="00F22A00"/>
    <w:rsid w:val="00F32707"/>
    <w:rsid w:val="00F36FDA"/>
    <w:rsid w:val="00F611DE"/>
    <w:rsid w:val="00F67E94"/>
    <w:rsid w:val="00FA5562"/>
    <w:rsid w:val="00FB4E9A"/>
    <w:rsid w:val="00FC72B2"/>
    <w:rsid w:val="00FD2C05"/>
    <w:rsid w:val="00FE23EA"/>
    <w:rsid w:val="00FE3E30"/>
    <w:rsid w:val="00FE78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59A74BF8-129B-47FE-AB3D-41E5928C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basedOn w:val="Normlny"/>
    <w:next w:val="Normlny"/>
    <w:link w:val="Nadpis1Char"/>
    <w:uiPriority w:val="9"/>
    <w:qFormat/>
    <w:pPr>
      <w:keepNext/>
      <w:spacing w:before="240" w:after="60" w:line="240" w:lineRule="auto"/>
      <w:jc w:val="both"/>
      <w:outlineLvl w:val="0"/>
    </w:pPr>
    <w:rPr>
      <w:rFonts w:ascii="Arial" w:hAnsi="Arial"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Arial" w:hAnsi="Arial"/>
      <w:b/>
      <w:kern w:val="32"/>
      <w:sz w:val="32"/>
      <w:lang w:val="x-none" w:eastAsia="sk-SK"/>
    </w:rPr>
  </w:style>
  <w:style w:type="paragraph" w:styleId="Zarkazkladnhotextu">
    <w:name w:val="Body Text Indent"/>
    <w:basedOn w:val="Normlny"/>
    <w:link w:val="ZarkazkladnhotextuChar"/>
    <w:uiPriority w:val="99"/>
    <w:semiHidden/>
    <w:pPr>
      <w:autoSpaceDE w:val="0"/>
      <w:autoSpaceDN w:val="0"/>
      <w:adjustRightInd w:val="0"/>
      <w:spacing w:after="0" w:line="240" w:lineRule="auto"/>
      <w:ind w:left="743" w:hanging="407"/>
    </w:pPr>
    <w:rPr>
      <w:rFonts w:ascii="Times New Roman" w:hAnsi="Times New Roman"/>
      <w:sz w:val="20"/>
      <w:lang w:eastAsia="sk-SK"/>
    </w:rPr>
  </w:style>
  <w:style w:type="character" w:customStyle="1" w:styleId="ZarkazkladnhotextuChar">
    <w:name w:val="Zarážka základného textu Char"/>
    <w:basedOn w:val="Predvolenpsmoodseku"/>
    <w:link w:val="Zarkazkladnhotextu"/>
    <w:uiPriority w:val="99"/>
    <w:semiHidden/>
    <w:rPr>
      <w:sz w:val="22"/>
      <w:szCs w:val="22"/>
      <w:lang w:eastAsia="en-US"/>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tl1">
    <w:name w:val="Štýl1"/>
    <w:basedOn w:val="Normlny"/>
    <w:pPr>
      <w:numPr>
        <w:numId w:val="1"/>
      </w:numPr>
      <w:tabs>
        <w:tab w:val="left" w:pos="454"/>
      </w:tabs>
      <w:spacing w:after="0" w:line="240" w:lineRule="auto"/>
      <w:jc w:val="both"/>
    </w:pPr>
    <w:rPr>
      <w:rFonts w:ascii="Times New Roman" w:hAnsi="Times New Roman"/>
      <w:sz w:val="24"/>
      <w:szCs w:val="24"/>
      <w:lang w:eastAsia="sk-SK"/>
    </w:rPr>
  </w:style>
  <w:style w:type="paragraph" w:customStyle="1" w:styleId="tl3">
    <w:name w:val="Štýl3"/>
    <w:basedOn w:val="Normlny"/>
    <w:pPr>
      <w:numPr>
        <w:ilvl w:val="1"/>
        <w:numId w:val="1"/>
      </w:numPr>
      <w:spacing w:after="0" w:line="240" w:lineRule="auto"/>
      <w:jc w:val="both"/>
    </w:pPr>
    <w:rPr>
      <w:rFonts w:ascii="Times New Roman" w:hAnsi="Times New Roman"/>
      <w:sz w:val="24"/>
      <w:szCs w:val="24"/>
      <w:lang w:eastAsia="sk-SK"/>
    </w:rPr>
  </w:style>
  <w:style w:type="character" w:customStyle="1" w:styleId="tl1Char">
    <w:name w:val="Štýl1 Char"/>
    <w:rPr>
      <w:rFonts w:ascii="Times New Roman" w:hAnsi="Times New Roman"/>
      <w:sz w:val="24"/>
    </w:rPr>
  </w:style>
  <w:style w:type="character" w:styleId="Odkaznapoznmkupodiarou">
    <w:name w:val="footnote reference"/>
    <w:basedOn w:val="Predvolenpsmoodseku"/>
    <w:uiPriority w:val="99"/>
    <w:semiHidden/>
    <w:rPr>
      <w:vertAlign w:val="superscript"/>
    </w:rPr>
  </w:style>
  <w:style w:type="paragraph" w:styleId="Textpoznmkypodiarou">
    <w:name w:val="footnote text"/>
    <w:basedOn w:val="Normlny"/>
    <w:link w:val="TextpoznmkypodiarouChar"/>
    <w:uiPriority w:val="99"/>
    <w:semiHidden/>
    <w:pPr>
      <w:spacing w:after="0" w:line="240" w:lineRule="auto"/>
      <w:ind w:left="170" w:hanging="170"/>
      <w:jc w:val="both"/>
    </w:pPr>
    <w:rPr>
      <w:rFonts w:ascii="Times New Roman" w:hAnsi="Times New Roman"/>
      <w:sz w:val="20"/>
      <w:szCs w:val="20"/>
      <w:lang w:eastAsia="sk-SK"/>
    </w:rPr>
  </w:style>
  <w:style w:type="character" w:customStyle="1" w:styleId="TextpoznmkypodiarouChar">
    <w:name w:val="Text poznámky pod čiarou Char"/>
    <w:basedOn w:val="Predvolenpsmoodseku"/>
    <w:link w:val="Textpoznmkypodiarou"/>
    <w:uiPriority w:val="99"/>
    <w:semiHidden/>
    <w:rPr>
      <w:rFonts w:ascii="Times New Roman" w:hAnsi="Times New Roman"/>
    </w:rPr>
  </w:style>
  <w:style w:type="paragraph" w:styleId="slovanzoznam">
    <w:name w:val="List Number"/>
    <w:basedOn w:val="Normlny"/>
    <w:uiPriority w:val="99"/>
    <w:semiHidden/>
    <w:pPr>
      <w:numPr>
        <w:numId w:val="2"/>
      </w:numPr>
      <w:spacing w:after="0" w:line="240" w:lineRule="auto"/>
      <w:jc w:val="both"/>
    </w:pPr>
    <w:rPr>
      <w:rFonts w:ascii="Times New Roman" w:hAnsi="Times New Roman"/>
      <w:sz w:val="24"/>
      <w:szCs w:val="24"/>
      <w:lang w:eastAsia="sk-SK"/>
    </w:rPr>
  </w:style>
  <w:style w:type="paragraph" w:customStyle="1" w:styleId="tl">
    <w:name w:val="Štýl"/>
    <w:basedOn w:val="tl1"/>
    <w:next w:val="tl1"/>
    <w:pPr>
      <w:numPr>
        <w:numId w:val="3"/>
      </w:numPr>
      <w:tabs>
        <w:tab w:val="clear" w:pos="454"/>
        <w:tab w:val="left" w:pos="0"/>
      </w:tabs>
    </w:pPr>
  </w:style>
  <w:style w:type="paragraph" w:styleId="Hlavika">
    <w:name w:val="header"/>
    <w:basedOn w:val="Normlny"/>
    <w:link w:val="HlavikaChar"/>
    <w:uiPriority w:val="99"/>
    <w:semiHidden/>
    <w:unhideWhenUsed/>
    <w:pPr>
      <w:tabs>
        <w:tab w:val="center" w:pos="4536"/>
        <w:tab w:val="right" w:pos="9072"/>
      </w:tabs>
    </w:pPr>
  </w:style>
  <w:style w:type="character" w:customStyle="1" w:styleId="HlavikaChar">
    <w:name w:val="Hlavička Char"/>
    <w:basedOn w:val="Predvolenpsmoodseku"/>
    <w:link w:val="Hlavika"/>
    <w:uiPriority w:val="99"/>
    <w:semiHidden/>
    <w:rPr>
      <w:sz w:val="22"/>
      <w:lang w:val="x-none" w:eastAsia="en-US"/>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basedOn w:val="Predvolenpsmoodseku"/>
    <w:link w:val="Pta"/>
    <w:uiPriority w:val="99"/>
    <w:rPr>
      <w:sz w:val="22"/>
      <w:lang w:val="x-none" w:eastAsia="en-US"/>
    </w:rPr>
  </w:style>
  <w:style w:type="paragraph" w:customStyle="1" w:styleId="Point0">
    <w:name w:val="Point 0"/>
    <w:basedOn w:val="Normlny"/>
    <w:pPr>
      <w:spacing w:before="120" w:after="120" w:line="360" w:lineRule="auto"/>
      <w:ind w:left="850" w:hanging="850"/>
    </w:pPr>
    <w:rPr>
      <w:rFonts w:ascii="Times New Roman" w:hAnsi="Times New Roman"/>
      <w:sz w:val="24"/>
      <w:szCs w:val="20"/>
    </w:rPr>
  </w:style>
  <w:style w:type="character" w:customStyle="1" w:styleId="Point0Char">
    <w:name w:val="Point 0 Char"/>
    <w:rPr>
      <w:rFonts w:ascii="Times New Roman" w:hAnsi="Times New Roman"/>
      <w:sz w:val="24"/>
      <w:lang w:val="x-none" w:eastAsia="en-US"/>
    </w:rPr>
  </w:style>
  <w:style w:type="paragraph" w:customStyle="1" w:styleId="Point1">
    <w:name w:val="Point 1"/>
    <w:basedOn w:val="Normlny"/>
    <w:pPr>
      <w:spacing w:before="120" w:after="120" w:line="360" w:lineRule="auto"/>
      <w:ind w:left="1417" w:hanging="567"/>
    </w:pPr>
    <w:rPr>
      <w:rFonts w:ascii="Times New Roman" w:hAnsi="Times New Roman"/>
      <w:sz w:val="24"/>
      <w:szCs w:val="20"/>
    </w:rPr>
  </w:style>
  <w:style w:type="paragraph" w:customStyle="1" w:styleId="tl2">
    <w:name w:val="Štýl2"/>
    <w:basedOn w:val="Normlny"/>
    <w:autoRedefine/>
    <w:pPr>
      <w:spacing w:after="0" w:line="240" w:lineRule="auto"/>
      <w:ind w:left="454" w:firstLine="284"/>
      <w:jc w:val="both"/>
    </w:pPr>
    <w:rPr>
      <w:rFonts w:ascii="Times New Roman" w:hAnsi="Times New Roman"/>
      <w:sz w:val="24"/>
      <w:szCs w:val="24"/>
      <w:lang w:eastAsia="sk-SK"/>
    </w:rPr>
  </w:style>
  <w:style w:type="character" w:customStyle="1" w:styleId="tl2Char">
    <w:name w:val="Štýl2 Char"/>
    <w:rPr>
      <w:rFonts w:ascii="Times New Roman" w:hAnsi="Times New Roman"/>
      <w:sz w:val="24"/>
    </w:rPr>
  </w:style>
  <w:style w:type="character" w:customStyle="1" w:styleId="tl3CharChar">
    <w:name w:val="Štýl3 Char Char"/>
    <w:basedOn w:val="tl2Char"/>
    <w:rPr>
      <w:rFonts w:ascii="Times New Roman" w:hAnsi="Times New Roman" w:cs="Times New Roman"/>
      <w:sz w:val="24"/>
      <w:szCs w:val="24"/>
    </w:rPr>
  </w:style>
  <w:style w:type="paragraph" w:customStyle="1" w:styleId="tl4">
    <w:name w:val="Štýl4"/>
    <w:basedOn w:val="Normlny"/>
    <w:pPr>
      <w:numPr>
        <w:numId w:val="4"/>
      </w:numPr>
      <w:spacing w:after="0" w:line="240" w:lineRule="auto"/>
      <w:jc w:val="both"/>
    </w:pPr>
    <w:rPr>
      <w:rFonts w:ascii="Times New Roman" w:hAnsi="Times New Roman"/>
      <w:sz w:val="24"/>
      <w:szCs w:val="24"/>
      <w:lang w:eastAsia="sk-SK"/>
    </w:rPr>
  </w:style>
  <w:style w:type="paragraph" w:customStyle="1" w:styleId="tltl1PodaokrajaPred6pt">
    <w:name w:val="Štýl Štýl1 + Podľa okraja Pred:  6 pt"/>
    <w:basedOn w:val="Normlny"/>
    <w:pPr>
      <w:spacing w:after="0" w:line="240" w:lineRule="auto"/>
    </w:pPr>
    <w:rPr>
      <w:rFonts w:ascii="Times New Roman" w:hAnsi="Times New Roman"/>
      <w:sz w:val="24"/>
      <w:szCs w:val="24"/>
      <w:lang w:eastAsia="sk-SK"/>
    </w:rPr>
  </w:style>
  <w:style w:type="paragraph" w:customStyle="1" w:styleId="NormalCentered">
    <w:name w:val="Normal Centered"/>
    <w:basedOn w:val="Normlny"/>
    <w:pPr>
      <w:spacing w:before="120" w:after="120" w:line="360" w:lineRule="auto"/>
      <w:jc w:val="center"/>
    </w:pPr>
    <w:rPr>
      <w:rFonts w:ascii="Times New Roman" w:hAnsi="Times New Roman"/>
      <w:sz w:val="24"/>
      <w:szCs w:val="20"/>
    </w:rPr>
  </w:style>
  <w:style w:type="paragraph" w:customStyle="1" w:styleId="Text1">
    <w:name w:val="Text 1"/>
    <w:basedOn w:val="Normlny"/>
    <w:pPr>
      <w:spacing w:before="120" w:after="120" w:line="360" w:lineRule="auto"/>
      <w:ind w:left="850"/>
    </w:pPr>
    <w:rPr>
      <w:rFonts w:ascii="Times New Roman" w:hAnsi="Times New Roman"/>
      <w:sz w:val="24"/>
      <w:szCs w:val="20"/>
    </w:rPr>
  </w:style>
  <w:style w:type="paragraph" w:styleId="Zkladntext">
    <w:name w:val="Body Text"/>
    <w:basedOn w:val="Normlny"/>
    <w:link w:val="ZkladntextChar"/>
    <w:uiPriority w:val="99"/>
    <w:semiHidden/>
    <w:pPr>
      <w:spacing w:after="0" w:line="240" w:lineRule="auto"/>
    </w:pPr>
    <w:rPr>
      <w:rFonts w:ascii="Times New Roman" w:hAnsi="Times New Roman"/>
      <w:sz w:val="20"/>
      <w:lang w:eastAsia="sk-SK"/>
    </w:rPr>
  </w:style>
  <w:style w:type="character" w:customStyle="1" w:styleId="ZkladntextChar">
    <w:name w:val="Základný text Char"/>
    <w:basedOn w:val="Predvolenpsmoodseku"/>
    <w:link w:val="Zkladntext"/>
    <w:uiPriority w:val="99"/>
    <w:semiHidden/>
    <w:rPr>
      <w:sz w:val="22"/>
      <w:szCs w:val="22"/>
      <w:lang w:eastAsia="en-US"/>
    </w:rPr>
  </w:style>
  <w:style w:type="paragraph" w:styleId="Normlnywebov">
    <w:name w:val="Normal (Web)"/>
    <w:basedOn w:val="Normlny"/>
    <w:uiPriority w:val="99"/>
    <w:unhideWhenUsed/>
    <w:rsid w:val="00F67E94"/>
    <w:pPr>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rsid w:val="006D4D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6D4D91"/>
    <w:rPr>
      <w:rFonts w:ascii="Segoe UI" w:hAnsi="Segoe UI" w:cs="Segoe UI"/>
      <w:sz w:val="18"/>
      <w:szCs w:val="18"/>
      <w:lang w:eastAsia="en-US"/>
    </w:rPr>
  </w:style>
  <w:style w:type="paragraph" w:styleId="Odsekzoznamu">
    <w:name w:val="List Paragraph"/>
    <w:basedOn w:val="Normlny"/>
    <w:uiPriority w:val="34"/>
    <w:qFormat/>
    <w:rsid w:val="00F1551E"/>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630798">
      <w:marLeft w:val="0"/>
      <w:marRight w:val="0"/>
      <w:marTop w:val="0"/>
      <w:marBottom w:val="0"/>
      <w:divBdr>
        <w:top w:val="none" w:sz="0" w:space="0" w:color="auto"/>
        <w:left w:val="none" w:sz="0" w:space="0" w:color="auto"/>
        <w:bottom w:val="none" w:sz="0" w:space="0" w:color="auto"/>
        <w:right w:val="none" w:sz="0" w:space="0" w:color="auto"/>
      </w:divBdr>
      <w:divsChild>
        <w:div w:id="1595630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slov-lex.sk/pravne-predpisy/SK/ZZ/2011/258/2013031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WKX3UHSAJ2R6-2-768531</_dlc_DocId>
    <_dlc_DocIdUrl xmlns="e60a29af-d413-48d4-bd90-fe9d2a897e4b">
      <Url>https://ovdmasv601/sites/DMS/_layouts/15/DocIdRedir.aspx?ID=WKX3UHSAJ2R6-2-768531</Url>
      <Description>WKX3UHSAJ2R6-2-768531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51F573-50E4-4DE3-9F98-495ACEFD6D11}"/>
</file>

<file path=customXml/itemProps2.xml><?xml version="1.0" encoding="utf-8"?>
<ds:datastoreItem xmlns:ds="http://schemas.openxmlformats.org/officeDocument/2006/customXml" ds:itemID="{CB20FB33-795B-4785-8254-F1228649DDD2}"/>
</file>

<file path=customXml/itemProps3.xml><?xml version="1.0" encoding="utf-8"?>
<ds:datastoreItem xmlns:ds="http://schemas.openxmlformats.org/officeDocument/2006/customXml" ds:itemID="{E9480100-4957-4427-8C17-48736B8F944B}"/>
</file>

<file path=customXml/itemProps4.xml><?xml version="1.0" encoding="utf-8"?>
<ds:datastoreItem xmlns:ds="http://schemas.openxmlformats.org/officeDocument/2006/customXml" ds:itemID="{ACC6AA02-FE79-4686-99A0-348C4EEDF335}"/>
</file>

<file path=docProps/app.xml><?xml version="1.0" encoding="utf-8"?>
<Properties xmlns="http://schemas.openxmlformats.org/officeDocument/2006/extended-properties" xmlns:vt="http://schemas.openxmlformats.org/officeDocument/2006/docPropsVTypes">
  <Template>Normal</Template>
  <TotalTime>6</TotalTime>
  <Pages>8</Pages>
  <Words>2727</Words>
  <Characters>15545</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TABUĽKA ZHODY</vt:lpstr>
    </vt:vector>
  </TitlesOfParts>
  <Company>MZP SR</Company>
  <LinksUpToDate>false</LinksUpToDate>
  <CharactersWithSpaces>18236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mesarcik</dc:creator>
  <cp:keywords/>
  <dc:description/>
  <cp:lastModifiedBy>Rozborilová Monika</cp:lastModifiedBy>
  <cp:revision>12</cp:revision>
  <cp:lastPrinted>2016-08-04T05:52:00Z</cp:lastPrinted>
  <dcterms:created xsi:type="dcterms:W3CDTF">2017-02-15T10:04:00Z</dcterms:created>
  <dcterms:modified xsi:type="dcterms:W3CDTF">2017-02-15T10:13:00Z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af2b9c0f-0b41-422e-abe0-c6ccc3ca21ce</vt:lpwstr>
  </property>
</Properties>
</file>