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2F902" w14:textId="77777777" w:rsidR="00096552" w:rsidRPr="00FD2C9D" w:rsidRDefault="00096552" w:rsidP="00FA5E32">
      <w:pPr>
        <w:pStyle w:val="Normlnywebov"/>
        <w:autoSpaceDE w:val="0"/>
        <w:autoSpaceDN w:val="0"/>
        <w:jc w:val="center"/>
        <w:rPr>
          <w:b/>
          <w:bCs/>
        </w:rPr>
      </w:pPr>
      <w:r>
        <w:rPr>
          <w:b/>
          <w:bCs/>
        </w:rPr>
        <w:t>DOLOŽKA ZLUČITEĽNOSTI</w:t>
      </w:r>
    </w:p>
    <w:p w14:paraId="45D77175" w14:textId="5CAD8119" w:rsidR="00096552" w:rsidRDefault="00096552" w:rsidP="00FA5E32">
      <w:pPr>
        <w:pBdr>
          <w:bottom w:val="single" w:sz="12" w:space="1" w:color="auto"/>
        </w:pBdr>
        <w:jc w:val="center"/>
        <w:rPr>
          <w:b/>
        </w:rPr>
      </w:pPr>
      <w:r>
        <w:rPr>
          <w:b/>
          <w:bCs/>
        </w:rPr>
        <w:t>n</w:t>
      </w:r>
      <w:r>
        <w:rPr>
          <w:b/>
        </w:rPr>
        <w:t>ávrhu zákona s právom Európskej únie</w:t>
      </w:r>
    </w:p>
    <w:p w14:paraId="073E78C6" w14:textId="77777777" w:rsidR="00FA5E32" w:rsidRPr="00FD2C9D" w:rsidRDefault="00FA5E32" w:rsidP="00FA5E32">
      <w:pPr>
        <w:pBdr>
          <w:bottom w:val="single" w:sz="12" w:space="1" w:color="auto"/>
        </w:pBdr>
        <w:jc w:val="center"/>
        <w:rPr>
          <w:b/>
        </w:rPr>
      </w:pPr>
    </w:p>
    <w:p w14:paraId="18761705" w14:textId="77777777" w:rsidR="00FA5E32" w:rsidRDefault="00FA5E32" w:rsidP="00FA5E32">
      <w:pPr>
        <w:widowControl w:val="0"/>
        <w:autoSpaceDE w:val="0"/>
        <w:autoSpaceDN w:val="0"/>
        <w:spacing w:after="120"/>
        <w:ind w:left="357"/>
        <w:jc w:val="both"/>
        <w:rPr>
          <w:b/>
          <w:bCs/>
        </w:rPr>
      </w:pPr>
    </w:p>
    <w:p w14:paraId="75286407" w14:textId="02ABEB7F" w:rsidR="00096552" w:rsidRPr="00FD2C9D" w:rsidRDefault="00096552" w:rsidP="006D7D0A">
      <w:pPr>
        <w:widowControl w:val="0"/>
        <w:numPr>
          <w:ilvl w:val="0"/>
          <w:numId w:val="1"/>
        </w:numPr>
        <w:autoSpaceDE w:val="0"/>
        <w:autoSpaceDN w:val="0"/>
        <w:spacing w:after="120"/>
        <w:ind w:left="357" w:hanging="357"/>
        <w:jc w:val="both"/>
        <w:rPr>
          <w:b/>
          <w:bCs/>
        </w:rPr>
      </w:pPr>
      <w:r>
        <w:rPr>
          <w:b/>
          <w:bCs/>
        </w:rPr>
        <w:t>Navrhovateľ zákona:</w:t>
      </w:r>
    </w:p>
    <w:p w14:paraId="2992482C" w14:textId="5F449427" w:rsidR="00096552" w:rsidRPr="00FD2C9D" w:rsidRDefault="00E75279" w:rsidP="006D7D0A">
      <w:pPr>
        <w:widowControl w:val="0"/>
        <w:autoSpaceDE w:val="0"/>
        <w:autoSpaceDN w:val="0"/>
        <w:spacing w:before="240" w:after="120"/>
        <w:ind w:firstLine="357"/>
        <w:contextualSpacing/>
        <w:jc w:val="both"/>
      </w:pPr>
      <w:r>
        <w:t>Vláda Slovenskej republiky.</w:t>
      </w:r>
    </w:p>
    <w:p w14:paraId="6BE77B8D" w14:textId="77777777" w:rsidR="00096552" w:rsidRPr="00FD2C9D" w:rsidRDefault="00096552" w:rsidP="006D7D0A">
      <w:pPr>
        <w:widowControl w:val="0"/>
        <w:autoSpaceDE w:val="0"/>
        <w:autoSpaceDN w:val="0"/>
        <w:spacing w:before="120" w:after="120"/>
        <w:ind w:firstLine="357"/>
        <w:contextualSpacing/>
        <w:jc w:val="both"/>
      </w:pPr>
    </w:p>
    <w:p w14:paraId="2A7BB993" w14:textId="77777777" w:rsidR="00096552" w:rsidRPr="00FD2C9D" w:rsidRDefault="00096552" w:rsidP="006D7D0A">
      <w:pPr>
        <w:widowControl w:val="0"/>
        <w:numPr>
          <w:ilvl w:val="0"/>
          <w:numId w:val="1"/>
        </w:numPr>
        <w:autoSpaceDE w:val="0"/>
        <w:autoSpaceDN w:val="0"/>
        <w:spacing w:after="120"/>
        <w:ind w:left="357" w:hanging="357"/>
        <w:jc w:val="both"/>
        <w:rPr>
          <w:b/>
          <w:bCs/>
        </w:rPr>
      </w:pPr>
      <w:r>
        <w:rPr>
          <w:b/>
          <w:bCs/>
        </w:rPr>
        <w:t xml:space="preserve">Názov návrhu zákona: </w:t>
      </w:r>
    </w:p>
    <w:p w14:paraId="678AFEDD" w14:textId="3B07EDB3" w:rsidR="00096552" w:rsidRPr="00FD2C9D" w:rsidRDefault="00096552" w:rsidP="006D7D0A">
      <w:pPr>
        <w:pStyle w:val="Zkladntext0"/>
        <w:spacing w:after="0"/>
        <w:ind w:left="360"/>
        <w:jc w:val="both"/>
      </w:pPr>
      <w:r>
        <w:t>Návrh zákona, ktorým sa mení a dopĺňa zákon č. 431/2002 Z. z. o účtovníctve v znení neskorších predpisov a ktorým sa mení a dopĺňa zákon č. 423/2015 Z. z. o štatutárnom audite a o zmene a doplnení zákona č. 431/2002 Z. z. o účtovníctve v znení neskorších predpisov v znení neskorších predpisov.</w:t>
      </w:r>
    </w:p>
    <w:p w14:paraId="5A60428B" w14:textId="77777777" w:rsidR="00096552" w:rsidRPr="00FD2C9D" w:rsidRDefault="00096552" w:rsidP="006D7D0A">
      <w:pPr>
        <w:widowControl w:val="0"/>
        <w:autoSpaceDE w:val="0"/>
        <w:autoSpaceDN w:val="0"/>
        <w:ind w:left="357"/>
        <w:contextualSpacing/>
        <w:jc w:val="both"/>
        <w:rPr>
          <w:b/>
          <w:bCs/>
        </w:rPr>
      </w:pPr>
    </w:p>
    <w:p w14:paraId="39E5BBAB" w14:textId="77777777" w:rsidR="00096552" w:rsidRPr="00FD2C9D" w:rsidRDefault="00096552" w:rsidP="006D7D0A">
      <w:pPr>
        <w:pStyle w:val="Zkladntext"/>
        <w:numPr>
          <w:ilvl w:val="0"/>
          <w:numId w:val="1"/>
        </w:numPr>
        <w:jc w:val="both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Predmet návrhu zákona </w:t>
      </w:r>
      <w:r>
        <w:rPr>
          <w:b/>
          <w:color w:val="auto"/>
          <w:sz w:val="24"/>
          <w:szCs w:val="24"/>
        </w:rPr>
        <w:t>je upravený v práve Európskej únie:</w:t>
      </w:r>
    </w:p>
    <w:p w14:paraId="3D5D5B8C" w14:textId="77777777" w:rsidR="00096552" w:rsidRPr="00FD2C9D" w:rsidRDefault="00096552" w:rsidP="006D7D0A">
      <w:pPr>
        <w:pStyle w:val="Zarkazkladnhotextu"/>
        <w:spacing w:before="120"/>
        <w:ind w:left="426" w:firstLine="0"/>
        <w:rPr>
          <w:szCs w:val="24"/>
        </w:rPr>
      </w:pPr>
      <w:r>
        <w:rPr>
          <w:szCs w:val="24"/>
        </w:rPr>
        <w:t>a) Primárne právo:</w:t>
      </w:r>
    </w:p>
    <w:p w14:paraId="418DEE30" w14:textId="607C1CF8" w:rsidR="00096552" w:rsidRPr="00FD2C9D" w:rsidRDefault="00096552" w:rsidP="006D7D0A">
      <w:pPr>
        <w:pStyle w:val="Zarkazkladnhotextu"/>
        <w:numPr>
          <w:ilvl w:val="0"/>
          <w:numId w:val="4"/>
        </w:numPr>
        <w:spacing w:before="120" w:after="120"/>
        <w:ind w:left="709" w:hanging="283"/>
        <w:rPr>
          <w:szCs w:val="24"/>
        </w:rPr>
      </w:pPr>
      <w:r>
        <w:rPr>
          <w:szCs w:val="24"/>
        </w:rPr>
        <w:t>čl. 4 ods. 2</w:t>
      </w:r>
      <w:r w:rsidR="00432F8F" w:rsidRPr="00432F8F">
        <w:t xml:space="preserve"> </w:t>
      </w:r>
      <w:r w:rsidR="00432F8F" w:rsidRPr="00432F8F">
        <w:rPr>
          <w:szCs w:val="24"/>
        </w:rPr>
        <w:t>písm. a)</w:t>
      </w:r>
      <w:r>
        <w:rPr>
          <w:szCs w:val="24"/>
        </w:rPr>
        <w:t>, 50 a 114  Zmluvy o fungovaní Európskej únie (</w:t>
      </w:r>
      <w:r>
        <w:rPr>
          <w:rStyle w:val="awspan1"/>
        </w:rPr>
        <w:t>Ú. v. EÚ C 202, 7.6.2016).</w:t>
      </w:r>
    </w:p>
    <w:p w14:paraId="7CF78997" w14:textId="77777777" w:rsidR="00096552" w:rsidRPr="00FD2C9D" w:rsidRDefault="00096552" w:rsidP="006D7D0A">
      <w:pPr>
        <w:spacing w:after="120"/>
        <w:ind w:left="426"/>
        <w:jc w:val="both"/>
      </w:pPr>
      <w:r>
        <w:t xml:space="preserve">b) Sekundárne právo: </w:t>
      </w:r>
    </w:p>
    <w:p w14:paraId="403A3EAA" w14:textId="147030AF" w:rsidR="003C1BD8" w:rsidRDefault="003C1BD8" w:rsidP="006D7D0A">
      <w:pPr>
        <w:pStyle w:val="Odsekzoznamu"/>
        <w:numPr>
          <w:ilvl w:val="0"/>
          <w:numId w:val="4"/>
        </w:numPr>
        <w:ind w:left="709" w:hanging="283"/>
        <w:jc w:val="both"/>
        <w:rPr>
          <w:color w:val="000000"/>
        </w:rPr>
      </w:pPr>
      <w:r>
        <w:rPr>
          <w:color w:val="000000"/>
        </w:rPr>
        <w:t>smernica Európskeho parlamentu a Rady (EÚ) 2026/470 z 24. februára 2026, ktorou sa menia smernice 2006/43/ES, 2013/34/EÚ, (EÚ) 2022/2464 a (EÚ) 2024/1760, pokiaľ ide o určité požiadavky na vykazovanie informácií o udržateľnosti podnikov a určité požiadavky na náležitú starostlivosť podnikov v oblasti udržateľnosti (Ú. v. EÚ L, 2026/470, 26.2.2026) gestor:</w:t>
      </w:r>
      <w:r w:rsidR="00992AF8">
        <w:rPr>
          <w:color w:val="000000"/>
        </w:rPr>
        <w:t xml:space="preserve"> zatiaľ nebol určený</w:t>
      </w:r>
      <w:r>
        <w:rPr>
          <w:color w:val="000000"/>
        </w:rPr>
        <w:t>,</w:t>
      </w:r>
    </w:p>
    <w:p w14:paraId="46243B43" w14:textId="704EB2AD" w:rsidR="003C1BD8" w:rsidRPr="003C1BD8" w:rsidRDefault="003C1BD8" w:rsidP="006D7D0A">
      <w:pPr>
        <w:pStyle w:val="Odsekzoznamu"/>
        <w:numPr>
          <w:ilvl w:val="0"/>
          <w:numId w:val="4"/>
        </w:numPr>
        <w:ind w:left="709" w:hanging="283"/>
        <w:jc w:val="both"/>
        <w:rPr>
          <w:color w:val="000000"/>
        </w:rPr>
      </w:pPr>
      <w:r>
        <w:rPr>
          <w:color w:val="000000"/>
        </w:rPr>
        <w:t>smernica Európskeho parlamentu a Rady (EÚ) 2023/2864 z 13. decembra 2023, ktorou sa menia určité smernice, pokiaľ ide o zriadenie a fungovanie jednotného európskeho miesta prístupu (Ú. v. EÚ L, 2023/2864, 20.12.2023)</w:t>
      </w:r>
      <w:r w:rsidR="00432F8F">
        <w:rPr>
          <w:color w:val="000000"/>
        </w:rPr>
        <w:t xml:space="preserve">, </w:t>
      </w:r>
      <w:r>
        <w:rPr>
          <w:color w:val="000000"/>
        </w:rPr>
        <w:t>gestor: MF SR, spolugestor: NBS,</w:t>
      </w:r>
    </w:p>
    <w:p w14:paraId="19995A94" w14:textId="162988D1" w:rsidR="003C1BD8" w:rsidRPr="003C1BD8" w:rsidRDefault="003C1BD8" w:rsidP="006D7D0A">
      <w:pPr>
        <w:pStyle w:val="Odsekzoznamu"/>
        <w:numPr>
          <w:ilvl w:val="0"/>
          <w:numId w:val="4"/>
        </w:numPr>
        <w:ind w:left="709" w:hanging="283"/>
        <w:jc w:val="both"/>
        <w:rPr>
          <w:color w:val="000000"/>
        </w:rPr>
      </w:pPr>
      <w:r>
        <w:rPr>
          <w:color w:val="000000"/>
        </w:rPr>
        <w:t>vykonávacie nariadenie Komisie (EÚ) 2024/2952 z 29. novembra 2024, ktorým sa stanovuje spoločný vzor a elektronické formáty na podávanie správ na účely uplatňovania smernice Európskeho parlamentu a Rady 2013/34/EÚ, pokiaľ ide o informácie, ktoré sa majú predkladať v správach s informáciami o dani z príjmov (Ú. v. EÚ L, 2024/2952, 2.12.2024), gestor: MF SR,</w:t>
      </w:r>
    </w:p>
    <w:p w14:paraId="3F66641C" w14:textId="4CF40595" w:rsidR="00A66641" w:rsidRDefault="00A66641" w:rsidP="006D7D0A">
      <w:pPr>
        <w:pStyle w:val="Odsekzoznamu"/>
        <w:numPr>
          <w:ilvl w:val="0"/>
          <w:numId w:val="4"/>
        </w:numPr>
        <w:ind w:left="709" w:hanging="283"/>
        <w:jc w:val="both"/>
        <w:rPr>
          <w:color w:val="000000"/>
        </w:rPr>
      </w:pPr>
      <w:r>
        <w:rPr>
          <w:color w:val="000000"/>
        </w:rPr>
        <w:t>smernica Európskeho parlamentu a Rady (EÚ) 2022/2464 zo 14. decembra 2022, ktorou sa mení nariadenie (EÚ) č. 537/2014, smernica 2004/109/ES, smernica 2006/43/ES a smernica 2013/34/EÚ, pokiaľ ide o vykazovanie informácií o udržateľnosti podnikov (Ú. v. EÚ L 322, 16.12.2022)</w:t>
      </w:r>
      <w:r w:rsidR="00111809" w:rsidRPr="00111809">
        <w:rPr>
          <w:color w:val="000000"/>
        </w:rPr>
        <w:t xml:space="preserve"> </w:t>
      </w:r>
      <w:r w:rsidR="00111809" w:rsidRPr="00432F8F">
        <w:rPr>
          <w:color w:val="000000"/>
        </w:rPr>
        <w:t>v platnom znení</w:t>
      </w:r>
      <w:r>
        <w:rPr>
          <w:color w:val="000000"/>
        </w:rPr>
        <w:t>, gestor: MF SR,</w:t>
      </w:r>
    </w:p>
    <w:p w14:paraId="561B628F" w14:textId="2F087434" w:rsidR="007C358A" w:rsidRPr="004C7B6A" w:rsidRDefault="007C358A" w:rsidP="006D7D0A">
      <w:pPr>
        <w:pStyle w:val="Odsekzoznamu"/>
        <w:numPr>
          <w:ilvl w:val="0"/>
          <w:numId w:val="4"/>
        </w:numPr>
        <w:ind w:left="709" w:hanging="283"/>
        <w:jc w:val="both"/>
        <w:rPr>
          <w:i/>
        </w:rPr>
      </w:pPr>
      <w:r>
        <w:rPr>
          <w:bCs/>
          <w:shd w:val="clear" w:color="auto" w:fill="FFFFFF"/>
        </w:rPr>
        <w:t>delegovaná smernica Komisie (EÚ) 2023/2775 zo 17. októbra 2023, ktorou sa mení smernica Európskeho parlamentu a Rady 2013/34/EÚ, pokiaľ ide o úpravy veľkostných kritérií pre mikropodniky, malé, stredné a veľké podniky alebo skupiny (</w:t>
      </w:r>
      <w:r>
        <w:rPr>
          <w:rStyle w:val="Zvraznenie"/>
          <w:i w:val="0"/>
          <w:shd w:val="clear" w:color="auto" w:fill="FFFFFF"/>
        </w:rPr>
        <w:t xml:space="preserve">Ú. v. EÚ L, 2023/2775, 21.12. 2023), </w:t>
      </w:r>
      <w:r>
        <w:t xml:space="preserve">gestor: </w:t>
      </w:r>
      <w:r w:rsidR="00111809" w:rsidRPr="00111809">
        <w:t>MF SR</w:t>
      </w:r>
      <w:r>
        <w:t>,</w:t>
      </w:r>
    </w:p>
    <w:p w14:paraId="73A0E05D" w14:textId="77777777" w:rsidR="002F7B25" w:rsidRPr="00FD2C9D" w:rsidRDefault="002F7B25" w:rsidP="006D7D0A">
      <w:pPr>
        <w:pStyle w:val="Odsekzoznamu"/>
        <w:numPr>
          <w:ilvl w:val="0"/>
          <w:numId w:val="4"/>
        </w:numPr>
        <w:ind w:left="709" w:hanging="283"/>
        <w:jc w:val="both"/>
        <w:rPr>
          <w:color w:val="000000"/>
        </w:rPr>
      </w:pPr>
      <w:r>
        <w:rPr>
          <w:color w:val="000000"/>
        </w:rPr>
        <w:t>smernica Európskeho parlamentu a Rady (EÚ) 2021/2101 z 24. novembra 2021, ktorou sa mení smernica 2013/34/EÚ, pokiaľ ide o zverejňovanie informácií o dani z príjmov určitými podnikmi a pobočkami (Ú. v. EÚ L 429, 1.12.2021), gestor: MF SR,</w:t>
      </w:r>
    </w:p>
    <w:p w14:paraId="7DCC3682" w14:textId="77777777" w:rsidR="00096552" w:rsidRPr="00FD2C9D" w:rsidRDefault="00096552" w:rsidP="006D7D0A">
      <w:pPr>
        <w:pStyle w:val="Odsekzoznamu"/>
        <w:numPr>
          <w:ilvl w:val="0"/>
          <w:numId w:val="4"/>
        </w:numPr>
        <w:ind w:left="709" w:hanging="283"/>
        <w:jc w:val="both"/>
        <w:rPr>
          <w:color w:val="000000"/>
        </w:rPr>
      </w:pPr>
      <w:r>
        <w:rPr>
          <w:color w:val="000000"/>
        </w:rPr>
        <w:t>smernica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Európskeho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parlamentu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Rady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2013/34/EÚ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26.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júna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2013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 xml:space="preserve">ročných účtovných závierkach, konsolidovaných účtovných závierkach a súvisiacich správach určitých druhov podnikov, ktorou sa mení smernica Európskeho parlamentu a Rady </w:t>
      </w:r>
      <w:r>
        <w:rPr>
          <w:color w:val="000000"/>
        </w:rPr>
        <w:lastRenderedPageBreak/>
        <w:t>2006/43/ES a zrušujú smernice Rady 78/660/EHS a 83/349/EHS (Ú. v. EÚ L 182, 29.6.2013) v platnom znení, gestor: MF SR,</w:t>
      </w:r>
    </w:p>
    <w:p w14:paraId="21B1B45D" w14:textId="463EA3D7" w:rsidR="006F368B" w:rsidRDefault="006F368B" w:rsidP="006D7D0A">
      <w:pPr>
        <w:pStyle w:val="Odsekzoznamu"/>
        <w:numPr>
          <w:ilvl w:val="0"/>
          <w:numId w:val="4"/>
        </w:numPr>
        <w:ind w:left="709" w:hanging="283"/>
        <w:jc w:val="both"/>
      </w:pPr>
      <w:r w:rsidRPr="00DD4118">
        <w:t xml:space="preserve">smernica Európskeho parlamentu a Rady 2014/56/EÚ zo 16. apríla 2014, ktorou sa mení smernica 2006/43/ES o štatutárnom audite ročných účtovných závierok a konsolidovaných účtovných závierok (Ú. v. EÚ L 158, 27.5.2014), gestor: MF SR, </w:t>
      </w:r>
    </w:p>
    <w:p w14:paraId="1E541AA1" w14:textId="18DD699F" w:rsidR="00096552" w:rsidRPr="00F015DC" w:rsidRDefault="00096552" w:rsidP="006D7D0A">
      <w:pPr>
        <w:pStyle w:val="Odsekzoznamu"/>
        <w:numPr>
          <w:ilvl w:val="0"/>
          <w:numId w:val="4"/>
        </w:numPr>
        <w:ind w:left="709" w:hanging="283"/>
        <w:jc w:val="both"/>
      </w:pPr>
      <w:r w:rsidRPr="00F015DC">
        <w:rPr>
          <w:color w:val="000000"/>
        </w:rPr>
        <w:t>smernica</w:t>
      </w:r>
      <w:r w:rsidRPr="00F015DC">
        <w:rPr>
          <w:color w:val="000000"/>
          <w:spacing w:val="34"/>
        </w:rPr>
        <w:t xml:space="preserve"> </w:t>
      </w:r>
      <w:r w:rsidRPr="00F015DC">
        <w:rPr>
          <w:color w:val="000000"/>
        </w:rPr>
        <w:t>Európskeho</w:t>
      </w:r>
      <w:r w:rsidRPr="00F015DC">
        <w:rPr>
          <w:color w:val="000000"/>
          <w:spacing w:val="34"/>
        </w:rPr>
        <w:t xml:space="preserve"> </w:t>
      </w:r>
      <w:r w:rsidRPr="00F015DC">
        <w:rPr>
          <w:color w:val="000000"/>
        </w:rPr>
        <w:t>parlamentu</w:t>
      </w:r>
      <w:r w:rsidRPr="00F015DC">
        <w:rPr>
          <w:color w:val="000000"/>
          <w:spacing w:val="34"/>
        </w:rPr>
        <w:t xml:space="preserve"> </w:t>
      </w:r>
      <w:r w:rsidRPr="00F015DC">
        <w:rPr>
          <w:color w:val="000000"/>
        </w:rPr>
        <w:t>a Rady</w:t>
      </w:r>
      <w:r w:rsidRPr="00F015DC">
        <w:rPr>
          <w:color w:val="000000"/>
          <w:spacing w:val="34"/>
        </w:rPr>
        <w:t xml:space="preserve"> </w:t>
      </w:r>
      <w:r w:rsidRPr="00F015DC">
        <w:rPr>
          <w:color w:val="000000"/>
        </w:rPr>
        <w:t>2014/95/EÚ</w:t>
      </w:r>
      <w:r w:rsidRPr="00F015DC">
        <w:rPr>
          <w:color w:val="000000"/>
          <w:spacing w:val="34"/>
        </w:rPr>
        <w:t xml:space="preserve"> </w:t>
      </w:r>
      <w:r w:rsidRPr="00F015DC">
        <w:rPr>
          <w:color w:val="000000"/>
        </w:rPr>
        <w:t>z 22.</w:t>
      </w:r>
      <w:r w:rsidRPr="00F015DC">
        <w:rPr>
          <w:color w:val="000000"/>
          <w:spacing w:val="34"/>
        </w:rPr>
        <w:t xml:space="preserve"> </w:t>
      </w:r>
      <w:r w:rsidRPr="00F015DC">
        <w:rPr>
          <w:color w:val="000000"/>
        </w:rPr>
        <w:t>októbra</w:t>
      </w:r>
      <w:r w:rsidRPr="00F015DC">
        <w:rPr>
          <w:color w:val="000000"/>
          <w:spacing w:val="34"/>
        </w:rPr>
        <w:t xml:space="preserve"> </w:t>
      </w:r>
      <w:r w:rsidRPr="00F015DC">
        <w:rPr>
          <w:color w:val="000000"/>
        </w:rPr>
        <w:t>2014,</w:t>
      </w:r>
      <w:r w:rsidRPr="00F015DC">
        <w:rPr>
          <w:color w:val="000000"/>
          <w:spacing w:val="34"/>
        </w:rPr>
        <w:t xml:space="preserve"> </w:t>
      </w:r>
      <w:r w:rsidRPr="00F015DC">
        <w:rPr>
          <w:color w:val="000000"/>
        </w:rPr>
        <w:t>ktorou</w:t>
      </w:r>
      <w:r w:rsidRPr="00F015DC">
        <w:rPr>
          <w:color w:val="000000"/>
          <w:spacing w:val="34"/>
        </w:rPr>
        <w:t xml:space="preserve"> </w:t>
      </w:r>
      <w:r w:rsidRPr="00F015DC">
        <w:rPr>
          <w:color w:val="000000"/>
        </w:rPr>
        <w:t>sa mení</w:t>
      </w:r>
      <w:r w:rsidRPr="00F015DC">
        <w:rPr>
          <w:color w:val="000000"/>
          <w:spacing w:val="87"/>
        </w:rPr>
        <w:t xml:space="preserve"> </w:t>
      </w:r>
      <w:r w:rsidRPr="00F015DC">
        <w:rPr>
          <w:color w:val="000000"/>
        </w:rPr>
        <w:t>smernica</w:t>
      </w:r>
      <w:r w:rsidRPr="00F015DC">
        <w:rPr>
          <w:color w:val="000000"/>
          <w:spacing w:val="87"/>
        </w:rPr>
        <w:t xml:space="preserve"> </w:t>
      </w:r>
      <w:r w:rsidRPr="00F015DC">
        <w:rPr>
          <w:color w:val="000000"/>
        </w:rPr>
        <w:t>2013/34/EÚ,</w:t>
      </w:r>
      <w:r w:rsidRPr="00F015DC">
        <w:rPr>
          <w:color w:val="000000"/>
          <w:spacing w:val="87"/>
        </w:rPr>
        <w:t xml:space="preserve"> </w:t>
      </w:r>
      <w:r w:rsidRPr="00F015DC">
        <w:rPr>
          <w:color w:val="000000"/>
        </w:rPr>
        <w:t>pokiaľ</w:t>
      </w:r>
      <w:r w:rsidRPr="00F015DC">
        <w:rPr>
          <w:color w:val="000000"/>
          <w:spacing w:val="87"/>
        </w:rPr>
        <w:t xml:space="preserve"> </w:t>
      </w:r>
      <w:r w:rsidRPr="00F015DC">
        <w:rPr>
          <w:color w:val="000000"/>
        </w:rPr>
        <w:t>ide</w:t>
      </w:r>
      <w:r w:rsidRPr="00F015DC">
        <w:rPr>
          <w:color w:val="000000"/>
          <w:spacing w:val="87"/>
        </w:rPr>
        <w:t xml:space="preserve"> </w:t>
      </w:r>
      <w:r w:rsidRPr="00F015DC">
        <w:rPr>
          <w:color w:val="000000"/>
        </w:rPr>
        <w:t>o zverejňovanie</w:t>
      </w:r>
      <w:r w:rsidRPr="00F015DC">
        <w:rPr>
          <w:color w:val="000000"/>
          <w:spacing w:val="87"/>
        </w:rPr>
        <w:t xml:space="preserve"> </w:t>
      </w:r>
      <w:r w:rsidRPr="00F015DC">
        <w:rPr>
          <w:color w:val="000000"/>
        </w:rPr>
        <w:t>nefinančných</w:t>
      </w:r>
      <w:r w:rsidRPr="00F015DC">
        <w:rPr>
          <w:color w:val="000000"/>
          <w:spacing w:val="87"/>
        </w:rPr>
        <w:t xml:space="preserve"> </w:t>
      </w:r>
      <w:r w:rsidRPr="00F015DC">
        <w:rPr>
          <w:color w:val="000000"/>
        </w:rPr>
        <w:t>informácií a informácií</w:t>
      </w:r>
      <w:r w:rsidRPr="00F015DC">
        <w:rPr>
          <w:color w:val="000000"/>
          <w:spacing w:val="58"/>
        </w:rPr>
        <w:t xml:space="preserve"> </w:t>
      </w:r>
      <w:r w:rsidRPr="00F015DC">
        <w:rPr>
          <w:color w:val="000000"/>
        </w:rPr>
        <w:t>týkajúcich</w:t>
      </w:r>
      <w:r w:rsidRPr="00F015DC">
        <w:rPr>
          <w:color w:val="000000"/>
          <w:spacing w:val="58"/>
        </w:rPr>
        <w:t xml:space="preserve"> </w:t>
      </w:r>
      <w:r w:rsidRPr="00F015DC">
        <w:rPr>
          <w:color w:val="000000"/>
        </w:rPr>
        <w:t>sa</w:t>
      </w:r>
      <w:r w:rsidRPr="00F015DC">
        <w:rPr>
          <w:color w:val="000000"/>
          <w:spacing w:val="58"/>
        </w:rPr>
        <w:t xml:space="preserve"> </w:t>
      </w:r>
      <w:r w:rsidRPr="00F015DC">
        <w:rPr>
          <w:color w:val="000000"/>
        </w:rPr>
        <w:t>rozmanitosti</w:t>
      </w:r>
      <w:r w:rsidRPr="00F015DC">
        <w:rPr>
          <w:color w:val="000000"/>
          <w:spacing w:val="58"/>
        </w:rPr>
        <w:t xml:space="preserve"> </w:t>
      </w:r>
      <w:r w:rsidRPr="00F015DC">
        <w:rPr>
          <w:color w:val="000000"/>
        </w:rPr>
        <w:t>niektorými</w:t>
      </w:r>
      <w:r w:rsidRPr="00F015DC">
        <w:rPr>
          <w:color w:val="000000"/>
          <w:spacing w:val="58"/>
        </w:rPr>
        <w:t xml:space="preserve"> </w:t>
      </w:r>
      <w:r w:rsidRPr="00F015DC">
        <w:rPr>
          <w:color w:val="000000"/>
        </w:rPr>
        <w:t>veľkými</w:t>
      </w:r>
      <w:r w:rsidRPr="00F015DC">
        <w:rPr>
          <w:color w:val="000000"/>
          <w:spacing w:val="58"/>
        </w:rPr>
        <w:t xml:space="preserve"> </w:t>
      </w:r>
      <w:r w:rsidRPr="00F015DC">
        <w:rPr>
          <w:color w:val="000000"/>
        </w:rPr>
        <w:t>podnikmi</w:t>
      </w:r>
      <w:r w:rsidRPr="00F015DC">
        <w:rPr>
          <w:color w:val="000000"/>
          <w:spacing w:val="58"/>
        </w:rPr>
        <w:t xml:space="preserve"> </w:t>
      </w:r>
      <w:r w:rsidRPr="00F015DC">
        <w:rPr>
          <w:color w:val="000000"/>
        </w:rPr>
        <w:t>a skupinami (Ú. v. EÚ L 330, 15.11.2014)</w:t>
      </w:r>
      <w:r w:rsidR="00F015DC" w:rsidRPr="00930CC1">
        <w:rPr>
          <w:color w:val="000000"/>
        </w:rPr>
        <w:t xml:space="preserve"> v platnom znení</w:t>
      </w:r>
      <w:r w:rsidRPr="00F015DC">
        <w:rPr>
          <w:color w:val="000000"/>
        </w:rPr>
        <w:t>, gestor: MF SR, spolugestor: MS SR,</w:t>
      </w:r>
    </w:p>
    <w:p w14:paraId="1B8E60A4" w14:textId="38C9054C" w:rsidR="00096552" w:rsidRPr="00F015DC" w:rsidRDefault="00096552" w:rsidP="006D7D0A">
      <w:pPr>
        <w:pStyle w:val="Odsekzoznamu"/>
        <w:numPr>
          <w:ilvl w:val="0"/>
          <w:numId w:val="4"/>
        </w:numPr>
        <w:ind w:left="709" w:hanging="283"/>
        <w:jc w:val="both"/>
        <w:rPr>
          <w:color w:val="000000"/>
        </w:rPr>
      </w:pPr>
      <w:r w:rsidRPr="00BB4D3C">
        <w:rPr>
          <w:color w:val="000000"/>
        </w:rPr>
        <w:t>smernica Rady z 8. decembra 1986 o ročnej účtovnej závierke a konsolidovaných účtoch bánk a iných finančných inštitúcií (1986/635/EHS) (</w:t>
      </w:r>
      <w:r w:rsidR="00F015DC" w:rsidRPr="008346A4">
        <w:rPr>
          <w:color w:val="000000"/>
        </w:rPr>
        <w:t>Mimoriadne vydanie Ú. v. EÚ kap. 6/zv. 1</w:t>
      </w:r>
      <w:r w:rsidR="00F015DC" w:rsidRPr="00BB4D3C">
        <w:rPr>
          <w:color w:val="000000"/>
        </w:rPr>
        <w:t>;</w:t>
      </w:r>
      <w:r w:rsidR="00F015DC">
        <w:rPr>
          <w:color w:val="000000"/>
        </w:rPr>
        <w:t xml:space="preserve"> </w:t>
      </w:r>
      <w:r w:rsidRPr="00BB4D3C">
        <w:rPr>
          <w:color w:val="000000"/>
        </w:rPr>
        <w:t>Ú. v. ES L 372, 31.12.1986</w:t>
      </w:r>
      <w:r w:rsidRPr="00F015DC">
        <w:rPr>
          <w:color w:val="000000"/>
        </w:rPr>
        <w:t>) v platnom znení, gestor: MF SR,</w:t>
      </w:r>
    </w:p>
    <w:p w14:paraId="401E385D" w14:textId="764326F0" w:rsidR="00096552" w:rsidRPr="00F015DC" w:rsidRDefault="00096552" w:rsidP="006D7D0A">
      <w:pPr>
        <w:pStyle w:val="Odsekzoznamu"/>
        <w:numPr>
          <w:ilvl w:val="0"/>
          <w:numId w:val="4"/>
        </w:numPr>
        <w:ind w:left="709" w:hanging="283"/>
        <w:jc w:val="both"/>
        <w:rPr>
          <w:color w:val="000000"/>
        </w:rPr>
      </w:pPr>
      <w:r w:rsidRPr="00F015DC">
        <w:rPr>
          <w:color w:val="000000"/>
        </w:rPr>
        <w:t>smernica Rady z 19. decembra 1991 o ročných účtovných závierkach a konsolidovaných účtovných závierkach poisťovní (1991/674/EHS) (</w:t>
      </w:r>
      <w:r w:rsidR="00F015DC" w:rsidRPr="00F015DC">
        <w:rPr>
          <w:color w:val="000000"/>
        </w:rPr>
        <w:t>Mimoriadne  vydanie Ú. v. EÚ kap. 6/zv. 1;</w:t>
      </w:r>
      <w:r w:rsidR="00F015DC">
        <w:rPr>
          <w:color w:val="000000"/>
        </w:rPr>
        <w:t xml:space="preserve"> </w:t>
      </w:r>
      <w:r w:rsidRPr="00F015DC">
        <w:rPr>
          <w:color w:val="000000"/>
        </w:rPr>
        <w:t>Ú. v. ES L 374, 31.12.1991) v platnom znení, gestor: MF SR,</w:t>
      </w:r>
    </w:p>
    <w:p w14:paraId="626517E2" w14:textId="788E5CCD" w:rsidR="00096552" w:rsidRPr="0013650F" w:rsidRDefault="00096552" w:rsidP="006D7D0A">
      <w:pPr>
        <w:pStyle w:val="Odsekzoznamu"/>
        <w:numPr>
          <w:ilvl w:val="0"/>
          <w:numId w:val="4"/>
        </w:numPr>
        <w:ind w:left="709" w:hanging="283"/>
        <w:jc w:val="both"/>
      </w:pPr>
      <w:r w:rsidRPr="0013650F">
        <w:rPr>
          <w:color w:val="000000"/>
        </w:rPr>
        <w:t>smernica Európskeho parlamentu a Rady 2004/25/ES z 21. apríla 2004 o ponukách</w:t>
      </w:r>
      <w:r w:rsidRPr="0013650F">
        <w:rPr>
          <w:color w:val="000000"/>
          <w:spacing w:val="8"/>
        </w:rPr>
        <w:t xml:space="preserve"> </w:t>
      </w:r>
      <w:r w:rsidRPr="0013650F">
        <w:rPr>
          <w:color w:val="000000"/>
        </w:rPr>
        <w:t>na prevzatie</w:t>
      </w:r>
      <w:r w:rsidRPr="0013650F">
        <w:rPr>
          <w:color w:val="000000"/>
          <w:spacing w:val="12"/>
        </w:rPr>
        <w:t xml:space="preserve"> </w:t>
      </w:r>
      <w:r w:rsidRPr="0013650F">
        <w:rPr>
          <w:color w:val="000000"/>
        </w:rPr>
        <w:t>(</w:t>
      </w:r>
      <w:r w:rsidR="0013650F" w:rsidRPr="0013650F">
        <w:rPr>
          <w:color w:val="000000"/>
        </w:rPr>
        <w:t>Mimoriadne</w:t>
      </w:r>
      <w:r w:rsidR="0013650F" w:rsidRPr="0013650F">
        <w:rPr>
          <w:color w:val="000000"/>
          <w:spacing w:val="12"/>
        </w:rPr>
        <w:t xml:space="preserve"> </w:t>
      </w:r>
      <w:r w:rsidR="0013650F" w:rsidRPr="0013650F">
        <w:rPr>
          <w:color w:val="000000"/>
        </w:rPr>
        <w:t>vydanie</w:t>
      </w:r>
      <w:r w:rsidR="0013650F" w:rsidRPr="0013650F">
        <w:rPr>
          <w:color w:val="000000"/>
          <w:spacing w:val="12"/>
        </w:rPr>
        <w:t xml:space="preserve"> </w:t>
      </w:r>
      <w:r w:rsidR="0013650F" w:rsidRPr="0013650F">
        <w:rPr>
          <w:color w:val="000000"/>
        </w:rPr>
        <w:t>Ú.</w:t>
      </w:r>
      <w:r w:rsidR="0013650F" w:rsidRPr="0013650F">
        <w:rPr>
          <w:color w:val="000000"/>
          <w:spacing w:val="12"/>
        </w:rPr>
        <w:t xml:space="preserve"> </w:t>
      </w:r>
      <w:r w:rsidR="0013650F" w:rsidRPr="0013650F">
        <w:rPr>
          <w:color w:val="000000"/>
        </w:rPr>
        <w:t>v.</w:t>
      </w:r>
      <w:r w:rsidR="0013650F" w:rsidRPr="0013650F">
        <w:rPr>
          <w:color w:val="000000"/>
          <w:spacing w:val="12"/>
        </w:rPr>
        <w:t xml:space="preserve"> </w:t>
      </w:r>
      <w:r w:rsidR="0013650F" w:rsidRPr="0013650F">
        <w:rPr>
          <w:color w:val="000000"/>
        </w:rPr>
        <w:t>EÚ</w:t>
      </w:r>
      <w:r w:rsidR="0013650F" w:rsidRPr="0013650F">
        <w:rPr>
          <w:color w:val="000000"/>
          <w:spacing w:val="12"/>
        </w:rPr>
        <w:t xml:space="preserve"> </w:t>
      </w:r>
      <w:r w:rsidR="0013650F" w:rsidRPr="0013650F">
        <w:rPr>
          <w:color w:val="000000"/>
        </w:rPr>
        <w:t>kap.</w:t>
      </w:r>
      <w:r w:rsidR="0013650F" w:rsidRPr="0013650F">
        <w:rPr>
          <w:color w:val="000000"/>
          <w:spacing w:val="12"/>
        </w:rPr>
        <w:t xml:space="preserve"> </w:t>
      </w:r>
      <w:r w:rsidR="0013650F" w:rsidRPr="0013650F">
        <w:rPr>
          <w:color w:val="000000"/>
        </w:rPr>
        <w:t>17/zv.</w:t>
      </w:r>
      <w:r w:rsidR="0013650F" w:rsidRPr="0013650F">
        <w:rPr>
          <w:color w:val="000000"/>
          <w:spacing w:val="12"/>
        </w:rPr>
        <w:t xml:space="preserve"> </w:t>
      </w:r>
      <w:r w:rsidR="0013650F" w:rsidRPr="0013650F">
        <w:rPr>
          <w:color w:val="000000"/>
        </w:rPr>
        <w:t>2;</w:t>
      </w:r>
      <w:r w:rsidRPr="0013650F">
        <w:rPr>
          <w:color w:val="000000"/>
        </w:rPr>
        <w:t>Ú.</w:t>
      </w:r>
      <w:r w:rsidRPr="0013650F">
        <w:rPr>
          <w:color w:val="000000"/>
          <w:spacing w:val="12"/>
        </w:rPr>
        <w:t xml:space="preserve"> </w:t>
      </w:r>
      <w:r w:rsidRPr="0013650F">
        <w:rPr>
          <w:color w:val="000000"/>
        </w:rPr>
        <w:t>v.</w:t>
      </w:r>
      <w:r w:rsidRPr="0013650F">
        <w:rPr>
          <w:color w:val="000000"/>
          <w:spacing w:val="12"/>
        </w:rPr>
        <w:t xml:space="preserve"> </w:t>
      </w:r>
      <w:r w:rsidRPr="0013650F">
        <w:rPr>
          <w:color w:val="000000"/>
        </w:rPr>
        <w:t>EÚ</w:t>
      </w:r>
      <w:r w:rsidRPr="0013650F">
        <w:rPr>
          <w:color w:val="000000"/>
          <w:spacing w:val="12"/>
        </w:rPr>
        <w:t xml:space="preserve"> </w:t>
      </w:r>
      <w:r w:rsidRPr="0013650F">
        <w:rPr>
          <w:color w:val="000000"/>
        </w:rPr>
        <w:t>L</w:t>
      </w:r>
      <w:r w:rsidRPr="0013650F">
        <w:rPr>
          <w:color w:val="000000"/>
          <w:spacing w:val="12"/>
        </w:rPr>
        <w:t xml:space="preserve"> </w:t>
      </w:r>
      <w:r w:rsidRPr="0013650F">
        <w:rPr>
          <w:color w:val="000000"/>
        </w:rPr>
        <w:t>142,</w:t>
      </w:r>
      <w:r w:rsidRPr="0013650F">
        <w:rPr>
          <w:color w:val="000000"/>
          <w:spacing w:val="12"/>
        </w:rPr>
        <w:t xml:space="preserve"> </w:t>
      </w:r>
      <w:r w:rsidRPr="0013650F">
        <w:rPr>
          <w:color w:val="000000"/>
        </w:rPr>
        <w:t>30.4.2004)</w:t>
      </w:r>
      <w:r w:rsidRPr="0013650F">
        <w:rPr>
          <w:color w:val="000000"/>
          <w:spacing w:val="12"/>
        </w:rPr>
        <w:t xml:space="preserve"> </w:t>
      </w:r>
      <w:r w:rsidRPr="0013650F">
        <w:rPr>
          <w:color w:val="000000"/>
        </w:rPr>
        <w:t>v platnom znení, gestor: MF SR, spolugestor: MS SR,</w:t>
      </w:r>
    </w:p>
    <w:p w14:paraId="5B52199C" w14:textId="77777777" w:rsidR="00185E05" w:rsidRPr="0013650F" w:rsidRDefault="00185E05" w:rsidP="006D7D0A">
      <w:pPr>
        <w:pStyle w:val="Odsekzoznamu"/>
        <w:numPr>
          <w:ilvl w:val="0"/>
          <w:numId w:val="4"/>
        </w:numPr>
        <w:ind w:left="709" w:hanging="283"/>
        <w:jc w:val="both"/>
      </w:pPr>
      <w:r w:rsidRPr="0013650F">
        <w:t xml:space="preserve">smernica Európskeho parlamentu a Rady 2004/109/ES z 15. decembra 2004 o harmonizácii požiadaviek na transparentnosť v súvislosti s informáciami o emitentoch, ktorých cenné papiere sú prijaté na obchodovanie na regulovanom trhu, a ktorou sa mení a dopĺňa smernica 2001/34/ES (Ú. v. EÚ L 390, 31.12.2004) v platnom znení, gestor: </w:t>
      </w:r>
      <w:r w:rsidRPr="0013650F">
        <w:rPr>
          <w:color w:val="000000"/>
        </w:rPr>
        <w:t>MF SR,</w:t>
      </w:r>
    </w:p>
    <w:p w14:paraId="77AD4DB6" w14:textId="77777777" w:rsidR="00096552" w:rsidRPr="00FD2C9D" w:rsidRDefault="00096552" w:rsidP="006D7D0A">
      <w:pPr>
        <w:pStyle w:val="Odsekzoznamu"/>
        <w:numPr>
          <w:ilvl w:val="0"/>
          <w:numId w:val="4"/>
        </w:numPr>
        <w:ind w:left="709" w:hanging="283"/>
        <w:jc w:val="both"/>
        <w:rPr>
          <w:color w:val="000000"/>
        </w:rPr>
      </w:pPr>
      <w:r>
        <w:rPr>
          <w:color w:val="000000"/>
        </w:rPr>
        <w:t>smernica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Európskeho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parlamentu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Rady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2006/43/ES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zo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17.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mája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2006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štatutárnom audite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ročných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účtovných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závierok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konsolidovaných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účtovných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závierok,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ktorou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sa menia</w:t>
      </w:r>
      <w:r>
        <w:rPr>
          <w:color w:val="000000"/>
          <w:spacing w:val="6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63"/>
        </w:rPr>
        <w:t xml:space="preserve"> </w:t>
      </w:r>
      <w:r>
        <w:rPr>
          <w:color w:val="000000"/>
        </w:rPr>
        <w:t>dopĺňajú</w:t>
      </w:r>
      <w:r>
        <w:rPr>
          <w:color w:val="000000"/>
          <w:spacing w:val="63"/>
        </w:rPr>
        <w:t xml:space="preserve"> </w:t>
      </w:r>
      <w:r>
        <w:rPr>
          <w:color w:val="000000"/>
        </w:rPr>
        <w:t>smernice</w:t>
      </w:r>
      <w:r>
        <w:rPr>
          <w:color w:val="000000"/>
          <w:spacing w:val="63"/>
        </w:rPr>
        <w:t xml:space="preserve"> </w:t>
      </w:r>
      <w:r>
        <w:rPr>
          <w:color w:val="000000"/>
        </w:rPr>
        <w:t>Rady</w:t>
      </w:r>
      <w:r>
        <w:rPr>
          <w:color w:val="000000"/>
          <w:spacing w:val="63"/>
        </w:rPr>
        <w:t xml:space="preserve"> </w:t>
      </w:r>
      <w:r>
        <w:rPr>
          <w:color w:val="000000"/>
        </w:rPr>
        <w:t>78/660/EHS</w:t>
      </w:r>
      <w:r>
        <w:rPr>
          <w:color w:val="000000"/>
          <w:spacing w:val="6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63"/>
        </w:rPr>
        <w:t xml:space="preserve"> </w:t>
      </w:r>
      <w:r>
        <w:rPr>
          <w:color w:val="000000"/>
        </w:rPr>
        <w:t>83/349/EHS</w:t>
      </w:r>
      <w:r>
        <w:rPr>
          <w:color w:val="000000"/>
          <w:spacing w:val="63"/>
        </w:rPr>
        <w:t xml:space="preserve"> </w:t>
      </w:r>
      <w:r>
        <w:rPr>
          <w:color w:val="000000"/>
        </w:rPr>
        <w:t>a ktorou sa zrušuje smernica Rady 84/253/EHS (Ú. v. EÚ L 157, 9. 6. 2006) v platnom znení, gestor: MF SR,</w:t>
      </w:r>
    </w:p>
    <w:p w14:paraId="70855C08" w14:textId="77777777" w:rsidR="00096552" w:rsidRPr="00CE6CB9" w:rsidRDefault="00096552" w:rsidP="006D7D0A">
      <w:pPr>
        <w:pStyle w:val="Odsekzoznamu"/>
        <w:numPr>
          <w:ilvl w:val="0"/>
          <w:numId w:val="4"/>
        </w:numPr>
        <w:ind w:left="709" w:hanging="283"/>
        <w:jc w:val="both"/>
        <w:rPr>
          <w:color w:val="000000"/>
        </w:rPr>
      </w:pPr>
      <w:r w:rsidRPr="00CE6CB9">
        <w:rPr>
          <w:color w:val="000000"/>
        </w:rPr>
        <w:t xml:space="preserve">smernica Európskeho parlamentu a Rady </w:t>
      </w:r>
      <w:r w:rsidRPr="00CE6CB9">
        <w:t xml:space="preserve">(EÚ) 2017/1132 zo 14. júna 2017 týkajúca sa niektorých aspektov práva obchodných spoločností (kodifikované znenie) (Ú. v. EÚ L 169, 30. 6. 2017) v platnom znení, gestor: MS SR, </w:t>
      </w:r>
      <w:r w:rsidRPr="00CE6CB9">
        <w:rPr>
          <w:color w:val="000000"/>
        </w:rPr>
        <w:t>spolugestor: MF SR,</w:t>
      </w:r>
    </w:p>
    <w:p w14:paraId="47289093" w14:textId="2847BBC9" w:rsidR="00096552" w:rsidRPr="0013650F" w:rsidRDefault="00096552" w:rsidP="006D7D0A">
      <w:pPr>
        <w:pStyle w:val="Odsekzoznamu"/>
        <w:numPr>
          <w:ilvl w:val="0"/>
          <w:numId w:val="4"/>
        </w:numPr>
        <w:ind w:left="709" w:hanging="283"/>
        <w:jc w:val="both"/>
        <w:rPr>
          <w:color w:val="000000"/>
        </w:rPr>
      </w:pPr>
      <w:r w:rsidRPr="0013650F">
        <w:rPr>
          <w:color w:val="000000"/>
        </w:rPr>
        <w:t>nariadenie</w:t>
      </w:r>
      <w:r w:rsidRPr="0013650F">
        <w:rPr>
          <w:color w:val="000000"/>
          <w:spacing w:val="164"/>
        </w:rPr>
        <w:t xml:space="preserve"> </w:t>
      </w:r>
      <w:r w:rsidRPr="0013650F">
        <w:rPr>
          <w:color w:val="000000"/>
        </w:rPr>
        <w:t>Európskeho</w:t>
      </w:r>
      <w:r w:rsidRPr="0013650F">
        <w:rPr>
          <w:color w:val="000000"/>
          <w:spacing w:val="164"/>
        </w:rPr>
        <w:t xml:space="preserve"> </w:t>
      </w:r>
      <w:r w:rsidRPr="0013650F">
        <w:rPr>
          <w:color w:val="000000"/>
        </w:rPr>
        <w:t>parlamentu</w:t>
      </w:r>
      <w:r w:rsidRPr="0013650F">
        <w:rPr>
          <w:color w:val="000000"/>
          <w:spacing w:val="164"/>
        </w:rPr>
        <w:t xml:space="preserve"> </w:t>
      </w:r>
      <w:r w:rsidRPr="0013650F">
        <w:rPr>
          <w:color w:val="000000"/>
        </w:rPr>
        <w:t>a Rady</w:t>
      </w:r>
      <w:r w:rsidRPr="0013650F">
        <w:rPr>
          <w:color w:val="000000"/>
          <w:spacing w:val="164"/>
        </w:rPr>
        <w:t xml:space="preserve"> </w:t>
      </w:r>
      <w:r w:rsidRPr="0013650F">
        <w:rPr>
          <w:color w:val="000000"/>
        </w:rPr>
        <w:t>(ES)</w:t>
      </w:r>
      <w:r w:rsidRPr="0013650F">
        <w:rPr>
          <w:color w:val="000000"/>
          <w:spacing w:val="164"/>
        </w:rPr>
        <w:t xml:space="preserve"> </w:t>
      </w:r>
      <w:r w:rsidRPr="0013650F">
        <w:rPr>
          <w:color w:val="000000"/>
        </w:rPr>
        <w:t>č. 1606/2002</w:t>
      </w:r>
      <w:r w:rsidRPr="0013650F">
        <w:rPr>
          <w:color w:val="000000"/>
          <w:spacing w:val="164"/>
        </w:rPr>
        <w:t xml:space="preserve"> </w:t>
      </w:r>
      <w:r w:rsidRPr="0013650F">
        <w:rPr>
          <w:color w:val="000000"/>
        </w:rPr>
        <w:t>z 19. júla 2002 o uplatňovaní medzinárodných účtovných noriem (</w:t>
      </w:r>
      <w:r w:rsidR="0013650F" w:rsidRPr="0013650F">
        <w:rPr>
          <w:color w:val="000000"/>
        </w:rPr>
        <w:t>Mimoriadne vydanie Ú. v. EÚ, kap. 13/zv. 29;</w:t>
      </w:r>
      <w:r w:rsidRPr="0013650F">
        <w:rPr>
          <w:color w:val="000000"/>
        </w:rPr>
        <w:t>Ú. v. ES L 243, 11.9.2002) v platnom znení, gestor: MF SR,</w:t>
      </w:r>
    </w:p>
    <w:p w14:paraId="7A3F2001" w14:textId="77777777" w:rsidR="00FD6974" w:rsidRPr="00AF3508" w:rsidRDefault="00FD6974" w:rsidP="006D7D0A">
      <w:pPr>
        <w:pStyle w:val="Odsekzoznamu"/>
        <w:numPr>
          <w:ilvl w:val="0"/>
          <w:numId w:val="4"/>
        </w:numPr>
        <w:ind w:left="709" w:hanging="283"/>
        <w:jc w:val="both"/>
        <w:rPr>
          <w:i/>
        </w:rPr>
      </w:pPr>
      <w:r w:rsidRPr="00AF3508">
        <w:rPr>
          <w:bCs/>
          <w:shd w:val="clear" w:color="auto" w:fill="FFFFFF"/>
        </w:rPr>
        <w:t>nariadenie Európskeho parlamentu a Rady (ES) č. 765/2008 z 9. júla 2008, ktorým sa stanovujú požiadavky akreditácie a ktorým sa zrušuje nariadenie (EHS) č. 339/93 (</w:t>
      </w:r>
      <w:r w:rsidRPr="00AF3508">
        <w:rPr>
          <w:rStyle w:val="Zvraznenie"/>
          <w:i w:val="0"/>
          <w:shd w:val="clear" w:color="auto" w:fill="FFFFFF"/>
        </w:rPr>
        <w:t xml:space="preserve">Ú. v. EÚ L 218, 13.8.2008) v platnom znení, gestor: </w:t>
      </w:r>
      <w:r w:rsidRPr="00AF3508">
        <w:t>ÚNMS SR, spolupracujúce rezorty: MH SR, MPSVR SR, MD SR, MZ SR.</w:t>
      </w:r>
      <w:r w:rsidRPr="00AF3508">
        <w:rPr>
          <w:bCs/>
          <w:i/>
          <w:shd w:val="clear" w:color="auto" w:fill="FFFFFF"/>
        </w:rPr>
        <w:t> </w:t>
      </w:r>
    </w:p>
    <w:p w14:paraId="1F6B932D" w14:textId="77777777" w:rsidR="00BF42A9" w:rsidRPr="007A2BD4" w:rsidRDefault="00BF42A9" w:rsidP="006D7D0A">
      <w:pPr>
        <w:pStyle w:val="Odsekzoznamu"/>
        <w:numPr>
          <w:ilvl w:val="0"/>
          <w:numId w:val="4"/>
        </w:numPr>
        <w:ind w:left="709" w:hanging="283"/>
        <w:jc w:val="both"/>
      </w:pPr>
      <w:r w:rsidRPr="007A2BD4">
        <w:t xml:space="preserve">nariadenie Európskeho parlamentu a Rady (EÚ) č. 537/2014 zo 16. apríla 2014 o osobitných požiadavkách týkajúcich sa štatutárneho auditu subjektov verejného záujmu a zrušení rozhodnutia Komisie 2005/909/ES </w:t>
      </w:r>
      <w:r w:rsidRPr="007A2BD4">
        <w:rPr>
          <w:color w:val="000000"/>
        </w:rPr>
        <w:t>(Ú.</w:t>
      </w:r>
      <w:r w:rsidRPr="007A2BD4">
        <w:rPr>
          <w:color w:val="000000"/>
          <w:spacing w:val="-8"/>
        </w:rPr>
        <w:t xml:space="preserve"> </w:t>
      </w:r>
      <w:r w:rsidRPr="007A2BD4">
        <w:rPr>
          <w:color w:val="000000"/>
        </w:rPr>
        <w:t>v.</w:t>
      </w:r>
      <w:r w:rsidRPr="007A2BD4">
        <w:rPr>
          <w:color w:val="000000"/>
          <w:spacing w:val="-8"/>
        </w:rPr>
        <w:t xml:space="preserve"> </w:t>
      </w:r>
      <w:r w:rsidRPr="007A2BD4">
        <w:rPr>
          <w:color w:val="000000"/>
        </w:rPr>
        <w:t>EÚ</w:t>
      </w:r>
      <w:r w:rsidRPr="007A2BD4">
        <w:rPr>
          <w:color w:val="000000"/>
          <w:spacing w:val="-8"/>
        </w:rPr>
        <w:t xml:space="preserve"> </w:t>
      </w:r>
      <w:r w:rsidRPr="007A2BD4">
        <w:rPr>
          <w:color w:val="000000"/>
        </w:rPr>
        <w:t>L</w:t>
      </w:r>
      <w:r w:rsidRPr="007A2BD4">
        <w:rPr>
          <w:color w:val="000000"/>
          <w:spacing w:val="-8"/>
        </w:rPr>
        <w:t xml:space="preserve"> 158</w:t>
      </w:r>
      <w:r w:rsidRPr="007A2BD4">
        <w:rPr>
          <w:color w:val="000000"/>
        </w:rPr>
        <w:t>,</w:t>
      </w:r>
      <w:r w:rsidRPr="007A2BD4">
        <w:rPr>
          <w:color w:val="000000"/>
          <w:spacing w:val="-8"/>
        </w:rPr>
        <w:t xml:space="preserve"> </w:t>
      </w:r>
      <w:r w:rsidRPr="007A2BD4">
        <w:rPr>
          <w:color w:val="000000"/>
        </w:rPr>
        <w:t xml:space="preserve">27.5.2014) v platnom znení, gestor MF SR, </w:t>
      </w:r>
    </w:p>
    <w:p w14:paraId="7CF9F571" w14:textId="77777777" w:rsidR="00096552" w:rsidRPr="00AF3508" w:rsidRDefault="00096552" w:rsidP="006D7D0A">
      <w:pPr>
        <w:pStyle w:val="Odsekzoznamu"/>
        <w:numPr>
          <w:ilvl w:val="0"/>
          <w:numId w:val="4"/>
        </w:numPr>
        <w:ind w:left="709" w:hanging="283"/>
        <w:jc w:val="both"/>
      </w:pPr>
      <w:r w:rsidRPr="00AF3508">
        <w:rPr>
          <w:color w:val="000000"/>
        </w:rPr>
        <w:t>nariadenie</w:t>
      </w:r>
      <w:r w:rsidRPr="00AF3508">
        <w:t xml:space="preserve"> Európskeho parlamentu a Rady (EÚ) č. 910/2014 z 23. júla 2014 o elektronickej identifikácii a dôveryhodných službách pre elektronické transakcie na vnútornom trhu a o zrušení smernice 1999/93/ES </w:t>
      </w:r>
      <w:r w:rsidRPr="00AF3508">
        <w:rPr>
          <w:color w:val="000000"/>
        </w:rPr>
        <w:t>(Ú.</w:t>
      </w:r>
      <w:r w:rsidRPr="00AF3508">
        <w:rPr>
          <w:color w:val="000000"/>
          <w:spacing w:val="-8"/>
        </w:rPr>
        <w:t xml:space="preserve"> </w:t>
      </w:r>
      <w:r w:rsidRPr="00AF3508">
        <w:rPr>
          <w:color w:val="000000"/>
        </w:rPr>
        <w:t>v.</w:t>
      </w:r>
      <w:r w:rsidRPr="00AF3508">
        <w:rPr>
          <w:color w:val="000000"/>
          <w:spacing w:val="-8"/>
        </w:rPr>
        <w:t xml:space="preserve"> </w:t>
      </w:r>
      <w:r w:rsidRPr="00AF3508">
        <w:rPr>
          <w:color w:val="000000"/>
        </w:rPr>
        <w:t>EÚ</w:t>
      </w:r>
      <w:r w:rsidRPr="00AF3508">
        <w:rPr>
          <w:color w:val="000000"/>
          <w:spacing w:val="-8"/>
        </w:rPr>
        <w:t xml:space="preserve"> </w:t>
      </w:r>
      <w:r w:rsidRPr="00AF3508">
        <w:rPr>
          <w:color w:val="000000"/>
        </w:rPr>
        <w:t>L</w:t>
      </w:r>
      <w:r w:rsidRPr="00AF3508">
        <w:rPr>
          <w:color w:val="000000"/>
          <w:spacing w:val="-8"/>
        </w:rPr>
        <w:t xml:space="preserve"> 257</w:t>
      </w:r>
      <w:r w:rsidRPr="00AF3508">
        <w:rPr>
          <w:color w:val="000000"/>
        </w:rPr>
        <w:t>,</w:t>
      </w:r>
      <w:r w:rsidRPr="00AF3508">
        <w:rPr>
          <w:color w:val="000000"/>
          <w:spacing w:val="-8"/>
        </w:rPr>
        <w:t xml:space="preserve"> </w:t>
      </w:r>
      <w:r w:rsidRPr="00AF3508">
        <w:rPr>
          <w:color w:val="000000"/>
        </w:rPr>
        <w:t>28.8.2014) v platnom znení,</w:t>
      </w:r>
      <w:r w:rsidRPr="00AF3508">
        <w:rPr>
          <w:color w:val="000000"/>
          <w:spacing w:val="-8"/>
        </w:rPr>
        <w:t xml:space="preserve"> </w:t>
      </w:r>
      <w:r w:rsidRPr="00AF3508">
        <w:rPr>
          <w:color w:val="000000"/>
        </w:rPr>
        <w:t>gestori: NBÚ, MF SR, MV SR,</w:t>
      </w:r>
    </w:p>
    <w:p w14:paraId="6BDDE414" w14:textId="3FC9A918" w:rsidR="00B87E5C" w:rsidRPr="00DF6FC4" w:rsidRDefault="00B87E5C" w:rsidP="008B2A5F">
      <w:pPr>
        <w:pStyle w:val="Odsekzoznamu"/>
        <w:numPr>
          <w:ilvl w:val="0"/>
          <w:numId w:val="4"/>
        </w:numPr>
        <w:ind w:left="709" w:hanging="283"/>
        <w:jc w:val="both"/>
      </w:pPr>
      <w:r w:rsidRPr="00DF6FC4">
        <w:t xml:space="preserve">nariadenie Európskeho parlamentu a Rady (EÚ) 2016/679 z 27. apríla 2016 o ochrane fyzických osôb pri spracúvaní osobných údajov a o voľnom pohybe takýchto údajov, </w:t>
      </w:r>
      <w:r w:rsidRPr="00DF6FC4">
        <w:lastRenderedPageBreak/>
        <w:t>ktorým sa zrušuje smernica 95/46/ES (všeobecné nariadenie o ochrane údajov)</w:t>
      </w:r>
      <w:r w:rsidR="008B2A5F" w:rsidRPr="00DF6FC4">
        <w:rPr>
          <w:color w:val="000000"/>
        </w:rPr>
        <w:t xml:space="preserve"> (Ú.</w:t>
      </w:r>
      <w:r w:rsidR="008B2A5F" w:rsidRPr="00DF6FC4">
        <w:rPr>
          <w:color w:val="000000"/>
          <w:spacing w:val="-8"/>
        </w:rPr>
        <w:t xml:space="preserve"> </w:t>
      </w:r>
      <w:r w:rsidR="008B2A5F" w:rsidRPr="00DF6FC4">
        <w:rPr>
          <w:color w:val="000000"/>
        </w:rPr>
        <w:t>v.</w:t>
      </w:r>
      <w:r w:rsidR="008B2A5F" w:rsidRPr="00DF6FC4">
        <w:rPr>
          <w:color w:val="000000"/>
          <w:spacing w:val="-8"/>
        </w:rPr>
        <w:t xml:space="preserve"> </w:t>
      </w:r>
      <w:r w:rsidR="008B2A5F" w:rsidRPr="00DF6FC4">
        <w:rPr>
          <w:color w:val="000000"/>
        </w:rPr>
        <w:t>EÚ</w:t>
      </w:r>
      <w:r w:rsidR="008B2A5F" w:rsidRPr="00DF6FC4">
        <w:rPr>
          <w:color w:val="000000"/>
          <w:spacing w:val="-8"/>
        </w:rPr>
        <w:t xml:space="preserve"> </w:t>
      </w:r>
      <w:r w:rsidR="008B2A5F" w:rsidRPr="00DF6FC4">
        <w:rPr>
          <w:color w:val="000000"/>
        </w:rPr>
        <w:t>L</w:t>
      </w:r>
      <w:r w:rsidR="008B2A5F" w:rsidRPr="00DF6FC4">
        <w:rPr>
          <w:color w:val="000000"/>
          <w:spacing w:val="-8"/>
        </w:rPr>
        <w:t xml:space="preserve"> 119</w:t>
      </w:r>
      <w:r w:rsidR="008B2A5F" w:rsidRPr="00DF6FC4">
        <w:rPr>
          <w:color w:val="000000"/>
        </w:rPr>
        <w:t>,</w:t>
      </w:r>
      <w:r w:rsidR="008B2A5F" w:rsidRPr="00DF6FC4">
        <w:rPr>
          <w:color w:val="000000"/>
          <w:spacing w:val="-8"/>
        </w:rPr>
        <w:t xml:space="preserve"> 4</w:t>
      </w:r>
      <w:r w:rsidR="008B2A5F" w:rsidRPr="00DF6FC4">
        <w:rPr>
          <w:color w:val="000000"/>
        </w:rPr>
        <w:t>.5.2016) v platnom znení,</w:t>
      </w:r>
      <w:r w:rsidR="008B2A5F" w:rsidRPr="00DF6FC4">
        <w:rPr>
          <w:color w:val="000000"/>
          <w:spacing w:val="-8"/>
        </w:rPr>
        <w:t xml:space="preserve"> </w:t>
      </w:r>
      <w:r w:rsidR="008B2A5F" w:rsidRPr="00DF6FC4">
        <w:rPr>
          <w:color w:val="000000"/>
        </w:rPr>
        <w:t>gestor: ÚOOÚ SR,</w:t>
      </w:r>
    </w:p>
    <w:p w14:paraId="7E3BFD2D" w14:textId="267EDC80" w:rsidR="00096552" w:rsidRPr="00DF6FC4" w:rsidRDefault="00096552" w:rsidP="006D7D0A">
      <w:pPr>
        <w:pStyle w:val="Odsekzoznamu"/>
        <w:numPr>
          <w:ilvl w:val="0"/>
          <w:numId w:val="4"/>
        </w:numPr>
        <w:ind w:left="709" w:hanging="283"/>
        <w:jc w:val="both"/>
      </w:pPr>
      <w:r w:rsidRPr="00DF6FC4">
        <w:t xml:space="preserve">delegované nariadenie Komisie (EÚ) 2019/815 zo 17. decembra 2018, ktorým sa dopĺňa smernica Európskeho parlamentu a Rady (EÚ) 2004/109/ES, pokiaľ ide o regulačné technické predpisy o špecifikácii jednotného elektronického formátu vykazovania </w:t>
      </w:r>
      <w:r w:rsidRPr="00DF6FC4">
        <w:rPr>
          <w:color w:val="000000"/>
        </w:rPr>
        <w:t>(Ú.</w:t>
      </w:r>
      <w:r w:rsidRPr="00DF6FC4">
        <w:rPr>
          <w:color w:val="000000"/>
          <w:spacing w:val="-8"/>
        </w:rPr>
        <w:t xml:space="preserve"> </w:t>
      </w:r>
      <w:r w:rsidRPr="00DF6FC4">
        <w:rPr>
          <w:color w:val="000000"/>
        </w:rPr>
        <w:t>v.</w:t>
      </w:r>
      <w:r w:rsidRPr="00DF6FC4">
        <w:rPr>
          <w:color w:val="000000"/>
          <w:spacing w:val="-8"/>
        </w:rPr>
        <w:t xml:space="preserve"> </w:t>
      </w:r>
      <w:r w:rsidRPr="00DF6FC4">
        <w:rPr>
          <w:color w:val="000000"/>
        </w:rPr>
        <w:t>EÚ</w:t>
      </w:r>
      <w:r w:rsidRPr="00DF6FC4">
        <w:rPr>
          <w:color w:val="000000"/>
          <w:spacing w:val="-8"/>
        </w:rPr>
        <w:t xml:space="preserve"> </w:t>
      </w:r>
      <w:r w:rsidRPr="00DF6FC4">
        <w:rPr>
          <w:color w:val="000000"/>
        </w:rPr>
        <w:t>L</w:t>
      </w:r>
      <w:r w:rsidRPr="00DF6FC4">
        <w:rPr>
          <w:color w:val="000000"/>
          <w:spacing w:val="-8"/>
        </w:rPr>
        <w:t xml:space="preserve"> 143</w:t>
      </w:r>
      <w:r w:rsidRPr="00DF6FC4">
        <w:rPr>
          <w:color w:val="000000"/>
        </w:rPr>
        <w:t>,</w:t>
      </w:r>
      <w:r w:rsidRPr="00DF6FC4">
        <w:rPr>
          <w:color w:val="000000"/>
          <w:spacing w:val="-8"/>
        </w:rPr>
        <w:t xml:space="preserve"> 29</w:t>
      </w:r>
      <w:r w:rsidRPr="00DF6FC4">
        <w:rPr>
          <w:color w:val="000000"/>
        </w:rPr>
        <w:t>.5.2019) v platnom znení,</w:t>
      </w:r>
      <w:r w:rsidRPr="00DF6FC4">
        <w:rPr>
          <w:color w:val="000000"/>
          <w:spacing w:val="-8"/>
        </w:rPr>
        <w:t xml:space="preserve"> </w:t>
      </w:r>
      <w:r w:rsidRPr="00DF6FC4">
        <w:rPr>
          <w:color w:val="000000"/>
        </w:rPr>
        <w:t>gestori: MF SR, NBS,</w:t>
      </w:r>
    </w:p>
    <w:p w14:paraId="5E6C96EA" w14:textId="77777777" w:rsidR="00EE1F4C" w:rsidRPr="00DF6FC4" w:rsidRDefault="00EE1F4C" w:rsidP="006D7D0A">
      <w:pPr>
        <w:pStyle w:val="Odsekzoznamu"/>
        <w:numPr>
          <w:ilvl w:val="0"/>
          <w:numId w:val="4"/>
        </w:numPr>
        <w:ind w:left="709" w:hanging="283"/>
        <w:jc w:val="both"/>
      </w:pPr>
      <w:r w:rsidRPr="00DF6FC4">
        <w:rPr>
          <w:bCs/>
          <w:shd w:val="clear" w:color="auto" w:fill="FFFFFF"/>
        </w:rPr>
        <w:t>nariadenie Európskeho parlamentu a Rady (EÚ) 2019/2088 z 27. novembra 2019 o zverejňovaní informácií o udržateľnosti v sektore finančných služieb (</w:t>
      </w:r>
      <w:r w:rsidRPr="00DF6FC4">
        <w:rPr>
          <w:rStyle w:val="Zvraznenie"/>
          <w:i w:val="0"/>
          <w:color w:val="333333"/>
          <w:shd w:val="clear" w:color="auto" w:fill="FFFFFF"/>
        </w:rPr>
        <w:t xml:space="preserve">Ú. v. EÚ L 317, 9.12.2019) </w:t>
      </w:r>
      <w:r w:rsidRPr="00DF6FC4">
        <w:rPr>
          <w:color w:val="000000"/>
        </w:rPr>
        <w:t xml:space="preserve">v platnom znení, gestori: </w:t>
      </w:r>
      <w:r w:rsidRPr="00DF6FC4">
        <w:rPr>
          <w:bCs/>
          <w:shd w:val="clear" w:color="auto" w:fill="FFFFFF"/>
        </w:rPr>
        <w:t xml:space="preserve"> </w:t>
      </w:r>
      <w:r w:rsidRPr="00DF6FC4">
        <w:rPr>
          <w:color w:val="000000"/>
        </w:rPr>
        <w:t>MF SR, NBS, MPSVR SR,</w:t>
      </w:r>
    </w:p>
    <w:p w14:paraId="06E67AAF" w14:textId="77777777" w:rsidR="00096552" w:rsidRPr="00DF6FC4" w:rsidRDefault="00096552" w:rsidP="006D7D0A">
      <w:pPr>
        <w:pStyle w:val="Odsekzoznamu"/>
        <w:numPr>
          <w:ilvl w:val="0"/>
          <w:numId w:val="4"/>
        </w:numPr>
        <w:ind w:left="709" w:hanging="283"/>
        <w:jc w:val="both"/>
      </w:pPr>
      <w:r w:rsidRPr="00DF6FC4">
        <w:t xml:space="preserve">nariadenie Európskeho parlamentu a Rady (EÚ) 2020/852 z 18. júna 2020 o vytvorení rámca na uľahčenie udržateľných investícií a o zmene naradenia (EÚ) 2019/2088 </w:t>
      </w:r>
      <w:r w:rsidRPr="00DF6FC4">
        <w:rPr>
          <w:color w:val="000000"/>
        </w:rPr>
        <w:t>(Ú. v. EÚ L 198, 22.6.2020), gestori: MF SR, NBS,</w:t>
      </w:r>
    </w:p>
    <w:p w14:paraId="5882863B" w14:textId="77777777" w:rsidR="00096552" w:rsidRPr="00DF6FC4" w:rsidRDefault="00096552" w:rsidP="006D7D0A">
      <w:pPr>
        <w:pStyle w:val="Odsekzoznamu"/>
        <w:numPr>
          <w:ilvl w:val="0"/>
          <w:numId w:val="4"/>
        </w:numPr>
        <w:ind w:left="709" w:hanging="283"/>
        <w:jc w:val="both"/>
      </w:pPr>
      <w:r w:rsidRPr="00DF6FC4">
        <w:rPr>
          <w:color w:val="000000"/>
        </w:rPr>
        <w:t>delegované nariadenie Komisie (EÚ) 2021/2178 zo 6. júla 2021, ktorým sa dopĺňa nariadenie Európskeho parlamentu a Rady (EÚ) 2020/852 upresnením obsahu a prezentácie informácií, ktoré majú zverejňovať podniky, na ktoré sa vzťahuje článok 19a alebo 29a smernice 2013/34/EÚ, pokiaľ ide o environmentálne udržateľné hospodárske činnosti, a upresnením metodiky na splnenie uvedenej povinnosti zverejňovania (Ú. v. EÚ L 443, 10.12.2021) v platnom znení, gestori: MF SR, NBS,</w:t>
      </w:r>
    </w:p>
    <w:p w14:paraId="717E5C3B" w14:textId="3B4DAF27" w:rsidR="00B87E5C" w:rsidRPr="00DF6FC4" w:rsidRDefault="00E405E2" w:rsidP="006D7D0A">
      <w:pPr>
        <w:pStyle w:val="Odsekzoznamu"/>
        <w:numPr>
          <w:ilvl w:val="0"/>
          <w:numId w:val="4"/>
        </w:numPr>
        <w:ind w:left="709" w:hanging="283"/>
        <w:jc w:val="both"/>
        <w:rPr>
          <w:rStyle w:val="Zvraznenie"/>
          <w:iCs w:val="0"/>
        </w:rPr>
      </w:pPr>
      <w:r w:rsidRPr="00DF6FC4">
        <w:rPr>
          <w:bCs/>
          <w:shd w:val="clear" w:color="auto" w:fill="FFFFFF"/>
        </w:rPr>
        <w:t>nariadenie Komisie (EÚ) 2023/1803 z 13. septembra 2023, ktorým sa v súlade s nariadením Európskeho parlamentu a Rady (ES) č. 1606/2002 prijímajú určité medzinárodné účtovné štandardy (</w:t>
      </w:r>
      <w:r w:rsidRPr="00DF6FC4">
        <w:rPr>
          <w:rStyle w:val="Zvraznenie"/>
          <w:i w:val="0"/>
          <w:shd w:val="clear" w:color="auto" w:fill="FFFFFF"/>
        </w:rPr>
        <w:t>Ú. v. EÚ L 237, 26.9.2023)</w:t>
      </w:r>
      <w:r w:rsidR="009009A9" w:rsidRPr="00DF6FC4">
        <w:rPr>
          <w:rStyle w:val="Zvraznenie"/>
          <w:i w:val="0"/>
          <w:shd w:val="clear" w:color="auto" w:fill="FFFFFF"/>
        </w:rPr>
        <w:t xml:space="preserve"> v platnom znení</w:t>
      </w:r>
      <w:r w:rsidRPr="00DF6FC4">
        <w:rPr>
          <w:rStyle w:val="Zvraznenie"/>
          <w:i w:val="0"/>
          <w:shd w:val="clear" w:color="auto" w:fill="FFFFFF"/>
        </w:rPr>
        <w:t xml:space="preserve">, gestor </w:t>
      </w:r>
      <w:r w:rsidR="009009A9" w:rsidRPr="00DF6FC4">
        <w:rPr>
          <w:rStyle w:val="Zvraznenie"/>
          <w:i w:val="0"/>
          <w:shd w:val="clear" w:color="auto" w:fill="FFFFFF"/>
        </w:rPr>
        <w:t>MF SR</w:t>
      </w:r>
      <w:r w:rsidR="00B87E5C" w:rsidRPr="00DF6FC4">
        <w:rPr>
          <w:rStyle w:val="Zvraznenie"/>
          <w:i w:val="0"/>
          <w:shd w:val="clear" w:color="auto" w:fill="FFFFFF"/>
        </w:rPr>
        <w:t>,</w:t>
      </w:r>
    </w:p>
    <w:p w14:paraId="22646019" w14:textId="2475BFCC" w:rsidR="00E405E2" w:rsidRPr="00DF6FC4" w:rsidRDefault="00B87E5C" w:rsidP="00690276">
      <w:pPr>
        <w:pStyle w:val="Odsekzoznamu"/>
        <w:numPr>
          <w:ilvl w:val="0"/>
          <w:numId w:val="4"/>
        </w:numPr>
        <w:ind w:left="709" w:hanging="283"/>
        <w:jc w:val="both"/>
        <w:rPr>
          <w:i/>
        </w:rPr>
      </w:pPr>
      <w:r w:rsidRPr="00DF6FC4">
        <w:rPr>
          <w:rStyle w:val="Zvraznenie"/>
          <w:i w:val="0"/>
          <w:shd w:val="clear" w:color="auto" w:fill="FFFFFF"/>
        </w:rPr>
        <w:t>nariadenie Európskeho parlamentu a Rady (EÚ) 2023/2418 z 18. októbra 2023 o zriadení nástroja na posilnenie európskeho obranného priemyslu prostredníctvom spoločného obstarávania (EDIRPA)</w:t>
      </w:r>
      <w:r w:rsidRPr="00DF6FC4">
        <w:rPr>
          <w:bCs/>
          <w:shd w:val="clear" w:color="auto" w:fill="FFFFFF"/>
        </w:rPr>
        <w:t xml:space="preserve"> (</w:t>
      </w:r>
      <w:r w:rsidRPr="00DF6FC4">
        <w:rPr>
          <w:rStyle w:val="Zvraznenie"/>
          <w:i w:val="0"/>
          <w:shd w:val="clear" w:color="auto" w:fill="FFFFFF"/>
        </w:rPr>
        <w:t>Ú. v. EÚ L, 2023/2418, 26.10.2023), gestor</w:t>
      </w:r>
      <w:r w:rsidR="008B2A5F" w:rsidRPr="00DF6FC4">
        <w:rPr>
          <w:rStyle w:val="Zvraznenie"/>
          <w:i w:val="0"/>
          <w:shd w:val="clear" w:color="auto" w:fill="FFFFFF"/>
        </w:rPr>
        <w:t>i:</w:t>
      </w:r>
      <w:r w:rsidRPr="00DF6FC4">
        <w:rPr>
          <w:rStyle w:val="Zvraznenie"/>
          <w:i w:val="0"/>
          <w:shd w:val="clear" w:color="auto" w:fill="FFFFFF"/>
        </w:rPr>
        <w:t xml:space="preserve"> MO SR, MH SR, ÚVO.</w:t>
      </w:r>
    </w:p>
    <w:p w14:paraId="7FC770AD" w14:textId="77777777" w:rsidR="00096552" w:rsidRPr="00FD2C9D" w:rsidRDefault="00096552" w:rsidP="006D7D0A">
      <w:pPr>
        <w:pStyle w:val="Odsekzoznamu"/>
        <w:ind w:left="1117"/>
        <w:contextualSpacing w:val="0"/>
        <w:jc w:val="both"/>
      </w:pPr>
    </w:p>
    <w:p w14:paraId="213A95A2" w14:textId="77777777" w:rsidR="00096552" w:rsidRPr="00FD2C9D" w:rsidRDefault="00096552" w:rsidP="006D7D0A">
      <w:pPr>
        <w:pStyle w:val="Zarkazkladnhotextu"/>
        <w:numPr>
          <w:ilvl w:val="0"/>
          <w:numId w:val="6"/>
        </w:numPr>
        <w:ind w:left="754" w:hanging="357"/>
        <w:rPr>
          <w:szCs w:val="24"/>
        </w:rPr>
      </w:pPr>
      <w:r>
        <w:rPr>
          <w:szCs w:val="24"/>
        </w:rPr>
        <w:t>Judikatúra Súdneho dvora Európskej únie:</w:t>
      </w:r>
    </w:p>
    <w:p w14:paraId="5F8B3A32" w14:textId="1604947F" w:rsidR="00096552" w:rsidRPr="00FD2C9D" w:rsidRDefault="00096552" w:rsidP="006D7D0A">
      <w:pPr>
        <w:pStyle w:val="Zarkazkladnhotextu"/>
        <w:numPr>
          <w:ilvl w:val="0"/>
          <w:numId w:val="8"/>
        </w:numPr>
        <w:spacing w:before="120"/>
        <w:ind w:left="709" w:hanging="283"/>
        <w:rPr>
          <w:bCs/>
          <w:szCs w:val="24"/>
        </w:rPr>
      </w:pPr>
      <w:r>
        <w:rPr>
          <w:szCs w:val="24"/>
        </w:rPr>
        <w:t>rozhodnutie Súdneho dvora vo veci C - 306/1999, Banque internationale pour l'Afrique occidentale SA (BIAO) v. Finanzamt für Großunternehmen in Hamburg, [2003]</w:t>
      </w:r>
      <w:r w:rsidR="00600289">
        <w:rPr>
          <w:szCs w:val="24"/>
        </w:rPr>
        <w:t>.</w:t>
      </w:r>
    </w:p>
    <w:p w14:paraId="7B4481E7" w14:textId="77777777" w:rsidR="00096552" w:rsidRPr="00FD2C9D" w:rsidRDefault="00096552" w:rsidP="006D7D0A">
      <w:pPr>
        <w:pStyle w:val="Zarkazkladnhotextu"/>
        <w:spacing w:before="120"/>
        <w:ind w:left="709" w:firstLine="0"/>
        <w:rPr>
          <w:bCs/>
          <w:szCs w:val="24"/>
        </w:rPr>
      </w:pPr>
      <w:r>
        <w:rPr>
          <w:bCs/>
          <w:szCs w:val="24"/>
        </w:rPr>
        <w:t>Výrok rozhodnutia:</w:t>
      </w:r>
    </w:p>
    <w:p w14:paraId="0E3870C9" w14:textId="77777777" w:rsidR="00096552" w:rsidRPr="00FD2C9D" w:rsidRDefault="00096552" w:rsidP="006D7D0A">
      <w:pPr>
        <w:pStyle w:val="Zarkazkladnhotextu"/>
        <w:ind w:left="709" w:firstLine="0"/>
        <w:rPr>
          <w:bCs/>
          <w:szCs w:val="24"/>
        </w:rPr>
      </w:pPr>
      <w:r>
        <w:rPr>
          <w:bCs/>
          <w:szCs w:val="24"/>
        </w:rPr>
        <w:t>1. Otázky uvedené v druhej a tretej časti návrhu na začatie prejudiciálneho konania týkajúcich sa výkladu štvrtej smernice Rady 78/660/EHS z 25. júla 1978   o ročnej účtovnej závierke niektorých typov spoločností, vychádzajúca z článku 54 ods. 3 písm. g) zmluvy sú prípustné.</w:t>
      </w:r>
    </w:p>
    <w:p w14:paraId="264B77DB" w14:textId="77777777" w:rsidR="00096552" w:rsidRPr="00FD2C9D" w:rsidRDefault="00096552" w:rsidP="006D7D0A">
      <w:pPr>
        <w:pStyle w:val="Zarkazkladnhotextu"/>
        <w:spacing w:before="120"/>
        <w:ind w:left="709" w:firstLine="0"/>
        <w:rPr>
          <w:bCs/>
          <w:szCs w:val="24"/>
        </w:rPr>
      </w:pPr>
      <w:r>
        <w:rPr>
          <w:bCs/>
          <w:szCs w:val="24"/>
        </w:rPr>
        <w:t>2. Štvrtá smernica 78/660/EHS nebráni tomu, aby ustanovenie určené na pokrytie možných strát alebo pohľadávok vyplývajúcich zo záväzku nachádzajúceho sa v účtovnej závierke podľa článku 14 uvedenej smernice bolo zapísané na strane pasív súvahy podľa článku 20 ods. 1 za predpokladu, že daná strata alebo dlh možno charakterizovať ako pravdepodobné alebo isté k súvahovému dňu. Článok 31 ods. 1 písm. e) tejto smernice nevylučuje možnosť, že na zabezpečenie dodržiavania zásady obozretnosti a zásady pravdivého zobrazenia aktív a pasív by mohlo byť  najvhodnejšou metódou ocenenia by mohlo byť vykonanie globalizovaného hodnotenia všetkých relevantných faktorov.</w:t>
      </w:r>
    </w:p>
    <w:p w14:paraId="3841E62C" w14:textId="77777777" w:rsidR="00096552" w:rsidRPr="00FD2C9D" w:rsidRDefault="00096552" w:rsidP="006D7D0A">
      <w:pPr>
        <w:pStyle w:val="Zarkazkladnhotextu"/>
        <w:spacing w:before="120"/>
        <w:ind w:left="709" w:firstLine="0"/>
        <w:rPr>
          <w:rStyle w:val="awspan1"/>
        </w:rPr>
      </w:pPr>
      <w:r>
        <w:rPr>
          <w:rStyle w:val="awspan1"/>
        </w:rPr>
        <w:t>3.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Za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takých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okolností,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ako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sú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okolnosti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vo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veci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samej,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vrátenie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pôžičky,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ku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ktorému došlo</w:t>
      </w:r>
      <w:r>
        <w:rPr>
          <w:rStyle w:val="awspan1"/>
          <w:spacing w:val="39"/>
        </w:rPr>
        <w:t xml:space="preserve"> </w:t>
      </w:r>
      <w:r>
        <w:rPr>
          <w:rStyle w:val="awspan1"/>
        </w:rPr>
        <w:t>po</w:t>
      </w:r>
      <w:r>
        <w:rPr>
          <w:rStyle w:val="awspan1"/>
          <w:spacing w:val="39"/>
        </w:rPr>
        <w:t xml:space="preserve"> </w:t>
      </w:r>
      <w:r>
        <w:rPr>
          <w:rStyle w:val="awspan1"/>
        </w:rPr>
        <w:t>súvahovom</w:t>
      </w:r>
      <w:r>
        <w:rPr>
          <w:rStyle w:val="awspan1"/>
          <w:spacing w:val="39"/>
        </w:rPr>
        <w:t xml:space="preserve"> </w:t>
      </w:r>
      <w:r>
        <w:rPr>
          <w:rStyle w:val="awspan1"/>
        </w:rPr>
        <w:t>dni</w:t>
      </w:r>
      <w:r>
        <w:rPr>
          <w:rStyle w:val="awspan1"/>
          <w:spacing w:val="39"/>
        </w:rPr>
        <w:t xml:space="preserve"> </w:t>
      </w:r>
      <w:r>
        <w:rPr>
          <w:rStyle w:val="awspan1"/>
        </w:rPr>
        <w:t>(ktorý</w:t>
      </w:r>
      <w:r>
        <w:rPr>
          <w:rStyle w:val="awspan1"/>
          <w:spacing w:val="39"/>
        </w:rPr>
        <w:t xml:space="preserve"> </w:t>
      </w:r>
      <w:r>
        <w:rPr>
          <w:rStyle w:val="awspan1"/>
        </w:rPr>
        <w:t>je</w:t>
      </w:r>
      <w:r>
        <w:rPr>
          <w:rStyle w:val="awspan1"/>
          <w:spacing w:val="39"/>
        </w:rPr>
        <w:t xml:space="preserve"> </w:t>
      </w:r>
      <w:r>
        <w:rPr>
          <w:rStyle w:val="awspan1"/>
        </w:rPr>
        <w:t>relevantným</w:t>
      </w:r>
      <w:r>
        <w:rPr>
          <w:rStyle w:val="awspan1"/>
          <w:spacing w:val="39"/>
        </w:rPr>
        <w:t xml:space="preserve"> </w:t>
      </w:r>
      <w:r>
        <w:rPr>
          <w:rStyle w:val="awspan1"/>
        </w:rPr>
        <w:t>dátumom</w:t>
      </w:r>
      <w:r>
        <w:rPr>
          <w:rStyle w:val="awspan1"/>
          <w:spacing w:val="39"/>
        </w:rPr>
        <w:t xml:space="preserve"> </w:t>
      </w:r>
      <w:r>
        <w:rPr>
          <w:rStyle w:val="awspan1"/>
        </w:rPr>
        <w:t>oceňovania</w:t>
      </w:r>
      <w:r>
        <w:rPr>
          <w:rStyle w:val="awspan1"/>
          <w:spacing w:val="39"/>
        </w:rPr>
        <w:t xml:space="preserve"> </w:t>
      </w:r>
      <w:r>
        <w:rPr>
          <w:rStyle w:val="awspan1"/>
        </w:rPr>
        <w:t>súvahových položiek),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>nepredstavuje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>skutočnosť,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>ktorá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>si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>vyžaduje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>retroaktívne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>prehodnotenie rezervy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týkajúcej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sa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tejto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pôžičky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uvedenej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na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strane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pasív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súvahy.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Súlad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>so</w:t>
      </w:r>
      <w:r>
        <w:rPr>
          <w:rStyle w:val="awspan1"/>
          <w:spacing w:val="2"/>
        </w:rPr>
        <w:t xml:space="preserve"> </w:t>
      </w:r>
      <w:r>
        <w:rPr>
          <w:rStyle w:val="awspan1"/>
        </w:rPr>
        <w:t xml:space="preserve">zásadou </w:t>
      </w:r>
      <w:r>
        <w:rPr>
          <w:rStyle w:val="awspan1"/>
        </w:rPr>
        <w:lastRenderedPageBreak/>
        <w:t>pravdivého</w:t>
      </w:r>
      <w:r>
        <w:rPr>
          <w:rStyle w:val="awspan1"/>
          <w:spacing w:val="42"/>
        </w:rPr>
        <w:t xml:space="preserve"> </w:t>
      </w:r>
      <w:r>
        <w:rPr>
          <w:rStyle w:val="awspan1"/>
        </w:rPr>
        <w:t>a verného</w:t>
      </w:r>
      <w:r>
        <w:rPr>
          <w:rStyle w:val="awspan1"/>
          <w:spacing w:val="42"/>
        </w:rPr>
        <w:t xml:space="preserve"> </w:t>
      </w:r>
      <w:r>
        <w:rPr>
          <w:rStyle w:val="awspan1"/>
        </w:rPr>
        <w:t>zobrazenia</w:t>
      </w:r>
      <w:r>
        <w:rPr>
          <w:rStyle w:val="awspan1"/>
          <w:spacing w:val="42"/>
        </w:rPr>
        <w:t xml:space="preserve"> </w:t>
      </w:r>
      <w:r>
        <w:rPr>
          <w:rStyle w:val="awspan1"/>
        </w:rPr>
        <w:t>aktív</w:t>
      </w:r>
      <w:r>
        <w:rPr>
          <w:rStyle w:val="awspan1"/>
          <w:spacing w:val="42"/>
        </w:rPr>
        <w:t xml:space="preserve"> </w:t>
      </w:r>
      <w:r>
        <w:rPr>
          <w:rStyle w:val="awspan1"/>
        </w:rPr>
        <w:t>a</w:t>
      </w:r>
      <w:r>
        <w:rPr>
          <w:rStyle w:val="awspan1"/>
          <w:spacing w:val="42"/>
        </w:rPr>
        <w:t xml:space="preserve"> </w:t>
      </w:r>
      <w:r>
        <w:rPr>
          <w:rStyle w:val="awspan1"/>
        </w:rPr>
        <w:t>pasív</w:t>
      </w:r>
      <w:r>
        <w:rPr>
          <w:rStyle w:val="awspan1"/>
          <w:spacing w:val="42"/>
        </w:rPr>
        <w:t xml:space="preserve"> </w:t>
      </w:r>
      <w:r>
        <w:rPr>
          <w:rStyle w:val="awspan1"/>
        </w:rPr>
        <w:t>si</w:t>
      </w:r>
      <w:r>
        <w:rPr>
          <w:rStyle w:val="awspan1"/>
          <w:spacing w:val="42"/>
        </w:rPr>
        <w:t xml:space="preserve"> </w:t>
      </w:r>
      <w:r>
        <w:rPr>
          <w:rStyle w:val="awspan1"/>
        </w:rPr>
        <w:t>však</w:t>
      </w:r>
      <w:r>
        <w:rPr>
          <w:rStyle w:val="awspan1"/>
          <w:spacing w:val="42"/>
        </w:rPr>
        <w:t xml:space="preserve"> </w:t>
      </w:r>
      <w:r>
        <w:rPr>
          <w:rStyle w:val="awspan1"/>
        </w:rPr>
        <w:t>vyžaduje,</w:t>
      </w:r>
      <w:r>
        <w:rPr>
          <w:rStyle w:val="awspan1"/>
          <w:spacing w:val="42"/>
        </w:rPr>
        <w:t xml:space="preserve"> </w:t>
      </w:r>
      <w:r>
        <w:rPr>
          <w:rStyle w:val="awspan1"/>
        </w:rPr>
        <w:t>aby</w:t>
      </w:r>
      <w:r>
        <w:rPr>
          <w:rStyle w:val="awspan1"/>
          <w:spacing w:val="42"/>
        </w:rPr>
        <w:t xml:space="preserve"> </w:t>
      </w:r>
      <w:r>
        <w:rPr>
          <w:rStyle w:val="awspan1"/>
        </w:rPr>
        <w:t>sa</w:t>
      </w:r>
      <w:r>
        <w:rPr>
          <w:rStyle w:val="awspan1"/>
          <w:spacing w:val="42"/>
        </w:rPr>
        <w:t xml:space="preserve"> </w:t>
      </w:r>
      <w:r>
        <w:rPr>
          <w:rStyle w:val="awspan1"/>
        </w:rPr>
        <w:t>v</w:t>
      </w:r>
      <w:r>
        <w:rPr>
          <w:rStyle w:val="awspan1"/>
          <w:spacing w:val="42"/>
        </w:rPr>
        <w:t xml:space="preserve"> </w:t>
      </w:r>
      <w:r>
        <w:rPr>
          <w:rStyle w:val="awspan1"/>
        </w:rPr>
        <w:t>ročnej účtovnej závierke uviedlo zaniknutie rizika, na ktoré sa vzťahuje toto ustanovenie.</w:t>
      </w:r>
    </w:p>
    <w:p w14:paraId="5328091D" w14:textId="77777777" w:rsidR="00096552" w:rsidRPr="00FD2C9D" w:rsidRDefault="00096552" w:rsidP="006D7D0A">
      <w:pPr>
        <w:pStyle w:val="Zarkazkladnhotextu"/>
        <w:numPr>
          <w:ilvl w:val="0"/>
          <w:numId w:val="8"/>
        </w:numPr>
        <w:spacing w:before="120"/>
        <w:ind w:left="709" w:hanging="283"/>
        <w:rPr>
          <w:rStyle w:val="awspan1"/>
        </w:rPr>
      </w:pPr>
      <w:r>
        <w:rPr>
          <w:rStyle w:val="awspan1"/>
        </w:rPr>
        <w:t>rozhodnutie</w:t>
      </w:r>
      <w:r>
        <w:rPr>
          <w:rStyle w:val="awspan1"/>
          <w:spacing w:val="79"/>
        </w:rPr>
        <w:t xml:space="preserve"> </w:t>
      </w:r>
      <w:r>
        <w:rPr>
          <w:rStyle w:val="awspan1"/>
        </w:rPr>
        <w:t>Súdneho</w:t>
      </w:r>
      <w:r>
        <w:rPr>
          <w:rStyle w:val="awspan1"/>
          <w:spacing w:val="79"/>
        </w:rPr>
        <w:t xml:space="preserve"> </w:t>
      </w:r>
      <w:r>
        <w:rPr>
          <w:rStyle w:val="awspan1"/>
        </w:rPr>
        <w:t>dvora</w:t>
      </w:r>
      <w:r>
        <w:rPr>
          <w:rStyle w:val="awspan1"/>
          <w:spacing w:val="79"/>
        </w:rPr>
        <w:t xml:space="preserve"> </w:t>
      </w:r>
      <w:r>
        <w:rPr>
          <w:rStyle w:val="awspan1"/>
        </w:rPr>
        <w:t>vo</w:t>
      </w:r>
      <w:r>
        <w:rPr>
          <w:rStyle w:val="awspan1"/>
          <w:spacing w:val="79"/>
        </w:rPr>
        <w:t xml:space="preserve"> </w:t>
      </w:r>
      <w:r>
        <w:rPr>
          <w:rStyle w:val="awspan1"/>
        </w:rPr>
        <w:t>veci</w:t>
      </w:r>
      <w:r>
        <w:rPr>
          <w:rStyle w:val="awspan1"/>
          <w:spacing w:val="79"/>
        </w:rPr>
        <w:t xml:space="preserve"> </w:t>
      </w:r>
      <w:r>
        <w:rPr>
          <w:rStyle w:val="awspan1"/>
        </w:rPr>
        <w:t>C</w:t>
      </w:r>
      <w:r>
        <w:rPr>
          <w:rStyle w:val="awspan1"/>
          <w:spacing w:val="79"/>
        </w:rPr>
        <w:t xml:space="preserve"> </w:t>
      </w:r>
      <w:r>
        <w:rPr>
          <w:rStyle w:val="awspan1"/>
        </w:rPr>
        <w:t>–</w:t>
      </w:r>
      <w:r>
        <w:rPr>
          <w:rStyle w:val="awspan1"/>
          <w:spacing w:val="79"/>
        </w:rPr>
        <w:t xml:space="preserve"> </w:t>
      </w:r>
      <w:r>
        <w:rPr>
          <w:rStyle w:val="awspan1"/>
        </w:rPr>
        <w:t>528/12,</w:t>
      </w:r>
      <w:r>
        <w:rPr>
          <w:rStyle w:val="awspan1"/>
          <w:spacing w:val="79"/>
        </w:rPr>
        <w:t xml:space="preserve"> </w:t>
      </w:r>
      <w:r>
        <w:rPr>
          <w:rStyle w:val="awspan1"/>
        </w:rPr>
        <w:t>Mömax</w:t>
      </w:r>
      <w:r>
        <w:rPr>
          <w:rStyle w:val="awspan1"/>
          <w:spacing w:val="79"/>
        </w:rPr>
        <w:t xml:space="preserve"> </w:t>
      </w:r>
      <w:r>
        <w:rPr>
          <w:rStyle w:val="awspan1"/>
        </w:rPr>
        <w:t>Logistik</w:t>
      </w:r>
      <w:r>
        <w:rPr>
          <w:rStyle w:val="awspan1"/>
          <w:spacing w:val="79"/>
        </w:rPr>
        <w:t xml:space="preserve"> </w:t>
      </w:r>
      <w:r>
        <w:rPr>
          <w:rStyle w:val="awspan1"/>
        </w:rPr>
        <w:t>GmbH</w:t>
      </w:r>
      <w:r>
        <w:rPr>
          <w:rStyle w:val="awspan1"/>
          <w:spacing w:val="79"/>
        </w:rPr>
        <w:t xml:space="preserve"> </w:t>
      </w:r>
      <w:r>
        <w:rPr>
          <w:rStyle w:val="awspan1"/>
        </w:rPr>
        <w:t>proti Bundesamt für Justiz [2014].</w:t>
      </w:r>
    </w:p>
    <w:p w14:paraId="41F2834A" w14:textId="77777777" w:rsidR="00096552" w:rsidRPr="00FD2C9D" w:rsidRDefault="00096552" w:rsidP="006D7D0A">
      <w:pPr>
        <w:pStyle w:val="Zarkazkladnhotextu"/>
        <w:spacing w:before="120"/>
        <w:ind w:left="709" w:firstLine="0"/>
        <w:rPr>
          <w:rStyle w:val="awspan1"/>
        </w:rPr>
      </w:pPr>
      <w:r>
        <w:rPr>
          <w:rStyle w:val="awspan1"/>
        </w:rPr>
        <w:t>Výrok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 xml:space="preserve">rozhodnutia: </w:t>
      </w:r>
    </w:p>
    <w:p w14:paraId="7F538113" w14:textId="6471B701" w:rsidR="00BD21C3" w:rsidRDefault="00096552" w:rsidP="006D7D0A">
      <w:pPr>
        <w:pStyle w:val="Zarkazkladnhotextu"/>
        <w:spacing w:after="120"/>
        <w:ind w:left="709" w:firstLine="0"/>
        <w:rPr>
          <w:rStyle w:val="awspan1"/>
        </w:rPr>
      </w:pPr>
      <w:r>
        <w:rPr>
          <w:rStyle w:val="awspan1"/>
        </w:rPr>
        <w:t>Článok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>57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>štvrtej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>smernice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>Rady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>78/660/EHS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>z 25.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>júla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>1978 o ročnej</w:t>
      </w:r>
      <w:r>
        <w:rPr>
          <w:rStyle w:val="awspan1"/>
          <w:spacing w:val="22"/>
        </w:rPr>
        <w:t xml:space="preserve"> </w:t>
      </w:r>
      <w:r>
        <w:rPr>
          <w:rStyle w:val="awspan1"/>
        </w:rPr>
        <w:t>účtovnej</w:t>
      </w:r>
      <w:r>
        <w:rPr>
          <w:rStyle w:val="awspan1"/>
          <w:spacing w:val="22"/>
        </w:rPr>
        <w:t xml:space="preserve"> </w:t>
      </w:r>
      <w:r>
        <w:rPr>
          <w:rStyle w:val="awspan1"/>
        </w:rPr>
        <w:t>závierke</w:t>
      </w:r>
      <w:r>
        <w:rPr>
          <w:rStyle w:val="awspan1"/>
          <w:spacing w:val="22"/>
        </w:rPr>
        <w:t xml:space="preserve"> </w:t>
      </w:r>
      <w:r>
        <w:rPr>
          <w:rStyle w:val="awspan1"/>
        </w:rPr>
        <w:t>niektorých</w:t>
      </w:r>
      <w:r>
        <w:rPr>
          <w:rStyle w:val="awspan1"/>
          <w:spacing w:val="22"/>
        </w:rPr>
        <w:t xml:space="preserve"> </w:t>
      </w:r>
      <w:r>
        <w:rPr>
          <w:rStyle w:val="awspan1"/>
        </w:rPr>
        <w:t>typov</w:t>
      </w:r>
      <w:r>
        <w:rPr>
          <w:rStyle w:val="awspan1"/>
          <w:spacing w:val="22"/>
        </w:rPr>
        <w:t xml:space="preserve"> </w:t>
      </w:r>
      <w:r>
        <w:rPr>
          <w:rStyle w:val="awspan1"/>
        </w:rPr>
        <w:t>spoločností,</w:t>
      </w:r>
      <w:r>
        <w:rPr>
          <w:rStyle w:val="awspan1"/>
          <w:spacing w:val="22"/>
        </w:rPr>
        <w:t xml:space="preserve"> </w:t>
      </w:r>
      <w:r>
        <w:rPr>
          <w:rStyle w:val="awspan1"/>
        </w:rPr>
        <w:t>vychádzajúcej</w:t>
      </w:r>
      <w:r>
        <w:rPr>
          <w:rStyle w:val="awspan1"/>
          <w:spacing w:val="22"/>
        </w:rPr>
        <w:t xml:space="preserve"> </w:t>
      </w:r>
      <w:r>
        <w:rPr>
          <w:rStyle w:val="awspan1"/>
        </w:rPr>
        <w:t>z článku</w:t>
      </w:r>
      <w:r>
        <w:rPr>
          <w:rStyle w:val="awspan1"/>
          <w:spacing w:val="22"/>
        </w:rPr>
        <w:t xml:space="preserve"> </w:t>
      </w:r>
      <w:r>
        <w:rPr>
          <w:rStyle w:val="awspan1"/>
        </w:rPr>
        <w:t>54 ods.</w:t>
      </w:r>
      <w:r>
        <w:rPr>
          <w:rStyle w:val="awspan1"/>
          <w:spacing w:val="43"/>
        </w:rPr>
        <w:t xml:space="preserve"> </w:t>
      </w:r>
      <w:r>
        <w:rPr>
          <w:rStyle w:val="awspan1"/>
        </w:rPr>
        <w:t>3</w:t>
      </w:r>
      <w:r>
        <w:rPr>
          <w:rStyle w:val="awspan1"/>
          <w:spacing w:val="43"/>
        </w:rPr>
        <w:t xml:space="preserve"> </w:t>
      </w:r>
      <w:r>
        <w:rPr>
          <w:rStyle w:val="awspan1"/>
        </w:rPr>
        <w:t>písm.</w:t>
      </w:r>
      <w:r>
        <w:rPr>
          <w:rStyle w:val="awspan1"/>
          <w:spacing w:val="43"/>
        </w:rPr>
        <w:t xml:space="preserve"> </w:t>
      </w:r>
      <w:r>
        <w:rPr>
          <w:rStyle w:val="awspan1"/>
        </w:rPr>
        <w:t>g)</w:t>
      </w:r>
      <w:r>
        <w:rPr>
          <w:rStyle w:val="awspan1"/>
          <w:spacing w:val="43"/>
        </w:rPr>
        <w:t xml:space="preserve"> </w:t>
      </w:r>
      <w:r>
        <w:rPr>
          <w:rStyle w:val="awspan1"/>
        </w:rPr>
        <w:t>zmluvy,</w:t>
      </w:r>
      <w:r>
        <w:rPr>
          <w:rStyle w:val="awspan1"/>
          <w:spacing w:val="43"/>
        </w:rPr>
        <w:t xml:space="preserve"> </w:t>
      </w:r>
      <w:r>
        <w:rPr>
          <w:rStyle w:val="awspan1"/>
        </w:rPr>
        <w:t>zmenenej</w:t>
      </w:r>
      <w:r>
        <w:rPr>
          <w:rStyle w:val="awspan1"/>
          <w:spacing w:val="43"/>
        </w:rPr>
        <w:t xml:space="preserve"> </w:t>
      </w:r>
      <w:r>
        <w:rPr>
          <w:rStyle w:val="awspan1"/>
        </w:rPr>
        <w:t>a doplnenej</w:t>
      </w:r>
      <w:r>
        <w:rPr>
          <w:rStyle w:val="awspan1"/>
          <w:spacing w:val="43"/>
        </w:rPr>
        <w:t xml:space="preserve"> </w:t>
      </w:r>
      <w:r>
        <w:rPr>
          <w:rStyle w:val="awspan1"/>
        </w:rPr>
        <w:t>smernicou</w:t>
      </w:r>
      <w:r>
        <w:rPr>
          <w:rStyle w:val="awspan1"/>
          <w:spacing w:val="43"/>
        </w:rPr>
        <w:t xml:space="preserve"> </w:t>
      </w:r>
      <w:r>
        <w:rPr>
          <w:rStyle w:val="awspan1"/>
        </w:rPr>
        <w:t>Európskeho</w:t>
      </w:r>
      <w:r>
        <w:rPr>
          <w:rStyle w:val="awspan1"/>
          <w:spacing w:val="43"/>
        </w:rPr>
        <w:t xml:space="preserve"> </w:t>
      </w:r>
      <w:r>
        <w:rPr>
          <w:rStyle w:val="awspan1"/>
        </w:rPr>
        <w:t>Parlamentu a Rady</w:t>
      </w:r>
      <w:r>
        <w:rPr>
          <w:rStyle w:val="awspan1"/>
          <w:spacing w:val="72"/>
        </w:rPr>
        <w:t xml:space="preserve"> </w:t>
      </w:r>
      <w:r>
        <w:rPr>
          <w:rStyle w:val="awspan1"/>
        </w:rPr>
        <w:t>2006/46/ES</w:t>
      </w:r>
      <w:r>
        <w:rPr>
          <w:rStyle w:val="awspan1"/>
          <w:spacing w:val="72"/>
        </w:rPr>
        <w:t xml:space="preserve"> </w:t>
      </w:r>
      <w:r>
        <w:rPr>
          <w:rStyle w:val="awspan1"/>
        </w:rPr>
        <w:t>zo</w:t>
      </w:r>
      <w:r>
        <w:rPr>
          <w:rStyle w:val="awspan1"/>
          <w:spacing w:val="72"/>
        </w:rPr>
        <w:t xml:space="preserve"> </w:t>
      </w:r>
      <w:r>
        <w:rPr>
          <w:rStyle w:val="awspan1"/>
        </w:rPr>
        <w:t>14.</w:t>
      </w:r>
      <w:r>
        <w:rPr>
          <w:rStyle w:val="awspan1"/>
          <w:spacing w:val="72"/>
        </w:rPr>
        <w:t xml:space="preserve"> </w:t>
      </w:r>
      <w:r>
        <w:rPr>
          <w:rStyle w:val="awspan1"/>
        </w:rPr>
        <w:t>júna</w:t>
      </w:r>
      <w:r>
        <w:rPr>
          <w:rStyle w:val="awspan1"/>
          <w:spacing w:val="72"/>
        </w:rPr>
        <w:t xml:space="preserve"> </w:t>
      </w:r>
      <w:r>
        <w:rPr>
          <w:rStyle w:val="awspan1"/>
        </w:rPr>
        <w:t>2006,</w:t>
      </w:r>
      <w:r>
        <w:rPr>
          <w:rStyle w:val="awspan1"/>
          <w:spacing w:val="72"/>
        </w:rPr>
        <w:t xml:space="preserve"> </w:t>
      </w:r>
      <w:r>
        <w:rPr>
          <w:rStyle w:val="awspan1"/>
        </w:rPr>
        <w:t>sa</w:t>
      </w:r>
      <w:r>
        <w:rPr>
          <w:rStyle w:val="awspan1"/>
          <w:spacing w:val="72"/>
        </w:rPr>
        <w:t xml:space="preserve"> </w:t>
      </w:r>
      <w:r>
        <w:rPr>
          <w:rStyle w:val="awspan1"/>
        </w:rPr>
        <w:t>má</w:t>
      </w:r>
      <w:r>
        <w:rPr>
          <w:rStyle w:val="awspan1"/>
          <w:spacing w:val="72"/>
        </w:rPr>
        <w:t xml:space="preserve"> </w:t>
      </w:r>
      <w:r>
        <w:rPr>
          <w:rStyle w:val="awspan1"/>
        </w:rPr>
        <w:t>vykladať</w:t>
      </w:r>
      <w:r>
        <w:rPr>
          <w:rStyle w:val="awspan1"/>
          <w:spacing w:val="72"/>
        </w:rPr>
        <w:t xml:space="preserve"> </w:t>
      </w:r>
      <w:r>
        <w:rPr>
          <w:rStyle w:val="awspan1"/>
        </w:rPr>
        <w:t>v tom</w:t>
      </w:r>
      <w:r>
        <w:rPr>
          <w:rStyle w:val="awspan1"/>
          <w:spacing w:val="72"/>
        </w:rPr>
        <w:t xml:space="preserve"> </w:t>
      </w:r>
      <w:r>
        <w:rPr>
          <w:rStyle w:val="awspan1"/>
        </w:rPr>
        <w:t>zmysle,</w:t>
      </w:r>
      <w:r>
        <w:rPr>
          <w:rStyle w:val="awspan1"/>
          <w:spacing w:val="72"/>
        </w:rPr>
        <w:t xml:space="preserve"> </w:t>
      </w:r>
      <w:r>
        <w:rPr>
          <w:rStyle w:val="awspan1"/>
        </w:rPr>
        <w:t>že</w:t>
      </w:r>
      <w:r>
        <w:rPr>
          <w:rStyle w:val="awspan1"/>
          <w:spacing w:val="72"/>
        </w:rPr>
        <w:t xml:space="preserve"> </w:t>
      </w:r>
      <w:r>
        <w:rPr>
          <w:rStyle w:val="awspan1"/>
        </w:rPr>
        <w:t>bráni vnútroštátnej</w:t>
      </w:r>
      <w:r>
        <w:rPr>
          <w:rStyle w:val="awspan1"/>
          <w:spacing w:val="10"/>
        </w:rPr>
        <w:t xml:space="preserve"> </w:t>
      </w:r>
      <w:r>
        <w:rPr>
          <w:rStyle w:val="awspan1"/>
        </w:rPr>
        <w:t>právnej</w:t>
      </w:r>
      <w:r>
        <w:rPr>
          <w:rStyle w:val="awspan1"/>
          <w:spacing w:val="10"/>
        </w:rPr>
        <w:t xml:space="preserve"> </w:t>
      </w:r>
      <w:r>
        <w:rPr>
          <w:rStyle w:val="awspan1"/>
        </w:rPr>
        <w:t>úprave</w:t>
      </w:r>
      <w:r>
        <w:rPr>
          <w:rStyle w:val="awspan1"/>
          <w:spacing w:val="10"/>
        </w:rPr>
        <w:t xml:space="preserve"> </w:t>
      </w:r>
      <w:r>
        <w:rPr>
          <w:rStyle w:val="awspan1"/>
        </w:rPr>
        <w:t>členského</w:t>
      </w:r>
      <w:r>
        <w:rPr>
          <w:rStyle w:val="awspan1"/>
          <w:spacing w:val="10"/>
        </w:rPr>
        <w:t xml:space="preserve"> </w:t>
      </w:r>
      <w:r>
        <w:rPr>
          <w:rStyle w:val="awspan1"/>
        </w:rPr>
        <w:t>štátu,</w:t>
      </w:r>
      <w:r>
        <w:rPr>
          <w:rStyle w:val="awspan1"/>
          <w:spacing w:val="10"/>
        </w:rPr>
        <w:t xml:space="preserve"> </w:t>
      </w:r>
      <w:r>
        <w:rPr>
          <w:rStyle w:val="awspan1"/>
        </w:rPr>
        <w:t>podľa</w:t>
      </w:r>
      <w:r>
        <w:rPr>
          <w:rStyle w:val="awspan1"/>
          <w:spacing w:val="10"/>
        </w:rPr>
        <w:t xml:space="preserve"> </w:t>
      </w:r>
      <w:r>
        <w:rPr>
          <w:rStyle w:val="awspan1"/>
        </w:rPr>
        <w:t>ktorej</w:t>
      </w:r>
      <w:r>
        <w:rPr>
          <w:rStyle w:val="awspan1"/>
          <w:spacing w:val="10"/>
        </w:rPr>
        <w:t xml:space="preserve"> </w:t>
      </w:r>
      <w:r>
        <w:rPr>
          <w:rStyle w:val="awspan1"/>
        </w:rPr>
        <w:t>sa</w:t>
      </w:r>
      <w:r>
        <w:rPr>
          <w:rStyle w:val="awspan1"/>
          <w:spacing w:val="10"/>
        </w:rPr>
        <w:t xml:space="preserve"> </w:t>
      </w:r>
      <w:r>
        <w:rPr>
          <w:rStyle w:val="awspan1"/>
        </w:rPr>
        <w:t>na</w:t>
      </w:r>
      <w:r>
        <w:rPr>
          <w:rStyle w:val="awspan1"/>
          <w:spacing w:val="10"/>
        </w:rPr>
        <w:t xml:space="preserve"> </w:t>
      </w:r>
      <w:r>
        <w:rPr>
          <w:rStyle w:val="awspan1"/>
        </w:rPr>
        <w:t>dcérsku</w:t>
      </w:r>
      <w:r>
        <w:rPr>
          <w:rStyle w:val="awspan1"/>
          <w:spacing w:val="10"/>
        </w:rPr>
        <w:t xml:space="preserve"> </w:t>
      </w:r>
      <w:r>
        <w:rPr>
          <w:rStyle w:val="awspan1"/>
        </w:rPr>
        <w:t>spoločnosť, ktorá</w:t>
      </w:r>
      <w:r>
        <w:rPr>
          <w:rStyle w:val="awspan1"/>
          <w:spacing w:val="6"/>
        </w:rPr>
        <w:t xml:space="preserve"> </w:t>
      </w:r>
      <w:r>
        <w:rPr>
          <w:rStyle w:val="awspan1"/>
        </w:rPr>
        <w:t>sa</w:t>
      </w:r>
      <w:r>
        <w:rPr>
          <w:rStyle w:val="awspan1"/>
          <w:spacing w:val="6"/>
        </w:rPr>
        <w:t xml:space="preserve"> </w:t>
      </w:r>
      <w:r>
        <w:rPr>
          <w:rStyle w:val="awspan1"/>
        </w:rPr>
        <w:t>spravuje</w:t>
      </w:r>
      <w:r>
        <w:rPr>
          <w:rStyle w:val="awspan1"/>
          <w:spacing w:val="6"/>
        </w:rPr>
        <w:t xml:space="preserve"> </w:t>
      </w:r>
      <w:r>
        <w:rPr>
          <w:rStyle w:val="awspan1"/>
        </w:rPr>
        <w:t>právnymi</w:t>
      </w:r>
      <w:r>
        <w:rPr>
          <w:rStyle w:val="awspan1"/>
          <w:spacing w:val="6"/>
        </w:rPr>
        <w:t xml:space="preserve"> </w:t>
      </w:r>
      <w:r>
        <w:rPr>
          <w:rStyle w:val="awspan1"/>
        </w:rPr>
        <w:t>predpismi</w:t>
      </w:r>
      <w:r>
        <w:rPr>
          <w:rStyle w:val="awspan1"/>
          <w:spacing w:val="6"/>
        </w:rPr>
        <w:t xml:space="preserve"> </w:t>
      </w:r>
      <w:r>
        <w:rPr>
          <w:rStyle w:val="awspan1"/>
        </w:rPr>
        <w:t>tohto</w:t>
      </w:r>
      <w:r>
        <w:rPr>
          <w:rStyle w:val="awspan1"/>
          <w:spacing w:val="6"/>
        </w:rPr>
        <w:t xml:space="preserve"> </w:t>
      </w:r>
      <w:r>
        <w:rPr>
          <w:rStyle w:val="awspan1"/>
        </w:rPr>
        <w:t>členského</w:t>
      </w:r>
      <w:r>
        <w:rPr>
          <w:rStyle w:val="awspan1"/>
          <w:spacing w:val="6"/>
        </w:rPr>
        <w:t xml:space="preserve"> </w:t>
      </w:r>
      <w:r>
        <w:rPr>
          <w:rStyle w:val="awspan1"/>
        </w:rPr>
        <w:t>štátu,</w:t>
      </w:r>
      <w:r>
        <w:rPr>
          <w:rStyle w:val="awspan1"/>
          <w:spacing w:val="6"/>
        </w:rPr>
        <w:t xml:space="preserve"> </w:t>
      </w:r>
      <w:r>
        <w:rPr>
          <w:rStyle w:val="awspan1"/>
        </w:rPr>
        <w:t>neuplatňujú</w:t>
      </w:r>
      <w:r>
        <w:rPr>
          <w:rStyle w:val="awspan1"/>
          <w:spacing w:val="6"/>
        </w:rPr>
        <w:t xml:space="preserve"> </w:t>
      </w:r>
      <w:r>
        <w:rPr>
          <w:rStyle w:val="awspan1"/>
        </w:rPr>
        <w:t>ustanovenia uvedenej</w:t>
      </w:r>
      <w:r>
        <w:rPr>
          <w:rStyle w:val="awspan1"/>
          <w:spacing w:val="76"/>
        </w:rPr>
        <w:t xml:space="preserve"> </w:t>
      </w:r>
      <w:r>
        <w:rPr>
          <w:rStyle w:val="awspan1"/>
        </w:rPr>
        <w:t>smernice</w:t>
      </w:r>
      <w:r>
        <w:rPr>
          <w:rStyle w:val="awspan1"/>
          <w:spacing w:val="76"/>
        </w:rPr>
        <w:t xml:space="preserve"> </w:t>
      </w:r>
      <w:r>
        <w:rPr>
          <w:rStyle w:val="awspan1"/>
        </w:rPr>
        <w:t>týkajúce</w:t>
      </w:r>
      <w:r>
        <w:rPr>
          <w:rStyle w:val="awspan1"/>
          <w:spacing w:val="76"/>
        </w:rPr>
        <w:t xml:space="preserve"> </w:t>
      </w:r>
      <w:r>
        <w:rPr>
          <w:rStyle w:val="awspan1"/>
        </w:rPr>
        <w:t>sa</w:t>
      </w:r>
      <w:r>
        <w:rPr>
          <w:rStyle w:val="awspan1"/>
          <w:spacing w:val="76"/>
        </w:rPr>
        <w:t xml:space="preserve"> </w:t>
      </w:r>
      <w:r>
        <w:rPr>
          <w:rStyle w:val="awspan1"/>
        </w:rPr>
        <w:t>obsahu,</w:t>
      </w:r>
      <w:r>
        <w:rPr>
          <w:rStyle w:val="awspan1"/>
          <w:spacing w:val="76"/>
        </w:rPr>
        <w:t xml:space="preserve"> </w:t>
      </w:r>
      <w:r>
        <w:rPr>
          <w:rStyle w:val="awspan1"/>
        </w:rPr>
        <w:t>auditu</w:t>
      </w:r>
      <w:r>
        <w:rPr>
          <w:rStyle w:val="awspan1"/>
          <w:spacing w:val="76"/>
        </w:rPr>
        <w:t xml:space="preserve"> </w:t>
      </w:r>
      <w:r>
        <w:rPr>
          <w:rStyle w:val="awspan1"/>
        </w:rPr>
        <w:t>a zverejnenia</w:t>
      </w:r>
      <w:r>
        <w:rPr>
          <w:rStyle w:val="awspan1"/>
          <w:spacing w:val="76"/>
        </w:rPr>
        <w:t xml:space="preserve"> </w:t>
      </w:r>
      <w:r>
        <w:rPr>
          <w:rStyle w:val="awspan1"/>
        </w:rPr>
        <w:t>ročných</w:t>
      </w:r>
      <w:r>
        <w:rPr>
          <w:rStyle w:val="awspan1"/>
          <w:spacing w:val="76"/>
        </w:rPr>
        <w:t xml:space="preserve"> </w:t>
      </w:r>
      <w:r>
        <w:rPr>
          <w:rStyle w:val="awspan1"/>
        </w:rPr>
        <w:t>účtovných závierok,</w:t>
      </w:r>
      <w:r>
        <w:rPr>
          <w:rStyle w:val="awspan1"/>
          <w:spacing w:val="1"/>
        </w:rPr>
        <w:t xml:space="preserve"> </w:t>
      </w:r>
      <w:r>
        <w:rPr>
          <w:rStyle w:val="awspan1"/>
        </w:rPr>
        <w:t>iba</w:t>
      </w:r>
      <w:r>
        <w:rPr>
          <w:rStyle w:val="awspan1"/>
          <w:spacing w:val="1"/>
        </w:rPr>
        <w:t xml:space="preserve"> </w:t>
      </w:r>
      <w:r>
        <w:rPr>
          <w:rStyle w:val="awspan1"/>
        </w:rPr>
        <w:t>ak</w:t>
      </w:r>
      <w:r>
        <w:rPr>
          <w:rStyle w:val="awspan1"/>
          <w:spacing w:val="1"/>
        </w:rPr>
        <w:t xml:space="preserve"> </w:t>
      </w:r>
      <w:r>
        <w:rPr>
          <w:rStyle w:val="awspan1"/>
        </w:rPr>
        <w:t>sa</w:t>
      </w:r>
      <w:r>
        <w:rPr>
          <w:rStyle w:val="awspan1"/>
          <w:spacing w:val="1"/>
        </w:rPr>
        <w:t xml:space="preserve"> </w:t>
      </w:r>
      <w:r>
        <w:rPr>
          <w:rStyle w:val="awspan1"/>
        </w:rPr>
        <w:t>materská</w:t>
      </w:r>
      <w:r>
        <w:rPr>
          <w:rStyle w:val="awspan1"/>
          <w:spacing w:val="1"/>
        </w:rPr>
        <w:t xml:space="preserve"> </w:t>
      </w:r>
      <w:r>
        <w:rPr>
          <w:rStyle w:val="awspan1"/>
        </w:rPr>
        <w:t>spoločnosť</w:t>
      </w:r>
      <w:r>
        <w:rPr>
          <w:rStyle w:val="awspan1"/>
          <w:spacing w:val="1"/>
        </w:rPr>
        <w:t xml:space="preserve"> </w:t>
      </w:r>
      <w:r>
        <w:rPr>
          <w:rStyle w:val="awspan1"/>
        </w:rPr>
        <w:t>tiež</w:t>
      </w:r>
      <w:r>
        <w:rPr>
          <w:rStyle w:val="awspan1"/>
          <w:spacing w:val="1"/>
        </w:rPr>
        <w:t xml:space="preserve"> </w:t>
      </w:r>
      <w:r>
        <w:rPr>
          <w:rStyle w:val="awspan1"/>
        </w:rPr>
        <w:t>spravuje</w:t>
      </w:r>
      <w:r>
        <w:rPr>
          <w:rStyle w:val="awspan1"/>
          <w:spacing w:val="1"/>
        </w:rPr>
        <w:t xml:space="preserve"> </w:t>
      </w:r>
      <w:r>
        <w:rPr>
          <w:rStyle w:val="awspan1"/>
        </w:rPr>
        <w:t>právnymi</w:t>
      </w:r>
      <w:r>
        <w:rPr>
          <w:rStyle w:val="awspan1"/>
          <w:spacing w:val="1"/>
        </w:rPr>
        <w:t xml:space="preserve"> </w:t>
      </w:r>
      <w:r>
        <w:rPr>
          <w:rStyle w:val="awspan1"/>
        </w:rPr>
        <w:t>predpismi</w:t>
      </w:r>
      <w:r>
        <w:rPr>
          <w:rStyle w:val="awspan1"/>
          <w:spacing w:val="1"/>
        </w:rPr>
        <w:t xml:space="preserve"> </w:t>
      </w:r>
      <w:r>
        <w:rPr>
          <w:rStyle w:val="awspan1"/>
        </w:rPr>
        <w:t>uvedeného štátu.</w:t>
      </w:r>
    </w:p>
    <w:p w14:paraId="5D224F09" w14:textId="108B6E58" w:rsidR="00BD21C3" w:rsidRDefault="00BD21C3" w:rsidP="00930CC1">
      <w:pPr>
        <w:pStyle w:val="Zarkazkladnhotextu"/>
        <w:numPr>
          <w:ilvl w:val="0"/>
          <w:numId w:val="8"/>
        </w:numPr>
        <w:spacing w:after="120"/>
        <w:ind w:left="709"/>
        <w:rPr>
          <w:rStyle w:val="awspan1"/>
        </w:rPr>
      </w:pPr>
      <w:r w:rsidRPr="00BD21C3">
        <w:rPr>
          <w:rStyle w:val="awspan1"/>
        </w:rPr>
        <w:t>rozhodnutie Súdneho dvora vo veci C-322/12, État belge proti GIMLE SA [2013].</w:t>
      </w:r>
    </w:p>
    <w:p w14:paraId="02D030A6" w14:textId="77777777" w:rsidR="00BD21C3" w:rsidRPr="00FD2C9D" w:rsidRDefault="00BD21C3" w:rsidP="00930CC1">
      <w:pPr>
        <w:pStyle w:val="Zarkazkladnhotextu"/>
        <w:spacing w:before="120"/>
        <w:ind w:left="709" w:hanging="1"/>
        <w:rPr>
          <w:rStyle w:val="awspan1"/>
        </w:rPr>
      </w:pPr>
      <w:r>
        <w:rPr>
          <w:rStyle w:val="awspan1"/>
        </w:rPr>
        <w:t>Výrok</w:t>
      </w:r>
      <w:r>
        <w:rPr>
          <w:rStyle w:val="awspan1"/>
          <w:spacing w:val="40"/>
        </w:rPr>
        <w:t xml:space="preserve"> </w:t>
      </w:r>
      <w:r>
        <w:rPr>
          <w:rStyle w:val="awspan1"/>
        </w:rPr>
        <w:t xml:space="preserve">rozhodnutia: </w:t>
      </w:r>
    </w:p>
    <w:p w14:paraId="4DB60982" w14:textId="77777777" w:rsidR="00BD21C3" w:rsidRDefault="00BD21C3" w:rsidP="00930CC1">
      <w:pPr>
        <w:pStyle w:val="Zarkazkladnhotextu"/>
        <w:spacing w:after="120"/>
        <w:ind w:left="709" w:hanging="283"/>
        <w:rPr>
          <w:rStyle w:val="awspan1"/>
        </w:rPr>
      </w:pPr>
    </w:p>
    <w:p w14:paraId="76408DAC" w14:textId="7E72A838" w:rsidR="00BD21C3" w:rsidRPr="00930CC1" w:rsidRDefault="00BD21C3" w:rsidP="00930CC1">
      <w:pPr>
        <w:pStyle w:val="Zarkazkladnhotextu"/>
        <w:spacing w:after="120"/>
        <w:ind w:left="709" w:hanging="1"/>
        <w:rPr>
          <w:color w:val="000000"/>
          <w:szCs w:val="24"/>
        </w:rPr>
      </w:pPr>
      <w:r w:rsidRPr="00930CC1">
        <w:rPr>
          <w:color w:val="000000"/>
          <w:szCs w:val="24"/>
        </w:rPr>
        <w:t>Zásada verného a pravdivého obrazu upravená v článku 2 ods. 3 až 5 štvrtej smernice Rady 78/660/EHS z 25. júla 1978 o ročnej účtovnej závierke niektorých typov spoločností, vychádzajúcej z článku [44 ods. 2 písm. g) ES], neumožňuje uplatniť výnimku z oceňovania aktív na základe ich obstarávacej ceny alebo výrobných nákladov stanoveného v článku 32 tejto smernice v prospech oceňovania na základe ich skutočnej hodnoty, pokiaľ sú obstarávacia cena alebo výrobné náklady týchto aktív zjavne nižšie než ich skutočná hodnota.</w:t>
      </w:r>
    </w:p>
    <w:p w14:paraId="0DB1EBDE" w14:textId="77777777" w:rsidR="00096552" w:rsidRPr="00FD2C9D" w:rsidRDefault="00096552" w:rsidP="006D7D0A">
      <w:pPr>
        <w:numPr>
          <w:ilvl w:val="0"/>
          <w:numId w:val="2"/>
        </w:numPr>
        <w:spacing w:after="120"/>
        <w:jc w:val="both"/>
        <w:rPr>
          <w:b/>
          <w:bCs/>
        </w:rPr>
      </w:pPr>
      <w:r>
        <w:rPr>
          <w:b/>
          <w:bCs/>
        </w:rPr>
        <w:t>Záväzky Slovenskej republiky vo vzťahu k Európskej únii:</w:t>
      </w:r>
    </w:p>
    <w:p w14:paraId="60298E5A" w14:textId="6CA59AAC" w:rsidR="00433DEC" w:rsidRDefault="0089548A" w:rsidP="006D7D0A">
      <w:pPr>
        <w:numPr>
          <w:ilvl w:val="0"/>
          <w:numId w:val="5"/>
        </w:numPr>
        <w:tabs>
          <w:tab w:val="clear" w:pos="720"/>
          <w:tab w:val="num" w:pos="426"/>
        </w:tabs>
        <w:ind w:left="425" w:hanging="425"/>
        <w:jc w:val="both"/>
        <w:rPr>
          <w:lang w:eastAsia="cs-CZ"/>
        </w:rPr>
      </w:pPr>
      <w:r>
        <w:rPr>
          <w:lang w:eastAsia="cs-CZ"/>
        </w:rPr>
        <w:t>Lehota na prebratie smernice (EÚ) 2026/470 bola určená do 19. marca 2027 na dosiahnutie súladu s článkami 1, 2 a 3 a 26. júla 2028 na dosiahnutie súladu s článkom 4.</w:t>
      </w:r>
    </w:p>
    <w:p w14:paraId="5FE48476" w14:textId="184B438F" w:rsidR="003D3520" w:rsidRDefault="003D3520" w:rsidP="006D7D0A">
      <w:pPr>
        <w:ind w:left="425"/>
        <w:jc w:val="both"/>
        <w:rPr>
          <w:lang w:eastAsia="cs-CZ"/>
        </w:rPr>
      </w:pPr>
      <w:r>
        <w:rPr>
          <w:lang w:eastAsia="cs-CZ"/>
        </w:rPr>
        <w:t>Lehota na prebratie smernice (EÚ) 2023/2864</w:t>
      </w:r>
      <w:r w:rsidR="00840F8E" w:rsidRPr="00840F8E">
        <w:t xml:space="preserve"> </w:t>
      </w:r>
      <w:r w:rsidR="00840F8E" w:rsidRPr="00840F8E">
        <w:rPr>
          <w:lang w:eastAsia="cs-CZ"/>
        </w:rPr>
        <w:t>v platnom znení</w:t>
      </w:r>
      <w:r>
        <w:rPr>
          <w:lang w:eastAsia="cs-CZ"/>
        </w:rPr>
        <w:t xml:space="preserve"> bola určená do 10. júla 2025 na dosiahnutie súladu s článkom 3 a 10. januára 2026 na dosiahnutie súladu s touto smernicou.</w:t>
      </w:r>
    </w:p>
    <w:p w14:paraId="3F3527BE" w14:textId="71FD30C0" w:rsidR="00A66641" w:rsidRPr="00FD2C9D" w:rsidRDefault="00A66641" w:rsidP="006D7D0A">
      <w:pPr>
        <w:ind w:left="425"/>
        <w:jc w:val="both"/>
        <w:rPr>
          <w:lang w:eastAsia="cs-CZ"/>
        </w:rPr>
      </w:pPr>
      <w:r>
        <w:rPr>
          <w:lang w:eastAsia="cs-CZ"/>
        </w:rPr>
        <w:t xml:space="preserve">Lehota na prebratie smernice (EÚ) 2022/2464 </w:t>
      </w:r>
      <w:r w:rsidR="00840F8E" w:rsidRPr="00840F8E">
        <w:rPr>
          <w:lang w:eastAsia="cs-CZ"/>
        </w:rPr>
        <w:t xml:space="preserve">v platnom znení </w:t>
      </w:r>
      <w:r>
        <w:rPr>
          <w:lang w:eastAsia="cs-CZ"/>
        </w:rPr>
        <w:t>bola určená do 6. júla 2024.</w:t>
      </w:r>
    </w:p>
    <w:p w14:paraId="10D620AA" w14:textId="77777777" w:rsidR="0071228F" w:rsidRPr="00FD2C9D" w:rsidRDefault="0071228F" w:rsidP="006D7D0A">
      <w:pPr>
        <w:ind w:left="425"/>
        <w:jc w:val="both"/>
        <w:rPr>
          <w:lang w:eastAsia="cs-CZ"/>
        </w:rPr>
      </w:pPr>
      <w:r>
        <w:t>Lehota na prebratie smernice 2014/56/EÚ bola určená do 17. júna 2016.</w:t>
      </w:r>
    </w:p>
    <w:p w14:paraId="01AFCF69" w14:textId="5A490E27" w:rsidR="00096552" w:rsidRPr="00FD2C9D" w:rsidRDefault="00096552" w:rsidP="006D7D0A">
      <w:pPr>
        <w:ind w:left="425"/>
        <w:jc w:val="both"/>
        <w:rPr>
          <w:lang w:eastAsia="cs-CZ"/>
        </w:rPr>
      </w:pPr>
      <w:r>
        <w:t xml:space="preserve">Lehota na prebratie smernice 2013/34/EÚ </w:t>
      </w:r>
      <w:r w:rsidR="00840F8E" w:rsidRPr="00840F8E">
        <w:t xml:space="preserve">v platnom znení </w:t>
      </w:r>
      <w:r>
        <w:t>bola určená do 20. júla 2015.</w:t>
      </w:r>
    </w:p>
    <w:p w14:paraId="50B4A4B8" w14:textId="61A32668" w:rsidR="00096552" w:rsidRPr="00FD2C9D" w:rsidRDefault="00096552" w:rsidP="006D7D0A">
      <w:pPr>
        <w:spacing w:after="240"/>
        <w:ind w:left="426"/>
        <w:jc w:val="both"/>
      </w:pPr>
      <w:r>
        <w:t>Lehota na prebratie smernice 2006/43/ES</w:t>
      </w:r>
      <w:r w:rsidR="00840F8E" w:rsidRPr="00840F8E">
        <w:rPr>
          <w:color w:val="000000"/>
        </w:rPr>
        <w:t xml:space="preserve"> </w:t>
      </w:r>
      <w:r w:rsidR="00840F8E" w:rsidRPr="00840F8E">
        <w:t>v platnom znení</w:t>
      </w:r>
      <w:r>
        <w:t xml:space="preserve"> bola určená do 29. júna 2008.</w:t>
      </w:r>
    </w:p>
    <w:p w14:paraId="3D1FFBD1" w14:textId="78C592AA" w:rsidR="00096552" w:rsidRDefault="00096552" w:rsidP="006D7D0A">
      <w:pPr>
        <w:numPr>
          <w:ilvl w:val="0"/>
          <w:numId w:val="3"/>
        </w:numPr>
        <w:tabs>
          <w:tab w:val="clear" w:pos="360"/>
          <w:tab w:val="num" w:pos="426"/>
          <w:tab w:val="num" w:pos="709"/>
        </w:tabs>
        <w:spacing w:after="120" w:line="276" w:lineRule="auto"/>
        <w:ind w:left="426" w:hanging="426"/>
        <w:jc w:val="both"/>
      </w:pPr>
      <w:r>
        <w:t>Proti SR nebolo začaté konanie v rámci „EÚ Pilot“, ani nebol začatý postup EK ako aj  nebolo začaté konanie Súdneho dvora EÚ proti SR podľa čl. 258 až 260 Zmluvy o fungovaní Európskej únie.</w:t>
      </w:r>
    </w:p>
    <w:p w14:paraId="6B5A6461" w14:textId="35E0C725" w:rsidR="00096552" w:rsidRPr="00FD2C9D" w:rsidRDefault="00EC233B" w:rsidP="006D7D0A">
      <w:pPr>
        <w:numPr>
          <w:ilvl w:val="0"/>
          <w:numId w:val="3"/>
        </w:numPr>
        <w:tabs>
          <w:tab w:val="clear" w:pos="360"/>
          <w:tab w:val="num" w:pos="426"/>
          <w:tab w:val="num" w:pos="709"/>
        </w:tabs>
        <w:spacing w:after="120" w:line="276" w:lineRule="auto"/>
        <w:ind w:left="425" w:hanging="426"/>
        <w:jc w:val="both"/>
        <w:rPr>
          <w:lang w:eastAsia="cs-CZ"/>
        </w:rPr>
      </w:pPr>
      <w:r>
        <w:t xml:space="preserve"> Smernica 2013/34/EÚ bola prebratá do:</w:t>
      </w:r>
    </w:p>
    <w:p w14:paraId="05C9BB94" w14:textId="77777777" w:rsidR="00096552" w:rsidRPr="00FD2C9D" w:rsidRDefault="00096552" w:rsidP="006D7D0A">
      <w:pPr>
        <w:pStyle w:val="Odsekzoznamu"/>
        <w:numPr>
          <w:ilvl w:val="0"/>
          <w:numId w:val="9"/>
        </w:numPr>
        <w:spacing w:after="240"/>
        <w:jc w:val="both"/>
      </w:pPr>
      <w:r>
        <w:t xml:space="preserve">zákona č. 431/2002 Z. z. o účtovníctve v znení neskorších predpisov, </w:t>
      </w:r>
    </w:p>
    <w:p w14:paraId="272DDB2F" w14:textId="77777777" w:rsidR="00096552" w:rsidRPr="00FD2C9D" w:rsidRDefault="00096552" w:rsidP="006D7D0A">
      <w:pPr>
        <w:pStyle w:val="Odsekzoznamu"/>
        <w:numPr>
          <w:ilvl w:val="0"/>
          <w:numId w:val="9"/>
        </w:numPr>
        <w:spacing w:after="240"/>
        <w:jc w:val="both"/>
        <w:rPr>
          <w:lang w:eastAsia="cs-CZ"/>
        </w:rPr>
      </w:pPr>
      <w:r>
        <w:t>zákona č. 333/2014 Z. z., ktorým sa mení a dopĺňa zákon č. 595/2003 Z. z. o dani z príjmov v znení neskorších predpisov a ktorým sa menia a dopĺňajú niektoré zákony,</w:t>
      </w:r>
    </w:p>
    <w:p w14:paraId="253E5951" w14:textId="77777777" w:rsidR="00096552" w:rsidRPr="00FD2C9D" w:rsidRDefault="00096552" w:rsidP="006D7D0A">
      <w:pPr>
        <w:pStyle w:val="Odsekzoznamu"/>
        <w:numPr>
          <w:ilvl w:val="0"/>
          <w:numId w:val="9"/>
        </w:numPr>
        <w:spacing w:after="240"/>
        <w:jc w:val="both"/>
        <w:rPr>
          <w:lang w:eastAsia="cs-CZ"/>
        </w:rPr>
      </w:pPr>
      <w:r>
        <w:t xml:space="preserve">zákona č. 423/2015 Z. z. o štatutárnom audite a o zmene a doplnení zákona č. 431/2002 Z. z. o účtovníctve v znení neskorších predpisov v znení neskorších predpisov, </w:t>
      </w:r>
    </w:p>
    <w:p w14:paraId="63F53797" w14:textId="20F7E418" w:rsidR="00096552" w:rsidRPr="00FD2C9D" w:rsidRDefault="00096552" w:rsidP="006D7D0A">
      <w:pPr>
        <w:pStyle w:val="Odsekzoznamu"/>
        <w:numPr>
          <w:ilvl w:val="0"/>
          <w:numId w:val="9"/>
        </w:numPr>
        <w:spacing w:after="120"/>
        <w:ind w:left="782" w:hanging="357"/>
        <w:jc w:val="both"/>
        <w:rPr>
          <w:lang w:eastAsia="cs-CZ"/>
        </w:rPr>
      </w:pPr>
      <w:r>
        <w:t>zákona č. 500/2001 Z. z., ktorým sa mení a dopĺňa Obchodný zákonník v znení neskorších predpisov.</w:t>
      </w:r>
    </w:p>
    <w:p w14:paraId="061819E8" w14:textId="77777777" w:rsidR="00D11BD6" w:rsidRPr="00FD2C9D" w:rsidRDefault="00D11BD6" w:rsidP="006D7D0A">
      <w:pPr>
        <w:pStyle w:val="Odsekzoznamu"/>
        <w:spacing w:after="240"/>
        <w:ind w:left="426"/>
        <w:jc w:val="both"/>
      </w:pPr>
    </w:p>
    <w:p w14:paraId="48D0355F" w14:textId="77777777" w:rsidR="00264ABE" w:rsidRPr="00FD2C9D" w:rsidRDefault="00264ABE" w:rsidP="006D7D0A">
      <w:pPr>
        <w:ind w:left="425"/>
        <w:jc w:val="both"/>
      </w:pPr>
      <w:r>
        <w:lastRenderedPageBreak/>
        <w:t>Smernica 2006/43/ES bola prebratá do:</w:t>
      </w:r>
    </w:p>
    <w:p w14:paraId="769C4A4F" w14:textId="77777777" w:rsidR="00D11BD6" w:rsidRPr="00FD2C9D" w:rsidRDefault="00D11BD6" w:rsidP="006D7D0A">
      <w:pPr>
        <w:pStyle w:val="Odsekzoznamu"/>
        <w:numPr>
          <w:ilvl w:val="0"/>
          <w:numId w:val="9"/>
        </w:numPr>
        <w:spacing w:after="240"/>
        <w:jc w:val="both"/>
        <w:rPr>
          <w:lang w:eastAsia="cs-CZ"/>
        </w:rPr>
      </w:pPr>
      <w:r>
        <w:t xml:space="preserve">zákona č. 423/2015 Z. z. o štatutárnom audite a o zmene a doplnení zákona č. 431/2002 Z. z. o účtovníctve v znení neskorších predpisov v znení neskorších predpisov, </w:t>
      </w:r>
    </w:p>
    <w:p w14:paraId="64DBBFDE" w14:textId="77777777" w:rsidR="00D11BD6" w:rsidRPr="00FD2C9D" w:rsidRDefault="00D11BD6" w:rsidP="006D7D0A">
      <w:pPr>
        <w:pStyle w:val="Odsekzoznamu"/>
        <w:numPr>
          <w:ilvl w:val="0"/>
          <w:numId w:val="9"/>
        </w:numPr>
        <w:spacing w:after="240"/>
        <w:jc w:val="both"/>
        <w:rPr>
          <w:lang w:eastAsia="cs-CZ"/>
        </w:rPr>
      </w:pPr>
      <w:r>
        <w:t>zákona č. 431/2002 Z. z. o účtovníctve v znení neskorších predpisov.</w:t>
      </w:r>
    </w:p>
    <w:p w14:paraId="5D5C9B90" w14:textId="77777777" w:rsidR="00D638FC" w:rsidRPr="00FD2C9D" w:rsidRDefault="00D638FC" w:rsidP="006D7D0A">
      <w:pPr>
        <w:ind w:left="425"/>
        <w:jc w:val="both"/>
      </w:pPr>
      <w:r>
        <w:t>Smernica 2014/56/EÚ bola prebratá do:</w:t>
      </w:r>
    </w:p>
    <w:p w14:paraId="44C8BD14" w14:textId="77777777" w:rsidR="00D638FC" w:rsidRPr="00FD2C9D" w:rsidRDefault="00D638FC" w:rsidP="006D7D0A">
      <w:pPr>
        <w:pStyle w:val="Odsekzoznamu"/>
        <w:numPr>
          <w:ilvl w:val="0"/>
          <w:numId w:val="9"/>
        </w:numPr>
        <w:spacing w:after="240"/>
        <w:jc w:val="both"/>
        <w:rPr>
          <w:lang w:eastAsia="cs-CZ"/>
        </w:rPr>
      </w:pPr>
      <w:r>
        <w:t xml:space="preserve">zákona č. 423/2015 Z. z. o štatutárnom audite a o zmene a doplnení zákona č. 431/2002 Z. z. o účtovníctve v znení neskorších predpisov v znení neskorších predpisov, </w:t>
      </w:r>
    </w:p>
    <w:p w14:paraId="640A72F8" w14:textId="77777777" w:rsidR="00D638FC" w:rsidRPr="00FD2C9D" w:rsidRDefault="00D638FC" w:rsidP="006D7D0A">
      <w:pPr>
        <w:pStyle w:val="Odsekzoznamu"/>
        <w:numPr>
          <w:ilvl w:val="0"/>
          <w:numId w:val="9"/>
        </w:numPr>
        <w:spacing w:after="240"/>
        <w:jc w:val="both"/>
        <w:rPr>
          <w:lang w:eastAsia="cs-CZ"/>
        </w:rPr>
      </w:pPr>
      <w:r>
        <w:t>zákona č. 431/2002 Z. z. o účtovníctve v znení neskorších predpisov.</w:t>
      </w:r>
    </w:p>
    <w:p w14:paraId="7FE9719A" w14:textId="77777777" w:rsidR="00D638FC" w:rsidRPr="00FD2C9D" w:rsidRDefault="00D638FC" w:rsidP="006D7D0A">
      <w:pPr>
        <w:pStyle w:val="Odsekzoznamu"/>
        <w:spacing w:after="240"/>
        <w:ind w:left="786"/>
        <w:jc w:val="both"/>
        <w:rPr>
          <w:lang w:eastAsia="cs-CZ"/>
        </w:rPr>
      </w:pPr>
    </w:p>
    <w:p w14:paraId="39B81529" w14:textId="5A53BCC2" w:rsidR="0089548A" w:rsidRPr="00FD2C9D" w:rsidRDefault="0089548A" w:rsidP="006D7D0A">
      <w:pPr>
        <w:ind w:left="425"/>
        <w:jc w:val="both"/>
      </w:pPr>
      <w:r>
        <w:t>Smernica EÚ 2022/2464 bola prebratá do:</w:t>
      </w:r>
    </w:p>
    <w:p w14:paraId="6610953E" w14:textId="77777777" w:rsidR="0089548A" w:rsidRDefault="0089548A" w:rsidP="006D7D0A">
      <w:pPr>
        <w:pStyle w:val="Odsekzoznamu"/>
        <w:numPr>
          <w:ilvl w:val="0"/>
          <w:numId w:val="9"/>
        </w:numPr>
        <w:spacing w:after="240"/>
        <w:jc w:val="both"/>
      </w:pPr>
      <w:r>
        <w:t xml:space="preserve">zákona č. 431/2002 Z. z. o účtovníctve v znení neskorších predpisov. </w:t>
      </w:r>
    </w:p>
    <w:p w14:paraId="253A5314" w14:textId="77777777" w:rsidR="0089548A" w:rsidRDefault="0089548A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513/1991 Zb. Obchodný zákonník v znení neskorších predpisov.</w:t>
      </w:r>
    </w:p>
    <w:p w14:paraId="4991DACA" w14:textId="77777777" w:rsidR="0089548A" w:rsidRDefault="0089548A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530/2003 Z. z. o obchodnom registri a o zmene a doplnení niektorých zákonov v znení neskorších predpisov.</w:t>
      </w:r>
    </w:p>
    <w:p w14:paraId="7B835DE2" w14:textId="77777777" w:rsidR="0089548A" w:rsidRDefault="0089548A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423/2015 Z. z. o štatutárnom audite a o zmene a doplnení zákona č. 431/2002 Z. z. o účtovníctve v znení neskorších predpisov.</w:t>
      </w:r>
    </w:p>
    <w:p w14:paraId="79B59385" w14:textId="77777777" w:rsidR="0089548A" w:rsidRDefault="0089548A" w:rsidP="006D7D0A">
      <w:pPr>
        <w:pStyle w:val="Odsekzoznamu"/>
        <w:numPr>
          <w:ilvl w:val="0"/>
          <w:numId w:val="9"/>
        </w:numPr>
        <w:spacing w:after="240"/>
        <w:ind w:left="788"/>
        <w:jc w:val="both"/>
      </w:pPr>
      <w:r>
        <w:t>zákona č. 429/2002 Z. z. o burze cenných papierov v znení neskorších predpisov.</w:t>
      </w:r>
    </w:p>
    <w:p w14:paraId="75159FD8" w14:textId="578F4C94" w:rsidR="00EC233B" w:rsidRPr="00FD2C9D" w:rsidRDefault="00EC233B" w:rsidP="006D7D0A">
      <w:pPr>
        <w:ind w:left="425"/>
        <w:jc w:val="both"/>
      </w:pPr>
      <w:r>
        <w:t>Smernica EÚ 2023/2864 bola prebratá do:</w:t>
      </w:r>
    </w:p>
    <w:p w14:paraId="287DEF47" w14:textId="77777777" w:rsidR="007A141B" w:rsidRDefault="00EC233B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431/2002 Z. z. o účtovníctve v znení neskorších predpisov.</w:t>
      </w:r>
    </w:p>
    <w:p w14:paraId="7B4D984C" w14:textId="13096A73" w:rsidR="007A141B" w:rsidRDefault="007A141B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566/2001 Z. z. o cenných papieroch a investičných službách a o zmene a doplnení niektorých zákonov (zákon o cenných papieroch v znení neskorších predpisov.</w:t>
      </w:r>
    </w:p>
    <w:p w14:paraId="26F9144A" w14:textId="4F4726A9" w:rsidR="00FD7F80" w:rsidRDefault="00FD7F80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513/1991 Zb. Obchodný zákonník v znení neskorších predpisov.</w:t>
      </w:r>
    </w:p>
    <w:p w14:paraId="3C8C157A" w14:textId="77777777" w:rsidR="00FD7F80" w:rsidRDefault="00FD7F80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530/2003 Z. z. o obchodnom registri a o zmene a doplnení niektorých zákonov v znení neskorších predpisov.</w:t>
      </w:r>
    </w:p>
    <w:p w14:paraId="6520C4CE" w14:textId="77777777" w:rsidR="00FD7F80" w:rsidRDefault="00FD7F80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423/2015 Z. z. o štatutárnom audite a o zmene a doplnení zákona č. 431/2002 Z. z. o účtovníctve v znení neskorších predpisov.</w:t>
      </w:r>
    </w:p>
    <w:p w14:paraId="420BA44A" w14:textId="77777777" w:rsidR="00FD7F80" w:rsidRDefault="00FD7F80" w:rsidP="006D7D0A">
      <w:pPr>
        <w:pStyle w:val="Odsekzoznamu"/>
        <w:numPr>
          <w:ilvl w:val="0"/>
          <w:numId w:val="9"/>
        </w:numPr>
        <w:spacing w:after="240"/>
        <w:ind w:left="788"/>
        <w:jc w:val="both"/>
      </w:pPr>
      <w:r>
        <w:t>zákona č. 429/2002 Z. z. o burze cenných papierov v znení neskorších predpisov.</w:t>
      </w:r>
    </w:p>
    <w:p w14:paraId="59A227D0" w14:textId="5958BB54" w:rsidR="00EC233B" w:rsidRDefault="00FD7F80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483/2001 Z. z. o bankách a o zmene a doplnení niektorých zákonov v znení neskorších predpisov.</w:t>
      </w:r>
    </w:p>
    <w:p w14:paraId="14C08B22" w14:textId="3C177708" w:rsidR="001629BA" w:rsidRDefault="001629BA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650/2004 Z. z. o doplnkovom dôchodkovom sporení a o zmene a doplnení niektorých zákonov v znení neskorších predpisov.</w:t>
      </w:r>
    </w:p>
    <w:p w14:paraId="6B3E4EDC" w14:textId="3A641FE4" w:rsidR="001629BA" w:rsidRDefault="001629BA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747/2004 Z. z. o dohľade nad finančným trhom a o zmene a doplnení niektorých zákonov v znení neskorších predpisov.</w:t>
      </w:r>
    </w:p>
    <w:p w14:paraId="2E28469F" w14:textId="3140D44E" w:rsidR="001629BA" w:rsidRDefault="001629BA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186/2009 Z. z. o finančnom sprostredkovaní a finančnom poradenstve a o zmene a doplnení niektorých zákonov v znení neskorších predpisov.</w:t>
      </w:r>
    </w:p>
    <w:p w14:paraId="1F1D8A5B" w14:textId="03ADC385" w:rsidR="001629BA" w:rsidRDefault="001629BA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203/2011 Z. z. o kolektívnom investovaní v znení neskorších predpisov.</w:t>
      </w:r>
    </w:p>
    <w:p w14:paraId="3C327FE9" w14:textId="3EDB6927" w:rsidR="001629BA" w:rsidRDefault="001629BA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371/2014 Z. z. o riešení krízových situácií na finančnom trhu a o zmene a doplnení niektorých zákonov v znení neskorších predpisov.</w:t>
      </w:r>
    </w:p>
    <w:p w14:paraId="025DDA28" w14:textId="364665D7" w:rsidR="00203973" w:rsidRDefault="00203973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39/2015 Z. z. poisťovníctve a o zmene a doplnení niektorých zákonov v znení neskorších predpisov.</w:t>
      </w:r>
    </w:p>
    <w:p w14:paraId="0D64D10D" w14:textId="41A1EAE4" w:rsidR="003D3520" w:rsidRDefault="003D3520" w:rsidP="006D7D0A">
      <w:pPr>
        <w:ind w:left="425"/>
        <w:jc w:val="both"/>
      </w:pPr>
      <w:r>
        <w:t>Smernica EÚ 2026/470 bude prebratá do:</w:t>
      </w:r>
    </w:p>
    <w:p w14:paraId="203982D4" w14:textId="77777777" w:rsidR="003D3520" w:rsidRDefault="003D3520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431/2002 Z. z. o účtovníctve v znení neskorších predpisov.</w:t>
      </w:r>
    </w:p>
    <w:p w14:paraId="06D04674" w14:textId="77777777" w:rsidR="003D3520" w:rsidRDefault="003D3520" w:rsidP="006D7D0A">
      <w:pPr>
        <w:pStyle w:val="Odsekzoznamu"/>
        <w:numPr>
          <w:ilvl w:val="0"/>
          <w:numId w:val="9"/>
        </w:numPr>
        <w:spacing w:after="240"/>
        <w:jc w:val="both"/>
      </w:pPr>
      <w:r>
        <w:t>zákona č. 423/2015 Z. z. o štatutárnom audite a o zmene a doplnení zákona č. 431/2002 Z. z. o účtovníctve v znení neskorších predpisov.</w:t>
      </w:r>
    </w:p>
    <w:p w14:paraId="7BBD1773" w14:textId="77777777" w:rsidR="003D3520" w:rsidRDefault="003D3520" w:rsidP="006D7D0A">
      <w:pPr>
        <w:pStyle w:val="Odsekzoznamu"/>
        <w:spacing w:after="240"/>
        <w:ind w:left="786"/>
        <w:jc w:val="both"/>
      </w:pPr>
    </w:p>
    <w:p w14:paraId="1066E80F" w14:textId="77777777" w:rsidR="00096552" w:rsidRPr="00FD2C9D" w:rsidRDefault="00096552" w:rsidP="006D7D0A">
      <w:pPr>
        <w:numPr>
          <w:ilvl w:val="0"/>
          <w:numId w:val="2"/>
        </w:numPr>
        <w:tabs>
          <w:tab w:val="num" w:pos="426"/>
          <w:tab w:val="num" w:pos="709"/>
        </w:tabs>
        <w:ind w:left="357"/>
        <w:jc w:val="both"/>
      </w:pPr>
      <w:r>
        <w:rPr>
          <w:b/>
          <w:bCs/>
        </w:rPr>
        <w:lastRenderedPageBreak/>
        <w:t>Návrh zákona je zlučiteľný s právom Európskej únie:</w:t>
      </w:r>
    </w:p>
    <w:p w14:paraId="56E1487C" w14:textId="77777777" w:rsidR="00096552" w:rsidRPr="008346A4" w:rsidRDefault="00096552" w:rsidP="006D7D0A">
      <w:pPr>
        <w:pStyle w:val="Odsekzoznamu"/>
        <w:numPr>
          <w:ilvl w:val="1"/>
          <w:numId w:val="2"/>
        </w:numPr>
        <w:tabs>
          <w:tab w:val="num" w:pos="709"/>
        </w:tabs>
        <w:spacing w:before="120"/>
        <w:jc w:val="both"/>
      </w:pPr>
      <w:r w:rsidRPr="008346A4">
        <w:t>Úplne.</w:t>
      </w:r>
    </w:p>
    <w:p w14:paraId="1BA6B05D" w14:textId="77777777" w:rsidR="00096552" w:rsidRPr="00FD2C9D" w:rsidRDefault="00096552" w:rsidP="00930CC1">
      <w:pPr>
        <w:jc w:val="both"/>
      </w:pPr>
    </w:p>
    <w:p w14:paraId="64C8A82A" w14:textId="77777777" w:rsidR="00233B1B" w:rsidRPr="00FD2C9D" w:rsidRDefault="00233B1B" w:rsidP="00930CC1">
      <w:pPr>
        <w:jc w:val="both"/>
      </w:pPr>
    </w:p>
    <w:sectPr w:rsidR="00233B1B" w:rsidRPr="00FD2C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D7B75" w14:textId="77777777" w:rsidR="00684F1F" w:rsidRDefault="00684F1F" w:rsidP="003F4409">
      <w:r>
        <w:separator/>
      </w:r>
    </w:p>
  </w:endnote>
  <w:endnote w:type="continuationSeparator" w:id="0">
    <w:p w14:paraId="2528D485" w14:textId="77777777" w:rsidR="00684F1F" w:rsidRDefault="00684F1F" w:rsidP="003F4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22379" w14:textId="5A4380B7" w:rsidR="003F4409" w:rsidRDefault="00000000">
    <w:pPr>
      <w:pStyle w:val="Pta"/>
      <w:jc w:val="right"/>
    </w:pPr>
    <w:sdt>
      <w:sdtPr>
        <w:id w:val="608696717"/>
        <w:docPartObj>
          <w:docPartGallery w:val="Page Numbers (Bottom of Page)"/>
          <w:docPartUnique/>
        </w:docPartObj>
      </w:sdtPr>
      <w:sdtContent>
        <w:r w:rsidR="003F4409">
          <w:fldChar w:fldCharType="begin"/>
        </w:r>
        <w:r w:rsidR="003F4409">
          <w:instrText>PAGE   \* MERGEFORMAT</w:instrText>
        </w:r>
        <w:r w:rsidR="003F4409">
          <w:fldChar w:fldCharType="separate"/>
        </w:r>
        <w:r w:rsidR="004B7EC9">
          <w:rPr>
            <w:noProof/>
          </w:rPr>
          <w:t>6</w:t>
        </w:r>
        <w:r w:rsidR="003F4409">
          <w:fldChar w:fldCharType="end"/>
        </w:r>
      </w:sdtContent>
    </w:sdt>
  </w:p>
  <w:p w14:paraId="2567DCC2" w14:textId="77777777" w:rsidR="003F4409" w:rsidRDefault="003F44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65276" w14:textId="77777777" w:rsidR="00684F1F" w:rsidRDefault="00684F1F" w:rsidP="003F4409">
      <w:r>
        <w:separator/>
      </w:r>
    </w:p>
  </w:footnote>
  <w:footnote w:type="continuationSeparator" w:id="0">
    <w:p w14:paraId="7512E7E9" w14:textId="77777777" w:rsidR="00684F1F" w:rsidRDefault="00684F1F" w:rsidP="003F4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0D45"/>
    <w:multiLevelType w:val="hybridMultilevel"/>
    <w:tmpl w:val="560A2A9C"/>
    <w:lvl w:ilvl="0" w:tplc="854E6A9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727A82"/>
    <w:multiLevelType w:val="hybridMultilevel"/>
    <w:tmpl w:val="3B663F68"/>
    <w:lvl w:ilvl="0" w:tplc="9604BF9A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A716B1"/>
    <w:multiLevelType w:val="hybridMultilevel"/>
    <w:tmpl w:val="5748F35C"/>
    <w:lvl w:ilvl="0" w:tplc="3D705E6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977230B"/>
    <w:multiLevelType w:val="multilevel"/>
    <w:tmpl w:val="B8AE66F8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850" w:hanging="425"/>
      </w:pPr>
      <w:rPr>
        <w:rFonts w:cs="Times New Roman" w:hint="default"/>
      </w:rPr>
    </w:lvl>
    <w:lvl w:ilvl="2">
      <w:start w:val="1"/>
      <w:numFmt w:val="decimal"/>
      <w:lvlText w:val="%3.)"/>
      <w:lvlJc w:val="left"/>
      <w:pPr>
        <w:tabs>
          <w:tab w:val="num" w:pos="0"/>
        </w:tabs>
        <w:ind w:left="1275" w:hanging="425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3" w:hanging="708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1" w:hanging="708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99" w:hanging="708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7" w:hanging="708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5" w:hanging="70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3" w:hanging="708"/>
      </w:pPr>
      <w:rPr>
        <w:rFonts w:cs="Times New Roman" w:hint="default"/>
      </w:rPr>
    </w:lvl>
  </w:abstractNum>
  <w:abstractNum w:abstractNumId="4" w15:restartNumberingAfterBreak="0">
    <w:nsid w:val="4E067BF5"/>
    <w:multiLevelType w:val="hybridMultilevel"/>
    <w:tmpl w:val="DAFA37DE"/>
    <w:lvl w:ilvl="0" w:tplc="041B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57B27F5D"/>
    <w:multiLevelType w:val="hybridMultilevel"/>
    <w:tmpl w:val="D7B0FDA0"/>
    <w:lvl w:ilvl="0" w:tplc="E3A0330C">
      <w:start w:val="3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C9B77D4"/>
    <w:multiLevelType w:val="multilevel"/>
    <w:tmpl w:val="9B6C2164"/>
    <w:lvl w:ilvl="0">
      <w:start w:val="4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850" w:hanging="425"/>
      </w:pPr>
      <w:rPr>
        <w:rFonts w:cs="Times New Roman" w:hint="default"/>
      </w:rPr>
    </w:lvl>
    <w:lvl w:ilvl="2">
      <w:start w:val="1"/>
      <w:numFmt w:val="decimal"/>
      <w:lvlText w:val="%3.)"/>
      <w:lvlJc w:val="left"/>
      <w:pPr>
        <w:tabs>
          <w:tab w:val="num" w:pos="0"/>
        </w:tabs>
        <w:ind w:left="1275" w:hanging="425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3" w:hanging="708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1" w:hanging="708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99" w:hanging="708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7" w:hanging="708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5" w:hanging="70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3" w:hanging="708"/>
      </w:pPr>
      <w:rPr>
        <w:rFonts w:cs="Times New Roman" w:hint="default"/>
      </w:rPr>
    </w:lvl>
  </w:abstractNum>
  <w:abstractNum w:abstractNumId="7" w15:restartNumberingAfterBreak="0">
    <w:nsid w:val="5D0B44FF"/>
    <w:multiLevelType w:val="hybridMultilevel"/>
    <w:tmpl w:val="38349D9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9A10410"/>
    <w:multiLevelType w:val="hybridMultilevel"/>
    <w:tmpl w:val="1B6C5E08"/>
    <w:lvl w:ilvl="0" w:tplc="854E6A9C">
      <w:start w:val="1"/>
      <w:numFmt w:val="bullet"/>
      <w:lvlText w:val="-"/>
      <w:lvlJc w:val="left"/>
      <w:pPr>
        <w:ind w:left="1508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9" w15:restartNumberingAfterBreak="0">
    <w:nsid w:val="6B625AE5"/>
    <w:multiLevelType w:val="singleLevel"/>
    <w:tmpl w:val="422AB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7F721CE8"/>
    <w:multiLevelType w:val="hybridMultilevel"/>
    <w:tmpl w:val="CE12061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13812599">
    <w:abstractNumId w:val="9"/>
  </w:num>
  <w:num w:numId="2" w16cid:durableId="1085107296">
    <w:abstractNumId w:val="6"/>
  </w:num>
  <w:num w:numId="3" w16cid:durableId="742531879">
    <w:abstractNumId w:val="3"/>
  </w:num>
  <w:num w:numId="4" w16cid:durableId="435489099">
    <w:abstractNumId w:val="4"/>
  </w:num>
  <w:num w:numId="5" w16cid:durableId="1212380312">
    <w:abstractNumId w:val="7"/>
  </w:num>
  <w:num w:numId="6" w16cid:durableId="380833401">
    <w:abstractNumId w:val="5"/>
  </w:num>
  <w:num w:numId="7" w16cid:durableId="1956249916">
    <w:abstractNumId w:val="1"/>
  </w:num>
  <w:num w:numId="8" w16cid:durableId="361172190">
    <w:abstractNumId w:val="10"/>
  </w:num>
  <w:num w:numId="9" w16cid:durableId="33845953">
    <w:abstractNumId w:val="2"/>
  </w:num>
  <w:num w:numId="10" w16cid:durableId="1399550235">
    <w:abstractNumId w:val="0"/>
  </w:num>
  <w:num w:numId="11" w16cid:durableId="98447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552"/>
    <w:rsid w:val="00002E37"/>
    <w:rsid w:val="000234CC"/>
    <w:rsid w:val="00026483"/>
    <w:rsid w:val="0005775B"/>
    <w:rsid w:val="0007137E"/>
    <w:rsid w:val="00071C20"/>
    <w:rsid w:val="00096552"/>
    <w:rsid w:val="000D5CD8"/>
    <w:rsid w:val="00111809"/>
    <w:rsid w:val="001159C8"/>
    <w:rsid w:val="0013650F"/>
    <w:rsid w:val="001629BA"/>
    <w:rsid w:val="00185E05"/>
    <w:rsid w:val="0019191B"/>
    <w:rsid w:val="001A7E1C"/>
    <w:rsid w:val="001E0F65"/>
    <w:rsid w:val="001E3B07"/>
    <w:rsid w:val="001E7328"/>
    <w:rsid w:val="001F37E4"/>
    <w:rsid w:val="00202024"/>
    <w:rsid w:val="00203973"/>
    <w:rsid w:val="00221903"/>
    <w:rsid w:val="00233B1B"/>
    <w:rsid w:val="00242734"/>
    <w:rsid w:val="002466A6"/>
    <w:rsid w:val="00264ABE"/>
    <w:rsid w:val="00272C51"/>
    <w:rsid w:val="0028556C"/>
    <w:rsid w:val="002B5A06"/>
    <w:rsid w:val="002B61B0"/>
    <w:rsid w:val="002D50CA"/>
    <w:rsid w:val="002E654C"/>
    <w:rsid w:val="002F7665"/>
    <w:rsid w:val="002F76FC"/>
    <w:rsid w:val="002F7B25"/>
    <w:rsid w:val="00306698"/>
    <w:rsid w:val="003113B7"/>
    <w:rsid w:val="00314A15"/>
    <w:rsid w:val="00326F81"/>
    <w:rsid w:val="00330A05"/>
    <w:rsid w:val="00393468"/>
    <w:rsid w:val="003A2D35"/>
    <w:rsid w:val="003A76F3"/>
    <w:rsid w:val="003B19FF"/>
    <w:rsid w:val="003C1BD8"/>
    <w:rsid w:val="003D3520"/>
    <w:rsid w:val="003F3DEE"/>
    <w:rsid w:val="003F4409"/>
    <w:rsid w:val="00432F8F"/>
    <w:rsid w:val="00433DEC"/>
    <w:rsid w:val="00495639"/>
    <w:rsid w:val="004A1CA4"/>
    <w:rsid w:val="004B7EC9"/>
    <w:rsid w:val="004C2548"/>
    <w:rsid w:val="004C29D4"/>
    <w:rsid w:val="004C4272"/>
    <w:rsid w:val="004C7B6A"/>
    <w:rsid w:val="00500214"/>
    <w:rsid w:val="00527757"/>
    <w:rsid w:val="0053499D"/>
    <w:rsid w:val="00543D66"/>
    <w:rsid w:val="005721CB"/>
    <w:rsid w:val="00572D9D"/>
    <w:rsid w:val="005C6E55"/>
    <w:rsid w:val="00600289"/>
    <w:rsid w:val="00602BC9"/>
    <w:rsid w:val="00606BCF"/>
    <w:rsid w:val="006133EB"/>
    <w:rsid w:val="00617BDD"/>
    <w:rsid w:val="00635E88"/>
    <w:rsid w:val="006432E7"/>
    <w:rsid w:val="00684F1F"/>
    <w:rsid w:val="006D7D0A"/>
    <w:rsid w:val="006D7E08"/>
    <w:rsid w:val="006F368B"/>
    <w:rsid w:val="0071228F"/>
    <w:rsid w:val="00714A57"/>
    <w:rsid w:val="007962AB"/>
    <w:rsid w:val="007A141B"/>
    <w:rsid w:val="007A2BD4"/>
    <w:rsid w:val="007C358A"/>
    <w:rsid w:val="007E63F2"/>
    <w:rsid w:val="00801159"/>
    <w:rsid w:val="008346A4"/>
    <w:rsid w:val="00840F8E"/>
    <w:rsid w:val="00846BDF"/>
    <w:rsid w:val="00893D9A"/>
    <w:rsid w:val="0089548A"/>
    <w:rsid w:val="008A541F"/>
    <w:rsid w:val="008B2A5F"/>
    <w:rsid w:val="008C1951"/>
    <w:rsid w:val="008F6DAC"/>
    <w:rsid w:val="009009A9"/>
    <w:rsid w:val="00905E96"/>
    <w:rsid w:val="00930CC1"/>
    <w:rsid w:val="00973985"/>
    <w:rsid w:val="00985BF8"/>
    <w:rsid w:val="00992AF8"/>
    <w:rsid w:val="009B5CAC"/>
    <w:rsid w:val="009B6C3C"/>
    <w:rsid w:val="009D3175"/>
    <w:rsid w:val="009E5A5B"/>
    <w:rsid w:val="009E5F86"/>
    <w:rsid w:val="009F6F91"/>
    <w:rsid w:val="00A01FC3"/>
    <w:rsid w:val="00A1040E"/>
    <w:rsid w:val="00A53867"/>
    <w:rsid w:val="00A61950"/>
    <w:rsid w:val="00A63454"/>
    <w:rsid w:val="00A66641"/>
    <w:rsid w:val="00AF3508"/>
    <w:rsid w:val="00B3554C"/>
    <w:rsid w:val="00B530AD"/>
    <w:rsid w:val="00B537AF"/>
    <w:rsid w:val="00B6059D"/>
    <w:rsid w:val="00B8677E"/>
    <w:rsid w:val="00B87E5C"/>
    <w:rsid w:val="00B95271"/>
    <w:rsid w:val="00B95B61"/>
    <w:rsid w:val="00BB4D3C"/>
    <w:rsid w:val="00BD21C3"/>
    <w:rsid w:val="00BE29FB"/>
    <w:rsid w:val="00BF42A9"/>
    <w:rsid w:val="00BF5B1B"/>
    <w:rsid w:val="00C0135E"/>
    <w:rsid w:val="00C216FF"/>
    <w:rsid w:val="00C431C0"/>
    <w:rsid w:val="00C4656D"/>
    <w:rsid w:val="00C60ADF"/>
    <w:rsid w:val="00C914EA"/>
    <w:rsid w:val="00CB4193"/>
    <w:rsid w:val="00CE6CB9"/>
    <w:rsid w:val="00D11BD6"/>
    <w:rsid w:val="00D12566"/>
    <w:rsid w:val="00D310FD"/>
    <w:rsid w:val="00D638FC"/>
    <w:rsid w:val="00D83EDF"/>
    <w:rsid w:val="00D8768F"/>
    <w:rsid w:val="00DA1FDA"/>
    <w:rsid w:val="00DB09EB"/>
    <w:rsid w:val="00DB28D3"/>
    <w:rsid w:val="00DB6E9D"/>
    <w:rsid w:val="00DE589E"/>
    <w:rsid w:val="00DF6FC4"/>
    <w:rsid w:val="00E2588B"/>
    <w:rsid w:val="00E405E2"/>
    <w:rsid w:val="00E75279"/>
    <w:rsid w:val="00EC233B"/>
    <w:rsid w:val="00EE1F4C"/>
    <w:rsid w:val="00EF14D8"/>
    <w:rsid w:val="00F015DC"/>
    <w:rsid w:val="00F0252B"/>
    <w:rsid w:val="00F22A39"/>
    <w:rsid w:val="00F2409D"/>
    <w:rsid w:val="00F30005"/>
    <w:rsid w:val="00F433C8"/>
    <w:rsid w:val="00F7757E"/>
    <w:rsid w:val="00FA5E32"/>
    <w:rsid w:val="00FC75F2"/>
    <w:rsid w:val="00FD2C9D"/>
    <w:rsid w:val="00FD6974"/>
    <w:rsid w:val="00FD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0CA16"/>
  <w15:chartTrackingRefBased/>
  <w15:docId w15:val="{DF6BEB16-DB28-4E16-B5C6-8246AE89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4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tavec cíl se seznamem,Odstavec se seznamem1"/>
    <w:basedOn w:val="Normlny"/>
    <w:link w:val="OdsekzoznamuChar"/>
    <w:uiPriority w:val="99"/>
    <w:qFormat/>
    <w:rsid w:val="00096552"/>
    <w:pPr>
      <w:ind w:left="720"/>
      <w:contextualSpacing/>
    </w:pPr>
  </w:style>
  <w:style w:type="character" w:customStyle="1" w:styleId="OdsekzoznamuChar">
    <w:name w:val="Odsek zoznamu Char"/>
    <w:aliases w:val="body Char,Odsek zoznamu2 Char,Odstavec cíl se seznamem Char,Odstavec se seznamem1 Char"/>
    <w:basedOn w:val="Predvolenpsmoodseku"/>
    <w:link w:val="Odsekzoznamu"/>
    <w:uiPriority w:val="99"/>
    <w:locked/>
    <w:rsid w:val="0009655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aliases w:val="webb"/>
    <w:basedOn w:val="Normlny"/>
    <w:uiPriority w:val="99"/>
    <w:qFormat/>
    <w:rsid w:val="00096552"/>
    <w:pPr>
      <w:spacing w:before="100" w:beforeAutospacing="1" w:after="100" w:afterAutospacing="1"/>
    </w:pPr>
  </w:style>
  <w:style w:type="paragraph" w:styleId="Zarkazkladnhotextu">
    <w:name w:val="Body Text Indent"/>
    <w:basedOn w:val="Normlny"/>
    <w:link w:val="ZarkazkladnhotextuChar"/>
    <w:uiPriority w:val="99"/>
    <w:rsid w:val="00096552"/>
    <w:pPr>
      <w:ind w:firstLine="340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09655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Zkladntext">
    <w:name w:val="Zkladn text"/>
    <w:rsid w:val="000965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Zkladntext0">
    <w:name w:val="Body Text"/>
    <w:basedOn w:val="Normlny"/>
    <w:link w:val="ZkladntextChar"/>
    <w:uiPriority w:val="99"/>
    <w:unhideWhenUsed/>
    <w:rsid w:val="00096552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rsid w:val="0009655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1">
    <w:name w:val="awspan1"/>
    <w:basedOn w:val="Predvolenpsmoodseku"/>
    <w:rsid w:val="00096552"/>
    <w:rPr>
      <w:rFonts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F44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440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F44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440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D6974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09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09EB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572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B2A5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B2A5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B2A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2A5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B2A5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3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8_dolozka_zlucitelnosti_MPK"/>
    <f:field ref="objsubject" par="" edit="true" text=""/>
    <f:field ref="objcreatedby" par="" text="Matulová, Silvia, Ing."/>
    <f:field ref="objcreatedat" par="" text="13.10.2023 10:30:07"/>
    <f:field ref="objchangedby" par="" text="Administrator, System"/>
    <f:field ref="objmodifiedat" par="" text="13.10.2023 10:30:0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2290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15319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Salkovicova Ingrid</dc:creator>
  <cp:keywords/>
  <dc:description/>
  <cp:lastModifiedBy>Matulová Silvia</cp:lastModifiedBy>
  <cp:revision>4</cp:revision>
  <cp:lastPrinted>2026-07-30T11:50:00Z</cp:lastPrinted>
  <dcterms:created xsi:type="dcterms:W3CDTF">2026-07-30T11:50:00Z</dcterms:created>
  <dcterms:modified xsi:type="dcterms:W3CDTF">2026-07-31T06:19:00Z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právo_x000d_
Účtovníctvo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Silvia Matulová</vt:lpwstr>
  </property>
  <property fmtid="{D5CDD505-2E9C-101B-9397-08002B2CF9AE}" pid="12" name="FSC#SKEDITIONSLOVLEX@103.510:zodppredkladatel">
    <vt:lpwstr>Mgr. Michal Horváth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431/2002 Z. z. o účtovníctve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>Ministerstvo financií Slovenskej republiky, Ministerstvo financií Slovenskej republiky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Transpozícia smernice Európskeho parlamentu a Rady (EÚ) 2022/2464 zo 14. decembra 2022, ktorou sa mení nariadenie (EÚ) č. 537/2014, smernica 2004/109/ES, smernica 2006/43/ES a smernica 2013/34/EÚ, pokiaľ ide o vykazovanie informácií o udržateľnosti</vt:lpwstr>
  </property>
  <property fmtid="{D5CDD505-2E9C-101B-9397-08002B2CF9AE}" pid="23" name="FSC#SKEDITIONSLOVLEX@103.510:plnynazovpredpis">
    <vt:lpwstr> Zákon, ktorým sa mení a dopĺňa zákon č. 431/2002 Z. z. o účtovníctve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MF/006450/2023-74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LP/2023/621</vt:lpwstr>
  </property>
  <property fmtid="{D5CDD505-2E9C-101B-9397-08002B2CF9AE}" pid="37" name="FSC#SKEDITIONSLOVLEX@103.510:typsprievdok">
    <vt:lpwstr>Doložka zlučiteľnosti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financií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financií Slovenskej republiky</vt:lpwstr>
  </property>
  <property fmtid="{D5CDD505-2E9C-101B-9397-08002B2CF9AE}" pid="142" name="FSC#SKEDITIONSLOVLEX@103.510:funkciaZodpPredAkuzativ">
    <vt:lpwstr>Ministra financií Slovenskej republiky</vt:lpwstr>
  </property>
  <property fmtid="{D5CDD505-2E9C-101B-9397-08002B2CF9AE}" pid="143" name="FSC#SKEDITIONSLOVLEX@103.510:funkciaZodpPredDativ">
    <vt:lpwstr>Ministrovi financií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Michal Horváth_x000d_
Minister financií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financií Slovenskej republiky predkladá do pripomienkového konania návrh zákona, ktorým sa mení a dopĺňa zákon č. 431/2002 Z. z. o&amp;nbsp;účtovníctve v&amp;nbsp;znení neskorších predpisov a&amp;nbsp;ktorým sa menia a&amp;nbs</vt:lpwstr>
  </property>
  <property fmtid="{D5CDD505-2E9C-101B-9397-08002B2CF9AE}" pid="150" name="FSC#SKEDITIONSLOVLEX@103.510:vytvorenedna">
    <vt:lpwstr>13. 10. 2023</vt:lpwstr>
  </property>
  <property fmtid="{D5CDD505-2E9C-101B-9397-08002B2CF9AE}" pid="151" name="FSC#COOSYSTEM@1.1:Container">
    <vt:lpwstr>COO.2145.1000.3.5895688</vt:lpwstr>
  </property>
  <property fmtid="{D5CDD505-2E9C-101B-9397-08002B2CF9AE}" pid="152" name="FSC#FSCFOLIO@1.1001:docpropproject">
    <vt:lpwstr/>
  </property>
  <property fmtid="{D5CDD505-2E9C-101B-9397-08002B2CF9AE}" pid="153" name="MSIP_Label_d8d4986f-dcbf-4623-ae9a-8251714e0a88_Enabled">
    <vt:lpwstr>true</vt:lpwstr>
  </property>
  <property fmtid="{D5CDD505-2E9C-101B-9397-08002B2CF9AE}" pid="154" name="MSIP_Label_d8d4986f-dcbf-4623-ae9a-8251714e0a88_SetDate">
    <vt:lpwstr>2026-05-22T13:02:52Z</vt:lpwstr>
  </property>
  <property fmtid="{D5CDD505-2E9C-101B-9397-08002B2CF9AE}" pid="155" name="MSIP_Label_d8d4986f-dcbf-4623-ae9a-8251714e0a88_Method">
    <vt:lpwstr>Privileged</vt:lpwstr>
  </property>
  <property fmtid="{D5CDD505-2E9C-101B-9397-08002B2CF9AE}" pid="156" name="MSIP_Label_d8d4986f-dcbf-4623-ae9a-8251714e0a88_Name">
    <vt:lpwstr>Public</vt:lpwstr>
  </property>
  <property fmtid="{D5CDD505-2E9C-101B-9397-08002B2CF9AE}" pid="157" name="MSIP_Label_d8d4986f-dcbf-4623-ae9a-8251714e0a88_SiteId">
    <vt:lpwstr>579df390-dbff-49fd-8f10-624670566482</vt:lpwstr>
  </property>
  <property fmtid="{D5CDD505-2E9C-101B-9397-08002B2CF9AE}" pid="158" name="MSIP_Label_d8d4986f-dcbf-4623-ae9a-8251714e0a88_ActionId">
    <vt:lpwstr>f910a8b9-ed29-42d8-8d6e-1d1acf9e342a</vt:lpwstr>
  </property>
  <property fmtid="{D5CDD505-2E9C-101B-9397-08002B2CF9AE}" pid="159" name="MSIP_Label_d8d4986f-dcbf-4623-ae9a-8251714e0a88_ContentBits">
    <vt:lpwstr>0</vt:lpwstr>
  </property>
</Properties>
</file>