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7118" w:rsidRPr="000032C8" w:rsidRDefault="00927118" w:rsidP="00927118">
      <w:pPr>
        <w:adjustRightInd w:val="0"/>
        <w:spacing w:after="0" w:line="240" w:lineRule="auto"/>
        <w:jc w:val="center"/>
        <w:rPr>
          <w:rFonts w:ascii="Times New Roman" w:eastAsia="Times New Roman" w:hAnsi="Times New Roman" w:cs="Calibri"/>
          <w:b/>
          <w:caps/>
          <w:sz w:val="28"/>
          <w:szCs w:val="28"/>
        </w:rPr>
      </w:pPr>
      <w:r w:rsidRPr="000032C8">
        <w:rPr>
          <w:rFonts w:ascii="Times New Roman" w:eastAsia="Times New Roman" w:hAnsi="Times New Roman" w:cs="Calibri"/>
          <w:b/>
          <w:caps/>
          <w:sz w:val="28"/>
          <w:szCs w:val="28"/>
        </w:rPr>
        <w:t>Vyhodnotenie medzirezortného pripomienkového konania</w:t>
      </w:r>
    </w:p>
    <w:p w:rsidR="00927118" w:rsidRPr="00024402" w:rsidRDefault="00927118" w:rsidP="00927118">
      <w:pPr>
        <w:jc w:val="center"/>
      </w:pPr>
    </w:p>
    <w:p w:rsidR="00F85947" w:rsidRDefault="00F85947">
      <w:pPr>
        <w:jc w:val="center"/>
        <w:divId w:val="400256864"/>
        <w:rPr>
          <w:rFonts w:ascii="Times" w:hAnsi="Times" w:cs="Times"/>
          <w:sz w:val="25"/>
          <w:szCs w:val="25"/>
        </w:rPr>
      </w:pPr>
      <w:r>
        <w:rPr>
          <w:rFonts w:ascii="Times" w:hAnsi="Times" w:cs="Times"/>
          <w:sz w:val="25"/>
          <w:szCs w:val="25"/>
        </w:rPr>
        <w:t xml:space="preserve">Návrh na poskytnutie investičnej pomoci pre spoločnosť PCA Slovakia, s.r.o., IČO: 36 256 013, na realizáciu investičného zámeru v lokalite Trnava, okres Trnava </w:t>
      </w:r>
    </w:p>
    <w:p w:rsidR="00927118" w:rsidRPr="00024402" w:rsidRDefault="00927118" w:rsidP="00CE47A6"/>
    <w:tbl>
      <w:tblPr>
        <w:tblW w:w="15598" w:type="dxa"/>
        <w:tblCellMar>
          <w:left w:w="0" w:type="dxa"/>
          <w:right w:w="0" w:type="dxa"/>
        </w:tblCellMar>
        <w:tblLook w:val="0000" w:firstRow="0" w:lastRow="0" w:firstColumn="0" w:lastColumn="0" w:noHBand="0" w:noVBand="0"/>
      </w:tblPr>
      <w:tblGrid>
        <w:gridCol w:w="7797"/>
        <w:gridCol w:w="7801"/>
      </w:tblGrid>
      <w:tr w:rsidR="00927118" w:rsidRPr="00024402" w:rsidTr="00B76589">
        <w:tc>
          <w:tcPr>
            <w:tcW w:w="7797" w:type="dxa"/>
            <w:tcBorders>
              <w:top w:val="nil"/>
              <w:left w:val="nil"/>
              <w:bottom w:val="nil"/>
              <w:right w:val="nil"/>
            </w:tcBorders>
          </w:tcPr>
          <w:p w:rsidR="00927118" w:rsidRPr="000032C8" w:rsidRDefault="00927118" w:rsidP="00E165A9">
            <w:pPr>
              <w:spacing w:after="0" w:line="240" w:lineRule="auto"/>
              <w:rPr>
                <w:rFonts w:ascii="Times New Roman" w:hAnsi="Times New Roman" w:cs="Calibri"/>
                <w:sz w:val="25"/>
                <w:szCs w:val="25"/>
              </w:rPr>
            </w:pPr>
            <w:r w:rsidRPr="000032C8">
              <w:rPr>
                <w:rFonts w:ascii="Times New Roman" w:hAnsi="Times New Roman" w:cs="Calibri"/>
                <w:sz w:val="25"/>
                <w:szCs w:val="25"/>
              </w:rPr>
              <w:t>Spôsob pripomienkového konania</w:t>
            </w:r>
          </w:p>
        </w:tc>
        <w:tc>
          <w:tcPr>
            <w:tcW w:w="7801" w:type="dxa"/>
            <w:tcBorders>
              <w:top w:val="nil"/>
              <w:left w:val="nil"/>
              <w:bottom w:val="nil"/>
              <w:right w:val="nil"/>
            </w:tcBorders>
          </w:tcPr>
          <w:p w:rsidR="00927118" w:rsidRPr="00024402" w:rsidRDefault="00927118" w:rsidP="00E165A9">
            <w:pPr>
              <w:spacing w:after="0" w:line="240" w:lineRule="auto"/>
              <w:rPr>
                <w:rFonts w:ascii="Times New Roman" w:hAnsi="Times New Roman" w:cs="Calibri"/>
                <w:sz w:val="20"/>
                <w:szCs w:val="20"/>
              </w:rPr>
            </w:pPr>
            <w:r w:rsidRPr="00024402">
              <w:rPr>
                <w:rFonts w:ascii="Times New Roman" w:hAnsi="Times New Roman" w:cs="Calibri"/>
                <w:sz w:val="20"/>
                <w:szCs w:val="20"/>
              </w:rPr>
              <w:t> </w:t>
            </w:r>
          </w:p>
        </w:tc>
      </w:tr>
      <w:tr w:rsidR="00A251BF" w:rsidRPr="00024402" w:rsidTr="00B76589">
        <w:tc>
          <w:tcPr>
            <w:tcW w:w="7797" w:type="dxa"/>
            <w:tcBorders>
              <w:top w:val="nil"/>
              <w:left w:val="nil"/>
              <w:bottom w:val="nil"/>
              <w:right w:val="nil"/>
            </w:tcBorders>
          </w:tcPr>
          <w:p w:rsidR="00A251BF" w:rsidRPr="000032C8" w:rsidRDefault="00A251BF" w:rsidP="00E165A9">
            <w:pPr>
              <w:spacing w:after="0" w:line="240" w:lineRule="auto"/>
              <w:rPr>
                <w:rFonts w:ascii="Times New Roman" w:hAnsi="Times New Roman" w:cs="Calibri"/>
                <w:sz w:val="25"/>
                <w:szCs w:val="25"/>
              </w:rPr>
            </w:pPr>
            <w:r w:rsidRPr="000032C8">
              <w:rPr>
                <w:rFonts w:ascii="Times New Roman" w:hAnsi="Times New Roman" w:cs="Calibri"/>
                <w:sz w:val="25"/>
                <w:szCs w:val="25"/>
              </w:rPr>
              <w:t>Počet vznesených pripomienok, z toho zásadných</w:t>
            </w:r>
          </w:p>
        </w:tc>
        <w:tc>
          <w:tcPr>
            <w:tcW w:w="7801" w:type="dxa"/>
            <w:tcBorders>
              <w:top w:val="nil"/>
              <w:left w:val="nil"/>
              <w:bottom w:val="nil"/>
              <w:right w:val="nil"/>
            </w:tcBorders>
          </w:tcPr>
          <w:p w:rsidR="00A251BF" w:rsidRPr="00024402" w:rsidRDefault="00D339DE" w:rsidP="00F85947">
            <w:pPr>
              <w:spacing w:after="0" w:line="240" w:lineRule="auto"/>
              <w:rPr>
                <w:rFonts w:ascii="Times New Roman" w:hAnsi="Times New Roman" w:cs="Calibri"/>
                <w:sz w:val="20"/>
                <w:szCs w:val="20"/>
              </w:rPr>
            </w:pPr>
            <w:r>
              <w:rPr>
                <w:rFonts w:ascii="Times" w:hAnsi="Times" w:cs="Times"/>
                <w:sz w:val="25"/>
                <w:szCs w:val="25"/>
              </w:rPr>
              <w:t>5</w:t>
            </w:r>
            <w:r w:rsidR="00F85947">
              <w:rPr>
                <w:rFonts w:ascii="Times" w:hAnsi="Times" w:cs="Times"/>
                <w:sz w:val="25"/>
                <w:szCs w:val="25"/>
              </w:rPr>
              <w:t xml:space="preserve"> /1</w:t>
            </w:r>
          </w:p>
        </w:tc>
      </w:tr>
      <w:tr w:rsidR="00927118" w:rsidRPr="00024402" w:rsidTr="00B76589">
        <w:tc>
          <w:tcPr>
            <w:tcW w:w="7797" w:type="dxa"/>
            <w:tcBorders>
              <w:top w:val="nil"/>
              <w:left w:val="nil"/>
              <w:bottom w:val="nil"/>
              <w:right w:val="nil"/>
            </w:tcBorders>
          </w:tcPr>
          <w:p w:rsidR="00927118" w:rsidRPr="000032C8" w:rsidRDefault="00927118" w:rsidP="00E165A9">
            <w:pPr>
              <w:spacing w:after="0" w:line="240" w:lineRule="auto"/>
              <w:rPr>
                <w:rFonts w:ascii="Times New Roman" w:hAnsi="Times New Roman" w:cs="Calibri"/>
                <w:sz w:val="25"/>
                <w:szCs w:val="25"/>
              </w:rPr>
            </w:pPr>
            <w:r w:rsidRPr="000032C8">
              <w:rPr>
                <w:rFonts w:ascii="Times New Roman" w:hAnsi="Times New Roman" w:cs="Calibri"/>
                <w:sz w:val="25"/>
                <w:szCs w:val="25"/>
              </w:rPr>
              <w:t>Počet vyhodnotených pripomienok</w:t>
            </w:r>
          </w:p>
        </w:tc>
        <w:tc>
          <w:tcPr>
            <w:tcW w:w="7801" w:type="dxa"/>
            <w:tcBorders>
              <w:top w:val="nil"/>
              <w:left w:val="nil"/>
              <w:bottom w:val="nil"/>
              <w:right w:val="nil"/>
            </w:tcBorders>
          </w:tcPr>
          <w:p w:rsidR="00927118" w:rsidRPr="00024402" w:rsidRDefault="00D339DE" w:rsidP="00F85947">
            <w:pPr>
              <w:spacing w:after="0" w:line="240" w:lineRule="auto"/>
              <w:rPr>
                <w:rFonts w:ascii="Times New Roman" w:hAnsi="Times New Roman" w:cs="Calibri"/>
                <w:sz w:val="20"/>
                <w:szCs w:val="20"/>
              </w:rPr>
            </w:pPr>
            <w:r>
              <w:rPr>
                <w:rFonts w:ascii="Times" w:hAnsi="Times" w:cs="Times"/>
                <w:sz w:val="25"/>
                <w:szCs w:val="25"/>
              </w:rPr>
              <w:t>5</w:t>
            </w:r>
          </w:p>
        </w:tc>
      </w:tr>
      <w:tr w:rsidR="00927118" w:rsidRPr="00024402" w:rsidTr="00B76589">
        <w:tc>
          <w:tcPr>
            <w:tcW w:w="7797" w:type="dxa"/>
            <w:tcBorders>
              <w:top w:val="nil"/>
              <w:left w:val="nil"/>
              <w:bottom w:val="nil"/>
              <w:right w:val="nil"/>
            </w:tcBorders>
          </w:tcPr>
          <w:p w:rsidR="00927118" w:rsidRPr="000032C8" w:rsidRDefault="00927118" w:rsidP="00E165A9">
            <w:pPr>
              <w:spacing w:after="0" w:line="240" w:lineRule="auto"/>
              <w:rPr>
                <w:rFonts w:ascii="Times New Roman" w:hAnsi="Times New Roman" w:cs="Calibri"/>
                <w:sz w:val="25"/>
                <w:szCs w:val="25"/>
              </w:rPr>
            </w:pPr>
          </w:p>
        </w:tc>
        <w:tc>
          <w:tcPr>
            <w:tcW w:w="7801" w:type="dxa"/>
            <w:tcBorders>
              <w:top w:val="nil"/>
              <w:left w:val="nil"/>
              <w:bottom w:val="nil"/>
              <w:right w:val="nil"/>
            </w:tcBorders>
          </w:tcPr>
          <w:p w:rsidR="00927118" w:rsidRPr="00024402" w:rsidRDefault="00927118" w:rsidP="00E165A9">
            <w:pPr>
              <w:spacing w:after="0" w:line="240" w:lineRule="auto"/>
              <w:rPr>
                <w:rFonts w:ascii="Times New Roman" w:hAnsi="Times New Roman" w:cs="Calibri"/>
                <w:sz w:val="20"/>
                <w:szCs w:val="20"/>
              </w:rPr>
            </w:pPr>
          </w:p>
        </w:tc>
      </w:tr>
      <w:tr w:rsidR="00927118" w:rsidRPr="00024402" w:rsidTr="00B76589">
        <w:tc>
          <w:tcPr>
            <w:tcW w:w="7797" w:type="dxa"/>
            <w:tcBorders>
              <w:top w:val="nil"/>
              <w:left w:val="nil"/>
              <w:bottom w:val="nil"/>
              <w:right w:val="nil"/>
            </w:tcBorders>
          </w:tcPr>
          <w:p w:rsidR="00927118" w:rsidRPr="000032C8" w:rsidRDefault="00927118" w:rsidP="00E165A9">
            <w:pPr>
              <w:spacing w:after="0" w:line="240" w:lineRule="auto"/>
              <w:rPr>
                <w:rFonts w:ascii="Times New Roman" w:hAnsi="Times New Roman" w:cs="Calibri"/>
                <w:sz w:val="25"/>
                <w:szCs w:val="25"/>
              </w:rPr>
            </w:pPr>
            <w:r w:rsidRPr="000032C8">
              <w:rPr>
                <w:rFonts w:ascii="Times New Roman" w:hAnsi="Times New Roman" w:cs="Calibri"/>
                <w:sz w:val="25"/>
                <w:szCs w:val="25"/>
              </w:rPr>
              <w:t>Počet akceptovaných pripomienok, z toho zásadných</w:t>
            </w:r>
          </w:p>
        </w:tc>
        <w:tc>
          <w:tcPr>
            <w:tcW w:w="7801" w:type="dxa"/>
            <w:tcBorders>
              <w:top w:val="nil"/>
              <w:left w:val="nil"/>
              <w:bottom w:val="nil"/>
              <w:right w:val="nil"/>
            </w:tcBorders>
          </w:tcPr>
          <w:p w:rsidR="00927118" w:rsidRPr="00024402" w:rsidRDefault="00F85947" w:rsidP="00F85947">
            <w:pPr>
              <w:spacing w:after="0" w:line="240" w:lineRule="auto"/>
              <w:rPr>
                <w:rFonts w:ascii="Times New Roman" w:hAnsi="Times New Roman" w:cs="Calibri"/>
                <w:sz w:val="20"/>
                <w:szCs w:val="20"/>
              </w:rPr>
            </w:pPr>
            <w:r>
              <w:rPr>
                <w:rFonts w:ascii="Times" w:hAnsi="Times" w:cs="Times"/>
                <w:sz w:val="25"/>
                <w:szCs w:val="25"/>
              </w:rPr>
              <w:t>4 /1</w:t>
            </w:r>
          </w:p>
        </w:tc>
      </w:tr>
      <w:tr w:rsidR="00927118" w:rsidRPr="00024402" w:rsidTr="00B76589">
        <w:tc>
          <w:tcPr>
            <w:tcW w:w="7797" w:type="dxa"/>
            <w:tcBorders>
              <w:top w:val="nil"/>
              <w:left w:val="nil"/>
              <w:bottom w:val="nil"/>
              <w:right w:val="nil"/>
            </w:tcBorders>
          </w:tcPr>
          <w:p w:rsidR="00927118" w:rsidRPr="000032C8" w:rsidRDefault="00927118" w:rsidP="00E165A9">
            <w:pPr>
              <w:spacing w:after="0" w:line="240" w:lineRule="auto"/>
              <w:rPr>
                <w:rFonts w:ascii="Times New Roman" w:hAnsi="Times New Roman" w:cs="Calibri"/>
                <w:sz w:val="25"/>
                <w:szCs w:val="25"/>
              </w:rPr>
            </w:pPr>
            <w:r w:rsidRPr="000032C8">
              <w:rPr>
                <w:rFonts w:ascii="Times New Roman" w:hAnsi="Times New Roman" w:cs="Calibri"/>
                <w:sz w:val="25"/>
                <w:szCs w:val="25"/>
              </w:rPr>
              <w:t>Počet čiastočne akceptovaných pripomienok, z toho zásadných</w:t>
            </w:r>
          </w:p>
        </w:tc>
        <w:tc>
          <w:tcPr>
            <w:tcW w:w="7801" w:type="dxa"/>
            <w:tcBorders>
              <w:top w:val="nil"/>
              <w:left w:val="nil"/>
              <w:bottom w:val="nil"/>
              <w:right w:val="nil"/>
            </w:tcBorders>
          </w:tcPr>
          <w:p w:rsidR="00927118" w:rsidRPr="00024402" w:rsidRDefault="00F85947" w:rsidP="00F85947">
            <w:pPr>
              <w:spacing w:after="0" w:line="240" w:lineRule="auto"/>
              <w:rPr>
                <w:rFonts w:ascii="Times New Roman" w:hAnsi="Times New Roman" w:cs="Calibri"/>
                <w:sz w:val="20"/>
                <w:szCs w:val="20"/>
              </w:rPr>
            </w:pPr>
            <w:r>
              <w:rPr>
                <w:rFonts w:ascii="Times" w:hAnsi="Times" w:cs="Times"/>
                <w:sz w:val="25"/>
                <w:szCs w:val="25"/>
              </w:rPr>
              <w:t>0 /0</w:t>
            </w:r>
          </w:p>
        </w:tc>
      </w:tr>
      <w:tr w:rsidR="00927118" w:rsidRPr="00024402" w:rsidTr="00B76589">
        <w:tc>
          <w:tcPr>
            <w:tcW w:w="7797" w:type="dxa"/>
            <w:tcBorders>
              <w:top w:val="nil"/>
              <w:left w:val="nil"/>
              <w:bottom w:val="nil"/>
              <w:right w:val="nil"/>
            </w:tcBorders>
          </w:tcPr>
          <w:p w:rsidR="00927118" w:rsidRPr="000032C8" w:rsidRDefault="00927118" w:rsidP="00E165A9">
            <w:pPr>
              <w:spacing w:after="0" w:line="240" w:lineRule="auto"/>
              <w:rPr>
                <w:rFonts w:ascii="Times New Roman" w:hAnsi="Times New Roman" w:cs="Calibri"/>
                <w:sz w:val="25"/>
                <w:szCs w:val="25"/>
              </w:rPr>
            </w:pPr>
            <w:r w:rsidRPr="000032C8">
              <w:rPr>
                <w:rFonts w:ascii="Times New Roman" w:hAnsi="Times New Roman" w:cs="Calibri"/>
                <w:sz w:val="25"/>
                <w:szCs w:val="25"/>
              </w:rPr>
              <w:t>Počet neakceptovaných pripomienok, z toho zásadných</w:t>
            </w:r>
          </w:p>
        </w:tc>
        <w:tc>
          <w:tcPr>
            <w:tcW w:w="7801" w:type="dxa"/>
            <w:tcBorders>
              <w:top w:val="nil"/>
              <w:left w:val="nil"/>
              <w:bottom w:val="nil"/>
              <w:right w:val="nil"/>
            </w:tcBorders>
          </w:tcPr>
          <w:p w:rsidR="00927118" w:rsidRPr="00024402" w:rsidRDefault="00F85947" w:rsidP="00F85947">
            <w:pPr>
              <w:spacing w:after="0" w:line="240" w:lineRule="auto"/>
              <w:rPr>
                <w:rFonts w:ascii="Times New Roman" w:hAnsi="Times New Roman" w:cs="Calibri"/>
                <w:sz w:val="20"/>
                <w:szCs w:val="20"/>
              </w:rPr>
            </w:pPr>
            <w:r>
              <w:rPr>
                <w:rFonts w:ascii="Times" w:hAnsi="Times" w:cs="Times"/>
                <w:sz w:val="25"/>
                <w:szCs w:val="25"/>
              </w:rPr>
              <w:t>1 /0</w:t>
            </w:r>
          </w:p>
        </w:tc>
      </w:tr>
      <w:tr w:rsidR="00927118" w:rsidRPr="00024402" w:rsidTr="00B76589">
        <w:tc>
          <w:tcPr>
            <w:tcW w:w="7797" w:type="dxa"/>
            <w:tcBorders>
              <w:top w:val="nil"/>
              <w:left w:val="nil"/>
              <w:bottom w:val="nil"/>
              <w:right w:val="nil"/>
            </w:tcBorders>
          </w:tcPr>
          <w:p w:rsidR="00927118" w:rsidRPr="000032C8" w:rsidRDefault="00927118" w:rsidP="00E165A9">
            <w:pPr>
              <w:spacing w:after="0" w:line="240" w:lineRule="auto"/>
              <w:rPr>
                <w:rFonts w:ascii="Times New Roman" w:hAnsi="Times New Roman" w:cs="Calibri"/>
                <w:bCs/>
                <w:sz w:val="25"/>
                <w:szCs w:val="25"/>
              </w:rPr>
            </w:pPr>
          </w:p>
        </w:tc>
        <w:tc>
          <w:tcPr>
            <w:tcW w:w="7801" w:type="dxa"/>
            <w:tcBorders>
              <w:top w:val="nil"/>
              <w:left w:val="nil"/>
              <w:bottom w:val="nil"/>
              <w:right w:val="nil"/>
            </w:tcBorders>
          </w:tcPr>
          <w:p w:rsidR="00927118" w:rsidRPr="00024402" w:rsidRDefault="00927118" w:rsidP="00E165A9">
            <w:pPr>
              <w:spacing w:after="0" w:line="240" w:lineRule="auto"/>
              <w:rPr>
                <w:rFonts w:ascii="Times New Roman" w:hAnsi="Times New Roman" w:cs="Calibri"/>
                <w:sz w:val="20"/>
                <w:szCs w:val="20"/>
              </w:rPr>
            </w:pPr>
          </w:p>
        </w:tc>
      </w:tr>
      <w:tr w:rsidR="00927118" w:rsidRPr="00024402" w:rsidTr="00B76589">
        <w:tc>
          <w:tcPr>
            <w:tcW w:w="7797" w:type="dxa"/>
            <w:tcBorders>
              <w:top w:val="nil"/>
              <w:left w:val="nil"/>
              <w:bottom w:val="nil"/>
              <w:right w:val="nil"/>
            </w:tcBorders>
          </w:tcPr>
          <w:p w:rsidR="00927118" w:rsidRPr="000032C8" w:rsidRDefault="00927118" w:rsidP="00E165A9">
            <w:pPr>
              <w:spacing w:after="0" w:line="240" w:lineRule="auto"/>
              <w:rPr>
                <w:rFonts w:ascii="Times New Roman" w:hAnsi="Times New Roman" w:cs="Calibri"/>
                <w:sz w:val="25"/>
                <w:szCs w:val="25"/>
              </w:rPr>
            </w:pPr>
            <w:r w:rsidRPr="000032C8">
              <w:rPr>
                <w:rFonts w:ascii="Times New Roman" w:hAnsi="Times New Roman" w:cs="Calibri"/>
                <w:bCs/>
                <w:sz w:val="25"/>
                <w:szCs w:val="25"/>
              </w:rPr>
              <w:t>Rozporové konanie (s kým, kedy, s akým výsledkom)</w:t>
            </w:r>
          </w:p>
        </w:tc>
        <w:tc>
          <w:tcPr>
            <w:tcW w:w="7801" w:type="dxa"/>
            <w:tcBorders>
              <w:top w:val="nil"/>
              <w:left w:val="nil"/>
              <w:bottom w:val="nil"/>
              <w:right w:val="nil"/>
            </w:tcBorders>
          </w:tcPr>
          <w:p w:rsidR="00927118" w:rsidRPr="00024402" w:rsidRDefault="00927118" w:rsidP="00E165A9">
            <w:pPr>
              <w:spacing w:after="0" w:line="240" w:lineRule="auto"/>
              <w:rPr>
                <w:rFonts w:ascii="Times New Roman" w:hAnsi="Times New Roman" w:cs="Calibri"/>
                <w:sz w:val="20"/>
                <w:szCs w:val="20"/>
              </w:rPr>
            </w:pPr>
          </w:p>
        </w:tc>
      </w:tr>
      <w:tr w:rsidR="00927118" w:rsidRPr="00024402" w:rsidTr="00B76589">
        <w:tc>
          <w:tcPr>
            <w:tcW w:w="7797" w:type="dxa"/>
            <w:tcBorders>
              <w:top w:val="nil"/>
              <w:left w:val="nil"/>
              <w:bottom w:val="nil"/>
              <w:right w:val="nil"/>
            </w:tcBorders>
          </w:tcPr>
          <w:p w:rsidR="00927118" w:rsidRPr="000032C8" w:rsidRDefault="00927118" w:rsidP="00E165A9">
            <w:pPr>
              <w:spacing w:after="0" w:line="240" w:lineRule="auto"/>
              <w:rPr>
                <w:rFonts w:ascii="Times New Roman" w:hAnsi="Times New Roman" w:cs="Calibri"/>
                <w:bCs/>
                <w:sz w:val="25"/>
                <w:szCs w:val="25"/>
              </w:rPr>
            </w:pPr>
            <w:r w:rsidRPr="000032C8">
              <w:rPr>
                <w:rFonts w:ascii="Times New Roman" w:hAnsi="Times New Roman" w:cs="Calibri"/>
                <w:bCs/>
                <w:sz w:val="25"/>
                <w:szCs w:val="25"/>
              </w:rPr>
              <w:t>Počet odstránených pripomienok</w:t>
            </w:r>
          </w:p>
        </w:tc>
        <w:tc>
          <w:tcPr>
            <w:tcW w:w="7801" w:type="dxa"/>
            <w:tcBorders>
              <w:top w:val="nil"/>
              <w:left w:val="nil"/>
              <w:bottom w:val="nil"/>
              <w:right w:val="nil"/>
            </w:tcBorders>
          </w:tcPr>
          <w:p w:rsidR="00927118" w:rsidRPr="00024402" w:rsidRDefault="00927118" w:rsidP="00E165A9">
            <w:pPr>
              <w:spacing w:after="0" w:line="240" w:lineRule="auto"/>
              <w:rPr>
                <w:rFonts w:ascii="Times New Roman" w:hAnsi="Times New Roman" w:cs="Calibri"/>
                <w:sz w:val="20"/>
                <w:szCs w:val="20"/>
              </w:rPr>
            </w:pPr>
          </w:p>
        </w:tc>
      </w:tr>
      <w:tr w:rsidR="00927118" w:rsidRPr="00024402" w:rsidTr="00B76589">
        <w:tc>
          <w:tcPr>
            <w:tcW w:w="7797" w:type="dxa"/>
            <w:tcBorders>
              <w:top w:val="nil"/>
              <w:left w:val="nil"/>
              <w:bottom w:val="nil"/>
              <w:right w:val="nil"/>
            </w:tcBorders>
          </w:tcPr>
          <w:p w:rsidR="00927118" w:rsidRPr="000032C8" w:rsidRDefault="00927118" w:rsidP="00E165A9">
            <w:pPr>
              <w:spacing w:after="0" w:line="240" w:lineRule="auto"/>
              <w:rPr>
                <w:rFonts w:ascii="Times New Roman" w:hAnsi="Times New Roman" w:cs="Calibri"/>
                <w:bCs/>
                <w:sz w:val="25"/>
                <w:szCs w:val="25"/>
              </w:rPr>
            </w:pPr>
            <w:r w:rsidRPr="000032C8">
              <w:rPr>
                <w:rFonts w:ascii="Times New Roman" w:hAnsi="Times New Roman" w:cs="Calibri"/>
                <w:bCs/>
                <w:sz w:val="25"/>
                <w:szCs w:val="25"/>
              </w:rPr>
              <w:t>Počet neodstránených pripomienok</w:t>
            </w:r>
          </w:p>
        </w:tc>
        <w:tc>
          <w:tcPr>
            <w:tcW w:w="7801" w:type="dxa"/>
            <w:tcBorders>
              <w:top w:val="nil"/>
              <w:left w:val="nil"/>
              <w:bottom w:val="nil"/>
              <w:right w:val="nil"/>
            </w:tcBorders>
          </w:tcPr>
          <w:p w:rsidR="00927118" w:rsidRPr="00024402" w:rsidRDefault="00927118" w:rsidP="00E165A9">
            <w:pPr>
              <w:spacing w:after="0" w:line="240" w:lineRule="auto"/>
              <w:rPr>
                <w:rFonts w:ascii="Times New Roman" w:hAnsi="Times New Roman" w:cs="Calibri"/>
                <w:sz w:val="20"/>
                <w:szCs w:val="20"/>
              </w:rPr>
            </w:pPr>
          </w:p>
        </w:tc>
      </w:tr>
    </w:tbl>
    <w:p w:rsidR="00927118" w:rsidRPr="00024402" w:rsidRDefault="00927118" w:rsidP="00927118">
      <w:pPr>
        <w:spacing w:after="0" w:line="240" w:lineRule="auto"/>
        <w:rPr>
          <w:rFonts w:ascii="Times New Roman" w:hAnsi="Times New Roman" w:cs="Calibri"/>
          <w:b/>
          <w:sz w:val="20"/>
          <w:szCs w:val="20"/>
        </w:rPr>
      </w:pPr>
    </w:p>
    <w:p w:rsidR="00927118" w:rsidRPr="000032C8" w:rsidRDefault="00927118" w:rsidP="00927118">
      <w:pPr>
        <w:spacing w:after="0" w:line="240" w:lineRule="auto"/>
        <w:rPr>
          <w:sz w:val="25"/>
          <w:szCs w:val="25"/>
        </w:rPr>
      </w:pPr>
      <w:proofErr w:type="spellStart"/>
      <w:r w:rsidRPr="000032C8">
        <w:rPr>
          <w:rFonts w:ascii="Times New Roman" w:hAnsi="Times New Roman" w:cs="Calibri"/>
          <w:sz w:val="25"/>
          <w:szCs w:val="25"/>
        </w:rPr>
        <w:t>Sumarizácia</w:t>
      </w:r>
      <w:proofErr w:type="spellEnd"/>
      <w:r w:rsidRPr="000032C8">
        <w:rPr>
          <w:rFonts w:ascii="Times New Roman" w:hAnsi="Times New Roman" w:cs="Calibri"/>
          <w:sz w:val="25"/>
          <w:szCs w:val="25"/>
        </w:rPr>
        <w:t xml:space="preserve"> vznesených pripomienok podľa subjektov</w:t>
      </w:r>
    </w:p>
    <w:p w:rsidR="00F85947" w:rsidRDefault="00F85947" w:rsidP="00841FA6"/>
    <w:tbl>
      <w:tblPr>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328"/>
        <w:gridCol w:w="7737"/>
        <w:gridCol w:w="1405"/>
        <w:gridCol w:w="1405"/>
        <w:gridCol w:w="1392"/>
        <w:gridCol w:w="1038"/>
      </w:tblGrid>
      <w:tr w:rsidR="00F85947" w:rsidTr="00D339DE">
        <w:trPr>
          <w:divId w:val="1941180510"/>
          <w:jc w:val="center"/>
        </w:trPr>
        <w:tc>
          <w:tcPr>
            <w:tcW w:w="123" w:type="pct"/>
            <w:tcBorders>
              <w:top w:val="outset" w:sz="6" w:space="0" w:color="000000"/>
              <w:left w:val="outset" w:sz="6" w:space="0" w:color="000000"/>
              <w:bottom w:val="outset" w:sz="6" w:space="0" w:color="000000"/>
              <w:right w:val="outset" w:sz="6" w:space="0" w:color="000000"/>
            </w:tcBorders>
            <w:vAlign w:val="center"/>
            <w:hideMark/>
          </w:tcPr>
          <w:p w:rsidR="00F85947" w:rsidRDefault="00F85947">
            <w:pPr>
              <w:jc w:val="center"/>
              <w:rPr>
                <w:rFonts w:ascii="Times" w:hAnsi="Times" w:cs="Times"/>
                <w:b/>
                <w:bCs/>
                <w:sz w:val="25"/>
                <w:szCs w:val="25"/>
              </w:rPr>
            </w:pPr>
            <w:r>
              <w:rPr>
                <w:rFonts w:ascii="Times" w:hAnsi="Times" w:cs="Times"/>
                <w:b/>
                <w:bCs/>
                <w:sz w:val="25"/>
                <w:szCs w:val="25"/>
              </w:rPr>
              <w:t>Č.</w:t>
            </w:r>
          </w:p>
        </w:tc>
        <w:tc>
          <w:tcPr>
            <w:tcW w:w="2908" w:type="pct"/>
            <w:tcBorders>
              <w:top w:val="outset" w:sz="6" w:space="0" w:color="000000"/>
              <w:left w:val="outset" w:sz="6" w:space="0" w:color="000000"/>
              <w:bottom w:val="outset" w:sz="6" w:space="0" w:color="000000"/>
              <w:right w:val="outset" w:sz="6" w:space="0" w:color="000000"/>
            </w:tcBorders>
            <w:vAlign w:val="center"/>
            <w:hideMark/>
          </w:tcPr>
          <w:p w:rsidR="00F85947" w:rsidRDefault="00F85947">
            <w:pPr>
              <w:jc w:val="center"/>
              <w:rPr>
                <w:rFonts w:ascii="Times" w:hAnsi="Times" w:cs="Times"/>
                <w:b/>
                <w:bCs/>
                <w:sz w:val="25"/>
                <w:szCs w:val="25"/>
              </w:rPr>
            </w:pPr>
            <w:r>
              <w:rPr>
                <w:rFonts w:ascii="Times" w:hAnsi="Times" w:cs="Times"/>
                <w:b/>
                <w:bCs/>
                <w:sz w:val="25"/>
                <w:szCs w:val="25"/>
              </w:rPr>
              <w:t>Subjekt</w:t>
            </w:r>
          </w:p>
        </w:tc>
        <w:tc>
          <w:tcPr>
            <w:tcW w:w="528" w:type="pct"/>
            <w:tcBorders>
              <w:top w:val="outset" w:sz="6" w:space="0" w:color="000000"/>
              <w:left w:val="outset" w:sz="6" w:space="0" w:color="000000"/>
              <w:bottom w:val="outset" w:sz="6" w:space="0" w:color="000000"/>
              <w:right w:val="outset" w:sz="6" w:space="0" w:color="000000"/>
            </w:tcBorders>
            <w:vAlign w:val="center"/>
            <w:hideMark/>
          </w:tcPr>
          <w:p w:rsidR="00F85947" w:rsidRDefault="00F85947">
            <w:pPr>
              <w:jc w:val="center"/>
              <w:rPr>
                <w:rFonts w:ascii="Times" w:hAnsi="Times" w:cs="Times"/>
                <w:b/>
                <w:bCs/>
                <w:sz w:val="25"/>
                <w:szCs w:val="25"/>
              </w:rPr>
            </w:pPr>
            <w:r>
              <w:rPr>
                <w:rFonts w:ascii="Times" w:hAnsi="Times" w:cs="Times"/>
                <w:b/>
                <w:bCs/>
                <w:sz w:val="25"/>
                <w:szCs w:val="25"/>
              </w:rPr>
              <w:t>Pripomienky do termínu</w:t>
            </w:r>
          </w:p>
        </w:tc>
        <w:tc>
          <w:tcPr>
            <w:tcW w:w="528" w:type="pct"/>
            <w:tcBorders>
              <w:top w:val="outset" w:sz="6" w:space="0" w:color="000000"/>
              <w:left w:val="outset" w:sz="6" w:space="0" w:color="000000"/>
              <w:bottom w:val="outset" w:sz="6" w:space="0" w:color="000000"/>
              <w:right w:val="outset" w:sz="6" w:space="0" w:color="000000"/>
            </w:tcBorders>
            <w:vAlign w:val="center"/>
            <w:hideMark/>
          </w:tcPr>
          <w:p w:rsidR="00F85947" w:rsidRDefault="00F85947">
            <w:pPr>
              <w:jc w:val="center"/>
              <w:rPr>
                <w:rFonts w:ascii="Times" w:hAnsi="Times" w:cs="Times"/>
                <w:b/>
                <w:bCs/>
                <w:sz w:val="25"/>
                <w:szCs w:val="25"/>
              </w:rPr>
            </w:pPr>
            <w:r>
              <w:rPr>
                <w:rFonts w:ascii="Times" w:hAnsi="Times" w:cs="Times"/>
                <w:b/>
                <w:bCs/>
                <w:sz w:val="25"/>
                <w:szCs w:val="25"/>
              </w:rPr>
              <w:t>Pripomienky po termíne</w:t>
            </w:r>
          </w:p>
        </w:tc>
        <w:tc>
          <w:tcPr>
            <w:tcW w:w="523" w:type="pct"/>
            <w:tcBorders>
              <w:top w:val="outset" w:sz="6" w:space="0" w:color="000000"/>
              <w:left w:val="outset" w:sz="6" w:space="0" w:color="000000"/>
              <w:bottom w:val="outset" w:sz="6" w:space="0" w:color="000000"/>
              <w:right w:val="outset" w:sz="6" w:space="0" w:color="000000"/>
            </w:tcBorders>
            <w:vAlign w:val="center"/>
            <w:hideMark/>
          </w:tcPr>
          <w:p w:rsidR="00F85947" w:rsidRDefault="00F85947">
            <w:pPr>
              <w:jc w:val="center"/>
              <w:rPr>
                <w:rFonts w:ascii="Times" w:hAnsi="Times" w:cs="Times"/>
                <w:b/>
                <w:bCs/>
                <w:sz w:val="25"/>
                <w:szCs w:val="25"/>
              </w:rPr>
            </w:pPr>
            <w:r>
              <w:rPr>
                <w:rFonts w:ascii="Times" w:hAnsi="Times" w:cs="Times"/>
                <w:b/>
                <w:bCs/>
                <w:sz w:val="25"/>
                <w:szCs w:val="25"/>
              </w:rPr>
              <w:t>Nemali pripomienky</w:t>
            </w:r>
          </w:p>
        </w:tc>
        <w:tc>
          <w:tcPr>
            <w:tcW w:w="390" w:type="pct"/>
            <w:tcBorders>
              <w:top w:val="outset" w:sz="6" w:space="0" w:color="000000"/>
              <w:left w:val="outset" w:sz="6" w:space="0" w:color="000000"/>
              <w:bottom w:val="outset" w:sz="6" w:space="0" w:color="000000"/>
              <w:right w:val="outset" w:sz="6" w:space="0" w:color="000000"/>
            </w:tcBorders>
            <w:vAlign w:val="center"/>
            <w:hideMark/>
          </w:tcPr>
          <w:p w:rsidR="00F85947" w:rsidRDefault="00F85947">
            <w:pPr>
              <w:jc w:val="center"/>
              <w:rPr>
                <w:rFonts w:ascii="Times" w:hAnsi="Times" w:cs="Times"/>
                <w:b/>
                <w:bCs/>
                <w:sz w:val="25"/>
                <w:szCs w:val="25"/>
              </w:rPr>
            </w:pPr>
            <w:r>
              <w:rPr>
                <w:rFonts w:ascii="Times" w:hAnsi="Times" w:cs="Times"/>
                <w:b/>
                <w:bCs/>
                <w:sz w:val="25"/>
                <w:szCs w:val="25"/>
              </w:rPr>
              <w:t>Vôbec nezaslali</w:t>
            </w:r>
          </w:p>
        </w:tc>
      </w:tr>
      <w:tr w:rsidR="00F85947">
        <w:trPr>
          <w:divId w:val="1941180510"/>
          <w:jc w:val="center"/>
        </w:trPr>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1.</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rPr>
                <w:rFonts w:ascii="Times" w:hAnsi="Times" w:cs="Times"/>
                <w:sz w:val="25"/>
                <w:szCs w:val="25"/>
              </w:rPr>
            </w:pPr>
            <w:r>
              <w:rPr>
                <w:rFonts w:ascii="Times" w:hAnsi="Times" w:cs="Times"/>
                <w:sz w:val="25"/>
                <w:szCs w:val="25"/>
              </w:rPr>
              <w:t xml:space="preserve">Asociácia </w:t>
            </w:r>
            <w:r w:rsidR="00D339DE">
              <w:rPr>
                <w:rFonts w:ascii="Times" w:hAnsi="Times" w:cs="Times"/>
                <w:sz w:val="25"/>
                <w:szCs w:val="25"/>
              </w:rPr>
              <w:t>zamestnávateľských</w:t>
            </w:r>
            <w:r>
              <w:rPr>
                <w:rFonts w:ascii="Times" w:hAnsi="Times" w:cs="Times"/>
                <w:sz w:val="25"/>
                <w:szCs w:val="25"/>
              </w:rPr>
              <w:t xml:space="preserve"> zväzov a združení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 xml:space="preserve"> </w:t>
            </w:r>
            <w:r w:rsidR="00D339DE">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D339DE">
            <w:pPr>
              <w:jc w:val="center"/>
              <w:rPr>
                <w:rFonts w:ascii="Times" w:hAnsi="Times" w:cs="Times"/>
                <w:sz w:val="25"/>
                <w:szCs w:val="25"/>
              </w:rPr>
            </w:pPr>
            <w:r>
              <w:rPr>
                <w:rFonts w:ascii="Times" w:hAnsi="Times" w:cs="Times"/>
                <w:sz w:val="25"/>
                <w:szCs w:val="25"/>
              </w:rPr>
              <w:t>x</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sz w:val="20"/>
                <w:szCs w:val="20"/>
              </w:rPr>
            </w:pPr>
          </w:p>
        </w:tc>
      </w:tr>
      <w:tr w:rsidR="00D339DE">
        <w:trPr>
          <w:divId w:val="1941180510"/>
          <w:jc w:val="center"/>
        </w:trPr>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pPr>
              <w:jc w:val="center"/>
              <w:rPr>
                <w:rFonts w:ascii="Times" w:hAnsi="Times" w:cs="Times"/>
                <w:sz w:val="25"/>
                <w:szCs w:val="25"/>
              </w:rPr>
            </w:pPr>
            <w:r>
              <w:rPr>
                <w:rFonts w:ascii="Times" w:hAnsi="Times" w:cs="Times"/>
                <w:sz w:val="25"/>
                <w:szCs w:val="25"/>
              </w:rPr>
              <w:t>2.</w:t>
            </w:r>
          </w:p>
        </w:tc>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pPr>
              <w:rPr>
                <w:rFonts w:ascii="Times" w:hAnsi="Times" w:cs="Times"/>
                <w:sz w:val="25"/>
                <w:szCs w:val="25"/>
              </w:rPr>
            </w:pPr>
            <w:r>
              <w:rPr>
                <w:rFonts w:ascii="Times" w:hAnsi="Times" w:cs="Times"/>
                <w:sz w:val="25"/>
                <w:szCs w:val="25"/>
              </w:rPr>
              <w:t>Generálna prokuratúra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rsidP="00D339DE">
            <w:pPr>
              <w:jc w:val="center"/>
            </w:pPr>
            <w:r w:rsidRPr="00CC7407">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pPr>
              <w:jc w:val="center"/>
              <w:rPr>
                <w:rFonts w:ascii="Times" w:hAnsi="Times" w:cs="Times"/>
                <w:sz w:val="25"/>
                <w:szCs w:val="25"/>
              </w:rPr>
            </w:pPr>
            <w:r>
              <w:rPr>
                <w:rFonts w:ascii="Times" w:hAnsi="Times" w:cs="Times"/>
                <w:sz w:val="25"/>
                <w:szCs w:val="25"/>
              </w:rPr>
              <w:t>x</w:t>
            </w:r>
          </w:p>
        </w:tc>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pPr>
              <w:jc w:val="center"/>
              <w:rPr>
                <w:sz w:val="20"/>
                <w:szCs w:val="20"/>
              </w:rPr>
            </w:pPr>
          </w:p>
        </w:tc>
      </w:tr>
      <w:tr w:rsidR="00D339DE">
        <w:trPr>
          <w:divId w:val="1941180510"/>
          <w:jc w:val="center"/>
        </w:trPr>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pPr>
              <w:jc w:val="center"/>
              <w:rPr>
                <w:rFonts w:ascii="Times" w:hAnsi="Times" w:cs="Times"/>
                <w:sz w:val="25"/>
                <w:szCs w:val="25"/>
              </w:rPr>
            </w:pPr>
            <w:r>
              <w:rPr>
                <w:rFonts w:ascii="Times" w:hAnsi="Times" w:cs="Times"/>
                <w:sz w:val="25"/>
                <w:szCs w:val="25"/>
              </w:rPr>
              <w:t>3.</w:t>
            </w:r>
          </w:p>
        </w:tc>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pPr>
              <w:rPr>
                <w:rFonts w:ascii="Times" w:hAnsi="Times" w:cs="Times"/>
                <w:sz w:val="25"/>
                <w:szCs w:val="25"/>
              </w:rPr>
            </w:pPr>
            <w:r>
              <w:rPr>
                <w:rFonts w:ascii="Times" w:hAnsi="Times" w:cs="Times"/>
                <w:sz w:val="25"/>
                <w:szCs w:val="25"/>
              </w:rPr>
              <w:t>Ministerstvo dopravy a výstavby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rsidP="00D339DE">
            <w:pPr>
              <w:jc w:val="center"/>
            </w:pPr>
            <w:r w:rsidRPr="00CC7407">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pPr>
              <w:jc w:val="center"/>
              <w:rPr>
                <w:rFonts w:ascii="Times" w:hAnsi="Times" w:cs="Times"/>
                <w:sz w:val="25"/>
                <w:szCs w:val="25"/>
              </w:rPr>
            </w:pPr>
            <w:r>
              <w:rPr>
                <w:rFonts w:ascii="Times" w:hAnsi="Times" w:cs="Times"/>
                <w:sz w:val="25"/>
                <w:szCs w:val="25"/>
              </w:rPr>
              <w:t>x</w:t>
            </w:r>
          </w:p>
        </w:tc>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pPr>
              <w:jc w:val="center"/>
              <w:rPr>
                <w:sz w:val="20"/>
                <w:szCs w:val="20"/>
              </w:rPr>
            </w:pPr>
          </w:p>
        </w:tc>
      </w:tr>
      <w:tr w:rsidR="00F85947">
        <w:trPr>
          <w:divId w:val="1941180510"/>
          <w:jc w:val="center"/>
        </w:trPr>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4.</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rPr>
                <w:rFonts w:ascii="Times" w:hAnsi="Times" w:cs="Times"/>
                <w:sz w:val="25"/>
                <w:szCs w:val="25"/>
              </w:rPr>
            </w:pPr>
            <w:r>
              <w:rPr>
                <w:rFonts w:ascii="Times" w:hAnsi="Times" w:cs="Times"/>
                <w:sz w:val="25"/>
                <w:szCs w:val="25"/>
              </w:rPr>
              <w:t>Ministerstvo financií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1 (1o,0z)</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sz w:val="20"/>
                <w:szCs w:val="20"/>
              </w:rPr>
            </w:pPr>
          </w:p>
        </w:tc>
      </w:tr>
      <w:tr w:rsidR="00F85947">
        <w:trPr>
          <w:divId w:val="1941180510"/>
          <w:jc w:val="center"/>
        </w:trPr>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lastRenderedPageBreak/>
              <w:t>5.</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rPr>
                <w:rFonts w:ascii="Times" w:hAnsi="Times" w:cs="Times"/>
                <w:sz w:val="25"/>
                <w:szCs w:val="25"/>
              </w:rPr>
            </w:pPr>
            <w:r>
              <w:rPr>
                <w:rFonts w:ascii="Times" w:hAnsi="Times" w:cs="Times"/>
                <w:sz w:val="25"/>
                <w:szCs w:val="25"/>
              </w:rPr>
              <w:t>Ministerstvo obrany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D339D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D339DE">
            <w:pPr>
              <w:jc w:val="center"/>
              <w:rPr>
                <w:rFonts w:ascii="Times" w:hAnsi="Times" w:cs="Times"/>
                <w:sz w:val="25"/>
                <w:szCs w:val="25"/>
              </w:rPr>
            </w:pPr>
            <w:r>
              <w:rPr>
                <w:rFonts w:ascii="Times" w:hAnsi="Times" w:cs="Times"/>
                <w:sz w:val="25"/>
                <w:szCs w:val="25"/>
              </w:rPr>
              <w:t>x</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sz w:val="20"/>
                <w:szCs w:val="20"/>
              </w:rPr>
            </w:pPr>
          </w:p>
        </w:tc>
      </w:tr>
      <w:tr w:rsidR="00F85947">
        <w:trPr>
          <w:divId w:val="1941180510"/>
          <w:jc w:val="center"/>
        </w:trPr>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6.</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rPr>
                <w:rFonts w:ascii="Times" w:hAnsi="Times" w:cs="Times"/>
                <w:sz w:val="25"/>
                <w:szCs w:val="25"/>
              </w:rPr>
            </w:pPr>
            <w:r>
              <w:rPr>
                <w:rFonts w:ascii="Times" w:hAnsi="Times" w:cs="Times"/>
                <w:sz w:val="25"/>
                <w:szCs w:val="25"/>
              </w:rPr>
              <w:t>Ministerstvo pôdohospodárstva a rozvoja vidieka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1 (1o,0z)</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sz w:val="20"/>
                <w:szCs w:val="20"/>
              </w:rPr>
            </w:pPr>
          </w:p>
        </w:tc>
      </w:tr>
      <w:tr w:rsidR="00F85947">
        <w:trPr>
          <w:divId w:val="1941180510"/>
          <w:jc w:val="center"/>
        </w:trPr>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7.</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rPr>
                <w:rFonts w:ascii="Times" w:hAnsi="Times" w:cs="Times"/>
                <w:sz w:val="25"/>
                <w:szCs w:val="25"/>
              </w:rPr>
            </w:pPr>
            <w:r>
              <w:rPr>
                <w:rFonts w:ascii="Times" w:hAnsi="Times" w:cs="Times"/>
                <w:sz w:val="25"/>
                <w:szCs w:val="25"/>
              </w:rPr>
              <w:t>Ministerstvo práce, sociálnych vecí a rodiny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D339D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D339DE">
            <w:pPr>
              <w:jc w:val="center"/>
              <w:rPr>
                <w:rFonts w:ascii="Times" w:hAnsi="Times" w:cs="Times"/>
                <w:sz w:val="25"/>
                <w:szCs w:val="25"/>
              </w:rPr>
            </w:pPr>
            <w:r>
              <w:rPr>
                <w:rFonts w:ascii="Times" w:hAnsi="Times" w:cs="Times"/>
                <w:sz w:val="25"/>
                <w:szCs w:val="25"/>
              </w:rPr>
              <w:t>x</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sz w:val="20"/>
                <w:szCs w:val="20"/>
              </w:rPr>
            </w:pPr>
          </w:p>
        </w:tc>
      </w:tr>
      <w:tr w:rsidR="00F85947">
        <w:trPr>
          <w:divId w:val="1941180510"/>
          <w:jc w:val="center"/>
        </w:trPr>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8.</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rPr>
                <w:rFonts w:ascii="Times" w:hAnsi="Times" w:cs="Times"/>
                <w:sz w:val="25"/>
                <w:szCs w:val="25"/>
              </w:rPr>
            </w:pPr>
            <w:r>
              <w:rPr>
                <w:rFonts w:ascii="Times" w:hAnsi="Times" w:cs="Times"/>
                <w:sz w:val="25"/>
                <w:szCs w:val="25"/>
              </w:rPr>
              <w:t>Ministerstvo spravodlivosti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1 (1o,0z)</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sz w:val="20"/>
                <w:szCs w:val="20"/>
              </w:rPr>
            </w:pPr>
          </w:p>
        </w:tc>
      </w:tr>
      <w:tr w:rsidR="00D339DE">
        <w:trPr>
          <w:divId w:val="1941180510"/>
          <w:jc w:val="center"/>
        </w:trPr>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pPr>
              <w:jc w:val="center"/>
              <w:rPr>
                <w:rFonts w:ascii="Times" w:hAnsi="Times" w:cs="Times"/>
                <w:sz w:val="25"/>
                <w:szCs w:val="25"/>
              </w:rPr>
            </w:pPr>
            <w:r>
              <w:rPr>
                <w:rFonts w:ascii="Times" w:hAnsi="Times" w:cs="Times"/>
                <w:sz w:val="25"/>
                <w:szCs w:val="25"/>
              </w:rPr>
              <w:t>9.</w:t>
            </w:r>
          </w:p>
        </w:tc>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pPr>
              <w:rPr>
                <w:rFonts w:ascii="Times" w:hAnsi="Times" w:cs="Times"/>
                <w:sz w:val="25"/>
                <w:szCs w:val="25"/>
              </w:rPr>
            </w:pPr>
            <w:r>
              <w:rPr>
                <w:rFonts w:ascii="Times" w:hAnsi="Times" w:cs="Times"/>
                <w:sz w:val="25"/>
                <w:szCs w:val="25"/>
              </w:rPr>
              <w:t>Ministerstvo zdravotníctva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rsidP="00D339DE">
            <w:pPr>
              <w:jc w:val="center"/>
            </w:pPr>
            <w:r w:rsidRPr="00D50284">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pPr>
              <w:jc w:val="center"/>
              <w:rPr>
                <w:rFonts w:ascii="Times" w:hAnsi="Times" w:cs="Times"/>
                <w:sz w:val="25"/>
                <w:szCs w:val="25"/>
              </w:rPr>
            </w:pPr>
            <w:r>
              <w:rPr>
                <w:rFonts w:ascii="Times" w:hAnsi="Times" w:cs="Times"/>
                <w:sz w:val="25"/>
                <w:szCs w:val="25"/>
              </w:rPr>
              <w:t>x</w:t>
            </w:r>
          </w:p>
        </w:tc>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pPr>
              <w:jc w:val="center"/>
              <w:rPr>
                <w:sz w:val="20"/>
                <w:szCs w:val="20"/>
              </w:rPr>
            </w:pPr>
          </w:p>
        </w:tc>
      </w:tr>
      <w:tr w:rsidR="00D339DE">
        <w:trPr>
          <w:divId w:val="1941180510"/>
          <w:jc w:val="center"/>
        </w:trPr>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pPr>
              <w:jc w:val="center"/>
              <w:rPr>
                <w:rFonts w:ascii="Times" w:hAnsi="Times" w:cs="Times"/>
                <w:sz w:val="25"/>
                <w:szCs w:val="25"/>
              </w:rPr>
            </w:pPr>
            <w:r>
              <w:rPr>
                <w:rFonts w:ascii="Times" w:hAnsi="Times" w:cs="Times"/>
                <w:sz w:val="25"/>
                <w:szCs w:val="25"/>
              </w:rPr>
              <w:t>10.</w:t>
            </w:r>
          </w:p>
        </w:tc>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pPr>
              <w:rPr>
                <w:rFonts w:ascii="Times" w:hAnsi="Times" w:cs="Times"/>
                <w:sz w:val="25"/>
                <w:szCs w:val="25"/>
              </w:rPr>
            </w:pPr>
            <w:r>
              <w:rPr>
                <w:rFonts w:ascii="Times" w:hAnsi="Times" w:cs="Times"/>
                <w:sz w:val="25"/>
                <w:szCs w:val="25"/>
              </w:rPr>
              <w:t>Ministerstvo zahraničných vecí a európskych záležitostí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rsidP="00D339DE">
            <w:pPr>
              <w:jc w:val="center"/>
            </w:pPr>
            <w:r w:rsidRPr="00D50284">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pPr>
              <w:jc w:val="center"/>
              <w:rPr>
                <w:rFonts w:ascii="Times" w:hAnsi="Times" w:cs="Times"/>
                <w:sz w:val="25"/>
                <w:szCs w:val="25"/>
              </w:rPr>
            </w:pPr>
            <w:r>
              <w:rPr>
                <w:rFonts w:ascii="Times" w:hAnsi="Times" w:cs="Times"/>
                <w:sz w:val="25"/>
                <w:szCs w:val="25"/>
              </w:rPr>
              <w:t>x</w:t>
            </w:r>
          </w:p>
        </w:tc>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pPr>
              <w:jc w:val="center"/>
              <w:rPr>
                <w:sz w:val="20"/>
                <w:szCs w:val="20"/>
              </w:rPr>
            </w:pPr>
          </w:p>
        </w:tc>
      </w:tr>
      <w:tr w:rsidR="00D339DE">
        <w:trPr>
          <w:divId w:val="1941180510"/>
          <w:jc w:val="center"/>
        </w:trPr>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pPr>
              <w:jc w:val="center"/>
              <w:rPr>
                <w:rFonts w:ascii="Times" w:hAnsi="Times" w:cs="Times"/>
                <w:sz w:val="25"/>
                <w:szCs w:val="25"/>
              </w:rPr>
            </w:pPr>
            <w:r>
              <w:rPr>
                <w:rFonts w:ascii="Times" w:hAnsi="Times" w:cs="Times"/>
                <w:sz w:val="25"/>
                <w:szCs w:val="25"/>
              </w:rPr>
              <w:t>11.</w:t>
            </w:r>
          </w:p>
        </w:tc>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pPr>
              <w:rPr>
                <w:rFonts w:ascii="Times" w:hAnsi="Times" w:cs="Times"/>
                <w:sz w:val="25"/>
                <w:szCs w:val="25"/>
              </w:rPr>
            </w:pPr>
            <w:r>
              <w:rPr>
                <w:rFonts w:ascii="Times" w:hAnsi="Times" w:cs="Times"/>
                <w:sz w:val="25"/>
                <w:szCs w:val="25"/>
              </w:rPr>
              <w:t>Ministerstvo životného prostredia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rsidP="00D339DE">
            <w:pPr>
              <w:jc w:val="center"/>
            </w:pPr>
            <w:r w:rsidRPr="00D50284">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pPr>
              <w:jc w:val="center"/>
              <w:rPr>
                <w:rFonts w:ascii="Times" w:hAnsi="Times" w:cs="Times"/>
                <w:sz w:val="25"/>
                <w:szCs w:val="25"/>
              </w:rPr>
            </w:pPr>
            <w:r>
              <w:rPr>
                <w:rFonts w:ascii="Times" w:hAnsi="Times" w:cs="Times"/>
                <w:sz w:val="25"/>
                <w:szCs w:val="25"/>
              </w:rPr>
              <w:t>x</w:t>
            </w:r>
          </w:p>
        </w:tc>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pPr>
              <w:jc w:val="center"/>
              <w:rPr>
                <w:sz w:val="20"/>
                <w:szCs w:val="20"/>
              </w:rPr>
            </w:pPr>
          </w:p>
        </w:tc>
      </w:tr>
      <w:tr w:rsidR="00F85947">
        <w:trPr>
          <w:divId w:val="1941180510"/>
          <w:jc w:val="center"/>
        </w:trPr>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12.</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rPr>
                <w:rFonts w:ascii="Times" w:hAnsi="Times" w:cs="Times"/>
                <w:sz w:val="25"/>
                <w:szCs w:val="25"/>
              </w:rPr>
            </w:pPr>
            <w:r>
              <w:rPr>
                <w:rFonts w:ascii="Times" w:hAnsi="Times" w:cs="Times"/>
                <w:sz w:val="25"/>
                <w:szCs w:val="25"/>
              </w:rPr>
              <w:t>Národná banka Slovenska</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1 (1o,0z)</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sz w:val="20"/>
                <w:szCs w:val="20"/>
              </w:rPr>
            </w:pPr>
          </w:p>
        </w:tc>
      </w:tr>
      <w:tr w:rsidR="00D339DE">
        <w:trPr>
          <w:divId w:val="1941180510"/>
          <w:jc w:val="center"/>
        </w:trPr>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pPr>
              <w:jc w:val="center"/>
              <w:rPr>
                <w:rFonts w:ascii="Times" w:hAnsi="Times" w:cs="Times"/>
                <w:sz w:val="25"/>
                <w:szCs w:val="25"/>
              </w:rPr>
            </w:pPr>
            <w:r>
              <w:rPr>
                <w:rFonts w:ascii="Times" w:hAnsi="Times" w:cs="Times"/>
                <w:sz w:val="25"/>
                <w:szCs w:val="25"/>
              </w:rPr>
              <w:t>13.</w:t>
            </w:r>
          </w:p>
        </w:tc>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pPr>
              <w:rPr>
                <w:rFonts w:ascii="Times" w:hAnsi="Times" w:cs="Times"/>
                <w:sz w:val="25"/>
                <w:szCs w:val="25"/>
              </w:rPr>
            </w:pPr>
            <w:r>
              <w:rPr>
                <w:rFonts w:ascii="Times" w:hAnsi="Times" w:cs="Times"/>
                <w:sz w:val="25"/>
                <w:szCs w:val="25"/>
              </w:rPr>
              <w:t>Protimonopolný úrad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D339DE" w:rsidRDefault="00665A2E" w:rsidP="00665A2E">
            <w:pPr>
              <w:jc w:val="center"/>
            </w:pPr>
            <w:r>
              <w:rPr>
                <w:rFonts w:ascii="Times" w:hAnsi="Times" w:cs="Times"/>
                <w:sz w:val="25"/>
                <w:szCs w:val="25"/>
              </w:rPr>
              <w:t>1</w:t>
            </w:r>
            <w:r w:rsidR="00D339DE" w:rsidRPr="00C6731D">
              <w:rPr>
                <w:rFonts w:ascii="Times" w:hAnsi="Times" w:cs="Times"/>
                <w:sz w:val="25"/>
                <w:szCs w:val="25"/>
              </w:rPr>
              <w:t xml:space="preserve"> (0o,</w:t>
            </w:r>
            <w:r>
              <w:rPr>
                <w:rFonts w:ascii="Times" w:hAnsi="Times" w:cs="Times"/>
                <w:sz w:val="25"/>
                <w:szCs w:val="25"/>
              </w:rPr>
              <w:t>1</w:t>
            </w:r>
            <w:r w:rsidR="00D339DE" w:rsidRPr="00C6731D">
              <w:rPr>
                <w:rFonts w:ascii="Times" w:hAnsi="Times" w:cs="Times"/>
                <w:sz w:val="25"/>
                <w:szCs w:val="25"/>
              </w:rPr>
              <w:t>z)</w:t>
            </w:r>
          </w:p>
        </w:tc>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pPr>
              <w:jc w:val="center"/>
              <w:rPr>
                <w:sz w:val="20"/>
                <w:szCs w:val="20"/>
              </w:rPr>
            </w:pPr>
          </w:p>
        </w:tc>
      </w:tr>
      <w:tr w:rsidR="00D339DE">
        <w:trPr>
          <w:divId w:val="1941180510"/>
          <w:jc w:val="center"/>
        </w:trPr>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pPr>
              <w:jc w:val="center"/>
              <w:rPr>
                <w:rFonts w:ascii="Times" w:hAnsi="Times" w:cs="Times"/>
                <w:sz w:val="25"/>
                <w:szCs w:val="25"/>
              </w:rPr>
            </w:pPr>
            <w:r>
              <w:rPr>
                <w:rFonts w:ascii="Times" w:hAnsi="Times" w:cs="Times"/>
                <w:sz w:val="25"/>
                <w:szCs w:val="25"/>
              </w:rPr>
              <w:t>14.</w:t>
            </w:r>
          </w:p>
        </w:tc>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pPr>
              <w:rPr>
                <w:rFonts w:ascii="Times" w:hAnsi="Times" w:cs="Times"/>
                <w:sz w:val="25"/>
                <w:szCs w:val="25"/>
              </w:rPr>
            </w:pPr>
            <w:r>
              <w:rPr>
                <w:rFonts w:ascii="Times" w:hAnsi="Times" w:cs="Times"/>
                <w:sz w:val="25"/>
                <w:szCs w:val="25"/>
              </w:rPr>
              <w:t>Úrad jadrového dozoru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rsidP="00D339DE">
            <w:pPr>
              <w:jc w:val="center"/>
            </w:pPr>
            <w:r w:rsidRPr="00C6731D">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pPr>
              <w:jc w:val="center"/>
              <w:rPr>
                <w:rFonts w:ascii="Times" w:hAnsi="Times" w:cs="Times"/>
                <w:sz w:val="25"/>
                <w:szCs w:val="25"/>
              </w:rPr>
            </w:pPr>
            <w:r>
              <w:rPr>
                <w:rFonts w:ascii="Times" w:hAnsi="Times" w:cs="Times"/>
                <w:sz w:val="25"/>
                <w:szCs w:val="25"/>
              </w:rPr>
              <w:t>x</w:t>
            </w:r>
          </w:p>
        </w:tc>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pPr>
              <w:jc w:val="center"/>
              <w:rPr>
                <w:sz w:val="20"/>
                <w:szCs w:val="20"/>
              </w:rPr>
            </w:pPr>
          </w:p>
        </w:tc>
      </w:tr>
      <w:tr w:rsidR="00D339DE">
        <w:trPr>
          <w:divId w:val="1941180510"/>
          <w:jc w:val="center"/>
        </w:trPr>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pPr>
              <w:jc w:val="center"/>
              <w:rPr>
                <w:rFonts w:ascii="Times" w:hAnsi="Times" w:cs="Times"/>
                <w:sz w:val="25"/>
                <w:szCs w:val="25"/>
              </w:rPr>
            </w:pPr>
            <w:r>
              <w:rPr>
                <w:rFonts w:ascii="Times" w:hAnsi="Times" w:cs="Times"/>
                <w:sz w:val="25"/>
                <w:szCs w:val="25"/>
              </w:rPr>
              <w:t>15.</w:t>
            </w:r>
          </w:p>
        </w:tc>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pPr>
              <w:rPr>
                <w:rFonts w:ascii="Times" w:hAnsi="Times" w:cs="Times"/>
                <w:sz w:val="25"/>
                <w:szCs w:val="25"/>
              </w:rPr>
            </w:pPr>
            <w:r>
              <w:rPr>
                <w:rFonts w:ascii="Times" w:hAnsi="Times" w:cs="Times"/>
                <w:sz w:val="25"/>
                <w:szCs w:val="25"/>
              </w:rPr>
              <w:t>Úrad pre normalizáciu, metrológiu a skúšobníctvo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rsidP="00D339DE">
            <w:pPr>
              <w:jc w:val="center"/>
            </w:pPr>
            <w:r w:rsidRPr="00C6731D">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pPr>
              <w:jc w:val="center"/>
              <w:rPr>
                <w:rFonts w:ascii="Times" w:hAnsi="Times" w:cs="Times"/>
                <w:sz w:val="25"/>
                <w:szCs w:val="25"/>
              </w:rPr>
            </w:pPr>
            <w:r>
              <w:rPr>
                <w:rFonts w:ascii="Times" w:hAnsi="Times" w:cs="Times"/>
                <w:sz w:val="25"/>
                <w:szCs w:val="25"/>
              </w:rPr>
              <w:t>x</w:t>
            </w:r>
          </w:p>
        </w:tc>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pPr>
              <w:jc w:val="center"/>
              <w:rPr>
                <w:sz w:val="20"/>
                <w:szCs w:val="20"/>
              </w:rPr>
            </w:pPr>
          </w:p>
        </w:tc>
      </w:tr>
      <w:tr w:rsidR="00D339DE">
        <w:trPr>
          <w:divId w:val="1941180510"/>
          <w:jc w:val="center"/>
        </w:trPr>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pPr>
              <w:jc w:val="center"/>
              <w:rPr>
                <w:rFonts w:ascii="Times" w:hAnsi="Times" w:cs="Times"/>
                <w:sz w:val="25"/>
                <w:szCs w:val="25"/>
              </w:rPr>
            </w:pPr>
            <w:r>
              <w:rPr>
                <w:rFonts w:ascii="Times" w:hAnsi="Times" w:cs="Times"/>
                <w:sz w:val="25"/>
                <w:szCs w:val="25"/>
              </w:rPr>
              <w:t>16.</w:t>
            </w:r>
          </w:p>
        </w:tc>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pPr>
              <w:rPr>
                <w:rFonts w:ascii="Times" w:hAnsi="Times" w:cs="Times"/>
                <w:sz w:val="25"/>
                <w:szCs w:val="25"/>
              </w:rPr>
            </w:pPr>
            <w:r>
              <w:rPr>
                <w:rFonts w:ascii="Times" w:hAnsi="Times" w:cs="Times"/>
                <w:sz w:val="25"/>
                <w:szCs w:val="25"/>
              </w:rPr>
              <w:t>Úrad podpredsedu vlády Slovenskej republiky pre investície a informatizáciu</w:t>
            </w:r>
          </w:p>
        </w:tc>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rsidP="00D339DE">
            <w:pPr>
              <w:jc w:val="center"/>
            </w:pPr>
            <w:r w:rsidRPr="00C6731D">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pPr>
              <w:jc w:val="center"/>
              <w:rPr>
                <w:rFonts w:ascii="Times" w:hAnsi="Times" w:cs="Times"/>
                <w:sz w:val="25"/>
                <w:szCs w:val="25"/>
              </w:rPr>
            </w:pPr>
            <w:r>
              <w:rPr>
                <w:rFonts w:ascii="Times" w:hAnsi="Times" w:cs="Times"/>
                <w:sz w:val="25"/>
                <w:szCs w:val="25"/>
              </w:rPr>
              <w:t>x</w:t>
            </w:r>
          </w:p>
        </w:tc>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pPr>
              <w:jc w:val="center"/>
              <w:rPr>
                <w:sz w:val="20"/>
                <w:szCs w:val="20"/>
              </w:rPr>
            </w:pPr>
          </w:p>
        </w:tc>
      </w:tr>
      <w:tr w:rsidR="00D339DE">
        <w:trPr>
          <w:divId w:val="1941180510"/>
          <w:jc w:val="center"/>
        </w:trPr>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pPr>
              <w:jc w:val="center"/>
              <w:rPr>
                <w:rFonts w:ascii="Times" w:hAnsi="Times" w:cs="Times"/>
                <w:sz w:val="25"/>
                <w:szCs w:val="25"/>
              </w:rPr>
            </w:pPr>
            <w:r>
              <w:rPr>
                <w:rFonts w:ascii="Times" w:hAnsi="Times" w:cs="Times"/>
                <w:sz w:val="25"/>
                <w:szCs w:val="25"/>
              </w:rPr>
              <w:t>17.</w:t>
            </w:r>
          </w:p>
        </w:tc>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pPr>
              <w:rPr>
                <w:rFonts w:ascii="Times" w:hAnsi="Times" w:cs="Times"/>
                <w:sz w:val="25"/>
                <w:szCs w:val="25"/>
              </w:rPr>
            </w:pPr>
            <w:r>
              <w:rPr>
                <w:rFonts w:ascii="Times" w:hAnsi="Times" w:cs="Times"/>
                <w:sz w:val="25"/>
                <w:szCs w:val="25"/>
              </w:rPr>
              <w:t>Úrad priemyselného vlastníctva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rsidP="00D339DE">
            <w:pPr>
              <w:jc w:val="center"/>
            </w:pPr>
            <w:r w:rsidRPr="00C6731D">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pPr>
              <w:jc w:val="center"/>
              <w:rPr>
                <w:rFonts w:ascii="Times" w:hAnsi="Times" w:cs="Times"/>
                <w:sz w:val="25"/>
                <w:szCs w:val="25"/>
              </w:rPr>
            </w:pPr>
            <w:r>
              <w:rPr>
                <w:rFonts w:ascii="Times" w:hAnsi="Times" w:cs="Times"/>
                <w:sz w:val="25"/>
                <w:szCs w:val="25"/>
              </w:rPr>
              <w:t>x</w:t>
            </w:r>
          </w:p>
        </w:tc>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pPr>
              <w:jc w:val="center"/>
              <w:rPr>
                <w:sz w:val="20"/>
                <w:szCs w:val="20"/>
              </w:rPr>
            </w:pPr>
          </w:p>
        </w:tc>
      </w:tr>
      <w:tr w:rsidR="00D339DE">
        <w:trPr>
          <w:divId w:val="1941180510"/>
          <w:jc w:val="center"/>
        </w:trPr>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pPr>
              <w:jc w:val="center"/>
              <w:rPr>
                <w:rFonts w:ascii="Times" w:hAnsi="Times" w:cs="Times"/>
                <w:sz w:val="25"/>
                <w:szCs w:val="25"/>
              </w:rPr>
            </w:pPr>
            <w:r>
              <w:rPr>
                <w:rFonts w:ascii="Times" w:hAnsi="Times" w:cs="Times"/>
                <w:sz w:val="25"/>
                <w:szCs w:val="25"/>
              </w:rPr>
              <w:t>18.</w:t>
            </w:r>
          </w:p>
        </w:tc>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pPr>
              <w:rPr>
                <w:rFonts w:ascii="Times" w:hAnsi="Times" w:cs="Times"/>
                <w:sz w:val="25"/>
                <w:szCs w:val="25"/>
              </w:rPr>
            </w:pPr>
            <w:r>
              <w:rPr>
                <w:rFonts w:ascii="Times" w:hAnsi="Times" w:cs="Times"/>
                <w:sz w:val="25"/>
                <w:szCs w:val="25"/>
              </w:rPr>
              <w:t>Úrad pre verejné obstarávanie</w:t>
            </w:r>
          </w:p>
        </w:tc>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rsidP="00D339DE">
            <w:pPr>
              <w:jc w:val="center"/>
            </w:pPr>
            <w:r w:rsidRPr="00C6731D">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pPr>
              <w:jc w:val="center"/>
              <w:rPr>
                <w:rFonts w:ascii="Times" w:hAnsi="Times" w:cs="Times"/>
                <w:sz w:val="25"/>
                <w:szCs w:val="25"/>
              </w:rPr>
            </w:pPr>
            <w:r>
              <w:rPr>
                <w:rFonts w:ascii="Times" w:hAnsi="Times" w:cs="Times"/>
                <w:sz w:val="25"/>
                <w:szCs w:val="25"/>
              </w:rPr>
              <w:t>x</w:t>
            </w:r>
          </w:p>
        </w:tc>
        <w:tc>
          <w:tcPr>
            <w:tcW w:w="0" w:type="auto"/>
            <w:tcBorders>
              <w:top w:val="outset" w:sz="6" w:space="0" w:color="000000"/>
              <w:left w:val="outset" w:sz="6" w:space="0" w:color="000000"/>
              <w:bottom w:val="outset" w:sz="6" w:space="0" w:color="000000"/>
              <w:right w:val="outset" w:sz="6" w:space="0" w:color="000000"/>
            </w:tcBorders>
            <w:hideMark/>
          </w:tcPr>
          <w:p w:rsidR="00D339DE" w:rsidRDefault="00D339DE">
            <w:pPr>
              <w:jc w:val="center"/>
              <w:rPr>
                <w:sz w:val="20"/>
                <w:szCs w:val="20"/>
              </w:rPr>
            </w:pPr>
          </w:p>
        </w:tc>
      </w:tr>
      <w:tr w:rsidR="00F85947">
        <w:trPr>
          <w:divId w:val="1941180510"/>
          <w:jc w:val="center"/>
        </w:trPr>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19.</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rPr>
                <w:rFonts w:ascii="Times" w:hAnsi="Times" w:cs="Times"/>
                <w:sz w:val="25"/>
                <w:szCs w:val="25"/>
              </w:rPr>
            </w:pPr>
            <w:r>
              <w:rPr>
                <w:rFonts w:ascii="Times" w:hAnsi="Times" w:cs="Times"/>
                <w:sz w:val="25"/>
                <w:szCs w:val="25"/>
              </w:rPr>
              <w:t>Národný bezpečnostný úrad</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x</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p>
        </w:tc>
      </w:tr>
      <w:tr w:rsidR="00F85947">
        <w:trPr>
          <w:divId w:val="1941180510"/>
          <w:jc w:val="center"/>
        </w:trPr>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20.</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rPr>
                <w:rFonts w:ascii="Times" w:hAnsi="Times" w:cs="Times"/>
                <w:sz w:val="25"/>
                <w:szCs w:val="25"/>
              </w:rPr>
            </w:pPr>
            <w:r>
              <w:rPr>
                <w:rFonts w:ascii="Times" w:hAnsi="Times" w:cs="Times"/>
                <w:sz w:val="25"/>
                <w:szCs w:val="25"/>
              </w:rPr>
              <w:t>Ministerstvo školstva, vedy, výskumu a športu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x</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p>
        </w:tc>
      </w:tr>
      <w:tr w:rsidR="00F85947">
        <w:trPr>
          <w:divId w:val="1941180510"/>
          <w:jc w:val="center"/>
        </w:trPr>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lastRenderedPageBreak/>
              <w:t>21.</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rPr>
                <w:rFonts w:ascii="Times" w:hAnsi="Times" w:cs="Times"/>
                <w:sz w:val="25"/>
                <w:szCs w:val="25"/>
              </w:rPr>
            </w:pPr>
            <w:r>
              <w:rPr>
                <w:rFonts w:ascii="Times" w:hAnsi="Times" w:cs="Times"/>
                <w:sz w:val="25"/>
                <w:szCs w:val="25"/>
              </w:rPr>
              <w:t>Štatistický úrad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x</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p>
        </w:tc>
      </w:tr>
      <w:tr w:rsidR="00F85947">
        <w:trPr>
          <w:divId w:val="1941180510"/>
          <w:jc w:val="center"/>
        </w:trPr>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22.</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rPr>
                <w:rFonts w:ascii="Times" w:hAnsi="Times" w:cs="Times"/>
                <w:sz w:val="25"/>
                <w:szCs w:val="25"/>
              </w:rPr>
            </w:pPr>
            <w:r>
              <w:rPr>
                <w:rFonts w:ascii="Times" w:hAnsi="Times" w:cs="Times"/>
                <w:sz w:val="25"/>
                <w:szCs w:val="25"/>
              </w:rPr>
              <w:t>Ministerstvo vnútra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x</w:t>
            </w:r>
          </w:p>
        </w:tc>
      </w:tr>
      <w:tr w:rsidR="00F85947">
        <w:trPr>
          <w:divId w:val="1941180510"/>
          <w:jc w:val="center"/>
        </w:trPr>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23.</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rPr>
                <w:rFonts w:ascii="Times" w:hAnsi="Times" w:cs="Times"/>
                <w:sz w:val="25"/>
                <w:szCs w:val="25"/>
              </w:rPr>
            </w:pPr>
            <w:r>
              <w:rPr>
                <w:rFonts w:ascii="Times" w:hAnsi="Times" w:cs="Times"/>
                <w:sz w:val="25"/>
                <w:szCs w:val="25"/>
              </w:rPr>
              <w:t>Ministerstvo kultúry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x</w:t>
            </w:r>
          </w:p>
        </w:tc>
      </w:tr>
      <w:tr w:rsidR="00F85947">
        <w:trPr>
          <w:divId w:val="1941180510"/>
          <w:jc w:val="center"/>
        </w:trPr>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24.</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rPr>
                <w:rFonts w:ascii="Times" w:hAnsi="Times" w:cs="Times"/>
                <w:sz w:val="25"/>
                <w:szCs w:val="25"/>
              </w:rPr>
            </w:pPr>
            <w:r>
              <w:rPr>
                <w:rFonts w:ascii="Times" w:hAnsi="Times" w:cs="Times"/>
                <w:sz w:val="25"/>
                <w:szCs w:val="25"/>
              </w:rPr>
              <w:t>Ministerstvo hospodárstva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x</w:t>
            </w:r>
          </w:p>
        </w:tc>
      </w:tr>
      <w:tr w:rsidR="00F85947">
        <w:trPr>
          <w:divId w:val="1941180510"/>
          <w:jc w:val="center"/>
        </w:trPr>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25.</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rPr>
                <w:rFonts w:ascii="Times" w:hAnsi="Times" w:cs="Times"/>
                <w:sz w:val="25"/>
                <w:szCs w:val="25"/>
              </w:rPr>
            </w:pPr>
            <w:r>
              <w:rPr>
                <w:rFonts w:ascii="Times" w:hAnsi="Times" w:cs="Times"/>
                <w:sz w:val="25"/>
                <w:szCs w:val="25"/>
              </w:rPr>
              <w:t>Úrad vlády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x</w:t>
            </w:r>
          </w:p>
        </w:tc>
      </w:tr>
      <w:tr w:rsidR="00F85947">
        <w:trPr>
          <w:divId w:val="1941180510"/>
          <w:jc w:val="center"/>
        </w:trPr>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26.</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rPr>
                <w:rFonts w:ascii="Times" w:hAnsi="Times" w:cs="Times"/>
                <w:sz w:val="25"/>
                <w:szCs w:val="25"/>
              </w:rPr>
            </w:pPr>
            <w:r>
              <w:rPr>
                <w:rFonts w:ascii="Times" w:hAnsi="Times" w:cs="Times"/>
                <w:sz w:val="25"/>
                <w:szCs w:val="25"/>
              </w:rPr>
              <w:t>Úrad geodézie, kartografie a katastra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x</w:t>
            </w:r>
          </w:p>
        </w:tc>
      </w:tr>
      <w:tr w:rsidR="00F85947">
        <w:trPr>
          <w:divId w:val="1941180510"/>
          <w:jc w:val="center"/>
        </w:trPr>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27.</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rPr>
                <w:rFonts w:ascii="Times" w:hAnsi="Times" w:cs="Times"/>
                <w:sz w:val="25"/>
                <w:szCs w:val="25"/>
              </w:rPr>
            </w:pPr>
            <w:r>
              <w:rPr>
                <w:rFonts w:ascii="Times" w:hAnsi="Times" w:cs="Times"/>
                <w:sz w:val="25"/>
                <w:szCs w:val="25"/>
              </w:rPr>
              <w:t>Správa štátnych hmotných rezerv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x</w:t>
            </w:r>
          </w:p>
        </w:tc>
      </w:tr>
      <w:tr w:rsidR="00F85947">
        <w:trPr>
          <w:divId w:val="1941180510"/>
          <w:jc w:val="center"/>
        </w:trPr>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28.</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rPr>
                <w:rFonts w:ascii="Times" w:hAnsi="Times" w:cs="Times"/>
                <w:sz w:val="25"/>
                <w:szCs w:val="25"/>
              </w:rPr>
            </w:pPr>
            <w:r>
              <w:rPr>
                <w:rFonts w:ascii="Times" w:hAnsi="Times" w:cs="Times"/>
                <w:sz w:val="25"/>
                <w:szCs w:val="25"/>
              </w:rPr>
              <w:t>Najvyšší kontrolný úrad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x</w:t>
            </w:r>
          </w:p>
        </w:tc>
      </w:tr>
      <w:tr w:rsidR="00F85947">
        <w:trPr>
          <w:divId w:val="1941180510"/>
          <w:jc w:val="center"/>
        </w:trPr>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29.</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rPr>
                <w:rFonts w:ascii="Times" w:hAnsi="Times" w:cs="Times"/>
                <w:sz w:val="25"/>
                <w:szCs w:val="25"/>
              </w:rPr>
            </w:pPr>
            <w:r>
              <w:rPr>
                <w:rFonts w:ascii="Times" w:hAnsi="Times" w:cs="Times"/>
                <w:sz w:val="25"/>
                <w:szCs w:val="25"/>
              </w:rPr>
              <w:t>Najvyšší súd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x</w:t>
            </w:r>
          </w:p>
        </w:tc>
      </w:tr>
      <w:tr w:rsidR="00F85947">
        <w:trPr>
          <w:divId w:val="1941180510"/>
          <w:jc w:val="center"/>
        </w:trPr>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30.</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rPr>
                <w:rFonts w:ascii="Times" w:hAnsi="Times" w:cs="Times"/>
                <w:sz w:val="25"/>
                <w:szCs w:val="25"/>
              </w:rPr>
            </w:pPr>
            <w:r>
              <w:rPr>
                <w:rFonts w:ascii="Times" w:hAnsi="Times" w:cs="Times"/>
                <w:sz w:val="25"/>
                <w:szCs w:val="25"/>
              </w:rPr>
              <w:t>Národná rada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x</w:t>
            </w:r>
          </w:p>
        </w:tc>
      </w:tr>
      <w:tr w:rsidR="00F85947">
        <w:trPr>
          <w:divId w:val="1941180510"/>
          <w:jc w:val="center"/>
        </w:trPr>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31.</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rPr>
                <w:rFonts w:ascii="Times" w:hAnsi="Times" w:cs="Times"/>
                <w:sz w:val="25"/>
                <w:szCs w:val="25"/>
              </w:rPr>
            </w:pPr>
            <w:r>
              <w:rPr>
                <w:rFonts w:ascii="Times" w:hAnsi="Times" w:cs="Times"/>
                <w:sz w:val="25"/>
                <w:szCs w:val="25"/>
              </w:rPr>
              <w:t>Kancelária Ústavného súdu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x</w:t>
            </w:r>
          </w:p>
        </w:tc>
      </w:tr>
      <w:tr w:rsidR="00F85947">
        <w:trPr>
          <w:divId w:val="1941180510"/>
          <w:jc w:val="center"/>
        </w:trPr>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32.</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rPr>
                <w:rFonts w:ascii="Times" w:hAnsi="Times" w:cs="Times"/>
                <w:sz w:val="25"/>
                <w:szCs w:val="25"/>
              </w:rPr>
            </w:pPr>
            <w:r>
              <w:rPr>
                <w:rFonts w:ascii="Times" w:hAnsi="Times" w:cs="Times"/>
                <w:sz w:val="25"/>
                <w:szCs w:val="25"/>
              </w:rPr>
              <w:t>Kancelária prezidenta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x</w:t>
            </w:r>
          </w:p>
        </w:tc>
      </w:tr>
      <w:tr w:rsidR="00F85947">
        <w:trPr>
          <w:divId w:val="1941180510"/>
          <w:jc w:val="center"/>
        </w:trPr>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33.</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rPr>
                <w:rFonts w:ascii="Times" w:hAnsi="Times" w:cs="Times"/>
                <w:sz w:val="25"/>
                <w:szCs w:val="25"/>
              </w:rPr>
            </w:pPr>
            <w:r>
              <w:rPr>
                <w:rFonts w:ascii="Times" w:hAnsi="Times" w:cs="Times"/>
                <w:sz w:val="25"/>
                <w:szCs w:val="25"/>
              </w:rPr>
              <w:t>Odbor aproximácie práva sekcie vládnej legislatívy Úradu vlády SR</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x</w:t>
            </w:r>
          </w:p>
        </w:tc>
      </w:tr>
      <w:tr w:rsidR="00F85947">
        <w:trPr>
          <w:divId w:val="1941180510"/>
          <w:jc w:val="center"/>
        </w:trPr>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34.</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rPr>
                <w:rFonts w:ascii="Times" w:hAnsi="Times" w:cs="Times"/>
                <w:sz w:val="25"/>
                <w:szCs w:val="25"/>
              </w:rPr>
            </w:pPr>
            <w:r>
              <w:rPr>
                <w:rFonts w:ascii="Times" w:hAnsi="Times" w:cs="Times"/>
                <w:sz w:val="25"/>
                <w:szCs w:val="25"/>
              </w:rPr>
              <w:t>Slovenská poľnohospodárska a potravinárska komora</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x</w:t>
            </w:r>
          </w:p>
        </w:tc>
      </w:tr>
      <w:tr w:rsidR="00F85947">
        <w:trPr>
          <w:divId w:val="1941180510"/>
          <w:jc w:val="center"/>
        </w:trPr>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35.</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rPr>
                <w:rFonts w:ascii="Times" w:hAnsi="Times" w:cs="Times"/>
                <w:sz w:val="25"/>
                <w:szCs w:val="25"/>
              </w:rPr>
            </w:pPr>
            <w:r>
              <w:rPr>
                <w:rFonts w:ascii="Times" w:hAnsi="Times" w:cs="Times"/>
                <w:sz w:val="25"/>
                <w:szCs w:val="25"/>
              </w:rPr>
              <w:t>Združenie miest a obcí Slovenska</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x</w:t>
            </w:r>
          </w:p>
        </w:tc>
      </w:tr>
      <w:tr w:rsidR="00F85947">
        <w:trPr>
          <w:divId w:val="1941180510"/>
          <w:jc w:val="center"/>
        </w:trPr>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36.</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rPr>
                <w:rFonts w:ascii="Times" w:hAnsi="Times" w:cs="Times"/>
                <w:sz w:val="25"/>
                <w:szCs w:val="25"/>
              </w:rPr>
            </w:pPr>
            <w:r>
              <w:rPr>
                <w:rFonts w:ascii="Times" w:hAnsi="Times" w:cs="Times"/>
                <w:sz w:val="25"/>
                <w:szCs w:val="25"/>
              </w:rPr>
              <w:t>Splnomocnenec vlády Slovenskej republiky pre rómske komunity</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x</w:t>
            </w:r>
          </w:p>
        </w:tc>
      </w:tr>
      <w:tr w:rsidR="00F85947">
        <w:trPr>
          <w:divId w:val="1941180510"/>
          <w:jc w:val="center"/>
        </w:trPr>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37.</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rPr>
                <w:rFonts w:ascii="Times" w:hAnsi="Times" w:cs="Times"/>
                <w:sz w:val="25"/>
                <w:szCs w:val="25"/>
              </w:rPr>
            </w:pPr>
            <w:r>
              <w:rPr>
                <w:rFonts w:ascii="Times" w:hAnsi="Times" w:cs="Times"/>
                <w:sz w:val="25"/>
                <w:szCs w:val="25"/>
              </w:rPr>
              <w:t>Konfederácia odborových zväzov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x</w:t>
            </w:r>
          </w:p>
        </w:tc>
      </w:tr>
      <w:tr w:rsidR="00F85947">
        <w:trPr>
          <w:divId w:val="1941180510"/>
          <w:jc w:val="center"/>
        </w:trPr>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lastRenderedPageBreak/>
              <w:t>38.</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rPr>
                <w:rFonts w:ascii="Times" w:hAnsi="Times" w:cs="Times"/>
                <w:sz w:val="25"/>
                <w:szCs w:val="25"/>
              </w:rPr>
            </w:pPr>
            <w:r>
              <w:rPr>
                <w:rFonts w:ascii="Times" w:hAnsi="Times" w:cs="Times"/>
                <w:sz w:val="25"/>
                <w:szCs w:val="25"/>
              </w:rPr>
              <w:t>Republiková únia zamestnávateľov</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x</w:t>
            </w:r>
          </w:p>
        </w:tc>
      </w:tr>
      <w:tr w:rsidR="00F85947">
        <w:trPr>
          <w:divId w:val="1941180510"/>
          <w:jc w:val="center"/>
        </w:trPr>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39.</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rPr>
                <w:rFonts w:ascii="Times" w:hAnsi="Times" w:cs="Times"/>
                <w:sz w:val="25"/>
                <w:szCs w:val="25"/>
              </w:rPr>
            </w:pPr>
            <w:r>
              <w:rPr>
                <w:rFonts w:ascii="Times" w:hAnsi="Times" w:cs="Times"/>
                <w:sz w:val="25"/>
                <w:szCs w:val="25"/>
              </w:rPr>
              <w:t>Úrad pre dohľad nad zdravotnou starostlivosťou</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x</w:t>
            </w:r>
          </w:p>
        </w:tc>
      </w:tr>
      <w:tr w:rsidR="00F85947">
        <w:trPr>
          <w:divId w:val="1941180510"/>
          <w:jc w:val="center"/>
        </w:trPr>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40.</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rPr>
                <w:rFonts w:ascii="Times" w:hAnsi="Times" w:cs="Times"/>
                <w:sz w:val="25"/>
                <w:szCs w:val="25"/>
              </w:rPr>
            </w:pPr>
            <w:r>
              <w:rPr>
                <w:rFonts w:ascii="Times" w:hAnsi="Times" w:cs="Times"/>
                <w:sz w:val="25"/>
                <w:szCs w:val="25"/>
              </w:rPr>
              <w:t>Konferencia biskupov Slovenska</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x</w:t>
            </w:r>
          </w:p>
        </w:tc>
      </w:tr>
      <w:tr w:rsidR="00F85947">
        <w:trPr>
          <w:divId w:val="1941180510"/>
          <w:jc w:val="center"/>
        </w:trPr>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rPr>
                <w:rFonts w:ascii="Times" w:hAnsi="Times" w:cs="Times"/>
                <w:sz w:val="25"/>
                <w:szCs w:val="25"/>
              </w:rPr>
            </w:pPr>
            <w:r>
              <w:rPr>
                <w:rFonts w:ascii="Times" w:hAnsi="Times" w:cs="Times"/>
                <w:sz w:val="25"/>
                <w:szCs w:val="25"/>
              </w:rPr>
              <w:t>Spolu</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787D5D" w:rsidP="00787D5D">
            <w:pPr>
              <w:jc w:val="center"/>
              <w:rPr>
                <w:rFonts w:ascii="Times" w:hAnsi="Times" w:cs="Times"/>
                <w:sz w:val="25"/>
                <w:szCs w:val="25"/>
              </w:rPr>
            </w:pPr>
            <w:r>
              <w:rPr>
                <w:rFonts w:ascii="Times" w:hAnsi="Times" w:cs="Times"/>
                <w:sz w:val="25"/>
                <w:szCs w:val="25"/>
              </w:rPr>
              <w:t>5</w:t>
            </w:r>
            <w:r w:rsidR="00F85947">
              <w:rPr>
                <w:rFonts w:ascii="Times" w:hAnsi="Times" w:cs="Times"/>
                <w:sz w:val="25"/>
                <w:szCs w:val="25"/>
              </w:rPr>
              <w:t xml:space="preserve"> (</w:t>
            </w:r>
            <w:r>
              <w:rPr>
                <w:rFonts w:ascii="Times" w:hAnsi="Times" w:cs="Times"/>
                <w:sz w:val="25"/>
                <w:szCs w:val="25"/>
              </w:rPr>
              <w:t>4</w:t>
            </w:r>
            <w:r w:rsidR="00F85947">
              <w:rPr>
                <w:rFonts w:ascii="Times" w:hAnsi="Times" w:cs="Times"/>
                <w:sz w:val="25"/>
                <w:szCs w:val="25"/>
              </w:rPr>
              <w:t>o,1z)</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F85947" w:rsidRDefault="00F85947">
            <w:pPr>
              <w:jc w:val="center"/>
              <w:rPr>
                <w:sz w:val="20"/>
                <w:szCs w:val="20"/>
              </w:rPr>
            </w:pPr>
          </w:p>
        </w:tc>
      </w:tr>
    </w:tbl>
    <w:p w:rsidR="00BF7CE0" w:rsidRPr="00BF7CE0" w:rsidRDefault="00BF7CE0" w:rsidP="00841FA6">
      <w:pPr>
        <w:rPr>
          <w:b/>
          <w:bCs/>
          <w:color w:val="000000"/>
          <w:sz w:val="20"/>
          <w:szCs w:val="20"/>
        </w:rPr>
      </w:pPr>
      <w:r w:rsidRPr="009F7218">
        <w:rPr>
          <w:rFonts w:ascii="Times New Roman" w:eastAsia="Times New Roman" w:hAnsi="Times New Roman" w:cs="Times New Roman"/>
          <w:bCs/>
          <w:color w:val="000000"/>
          <w:sz w:val="25"/>
          <w:szCs w:val="25"/>
        </w:rPr>
        <w:t>Vyhodnotenie vecných pripomienok je uvedené v tabuľkovej časti.</w:t>
      </w:r>
    </w:p>
    <w:p w:rsidR="00BF7CE0" w:rsidRPr="00BF7CE0" w:rsidRDefault="00BF7CE0" w:rsidP="00BF7CE0">
      <w:pPr>
        <w:pStyle w:val="Zkladntext"/>
        <w:widowControl/>
        <w:jc w:val="both"/>
        <w:rPr>
          <w:b w:val="0"/>
          <w:bCs w:val="0"/>
          <w:color w:val="000000"/>
          <w:sz w:val="20"/>
          <w:szCs w:val="20"/>
        </w:rPr>
      </w:pPr>
    </w:p>
    <w:tbl>
      <w:tblPr>
        <w:tblW w:w="0" w:type="auto"/>
        <w:tblLook w:val="0000" w:firstRow="0" w:lastRow="0" w:firstColumn="0" w:lastColumn="0" w:noHBand="0" w:noVBand="0"/>
      </w:tblPr>
      <w:tblGrid>
        <w:gridCol w:w="1809"/>
        <w:gridCol w:w="3119"/>
      </w:tblGrid>
      <w:tr w:rsidR="00BF7CE0" w:rsidRPr="00BF7CE0" w:rsidTr="00943EB2">
        <w:trPr>
          <w:cantSplit/>
        </w:trPr>
        <w:tc>
          <w:tcPr>
            <w:tcW w:w="4928" w:type="dxa"/>
            <w:gridSpan w:val="2"/>
            <w:tcBorders>
              <w:top w:val="nil"/>
              <w:left w:val="nil"/>
              <w:bottom w:val="nil"/>
              <w:right w:val="nil"/>
            </w:tcBorders>
          </w:tcPr>
          <w:p w:rsidR="00BF7CE0" w:rsidRPr="009F7218" w:rsidRDefault="00BF7CE0" w:rsidP="00342C19">
            <w:pPr>
              <w:pStyle w:val="Zkladntext"/>
              <w:widowControl/>
              <w:jc w:val="both"/>
              <w:rPr>
                <w:b w:val="0"/>
                <w:color w:val="000000"/>
                <w:sz w:val="25"/>
                <w:szCs w:val="25"/>
              </w:rPr>
            </w:pPr>
            <w:r w:rsidRPr="009F7218">
              <w:rPr>
                <w:b w:val="0"/>
                <w:color w:val="000000"/>
                <w:sz w:val="25"/>
                <w:szCs w:val="25"/>
              </w:rPr>
              <w:t>Vysvetlivky  k použitým skratkám v tabuľke:</w:t>
            </w:r>
          </w:p>
        </w:tc>
      </w:tr>
      <w:tr w:rsidR="00BF7CE0" w:rsidRPr="00BF7CE0" w:rsidTr="00943EB2">
        <w:trPr>
          <w:cantSplit/>
        </w:trPr>
        <w:tc>
          <w:tcPr>
            <w:tcW w:w="1809" w:type="dxa"/>
            <w:tcBorders>
              <w:top w:val="nil"/>
              <w:left w:val="nil"/>
              <w:bottom w:val="nil"/>
              <w:right w:val="nil"/>
            </w:tcBorders>
          </w:tcPr>
          <w:p w:rsidR="00BF7CE0" w:rsidRPr="009F7218" w:rsidRDefault="00BF7CE0" w:rsidP="00342C19">
            <w:pPr>
              <w:pStyle w:val="Zkladntext"/>
              <w:widowControl/>
              <w:jc w:val="both"/>
              <w:rPr>
                <w:b w:val="0"/>
                <w:color w:val="000000"/>
                <w:sz w:val="25"/>
                <w:szCs w:val="25"/>
              </w:rPr>
            </w:pPr>
            <w:r w:rsidRPr="009F7218">
              <w:rPr>
                <w:b w:val="0"/>
                <w:color w:val="000000"/>
                <w:sz w:val="25"/>
                <w:szCs w:val="25"/>
              </w:rPr>
              <w:t>O – obyčajná</w:t>
            </w:r>
          </w:p>
        </w:tc>
        <w:tc>
          <w:tcPr>
            <w:tcW w:w="3119" w:type="dxa"/>
            <w:tcBorders>
              <w:top w:val="nil"/>
              <w:left w:val="nil"/>
              <w:bottom w:val="nil"/>
              <w:right w:val="nil"/>
            </w:tcBorders>
          </w:tcPr>
          <w:p w:rsidR="00BF7CE0" w:rsidRPr="009F7218" w:rsidRDefault="00BF7CE0" w:rsidP="00342C19">
            <w:pPr>
              <w:pStyle w:val="Zkladntext"/>
              <w:widowControl/>
              <w:jc w:val="both"/>
              <w:rPr>
                <w:b w:val="0"/>
                <w:color w:val="000000"/>
                <w:sz w:val="25"/>
                <w:szCs w:val="25"/>
              </w:rPr>
            </w:pPr>
            <w:r w:rsidRPr="009F7218">
              <w:rPr>
                <w:b w:val="0"/>
                <w:color w:val="000000"/>
                <w:sz w:val="25"/>
                <w:szCs w:val="25"/>
              </w:rPr>
              <w:t>A – akceptovaná</w:t>
            </w:r>
          </w:p>
        </w:tc>
      </w:tr>
      <w:tr w:rsidR="00BF7CE0" w:rsidRPr="00BF7CE0" w:rsidTr="00943EB2">
        <w:trPr>
          <w:cantSplit/>
        </w:trPr>
        <w:tc>
          <w:tcPr>
            <w:tcW w:w="1809" w:type="dxa"/>
            <w:tcBorders>
              <w:top w:val="nil"/>
              <w:left w:val="nil"/>
              <w:bottom w:val="nil"/>
              <w:right w:val="nil"/>
            </w:tcBorders>
          </w:tcPr>
          <w:p w:rsidR="00BF7CE0" w:rsidRPr="009F7218" w:rsidRDefault="00BF7CE0" w:rsidP="00342C19">
            <w:pPr>
              <w:pStyle w:val="Zkladntext"/>
              <w:widowControl/>
              <w:jc w:val="both"/>
              <w:rPr>
                <w:b w:val="0"/>
                <w:color w:val="000000"/>
                <w:sz w:val="25"/>
                <w:szCs w:val="25"/>
              </w:rPr>
            </w:pPr>
            <w:r w:rsidRPr="009F7218">
              <w:rPr>
                <w:b w:val="0"/>
                <w:color w:val="000000"/>
                <w:sz w:val="25"/>
                <w:szCs w:val="25"/>
              </w:rPr>
              <w:t>Z – zásadná</w:t>
            </w:r>
          </w:p>
        </w:tc>
        <w:tc>
          <w:tcPr>
            <w:tcW w:w="3119" w:type="dxa"/>
            <w:tcBorders>
              <w:top w:val="nil"/>
              <w:left w:val="nil"/>
              <w:bottom w:val="nil"/>
              <w:right w:val="nil"/>
            </w:tcBorders>
          </w:tcPr>
          <w:p w:rsidR="00BF7CE0" w:rsidRPr="009F7218" w:rsidRDefault="00BF7CE0" w:rsidP="00342C19">
            <w:pPr>
              <w:pStyle w:val="Zkladntext"/>
              <w:widowControl/>
              <w:jc w:val="both"/>
              <w:rPr>
                <w:b w:val="0"/>
                <w:color w:val="000000"/>
                <w:sz w:val="25"/>
                <w:szCs w:val="25"/>
              </w:rPr>
            </w:pPr>
            <w:r w:rsidRPr="009F7218">
              <w:rPr>
                <w:b w:val="0"/>
                <w:color w:val="000000"/>
                <w:sz w:val="25"/>
                <w:szCs w:val="25"/>
              </w:rPr>
              <w:t>N – neakceptovaná</w:t>
            </w:r>
          </w:p>
        </w:tc>
      </w:tr>
      <w:tr w:rsidR="00BF7CE0" w:rsidRPr="00856FFA" w:rsidTr="00943EB2">
        <w:trPr>
          <w:cantSplit/>
        </w:trPr>
        <w:tc>
          <w:tcPr>
            <w:tcW w:w="1809" w:type="dxa"/>
            <w:tcBorders>
              <w:top w:val="nil"/>
              <w:left w:val="nil"/>
              <w:bottom w:val="nil"/>
              <w:right w:val="nil"/>
            </w:tcBorders>
          </w:tcPr>
          <w:p w:rsidR="00BF7CE0" w:rsidRPr="009F7218" w:rsidRDefault="00BF7CE0" w:rsidP="00342C19">
            <w:pPr>
              <w:pStyle w:val="Zkladntext"/>
              <w:widowControl/>
              <w:jc w:val="both"/>
              <w:rPr>
                <w:b w:val="0"/>
                <w:color w:val="000000"/>
                <w:sz w:val="25"/>
                <w:szCs w:val="25"/>
              </w:rPr>
            </w:pPr>
          </w:p>
        </w:tc>
        <w:tc>
          <w:tcPr>
            <w:tcW w:w="3119" w:type="dxa"/>
            <w:tcBorders>
              <w:top w:val="nil"/>
              <w:left w:val="nil"/>
              <w:bottom w:val="nil"/>
              <w:right w:val="nil"/>
            </w:tcBorders>
          </w:tcPr>
          <w:p w:rsidR="00BF7CE0" w:rsidRPr="009F7218" w:rsidRDefault="00BF7CE0" w:rsidP="00342C19">
            <w:pPr>
              <w:pStyle w:val="Zkladntext"/>
              <w:widowControl/>
              <w:jc w:val="both"/>
              <w:rPr>
                <w:b w:val="0"/>
                <w:color w:val="000000"/>
                <w:sz w:val="25"/>
                <w:szCs w:val="25"/>
              </w:rPr>
            </w:pPr>
            <w:r w:rsidRPr="009F7218">
              <w:rPr>
                <w:b w:val="0"/>
                <w:color w:val="000000"/>
                <w:sz w:val="25"/>
                <w:szCs w:val="25"/>
              </w:rPr>
              <w:t>ČA – čiastočne akceptovaná</w:t>
            </w:r>
          </w:p>
        </w:tc>
      </w:tr>
    </w:tbl>
    <w:p w:rsidR="00E85710" w:rsidRDefault="00E85710">
      <w:r>
        <w:br w:type="page"/>
      </w:r>
    </w:p>
    <w:p w:rsidR="00F85947" w:rsidRDefault="00F85947" w:rsidP="00CE47A6">
      <w:pPr>
        <w:rPr>
          <w:rFonts w:ascii="Consolas" w:hAnsi="Consolas" w:cs="Consolas"/>
          <w:sz w:val="20"/>
          <w:szCs w:val="20"/>
        </w:rPr>
      </w:pPr>
    </w:p>
    <w:tbl>
      <w:tblPr>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1378"/>
        <w:gridCol w:w="6642"/>
        <w:gridCol w:w="652"/>
        <w:gridCol w:w="652"/>
        <w:gridCol w:w="3981"/>
      </w:tblGrid>
      <w:tr w:rsidR="00F85947" w:rsidTr="00F85501">
        <w:trPr>
          <w:divId w:val="921764060"/>
          <w:jc w:val="center"/>
        </w:trPr>
        <w:tc>
          <w:tcPr>
            <w:tcW w:w="518" w:type="pct"/>
            <w:tcBorders>
              <w:top w:val="outset" w:sz="6" w:space="0" w:color="000000"/>
              <w:left w:val="outset" w:sz="6" w:space="0" w:color="000000"/>
              <w:bottom w:val="outset" w:sz="6" w:space="0" w:color="000000"/>
              <w:right w:val="outset" w:sz="6" w:space="0" w:color="000000"/>
            </w:tcBorders>
            <w:vAlign w:val="center"/>
            <w:hideMark/>
          </w:tcPr>
          <w:p w:rsidR="00F85947" w:rsidRDefault="00F85947">
            <w:pPr>
              <w:jc w:val="center"/>
              <w:rPr>
                <w:rFonts w:ascii="Times" w:hAnsi="Times" w:cs="Times"/>
                <w:b/>
                <w:bCs/>
                <w:sz w:val="25"/>
                <w:szCs w:val="25"/>
              </w:rPr>
            </w:pPr>
            <w:r>
              <w:rPr>
                <w:rFonts w:ascii="Times" w:hAnsi="Times" w:cs="Times"/>
                <w:b/>
                <w:bCs/>
                <w:sz w:val="25"/>
                <w:szCs w:val="25"/>
              </w:rPr>
              <w:t>Subjekt</w:t>
            </w:r>
          </w:p>
        </w:tc>
        <w:tc>
          <w:tcPr>
            <w:tcW w:w="2496" w:type="pct"/>
            <w:tcBorders>
              <w:top w:val="outset" w:sz="6" w:space="0" w:color="000000"/>
              <w:left w:val="outset" w:sz="6" w:space="0" w:color="000000"/>
              <w:bottom w:val="outset" w:sz="6" w:space="0" w:color="000000"/>
              <w:right w:val="outset" w:sz="6" w:space="0" w:color="000000"/>
            </w:tcBorders>
            <w:vAlign w:val="center"/>
            <w:hideMark/>
          </w:tcPr>
          <w:p w:rsidR="00F85947" w:rsidRDefault="00F85947">
            <w:pPr>
              <w:jc w:val="center"/>
              <w:rPr>
                <w:rFonts w:ascii="Times" w:hAnsi="Times" w:cs="Times"/>
                <w:b/>
                <w:bCs/>
                <w:sz w:val="25"/>
                <w:szCs w:val="25"/>
              </w:rPr>
            </w:pPr>
            <w:r>
              <w:rPr>
                <w:rFonts w:ascii="Times" w:hAnsi="Times" w:cs="Times"/>
                <w:b/>
                <w:bCs/>
                <w:sz w:val="25"/>
                <w:szCs w:val="25"/>
              </w:rPr>
              <w:t>Pripomienka</w:t>
            </w:r>
          </w:p>
        </w:tc>
        <w:tc>
          <w:tcPr>
            <w:tcW w:w="245" w:type="pct"/>
            <w:tcBorders>
              <w:top w:val="outset" w:sz="6" w:space="0" w:color="000000"/>
              <w:left w:val="outset" w:sz="6" w:space="0" w:color="000000"/>
              <w:bottom w:val="outset" w:sz="6" w:space="0" w:color="000000"/>
              <w:right w:val="outset" w:sz="6" w:space="0" w:color="000000"/>
            </w:tcBorders>
            <w:vAlign w:val="center"/>
            <w:hideMark/>
          </w:tcPr>
          <w:p w:rsidR="00F85947" w:rsidRDefault="00F85947">
            <w:pPr>
              <w:jc w:val="center"/>
              <w:rPr>
                <w:rFonts w:ascii="Times" w:hAnsi="Times" w:cs="Times"/>
                <w:b/>
                <w:bCs/>
                <w:sz w:val="25"/>
                <w:szCs w:val="25"/>
              </w:rPr>
            </w:pPr>
            <w:r>
              <w:rPr>
                <w:rFonts w:ascii="Times" w:hAnsi="Times" w:cs="Times"/>
                <w:b/>
                <w:bCs/>
                <w:sz w:val="25"/>
                <w:szCs w:val="25"/>
              </w:rPr>
              <w:t>Typ</w:t>
            </w:r>
          </w:p>
        </w:tc>
        <w:tc>
          <w:tcPr>
            <w:tcW w:w="245" w:type="pct"/>
            <w:tcBorders>
              <w:top w:val="outset" w:sz="6" w:space="0" w:color="000000"/>
              <w:left w:val="outset" w:sz="6" w:space="0" w:color="000000"/>
              <w:bottom w:val="outset" w:sz="6" w:space="0" w:color="000000"/>
              <w:right w:val="outset" w:sz="6" w:space="0" w:color="000000"/>
            </w:tcBorders>
            <w:vAlign w:val="center"/>
            <w:hideMark/>
          </w:tcPr>
          <w:p w:rsidR="00F85947" w:rsidRDefault="00F85947">
            <w:pPr>
              <w:jc w:val="center"/>
              <w:rPr>
                <w:rFonts w:ascii="Times" w:hAnsi="Times" w:cs="Times"/>
                <w:b/>
                <w:bCs/>
                <w:sz w:val="25"/>
                <w:szCs w:val="25"/>
              </w:rPr>
            </w:pPr>
            <w:proofErr w:type="spellStart"/>
            <w:r>
              <w:rPr>
                <w:rFonts w:ascii="Times" w:hAnsi="Times" w:cs="Times"/>
                <w:b/>
                <w:bCs/>
                <w:sz w:val="25"/>
                <w:szCs w:val="25"/>
              </w:rPr>
              <w:t>Vyh</w:t>
            </w:r>
            <w:proofErr w:type="spellEnd"/>
            <w:r>
              <w:rPr>
                <w:rFonts w:ascii="Times" w:hAnsi="Times" w:cs="Times"/>
                <w:b/>
                <w:bCs/>
                <w:sz w:val="25"/>
                <w:szCs w:val="25"/>
              </w:rPr>
              <w:t>.</w:t>
            </w:r>
          </w:p>
        </w:tc>
        <w:tc>
          <w:tcPr>
            <w:tcW w:w="1496" w:type="pct"/>
            <w:tcBorders>
              <w:top w:val="outset" w:sz="6" w:space="0" w:color="000000"/>
              <w:left w:val="outset" w:sz="6" w:space="0" w:color="000000"/>
              <w:bottom w:val="outset" w:sz="6" w:space="0" w:color="000000"/>
              <w:right w:val="outset" w:sz="6" w:space="0" w:color="000000"/>
            </w:tcBorders>
            <w:vAlign w:val="center"/>
            <w:hideMark/>
          </w:tcPr>
          <w:p w:rsidR="00F85947" w:rsidRDefault="00F85947">
            <w:pPr>
              <w:jc w:val="center"/>
              <w:rPr>
                <w:rFonts w:ascii="Times" w:hAnsi="Times" w:cs="Times"/>
                <w:b/>
                <w:bCs/>
                <w:sz w:val="25"/>
                <w:szCs w:val="25"/>
              </w:rPr>
            </w:pPr>
            <w:r>
              <w:rPr>
                <w:rFonts w:ascii="Times" w:hAnsi="Times" w:cs="Times"/>
                <w:b/>
                <w:bCs/>
                <w:sz w:val="25"/>
                <w:szCs w:val="25"/>
              </w:rPr>
              <w:t>Spôsob vyhodnotenia</w:t>
            </w:r>
          </w:p>
        </w:tc>
      </w:tr>
      <w:tr w:rsidR="00F85947" w:rsidTr="00F85501">
        <w:trPr>
          <w:divId w:val="921764060"/>
          <w:jc w:val="center"/>
        </w:trPr>
        <w:tc>
          <w:tcPr>
            <w:tcW w:w="518" w:type="pct"/>
            <w:tcBorders>
              <w:top w:val="outset" w:sz="6" w:space="0" w:color="000000"/>
              <w:left w:val="outset" w:sz="6" w:space="0" w:color="000000"/>
              <w:bottom w:val="outset" w:sz="6" w:space="0" w:color="000000"/>
              <w:right w:val="outset" w:sz="6" w:space="0" w:color="000000"/>
            </w:tcBorders>
            <w:vAlign w:val="center"/>
            <w:hideMark/>
          </w:tcPr>
          <w:p w:rsidR="00F85947" w:rsidRDefault="00F85947">
            <w:pPr>
              <w:jc w:val="center"/>
              <w:rPr>
                <w:rFonts w:ascii="Times" w:hAnsi="Times" w:cs="Times"/>
                <w:b/>
                <w:bCs/>
                <w:sz w:val="25"/>
                <w:szCs w:val="25"/>
              </w:rPr>
            </w:pPr>
            <w:r>
              <w:rPr>
                <w:rFonts w:ascii="Times" w:hAnsi="Times" w:cs="Times"/>
                <w:b/>
                <w:bCs/>
                <w:sz w:val="25"/>
                <w:szCs w:val="25"/>
              </w:rPr>
              <w:t>MFSR</w:t>
            </w:r>
          </w:p>
        </w:tc>
        <w:tc>
          <w:tcPr>
            <w:tcW w:w="2496" w:type="pct"/>
            <w:tcBorders>
              <w:top w:val="outset" w:sz="6" w:space="0" w:color="000000"/>
              <w:left w:val="outset" w:sz="6" w:space="0" w:color="000000"/>
              <w:bottom w:val="outset" w:sz="6" w:space="0" w:color="000000"/>
              <w:right w:val="outset" w:sz="6" w:space="0" w:color="000000"/>
            </w:tcBorders>
            <w:vAlign w:val="center"/>
            <w:hideMark/>
          </w:tcPr>
          <w:p w:rsidR="00F85947" w:rsidRDefault="00F85947">
            <w:pPr>
              <w:rPr>
                <w:rFonts w:ascii="Times" w:hAnsi="Times" w:cs="Times"/>
                <w:sz w:val="25"/>
                <w:szCs w:val="25"/>
              </w:rPr>
            </w:pPr>
            <w:r>
              <w:rPr>
                <w:rFonts w:ascii="Times" w:hAnsi="Times" w:cs="Times"/>
                <w:b/>
                <w:bCs/>
                <w:sz w:val="25"/>
                <w:szCs w:val="25"/>
              </w:rPr>
              <w:t>Návrhu na poskytnutie investičnej pomoci pre spoločnosť PCA Slovakia s.r.o</w:t>
            </w:r>
            <w:r>
              <w:rPr>
                <w:rFonts w:ascii="Times" w:hAnsi="Times" w:cs="Times"/>
                <w:sz w:val="25"/>
                <w:szCs w:val="25"/>
              </w:rPr>
              <w:br/>
              <w:t>Žiadame prehodnotiť pomoc pre investičný zámer PCA Slovakia s.r.o., vzhľadom na vysoké náklady na vytvorenie jedného pracovného miesta v porovnaní so zámermi schválenými v minulosti a umiestnenie investičného zámeru v regiónoch s nízkou mierou nezamestnanosti.</w:t>
            </w:r>
          </w:p>
        </w:tc>
        <w:tc>
          <w:tcPr>
            <w:tcW w:w="245" w:type="pct"/>
            <w:tcBorders>
              <w:top w:val="outset" w:sz="6" w:space="0" w:color="000000"/>
              <w:left w:val="outset" w:sz="6" w:space="0" w:color="000000"/>
              <w:bottom w:val="outset" w:sz="6" w:space="0" w:color="000000"/>
              <w:right w:val="outset" w:sz="6" w:space="0" w:color="000000"/>
            </w:tcBorders>
            <w:vAlign w:val="center"/>
            <w:hideMark/>
          </w:tcPr>
          <w:p w:rsidR="00F85947" w:rsidRDefault="00F85947">
            <w:pPr>
              <w:jc w:val="center"/>
              <w:rPr>
                <w:rFonts w:ascii="Times" w:hAnsi="Times" w:cs="Times"/>
                <w:sz w:val="25"/>
                <w:szCs w:val="25"/>
              </w:rPr>
            </w:pPr>
            <w:r>
              <w:rPr>
                <w:rFonts w:ascii="Times" w:hAnsi="Times" w:cs="Times"/>
                <w:sz w:val="25"/>
                <w:szCs w:val="25"/>
              </w:rPr>
              <w:t>O</w:t>
            </w:r>
          </w:p>
        </w:tc>
        <w:tc>
          <w:tcPr>
            <w:tcW w:w="245" w:type="pct"/>
            <w:tcBorders>
              <w:top w:val="outset" w:sz="6" w:space="0" w:color="000000"/>
              <w:left w:val="outset" w:sz="6" w:space="0" w:color="000000"/>
              <w:bottom w:val="outset" w:sz="6" w:space="0" w:color="000000"/>
              <w:right w:val="outset" w:sz="6" w:space="0" w:color="000000"/>
            </w:tcBorders>
            <w:vAlign w:val="center"/>
            <w:hideMark/>
          </w:tcPr>
          <w:p w:rsidR="00F85947" w:rsidRDefault="00F85947">
            <w:pPr>
              <w:jc w:val="center"/>
              <w:rPr>
                <w:rFonts w:ascii="Times" w:hAnsi="Times" w:cs="Times"/>
                <w:sz w:val="25"/>
                <w:szCs w:val="25"/>
              </w:rPr>
            </w:pPr>
            <w:r>
              <w:rPr>
                <w:rFonts w:ascii="Times" w:hAnsi="Times" w:cs="Times"/>
                <w:sz w:val="25"/>
                <w:szCs w:val="25"/>
              </w:rPr>
              <w:t>N</w:t>
            </w:r>
          </w:p>
        </w:tc>
        <w:tc>
          <w:tcPr>
            <w:tcW w:w="1496" w:type="pct"/>
            <w:tcBorders>
              <w:top w:val="outset" w:sz="6" w:space="0" w:color="000000"/>
              <w:left w:val="outset" w:sz="6" w:space="0" w:color="000000"/>
              <w:bottom w:val="outset" w:sz="6" w:space="0" w:color="000000"/>
              <w:right w:val="outset" w:sz="6" w:space="0" w:color="000000"/>
            </w:tcBorders>
            <w:vAlign w:val="center"/>
            <w:hideMark/>
          </w:tcPr>
          <w:p w:rsidR="00F85947" w:rsidRDefault="00F85947" w:rsidP="00E31F28">
            <w:pPr>
              <w:rPr>
                <w:rFonts w:ascii="Times" w:hAnsi="Times" w:cs="Times"/>
                <w:sz w:val="25"/>
                <w:szCs w:val="25"/>
              </w:rPr>
            </w:pPr>
            <w:r>
              <w:rPr>
                <w:rFonts w:ascii="Times" w:hAnsi="Times" w:cs="Times"/>
                <w:sz w:val="25"/>
                <w:szCs w:val="25"/>
              </w:rPr>
              <w:t xml:space="preserve">Ministerstvo financií SR zaslalo Ministerstvu hospodárstva SR podľa § 10 ods. 7 zákona o investičnej pomoci písomné súhlasné stanovisko s navrhovanou investičnou pomocou pre spoločnosť PCA Slovakia, s.r.o. za podmienky, ak sa zníži podiel priamej investičnej pomoci. Na základe stanoviska MF SR bola Ministerstvom hospodárstva SR vypracovaná ponuka investičnej pomoci podľa § 11 zákona o investičnej pomoci, s tým, že investičná pomoc je možná iba vo forme daňovej úľavy. Všeobecne, výška pomoci na jedno vytvorené nové pracovné miesto je jedným z hodnotiacich ukazovateľov, ktoré sa sledujú pri posudzovaní investičnej pomoci. Uvedená hodnota nezohľadňuje kapitálovú náročnosť investície v závislosti od povahy a oblasti realizácie. Navrhovanú investičnú pomoc, t. j. daňovú úľavu, si prijímateľ môže uplatniť po </w:t>
            </w:r>
            <w:r w:rsidR="00E31F28">
              <w:rPr>
                <w:rFonts w:ascii="Times" w:hAnsi="Times" w:cs="Times"/>
                <w:sz w:val="25"/>
                <w:szCs w:val="25"/>
              </w:rPr>
              <w:t>vykázaní dostatočnej daňovej povinnosti</w:t>
            </w:r>
            <w:r>
              <w:rPr>
                <w:rFonts w:ascii="Times" w:hAnsi="Times" w:cs="Times"/>
                <w:sz w:val="25"/>
                <w:szCs w:val="25"/>
              </w:rPr>
              <w:t xml:space="preserve">. </w:t>
            </w:r>
            <w:r w:rsidR="00CB49CF">
              <w:rPr>
                <w:rFonts w:ascii="Times" w:hAnsi="Times" w:cs="Times"/>
                <w:sz w:val="25"/>
                <w:szCs w:val="25"/>
              </w:rPr>
              <w:t xml:space="preserve">Harmonogram vyplácania požadovanej </w:t>
            </w:r>
            <w:r w:rsidR="00CB49CF">
              <w:rPr>
                <w:rFonts w:ascii="Times" w:hAnsi="Times" w:cs="Times"/>
                <w:sz w:val="25"/>
                <w:szCs w:val="25"/>
              </w:rPr>
              <w:lastRenderedPageBreak/>
              <w:t xml:space="preserve">investičnej pomoci je plánovaný do roku 2026. </w:t>
            </w:r>
            <w:r>
              <w:rPr>
                <w:rFonts w:ascii="Times" w:hAnsi="Times" w:cs="Times"/>
                <w:sz w:val="25"/>
                <w:szCs w:val="25"/>
              </w:rPr>
              <w:t>Zároveň výhody vyplývajúce pre Slovenskú republiku z uvedenej investície, v podobe zavedenia nového modelu automobilu, prevažujú nad negatívnymi účinkami</w:t>
            </w:r>
            <w:r w:rsidR="00E31F28">
              <w:rPr>
                <w:rFonts w:ascii="Times" w:hAnsi="Times" w:cs="Times"/>
                <w:sz w:val="25"/>
                <w:szCs w:val="25"/>
              </w:rPr>
              <w:t xml:space="preserve"> navrhovanej</w:t>
            </w:r>
            <w:r>
              <w:rPr>
                <w:rFonts w:ascii="Times" w:hAnsi="Times" w:cs="Times"/>
                <w:sz w:val="25"/>
                <w:szCs w:val="25"/>
              </w:rPr>
              <w:t xml:space="preserve"> pomoci.</w:t>
            </w:r>
          </w:p>
        </w:tc>
      </w:tr>
      <w:tr w:rsidR="00F85947" w:rsidTr="00F85501">
        <w:trPr>
          <w:divId w:val="921764060"/>
          <w:jc w:val="center"/>
        </w:trPr>
        <w:tc>
          <w:tcPr>
            <w:tcW w:w="518" w:type="pct"/>
            <w:tcBorders>
              <w:top w:val="outset" w:sz="6" w:space="0" w:color="000000"/>
              <w:left w:val="outset" w:sz="6" w:space="0" w:color="000000"/>
              <w:bottom w:val="outset" w:sz="6" w:space="0" w:color="000000"/>
              <w:right w:val="outset" w:sz="6" w:space="0" w:color="000000"/>
            </w:tcBorders>
            <w:vAlign w:val="center"/>
            <w:hideMark/>
          </w:tcPr>
          <w:p w:rsidR="00F85947" w:rsidRDefault="00F85947">
            <w:pPr>
              <w:jc w:val="center"/>
              <w:rPr>
                <w:rFonts w:ascii="Times" w:hAnsi="Times" w:cs="Times"/>
                <w:b/>
                <w:bCs/>
                <w:sz w:val="25"/>
                <w:szCs w:val="25"/>
              </w:rPr>
            </w:pPr>
            <w:r>
              <w:rPr>
                <w:rFonts w:ascii="Times" w:hAnsi="Times" w:cs="Times"/>
                <w:b/>
                <w:bCs/>
                <w:sz w:val="25"/>
                <w:szCs w:val="25"/>
              </w:rPr>
              <w:lastRenderedPageBreak/>
              <w:t>MPRVSR</w:t>
            </w:r>
          </w:p>
        </w:tc>
        <w:tc>
          <w:tcPr>
            <w:tcW w:w="2496" w:type="pct"/>
            <w:tcBorders>
              <w:top w:val="outset" w:sz="6" w:space="0" w:color="000000"/>
              <w:left w:val="outset" w:sz="6" w:space="0" w:color="000000"/>
              <w:bottom w:val="outset" w:sz="6" w:space="0" w:color="000000"/>
              <w:right w:val="outset" w:sz="6" w:space="0" w:color="000000"/>
            </w:tcBorders>
            <w:vAlign w:val="center"/>
            <w:hideMark/>
          </w:tcPr>
          <w:p w:rsidR="00F85947" w:rsidRDefault="00F85947">
            <w:pPr>
              <w:rPr>
                <w:rFonts w:ascii="Times" w:hAnsi="Times" w:cs="Times"/>
                <w:sz w:val="25"/>
                <w:szCs w:val="25"/>
              </w:rPr>
            </w:pPr>
            <w:r>
              <w:rPr>
                <w:rFonts w:ascii="Times" w:hAnsi="Times" w:cs="Times"/>
                <w:b/>
                <w:bCs/>
                <w:sz w:val="25"/>
                <w:szCs w:val="25"/>
              </w:rPr>
              <w:t>vlastnému materiálu</w:t>
            </w:r>
            <w:r>
              <w:rPr>
                <w:rFonts w:ascii="Times" w:hAnsi="Times" w:cs="Times"/>
                <w:sz w:val="25"/>
                <w:szCs w:val="25"/>
              </w:rPr>
              <w:br/>
              <w:t xml:space="preserve">V časti B. Stručná charakteristika investičného zámeru, v tabuľke č. 3 Zdroje financovania investičného zámeru odporúčame v riadku „Spolu“ v stĺpcoch 2017, 2018, 2019 a 2020/2021 opraviť nesprávne uvedený súčet. </w:t>
            </w:r>
          </w:p>
        </w:tc>
        <w:tc>
          <w:tcPr>
            <w:tcW w:w="245" w:type="pct"/>
            <w:tcBorders>
              <w:top w:val="outset" w:sz="6" w:space="0" w:color="000000"/>
              <w:left w:val="outset" w:sz="6" w:space="0" w:color="000000"/>
              <w:bottom w:val="outset" w:sz="6" w:space="0" w:color="000000"/>
              <w:right w:val="outset" w:sz="6" w:space="0" w:color="000000"/>
            </w:tcBorders>
            <w:vAlign w:val="center"/>
            <w:hideMark/>
          </w:tcPr>
          <w:p w:rsidR="00F85947" w:rsidRDefault="00F85947">
            <w:pPr>
              <w:jc w:val="center"/>
              <w:rPr>
                <w:rFonts w:ascii="Times" w:hAnsi="Times" w:cs="Times"/>
                <w:sz w:val="25"/>
                <w:szCs w:val="25"/>
              </w:rPr>
            </w:pPr>
            <w:r>
              <w:rPr>
                <w:rFonts w:ascii="Times" w:hAnsi="Times" w:cs="Times"/>
                <w:sz w:val="25"/>
                <w:szCs w:val="25"/>
              </w:rPr>
              <w:t>O</w:t>
            </w:r>
          </w:p>
        </w:tc>
        <w:tc>
          <w:tcPr>
            <w:tcW w:w="245" w:type="pct"/>
            <w:tcBorders>
              <w:top w:val="outset" w:sz="6" w:space="0" w:color="000000"/>
              <w:left w:val="outset" w:sz="6" w:space="0" w:color="000000"/>
              <w:bottom w:val="outset" w:sz="6" w:space="0" w:color="000000"/>
              <w:right w:val="outset" w:sz="6" w:space="0" w:color="000000"/>
            </w:tcBorders>
            <w:vAlign w:val="center"/>
            <w:hideMark/>
          </w:tcPr>
          <w:p w:rsidR="00F85947" w:rsidRDefault="00F85947">
            <w:pPr>
              <w:jc w:val="center"/>
              <w:rPr>
                <w:rFonts w:ascii="Times" w:hAnsi="Times" w:cs="Times"/>
                <w:sz w:val="25"/>
                <w:szCs w:val="25"/>
              </w:rPr>
            </w:pPr>
            <w:r>
              <w:rPr>
                <w:rFonts w:ascii="Times" w:hAnsi="Times" w:cs="Times"/>
                <w:sz w:val="25"/>
                <w:szCs w:val="25"/>
              </w:rPr>
              <w:t>A</w:t>
            </w:r>
          </w:p>
        </w:tc>
        <w:tc>
          <w:tcPr>
            <w:tcW w:w="1496" w:type="pct"/>
            <w:tcBorders>
              <w:top w:val="outset" w:sz="6" w:space="0" w:color="000000"/>
              <w:left w:val="outset" w:sz="6" w:space="0" w:color="000000"/>
              <w:bottom w:val="outset" w:sz="6" w:space="0" w:color="000000"/>
              <w:right w:val="outset" w:sz="6" w:space="0" w:color="000000"/>
            </w:tcBorders>
            <w:vAlign w:val="center"/>
            <w:hideMark/>
          </w:tcPr>
          <w:p w:rsidR="00F85947" w:rsidRDefault="00F85947">
            <w:pPr>
              <w:rPr>
                <w:rFonts w:ascii="Times" w:hAnsi="Times" w:cs="Times"/>
                <w:sz w:val="25"/>
                <w:szCs w:val="25"/>
              </w:rPr>
            </w:pPr>
            <w:r>
              <w:rPr>
                <w:rFonts w:ascii="Times" w:hAnsi="Times" w:cs="Times"/>
                <w:sz w:val="25"/>
                <w:szCs w:val="25"/>
              </w:rPr>
              <w:t>Tabuľka č. 3 „Zdroje financovania investičného zámeru“ bola upravená.</w:t>
            </w:r>
          </w:p>
        </w:tc>
      </w:tr>
      <w:tr w:rsidR="00F85947" w:rsidTr="00F85501">
        <w:trPr>
          <w:divId w:val="921764060"/>
          <w:jc w:val="center"/>
        </w:trPr>
        <w:tc>
          <w:tcPr>
            <w:tcW w:w="518" w:type="pct"/>
            <w:tcBorders>
              <w:top w:val="outset" w:sz="6" w:space="0" w:color="000000"/>
              <w:left w:val="outset" w:sz="6" w:space="0" w:color="000000"/>
              <w:bottom w:val="outset" w:sz="6" w:space="0" w:color="000000"/>
              <w:right w:val="outset" w:sz="6" w:space="0" w:color="000000"/>
            </w:tcBorders>
            <w:vAlign w:val="center"/>
            <w:hideMark/>
          </w:tcPr>
          <w:p w:rsidR="00F85947" w:rsidRDefault="00F85947">
            <w:pPr>
              <w:jc w:val="center"/>
              <w:rPr>
                <w:rFonts w:ascii="Times" w:hAnsi="Times" w:cs="Times"/>
                <w:b/>
                <w:bCs/>
                <w:sz w:val="25"/>
                <w:szCs w:val="25"/>
              </w:rPr>
            </w:pPr>
            <w:r>
              <w:rPr>
                <w:rFonts w:ascii="Times" w:hAnsi="Times" w:cs="Times"/>
                <w:b/>
                <w:bCs/>
                <w:sz w:val="25"/>
                <w:szCs w:val="25"/>
              </w:rPr>
              <w:t>MSSR</w:t>
            </w:r>
          </w:p>
        </w:tc>
        <w:tc>
          <w:tcPr>
            <w:tcW w:w="2496" w:type="pct"/>
            <w:tcBorders>
              <w:top w:val="outset" w:sz="6" w:space="0" w:color="000000"/>
              <w:left w:val="outset" w:sz="6" w:space="0" w:color="000000"/>
              <w:bottom w:val="outset" w:sz="6" w:space="0" w:color="000000"/>
              <w:right w:val="outset" w:sz="6" w:space="0" w:color="000000"/>
            </w:tcBorders>
            <w:vAlign w:val="center"/>
            <w:hideMark/>
          </w:tcPr>
          <w:p w:rsidR="00F85947" w:rsidRDefault="00F85947">
            <w:pPr>
              <w:rPr>
                <w:rFonts w:ascii="Times" w:hAnsi="Times" w:cs="Times"/>
                <w:sz w:val="25"/>
                <w:szCs w:val="25"/>
              </w:rPr>
            </w:pPr>
            <w:r>
              <w:rPr>
                <w:rFonts w:ascii="Times" w:hAnsi="Times" w:cs="Times"/>
                <w:b/>
                <w:bCs/>
                <w:sz w:val="25"/>
                <w:szCs w:val="25"/>
              </w:rPr>
              <w:t>celému materiálu</w:t>
            </w:r>
            <w:r>
              <w:rPr>
                <w:rFonts w:ascii="Times" w:hAnsi="Times" w:cs="Times"/>
                <w:sz w:val="25"/>
                <w:szCs w:val="25"/>
              </w:rPr>
              <w:br/>
              <w:t xml:space="preserve">Keďže materiál predpokladá poskytnutie finančných prostriedkov v pôsobnosti Ministerstva hospodárstva Slovenskej republiky (ďalej len „ministerstvo“) pre spoločnosť PCA Slovakia, s.r.o. na realizáciu investičného zámeru v lokalite Trnava, je potrebné poukázať i na potrebu aplikácie zákona č. 315/2016 Z. z. o registri partnerov verejného sektora a o zmene a doplnení niektorých zákon (ďalej len „zákon“). Spoločnosť PCA Slovakia, s.r.o. ako partner verejného sektora (ďalej len „partner verejného sektora“) bude mať v prípade poskytnutia navrhovaných finančných prostriedkov povinnosť zápisu do registra partnerov verejného sektora (ďalej len „register“), keďže nie je subjektom vyňatým z pôsobnosti zákona a uvádzané finančné plnenie prevyšuje zákonom ustanovené limity (§ 2 ods. 2 zákona). Zároveň v tejto súvislosti upozorňujeme na zákaz uzavretia </w:t>
            </w:r>
            <w:r>
              <w:rPr>
                <w:rFonts w:ascii="Times" w:hAnsi="Times" w:cs="Times"/>
                <w:sz w:val="25"/>
                <w:szCs w:val="25"/>
              </w:rPr>
              <w:lastRenderedPageBreak/>
              <w:t xml:space="preserve">akejkoľvek zmluvy, alebo vydania rozhodnutia zo strany ministerstva, ktoré tak nesmie urobiť v prípade, ak partner verejného sektora nesplní svoju povinnosť zapísať sa v registri, v opačnom prípade sa môže dopustiť priestupku na úseku registrácie partnera verejného sektora podľa § 42b ods. 1 zákona Slovenskej národnej rady č. 372/1990 Zb. o priestupkoch. Jednou z povinností partnerov verejného sektora je vykonávanie overenia identifikácie konečného užívateľa výhod (ďalej len „overenie identifikácie“). Okrem prvého overenia identifikácie - v súvislosti so zápisom do registra sa vykonáva aj následne - pri zákonom ustanovených verifikačných udalostiach uvedených v § 11 ods. 2 zákona. V súvislosti s poskytovaným plnením ktoré ministerstvo bude partnerovi verejného sektora v priebehu troch rokoch vyplácať, je potrebné sledovať taktiež to, či došlo k overeniu identifikácie konečného užívateľa výhod – jednak k 31.12. kalendárneho roka, ako aj v súvislosti s uzavretím novej zmluvy, prípadne jej zmeny, ale tiež v súvislosti s poskytnutím plnenia, ktoré v priebehu 30 dní prekročí sumu 1 000 </w:t>
            </w:r>
            <w:proofErr w:type="spellStart"/>
            <w:r>
              <w:rPr>
                <w:rFonts w:ascii="Times" w:hAnsi="Times" w:cs="Times"/>
                <w:sz w:val="25"/>
                <w:szCs w:val="25"/>
              </w:rPr>
              <w:t>000</w:t>
            </w:r>
            <w:proofErr w:type="spellEnd"/>
            <w:r>
              <w:rPr>
                <w:rFonts w:ascii="Times" w:hAnsi="Times" w:cs="Times"/>
                <w:sz w:val="25"/>
                <w:szCs w:val="25"/>
              </w:rPr>
              <w:t xml:space="preserve"> €. V prípade, ak uvedenú povinnosť overenia identifikácie partner verejného sektora nesplní, môže ministerstvo suspendovať dohodnuté plnenie, až do doby splnenia povinnosti. Rovnako tomu je aj v prípade, ak partner verejného sektora nemá po dobu dlhšiu ako 30 dní v registri partnerov verejného sektora zapísanú oprávnenú osobu - i v tomto prípade môže dôjsť k pozastaveniu vyplácania uvedených prostriedkov a to bez toho, aby sa ministerstvo dostalo do omeškania. </w:t>
            </w:r>
          </w:p>
        </w:tc>
        <w:tc>
          <w:tcPr>
            <w:tcW w:w="245" w:type="pct"/>
            <w:tcBorders>
              <w:top w:val="outset" w:sz="6" w:space="0" w:color="000000"/>
              <w:left w:val="outset" w:sz="6" w:space="0" w:color="000000"/>
              <w:bottom w:val="outset" w:sz="6" w:space="0" w:color="000000"/>
              <w:right w:val="outset" w:sz="6" w:space="0" w:color="000000"/>
            </w:tcBorders>
            <w:vAlign w:val="center"/>
            <w:hideMark/>
          </w:tcPr>
          <w:p w:rsidR="00F85947" w:rsidRDefault="00F85947">
            <w:pPr>
              <w:jc w:val="center"/>
              <w:rPr>
                <w:rFonts w:ascii="Times" w:hAnsi="Times" w:cs="Times"/>
                <w:sz w:val="25"/>
                <w:szCs w:val="25"/>
              </w:rPr>
            </w:pPr>
            <w:r>
              <w:rPr>
                <w:rFonts w:ascii="Times" w:hAnsi="Times" w:cs="Times"/>
                <w:sz w:val="25"/>
                <w:szCs w:val="25"/>
              </w:rPr>
              <w:lastRenderedPageBreak/>
              <w:t>O</w:t>
            </w:r>
          </w:p>
        </w:tc>
        <w:tc>
          <w:tcPr>
            <w:tcW w:w="245" w:type="pct"/>
            <w:tcBorders>
              <w:top w:val="outset" w:sz="6" w:space="0" w:color="000000"/>
              <w:left w:val="outset" w:sz="6" w:space="0" w:color="000000"/>
              <w:bottom w:val="outset" w:sz="6" w:space="0" w:color="000000"/>
              <w:right w:val="outset" w:sz="6" w:space="0" w:color="000000"/>
            </w:tcBorders>
            <w:vAlign w:val="center"/>
            <w:hideMark/>
          </w:tcPr>
          <w:p w:rsidR="00F85947" w:rsidRDefault="00F85947">
            <w:pPr>
              <w:jc w:val="center"/>
              <w:rPr>
                <w:rFonts w:ascii="Times" w:hAnsi="Times" w:cs="Times"/>
                <w:sz w:val="25"/>
                <w:szCs w:val="25"/>
              </w:rPr>
            </w:pPr>
            <w:r>
              <w:rPr>
                <w:rFonts w:ascii="Times" w:hAnsi="Times" w:cs="Times"/>
                <w:sz w:val="25"/>
                <w:szCs w:val="25"/>
              </w:rPr>
              <w:t>A</w:t>
            </w:r>
          </w:p>
        </w:tc>
        <w:tc>
          <w:tcPr>
            <w:tcW w:w="1496" w:type="pct"/>
            <w:tcBorders>
              <w:top w:val="outset" w:sz="6" w:space="0" w:color="000000"/>
              <w:left w:val="outset" w:sz="6" w:space="0" w:color="000000"/>
              <w:bottom w:val="outset" w:sz="6" w:space="0" w:color="000000"/>
              <w:right w:val="outset" w:sz="6" w:space="0" w:color="000000"/>
            </w:tcBorders>
            <w:vAlign w:val="center"/>
            <w:hideMark/>
          </w:tcPr>
          <w:p w:rsidR="00F85947" w:rsidRDefault="00F85947">
            <w:pPr>
              <w:rPr>
                <w:rFonts w:ascii="Times" w:hAnsi="Times" w:cs="Times"/>
                <w:sz w:val="25"/>
                <w:szCs w:val="25"/>
              </w:rPr>
            </w:pPr>
            <w:r>
              <w:rPr>
                <w:rFonts w:ascii="Times" w:hAnsi="Times" w:cs="Times"/>
                <w:sz w:val="25"/>
                <w:szCs w:val="25"/>
              </w:rPr>
              <w:t xml:space="preserve">Spoločnosť PCA Slovakia, s.r.o. bola zapísaná v registri partnerov verejného sektora dňa 22.03.2017 v súlade so zákonom č. 315/2016 Z. z. o registri partnerov verejného sektora a o zmene a doplnení niektorých zákon (ďalej len „zákon o RPVS“) a ust. § 3 písm. c) zákona č. 561/2007 Z. z. o investičnej pomoci a o zmene a doplnení niektorých zákonov v znení neskorších predpisov (ďalej len „zákon o investičnej pomoci“). Z uvedeného vyplýva, že spoločnosť PCA Slovakia, s.r.o., ako partner verejného sektora, spĺňa povinnosť zápisu v registri </w:t>
            </w:r>
            <w:r>
              <w:rPr>
                <w:rFonts w:ascii="Times" w:hAnsi="Times" w:cs="Times"/>
                <w:sz w:val="25"/>
                <w:szCs w:val="25"/>
              </w:rPr>
              <w:lastRenderedPageBreak/>
              <w:t xml:space="preserve">partnerov verejného sektora v čase schválenia investičnej pomoci. Vzhľadom na to, že navrhovaná investičná pomoc je výlučne vo forme úľavy na dani z príjmu, povinnosť sledovať overenie identifikácie konečného užívateľa výhod, ako aj plnenia ďalších povinností vyplývajúcich zo zákona o RPVS, plní pri poskytovaní investičnej pomoci podľa § 2 ods. 1 písm. b) zákona o investičnej pomoci Ministerstvo financií SR prostredníctvom vecne a miestne príslušného správcu dane v súlade s § 2 ods. 5 písm. c) zákona o investičnej pomoci. </w:t>
            </w:r>
          </w:p>
        </w:tc>
      </w:tr>
      <w:tr w:rsidR="00F85947" w:rsidTr="00F85501">
        <w:trPr>
          <w:divId w:val="921764060"/>
          <w:jc w:val="center"/>
        </w:trPr>
        <w:tc>
          <w:tcPr>
            <w:tcW w:w="518" w:type="pct"/>
            <w:tcBorders>
              <w:top w:val="outset" w:sz="6" w:space="0" w:color="000000"/>
              <w:left w:val="outset" w:sz="6" w:space="0" w:color="000000"/>
              <w:bottom w:val="outset" w:sz="6" w:space="0" w:color="000000"/>
              <w:right w:val="outset" w:sz="6" w:space="0" w:color="000000"/>
            </w:tcBorders>
            <w:vAlign w:val="center"/>
            <w:hideMark/>
          </w:tcPr>
          <w:p w:rsidR="00F85947" w:rsidRDefault="00F85947">
            <w:pPr>
              <w:jc w:val="center"/>
              <w:rPr>
                <w:rFonts w:ascii="Times" w:hAnsi="Times" w:cs="Times"/>
                <w:b/>
                <w:bCs/>
                <w:sz w:val="25"/>
                <w:szCs w:val="25"/>
              </w:rPr>
            </w:pPr>
            <w:bookmarkStart w:id="0" w:name="_GoBack"/>
            <w:bookmarkEnd w:id="0"/>
            <w:r>
              <w:rPr>
                <w:rFonts w:ascii="Times" w:hAnsi="Times" w:cs="Times"/>
                <w:b/>
                <w:bCs/>
                <w:sz w:val="25"/>
                <w:szCs w:val="25"/>
              </w:rPr>
              <w:lastRenderedPageBreak/>
              <w:t>NBS</w:t>
            </w:r>
          </w:p>
        </w:tc>
        <w:tc>
          <w:tcPr>
            <w:tcW w:w="2496" w:type="pct"/>
            <w:tcBorders>
              <w:top w:val="outset" w:sz="6" w:space="0" w:color="000000"/>
              <w:left w:val="outset" w:sz="6" w:space="0" w:color="000000"/>
              <w:bottom w:val="outset" w:sz="6" w:space="0" w:color="000000"/>
              <w:right w:val="outset" w:sz="6" w:space="0" w:color="000000"/>
            </w:tcBorders>
            <w:vAlign w:val="center"/>
            <w:hideMark/>
          </w:tcPr>
          <w:p w:rsidR="00F85947" w:rsidRDefault="00F85947">
            <w:pPr>
              <w:rPr>
                <w:rFonts w:ascii="Times" w:hAnsi="Times" w:cs="Times"/>
                <w:sz w:val="25"/>
                <w:szCs w:val="25"/>
              </w:rPr>
            </w:pPr>
            <w:r>
              <w:rPr>
                <w:rFonts w:ascii="Times" w:hAnsi="Times" w:cs="Times"/>
                <w:b/>
                <w:bCs/>
                <w:sz w:val="25"/>
                <w:szCs w:val="25"/>
              </w:rPr>
              <w:t>celému materiálu</w:t>
            </w:r>
            <w:r>
              <w:rPr>
                <w:rFonts w:ascii="Times" w:hAnsi="Times" w:cs="Times"/>
                <w:sz w:val="25"/>
                <w:szCs w:val="25"/>
              </w:rPr>
              <w:br/>
              <w:t xml:space="preserve">NBS odporúča pri poskytovaní výšky investičnej pomoci </w:t>
            </w:r>
            <w:r>
              <w:rPr>
                <w:rFonts w:ascii="Times" w:hAnsi="Times" w:cs="Times"/>
                <w:sz w:val="25"/>
                <w:szCs w:val="25"/>
              </w:rPr>
              <w:lastRenderedPageBreak/>
              <w:t xml:space="preserve">prihliadať aj k úrovni nezamestnanosti a k počtu voľných pracovných miest. Podľa štatistiky Ústredia práce, sociálnych vecí a rodiny (štatistika o počte a štruktúre uchádzačov o zamestnanie za mesiac februáru 2017) bol okres Trnava na 1. mieste s najnižšou mierou nezamestnanosti v SR a rovnako mal najvyššiu mieru voľných pracovných miest. </w:t>
            </w:r>
          </w:p>
        </w:tc>
        <w:tc>
          <w:tcPr>
            <w:tcW w:w="245" w:type="pct"/>
            <w:tcBorders>
              <w:top w:val="outset" w:sz="6" w:space="0" w:color="000000"/>
              <w:left w:val="outset" w:sz="6" w:space="0" w:color="000000"/>
              <w:bottom w:val="outset" w:sz="6" w:space="0" w:color="000000"/>
              <w:right w:val="outset" w:sz="6" w:space="0" w:color="000000"/>
            </w:tcBorders>
            <w:vAlign w:val="center"/>
            <w:hideMark/>
          </w:tcPr>
          <w:p w:rsidR="00F85947" w:rsidRDefault="00F85947">
            <w:pPr>
              <w:jc w:val="center"/>
              <w:rPr>
                <w:rFonts w:ascii="Times" w:hAnsi="Times" w:cs="Times"/>
                <w:sz w:val="25"/>
                <w:szCs w:val="25"/>
              </w:rPr>
            </w:pPr>
            <w:r>
              <w:rPr>
                <w:rFonts w:ascii="Times" w:hAnsi="Times" w:cs="Times"/>
                <w:sz w:val="25"/>
                <w:szCs w:val="25"/>
              </w:rPr>
              <w:lastRenderedPageBreak/>
              <w:t>O</w:t>
            </w:r>
          </w:p>
        </w:tc>
        <w:tc>
          <w:tcPr>
            <w:tcW w:w="245" w:type="pct"/>
            <w:tcBorders>
              <w:top w:val="outset" w:sz="6" w:space="0" w:color="000000"/>
              <w:left w:val="outset" w:sz="6" w:space="0" w:color="000000"/>
              <w:bottom w:val="outset" w:sz="6" w:space="0" w:color="000000"/>
              <w:right w:val="outset" w:sz="6" w:space="0" w:color="000000"/>
            </w:tcBorders>
            <w:vAlign w:val="center"/>
            <w:hideMark/>
          </w:tcPr>
          <w:p w:rsidR="00F85947" w:rsidRDefault="00F85947">
            <w:pPr>
              <w:jc w:val="center"/>
              <w:rPr>
                <w:rFonts w:ascii="Times" w:hAnsi="Times" w:cs="Times"/>
                <w:sz w:val="25"/>
                <w:szCs w:val="25"/>
              </w:rPr>
            </w:pPr>
            <w:r>
              <w:rPr>
                <w:rFonts w:ascii="Times" w:hAnsi="Times" w:cs="Times"/>
                <w:sz w:val="25"/>
                <w:szCs w:val="25"/>
              </w:rPr>
              <w:t>A</w:t>
            </w:r>
          </w:p>
        </w:tc>
        <w:tc>
          <w:tcPr>
            <w:tcW w:w="1496" w:type="pct"/>
            <w:tcBorders>
              <w:top w:val="outset" w:sz="6" w:space="0" w:color="000000"/>
              <w:left w:val="outset" w:sz="6" w:space="0" w:color="000000"/>
              <w:bottom w:val="outset" w:sz="6" w:space="0" w:color="000000"/>
              <w:right w:val="outset" w:sz="6" w:space="0" w:color="000000"/>
            </w:tcBorders>
            <w:vAlign w:val="center"/>
            <w:hideMark/>
          </w:tcPr>
          <w:p w:rsidR="00F85947" w:rsidRDefault="00F85947" w:rsidP="00E31F28">
            <w:pPr>
              <w:rPr>
                <w:rFonts w:ascii="Times" w:hAnsi="Times" w:cs="Times"/>
                <w:sz w:val="25"/>
                <w:szCs w:val="25"/>
              </w:rPr>
            </w:pPr>
            <w:r>
              <w:rPr>
                <w:rFonts w:ascii="Times" w:hAnsi="Times" w:cs="Times"/>
                <w:sz w:val="25"/>
                <w:szCs w:val="25"/>
              </w:rPr>
              <w:t xml:space="preserve">Pri posudzovaní investičného zámeru sa posudzuje miera nezamestnanosti za </w:t>
            </w:r>
            <w:r>
              <w:rPr>
                <w:rFonts w:ascii="Times" w:hAnsi="Times" w:cs="Times"/>
                <w:sz w:val="25"/>
                <w:szCs w:val="25"/>
              </w:rPr>
              <w:lastRenderedPageBreak/>
              <w:t xml:space="preserve">kalendárny rok, ktorý bezprostredne predchádza kalendárnemu roku, v ktorom bol investičný zámer doručený ministerstvu. Okres Trnava patrí do regiónu Západné Slovensko, ktorý je podporovanou oblasťou v súlade s Mapou regionálnej pomoci pre Slovenskú republiku na roky 2014-2020. Vplyvy realizovanej investície z pohľadu zamestnanosti sa prejavia okrem vytvorenia nových pracovných miest, aj sekundárnou zamestnanosťou v rámci dodávateľskej siete a zároveň dôjde k prevodu pracovných miest z existujúcej výroby, ktoré by v prípade neuskutočnenia investície boli ohrozené. Umiestnenie investície v dotknutom regióne malo zásadný vplyv na formu poskytovanej investičnej pomoci. Ide o nepriamu formu investičnej pomoci, t. j. daňovú úľavu, ktorú si prijímateľ môže uplatniť po </w:t>
            </w:r>
            <w:r w:rsidR="00E31F28">
              <w:rPr>
                <w:rFonts w:ascii="Times" w:hAnsi="Times" w:cs="Times"/>
                <w:sz w:val="25"/>
                <w:szCs w:val="25"/>
              </w:rPr>
              <w:t>vykázaní dostatočnej daňovej povinnosti</w:t>
            </w:r>
            <w:r>
              <w:rPr>
                <w:rFonts w:ascii="Times" w:hAnsi="Times" w:cs="Times"/>
                <w:sz w:val="25"/>
                <w:szCs w:val="25"/>
              </w:rPr>
              <w:t>.</w:t>
            </w:r>
          </w:p>
        </w:tc>
      </w:tr>
      <w:tr w:rsidR="00F85947" w:rsidTr="00F85501">
        <w:trPr>
          <w:divId w:val="921764060"/>
          <w:jc w:val="center"/>
        </w:trPr>
        <w:tc>
          <w:tcPr>
            <w:tcW w:w="518" w:type="pct"/>
            <w:tcBorders>
              <w:top w:val="outset" w:sz="6" w:space="0" w:color="000000"/>
              <w:left w:val="outset" w:sz="6" w:space="0" w:color="000000"/>
              <w:bottom w:val="outset" w:sz="6" w:space="0" w:color="000000"/>
              <w:right w:val="outset" w:sz="6" w:space="0" w:color="000000"/>
            </w:tcBorders>
            <w:vAlign w:val="center"/>
            <w:hideMark/>
          </w:tcPr>
          <w:p w:rsidR="00F85947" w:rsidRDefault="00F85947">
            <w:pPr>
              <w:jc w:val="center"/>
              <w:rPr>
                <w:rFonts w:ascii="Times" w:hAnsi="Times" w:cs="Times"/>
                <w:b/>
                <w:bCs/>
                <w:sz w:val="25"/>
                <w:szCs w:val="25"/>
              </w:rPr>
            </w:pPr>
            <w:r>
              <w:rPr>
                <w:rFonts w:ascii="Times" w:hAnsi="Times" w:cs="Times"/>
                <w:b/>
                <w:bCs/>
                <w:sz w:val="25"/>
                <w:szCs w:val="25"/>
              </w:rPr>
              <w:lastRenderedPageBreak/>
              <w:t>PMÚSR</w:t>
            </w:r>
          </w:p>
        </w:tc>
        <w:tc>
          <w:tcPr>
            <w:tcW w:w="2496" w:type="pct"/>
            <w:tcBorders>
              <w:top w:val="outset" w:sz="6" w:space="0" w:color="000000"/>
              <w:left w:val="outset" w:sz="6" w:space="0" w:color="000000"/>
              <w:bottom w:val="outset" w:sz="6" w:space="0" w:color="000000"/>
              <w:right w:val="outset" w:sz="6" w:space="0" w:color="000000"/>
            </w:tcBorders>
            <w:vAlign w:val="center"/>
            <w:hideMark/>
          </w:tcPr>
          <w:p w:rsidR="00F85947" w:rsidRDefault="00F85947">
            <w:pPr>
              <w:rPr>
                <w:rFonts w:ascii="Times" w:hAnsi="Times" w:cs="Times"/>
                <w:sz w:val="25"/>
                <w:szCs w:val="25"/>
              </w:rPr>
            </w:pPr>
            <w:r>
              <w:rPr>
                <w:rFonts w:ascii="Times" w:hAnsi="Times" w:cs="Times"/>
                <w:b/>
                <w:bCs/>
                <w:sz w:val="25"/>
                <w:szCs w:val="25"/>
              </w:rPr>
              <w:t xml:space="preserve">k časti (E) v časti Investičná pomoc v piatom odseku a k časti (G) Záver v bode č. 12 </w:t>
            </w:r>
            <w:r>
              <w:rPr>
                <w:rFonts w:ascii="Times" w:hAnsi="Times" w:cs="Times"/>
                <w:sz w:val="25"/>
                <w:szCs w:val="25"/>
              </w:rPr>
              <w:br/>
              <w:t xml:space="preserve">k časti (E) v časti Investičná pomoc v piatom odseku a k časti (G) Záver v bode č. 12 je potrebné upraviť výšku spolufinancovania </w:t>
            </w:r>
            <w:r>
              <w:rPr>
                <w:rFonts w:ascii="Times" w:hAnsi="Times" w:cs="Times"/>
                <w:sz w:val="25"/>
                <w:szCs w:val="25"/>
              </w:rPr>
              <w:lastRenderedPageBreak/>
              <w:t xml:space="preserve">investičného projektu zo strany žiadateľa v nadväznosti na skutočnosť, že maximálna intenzita pomoci sa pre jeden investičný projekt počíta v súlade s mechanizmom uvedeným v § 3 nariadenia vlády Slovenskej republiky č. 219/2015 Z. z., ktorým sa ustanovuje maximálna intenzita investičnej pomoci a výška investičnej pomoci v jednotlivých regiónoch Slovenskej republiky. </w:t>
            </w:r>
          </w:p>
        </w:tc>
        <w:tc>
          <w:tcPr>
            <w:tcW w:w="245" w:type="pct"/>
            <w:tcBorders>
              <w:top w:val="outset" w:sz="6" w:space="0" w:color="000000"/>
              <w:left w:val="outset" w:sz="6" w:space="0" w:color="000000"/>
              <w:bottom w:val="outset" w:sz="6" w:space="0" w:color="000000"/>
              <w:right w:val="outset" w:sz="6" w:space="0" w:color="000000"/>
            </w:tcBorders>
            <w:vAlign w:val="center"/>
            <w:hideMark/>
          </w:tcPr>
          <w:p w:rsidR="00F85947" w:rsidRDefault="00F85947">
            <w:pPr>
              <w:jc w:val="center"/>
              <w:rPr>
                <w:rFonts w:ascii="Times" w:hAnsi="Times" w:cs="Times"/>
                <w:sz w:val="25"/>
                <w:szCs w:val="25"/>
              </w:rPr>
            </w:pPr>
            <w:r>
              <w:rPr>
                <w:rFonts w:ascii="Times" w:hAnsi="Times" w:cs="Times"/>
                <w:sz w:val="25"/>
                <w:szCs w:val="25"/>
              </w:rPr>
              <w:lastRenderedPageBreak/>
              <w:t>Z</w:t>
            </w:r>
          </w:p>
        </w:tc>
        <w:tc>
          <w:tcPr>
            <w:tcW w:w="245" w:type="pct"/>
            <w:tcBorders>
              <w:top w:val="outset" w:sz="6" w:space="0" w:color="000000"/>
              <w:left w:val="outset" w:sz="6" w:space="0" w:color="000000"/>
              <w:bottom w:val="outset" w:sz="6" w:space="0" w:color="000000"/>
              <w:right w:val="outset" w:sz="6" w:space="0" w:color="000000"/>
            </w:tcBorders>
            <w:vAlign w:val="center"/>
            <w:hideMark/>
          </w:tcPr>
          <w:p w:rsidR="00F85947" w:rsidRDefault="00F85947">
            <w:pPr>
              <w:jc w:val="center"/>
              <w:rPr>
                <w:rFonts w:ascii="Times" w:hAnsi="Times" w:cs="Times"/>
                <w:sz w:val="25"/>
                <w:szCs w:val="25"/>
              </w:rPr>
            </w:pPr>
            <w:r>
              <w:rPr>
                <w:rFonts w:ascii="Times" w:hAnsi="Times" w:cs="Times"/>
                <w:sz w:val="25"/>
                <w:szCs w:val="25"/>
              </w:rPr>
              <w:t>A</w:t>
            </w:r>
          </w:p>
        </w:tc>
        <w:tc>
          <w:tcPr>
            <w:tcW w:w="1496" w:type="pct"/>
            <w:tcBorders>
              <w:top w:val="outset" w:sz="6" w:space="0" w:color="000000"/>
              <w:left w:val="outset" w:sz="6" w:space="0" w:color="000000"/>
              <w:bottom w:val="outset" w:sz="6" w:space="0" w:color="000000"/>
              <w:right w:val="outset" w:sz="6" w:space="0" w:color="000000"/>
            </w:tcBorders>
            <w:vAlign w:val="center"/>
            <w:hideMark/>
          </w:tcPr>
          <w:p w:rsidR="00F85947" w:rsidRDefault="00F85947">
            <w:pPr>
              <w:rPr>
                <w:rFonts w:ascii="Times" w:hAnsi="Times" w:cs="Times"/>
                <w:sz w:val="25"/>
                <w:szCs w:val="25"/>
              </w:rPr>
            </w:pPr>
            <w:r>
              <w:rPr>
                <w:rFonts w:ascii="Times" w:hAnsi="Times" w:cs="Times"/>
                <w:sz w:val="25"/>
                <w:szCs w:val="25"/>
              </w:rPr>
              <w:t xml:space="preserve">Text bol upravený nasledovne: V časti E: V súlade s § 15 ods. 6 zákona o investičnej pomoci, prijímateľ v investičnom zámere deklaruje, že </w:t>
            </w:r>
            <w:r>
              <w:rPr>
                <w:rFonts w:ascii="Times" w:hAnsi="Times" w:cs="Times"/>
                <w:sz w:val="25"/>
                <w:szCs w:val="25"/>
              </w:rPr>
              <w:lastRenderedPageBreak/>
              <w:t xml:space="preserve">najmenej 81,09 % nominálnej hodnoty oprávnených nákladov poskytne prostredníctvom svojich vlastných zdrojov alebo prostredníctvom externého financovania, ktoré nezahŕňa štátnu pomoc ani minimálnu pomoc. V časti G, podmienka č. 12: Prijímateľ bude realizovať investičný zámer tak, že najmenej 81,09 % nominálnej hodnoty oprávnených nákladov poskytne prostredníctvom svojich vlastných zdrojov alebo prostredníctvom externého financovania, ktoré nezahŕňa štátnu pomoc, ani minimálnu pomoc. </w:t>
            </w:r>
          </w:p>
        </w:tc>
      </w:tr>
    </w:tbl>
    <w:p w:rsidR="00154A91" w:rsidRPr="00154A91" w:rsidRDefault="00154A91" w:rsidP="00CE47A6"/>
    <w:p w:rsidR="00154A91" w:rsidRPr="00024402" w:rsidRDefault="00154A91" w:rsidP="00CE47A6"/>
    <w:sectPr w:rsidR="00154A91" w:rsidRPr="00024402" w:rsidSect="00D74285">
      <w:pgSz w:w="15840" w:h="12240" w:orient="landscape"/>
      <w:pgMar w:top="1417" w:right="1417"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5266" w:rsidRDefault="00C35266" w:rsidP="000A67D5">
      <w:pPr>
        <w:spacing w:after="0" w:line="240" w:lineRule="auto"/>
      </w:pPr>
      <w:r>
        <w:separator/>
      </w:r>
    </w:p>
  </w:endnote>
  <w:endnote w:type="continuationSeparator" w:id="0">
    <w:p w:rsidR="00C35266" w:rsidRDefault="00C35266" w:rsidP="000A6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5266" w:rsidRDefault="00C35266" w:rsidP="000A67D5">
      <w:pPr>
        <w:spacing w:after="0" w:line="240" w:lineRule="auto"/>
      </w:pPr>
      <w:r>
        <w:separator/>
      </w:r>
    </w:p>
  </w:footnote>
  <w:footnote w:type="continuationSeparator" w:id="0">
    <w:p w:rsidR="00C35266" w:rsidRDefault="00C35266" w:rsidP="000A67D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844"/>
    <w:rsid w:val="000032C8"/>
    <w:rsid w:val="00024402"/>
    <w:rsid w:val="000324A3"/>
    <w:rsid w:val="0006543E"/>
    <w:rsid w:val="000A67D5"/>
    <w:rsid w:val="000E25CA"/>
    <w:rsid w:val="000F7A42"/>
    <w:rsid w:val="00146547"/>
    <w:rsid w:val="00146B48"/>
    <w:rsid w:val="00150388"/>
    <w:rsid w:val="00154A91"/>
    <w:rsid w:val="002109B0"/>
    <w:rsid w:val="0021228E"/>
    <w:rsid w:val="00230F3C"/>
    <w:rsid w:val="002654AA"/>
    <w:rsid w:val="002827B4"/>
    <w:rsid w:val="002A3207"/>
    <w:rsid w:val="002A5577"/>
    <w:rsid w:val="002D7471"/>
    <w:rsid w:val="00310A55"/>
    <w:rsid w:val="00322014"/>
    <w:rsid w:val="0039526D"/>
    <w:rsid w:val="003B435B"/>
    <w:rsid w:val="003D101C"/>
    <w:rsid w:val="003D5E45"/>
    <w:rsid w:val="003E4226"/>
    <w:rsid w:val="003F78E7"/>
    <w:rsid w:val="004075B2"/>
    <w:rsid w:val="00436C44"/>
    <w:rsid w:val="00474A9D"/>
    <w:rsid w:val="004B2FD4"/>
    <w:rsid w:val="00532574"/>
    <w:rsid w:val="0059081C"/>
    <w:rsid w:val="005E7C53"/>
    <w:rsid w:val="00642FB8"/>
    <w:rsid w:val="00665A2E"/>
    <w:rsid w:val="006A3681"/>
    <w:rsid w:val="007156F5"/>
    <w:rsid w:val="00787D5D"/>
    <w:rsid w:val="007A1010"/>
    <w:rsid w:val="007B7F1A"/>
    <w:rsid w:val="007D7AE6"/>
    <w:rsid w:val="007E4294"/>
    <w:rsid w:val="00841FA6"/>
    <w:rsid w:val="008A1964"/>
    <w:rsid w:val="008E2844"/>
    <w:rsid w:val="0090100E"/>
    <w:rsid w:val="009239D9"/>
    <w:rsid w:val="00927118"/>
    <w:rsid w:val="00943EB2"/>
    <w:rsid w:val="0099665B"/>
    <w:rsid w:val="009C6C5C"/>
    <w:rsid w:val="009F7218"/>
    <w:rsid w:val="00A251BF"/>
    <w:rsid w:val="00A54A16"/>
    <w:rsid w:val="00A95AE2"/>
    <w:rsid w:val="00B721A5"/>
    <w:rsid w:val="00B76589"/>
    <w:rsid w:val="00B830F0"/>
    <w:rsid w:val="00B8767E"/>
    <w:rsid w:val="00BD1FAB"/>
    <w:rsid w:val="00BE2100"/>
    <w:rsid w:val="00BE7302"/>
    <w:rsid w:val="00BF7CE0"/>
    <w:rsid w:val="00C35266"/>
    <w:rsid w:val="00CA44D2"/>
    <w:rsid w:val="00CB49CF"/>
    <w:rsid w:val="00CD0AAC"/>
    <w:rsid w:val="00CE47A6"/>
    <w:rsid w:val="00CF3D59"/>
    <w:rsid w:val="00D261C9"/>
    <w:rsid w:val="00D339DE"/>
    <w:rsid w:val="00D74285"/>
    <w:rsid w:val="00D85172"/>
    <w:rsid w:val="00D864E1"/>
    <w:rsid w:val="00D969AC"/>
    <w:rsid w:val="00DD75C6"/>
    <w:rsid w:val="00DF7085"/>
    <w:rsid w:val="00E31F28"/>
    <w:rsid w:val="00E85710"/>
    <w:rsid w:val="00EB772A"/>
    <w:rsid w:val="00EF1425"/>
    <w:rsid w:val="00F26A4A"/>
    <w:rsid w:val="00F727F0"/>
    <w:rsid w:val="00F85501"/>
    <w:rsid w:val="00F8562E"/>
    <w:rsid w:val="00F85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3D5E45"/>
    <w:rPr>
      <w:color w:val="808080"/>
    </w:rPr>
  </w:style>
  <w:style w:type="paragraph" w:styleId="Textbubliny">
    <w:name w:val="Balloon Text"/>
    <w:basedOn w:val="Normlny"/>
    <w:link w:val="TextbublinyChar"/>
    <w:uiPriority w:val="99"/>
    <w:semiHidden/>
    <w:unhideWhenUsed/>
    <w:rsid w:val="003D5E4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D5E45"/>
    <w:rPr>
      <w:rFonts w:ascii="Tahoma" w:hAnsi="Tahoma" w:cs="Tahoma"/>
      <w:sz w:val="16"/>
      <w:szCs w:val="16"/>
    </w:rPr>
  </w:style>
  <w:style w:type="paragraph" w:styleId="Hlavika">
    <w:name w:val="header"/>
    <w:basedOn w:val="Normlny"/>
    <w:link w:val="HlavikaChar"/>
    <w:uiPriority w:val="99"/>
    <w:unhideWhenUsed/>
    <w:rsid w:val="000A67D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A67D5"/>
  </w:style>
  <w:style w:type="paragraph" w:styleId="Pta">
    <w:name w:val="footer"/>
    <w:basedOn w:val="Normlny"/>
    <w:link w:val="PtaChar"/>
    <w:uiPriority w:val="99"/>
    <w:unhideWhenUsed/>
    <w:rsid w:val="000A67D5"/>
    <w:pPr>
      <w:tabs>
        <w:tab w:val="center" w:pos="4536"/>
        <w:tab w:val="right" w:pos="9072"/>
      </w:tabs>
      <w:spacing w:after="0" w:line="240" w:lineRule="auto"/>
    </w:pPr>
  </w:style>
  <w:style w:type="character" w:customStyle="1" w:styleId="PtaChar">
    <w:name w:val="Päta Char"/>
    <w:basedOn w:val="Predvolenpsmoodseku"/>
    <w:link w:val="Pta"/>
    <w:uiPriority w:val="99"/>
    <w:rsid w:val="000A67D5"/>
  </w:style>
  <w:style w:type="character" w:styleId="Odkaznakomentr">
    <w:name w:val="annotation reference"/>
    <w:basedOn w:val="Predvolenpsmoodseku"/>
    <w:uiPriority w:val="99"/>
    <w:semiHidden/>
    <w:unhideWhenUsed/>
    <w:rsid w:val="00927118"/>
    <w:rPr>
      <w:sz w:val="16"/>
      <w:szCs w:val="16"/>
    </w:rPr>
  </w:style>
  <w:style w:type="paragraph" w:styleId="Textkomentra">
    <w:name w:val="annotation text"/>
    <w:basedOn w:val="Normlny"/>
    <w:link w:val="TextkomentraChar"/>
    <w:uiPriority w:val="99"/>
    <w:semiHidden/>
    <w:unhideWhenUsed/>
    <w:rsid w:val="00927118"/>
    <w:pPr>
      <w:widowControl w:val="0"/>
      <w:adjustRightInd w:val="0"/>
      <w:spacing w:line="240" w:lineRule="auto"/>
    </w:pPr>
    <w:rPr>
      <w:rFonts w:ascii="Calibri" w:eastAsia="Times New Roman" w:hAnsi="Calibri" w:cs="Times New Roman"/>
      <w:sz w:val="20"/>
      <w:szCs w:val="20"/>
    </w:rPr>
  </w:style>
  <w:style w:type="character" w:customStyle="1" w:styleId="TextkomentraChar">
    <w:name w:val="Text komentára Char"/>
    <w:basedOn w:val="Predvolenpsmoodseku"/>
    <w:link w:val="Textkomentra"/>
    <w:uiPriority w:val="99"/>
    <w:semiHidden/>
    <w:rsid w:val="00927118"/>
    <w:rPr>
      <w:rFonts w:ascii="Calibri" w:eastAsia="Times New Roman" w:hAnsi="Calibri" w:cs="Times New Roman"/>
      <w:sz w:val="20"/>
      <w:szCs w:val="20"/>
    </w:rPr>
  </w:style>
  <w:style w:type="paragraph" w:styleId="Zkladntext">
    <w:name w:val="Body Text"/>
    <w:basedOn w:val="Normlny"/>
    <w:link w:val="ZkladntextChar"/>
    <w:uiPriority w:val="99"/>
    <w:semiHidden/>
    <w:rsid w:val="00BF7CE0"/>
    <w:pPr>
      <w:widowControl w:val="0"/>
      <w:adjustRightInd w:val="0"/>
      <w:spacing w:after="0" w:line="240" w:lineRule="auto"/>
      <w:jc w:val="center"/>
    </w:pPr>
    <w:rPr>
      <w:rFonts w:ascii="Times New Roman" w:eastAsia="Times New Roman" w:hAnsi="Times New Roman" w:cs="Times New Roman"/>
      <w:b/>
      <w:bCs/>
      <w:sz w:val="28"/>
      <w:szCs w:val="28"/>
    </w:rPr>
  </w:style>
  <w:style w:type="character" w:customStyle="1" w:styleId="ZkladntextChar">
    <w:name w:val="Základný text Char"/>
    <w:basedOn w:val="Predvolenpsmoodseku"/>
    <w:link w:val="Zkladntext"/>
    <w:uiPriority w:val="99"/>
    <w:semiHidden/>
    <w:rsid w:val="00BF7CE0"/>
    <w:rPr>
      <w:rFonts w:ascii="Times New Roman" w:eastAsia="Times New Roman" w:hAnsi="Times New Roman" w:cs="Times New Roman"/>
      <w:b/>
      <w:bCs/>
      <w:sz w:val="28"/>
      <w:szCs w:val="28"/>
      <w:lang w:val="sk-SK"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3D5E45"/>
    <w:rPr>
      <w:color w:val="808080"/>
    </w:rPr>
  </w:style>
  <w:style w:type="paragraph" w:styleId="Textbubliny">
    <w:name w:val="Balloon Text"/>
    <w:basedOn w:val="Normlny"/>
    <w:link w:val="TextbublinyChar"/>
    <w:uiPriority w:val="99"/>
    <w:semiHidden/>
    <w:unhideWhenUsed/>
    <w:rsid w:val="003D5E4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D5E45"/>
    <w:rPr>
      <w:rFonts w:ascii="Tahoma" w:hAnsi="Tahoma" w:cs="Tahoma"/>
      <w:sz w:val="16"/>
      <w:szCs w:val="16"/>
    </w:rPr>
  </w:style>
  <w:style w:type="paragraph" w:styleId="Hlavika">
    <w:name w:val="header"/>
    <w:basedOn w:val="Normlny"/>
    <w:link w:val="HlavikaChar"/>
    <w:uiPriority w:val="99"/>
    <w:unhideWhenUsed/>
    <w:rsid w:val="000A67D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A67D5"/>
  </w:style>
  <w:style w:type="paragraph" w:styleId="Pta">
    <w:name w:val="footer"/>
    <w:basedOn w:val="Normlny"/>
    <w:link w:val="PtaChar"/>
    <w:uiPriority w:val="99"/>
    <w:unhideWhenUsed/>
    <w:rsid w:val="000A67D5"/>
    <w:pPr>
      <w:tabs>
        <w:tab w:val="center" w:pos="4536"/>
        <w:tab w:val="right" w:pos="9072"/>
      </w:tabs>
      <w:spacing w:after="0" w:line="240" w:lineRule="auto"/>
    </w:pPr>
  </w:style>
  <w:style w:type="character" w:customStyle="1" w:styleId="PtaChar">
    <w:name w:val="Päta Char"/>
    <w:basedOn w:val="Predvolenpsmoodseku"/>
    <w:link w:val="Pta"/>
    <w:uiPriority w:val="99"/>
    <w:rsid w:val="000A67D5"/>
  </w:style>
  <w:style w:type="character" w:styleId="Odkaznakomentr">
    <w:name w:val="annotation reference"/>
    <w:basedOn w:val="Predvolenpsmoodseku"/>
    <w:uiPriority w:val="99"/>
    <w:semiHidden/>
    <w:unhideWhenUsed/>
    <w:rsid w:val="00927118"/>
    <w:rPr>
      <w:sz w:val="16"/>
      <w:szCs w:val="16"/>
    </w:rPr>
  </w:style>
  <w:style w:type="paragraph" w:styleId="Textkomentra">
    <w:name w:val="annotation text"/>
    <w:basedOn w:val="Normlny"/>
    <w:link w:val="TextkomentraChar"/>
    <w:uiPriority w:val="99"/>
    <w:semiHidden/>
    <w:unhideWhenUsed/>
    <w:rsid w:val="00927118"/>
    <w:pPr>
      <w:widowControl w:val="0"/>
      <w:adjustRightInd w:val="0"/>
      <w:spacing w:line="240" w:lineRule="auto"/>
    </w:pPr>
    <w:rPr>
      <w:rFonts w:ascii="Calibri" w:eastAsia="Times New Roman" w:hAnsi="Calibri" w:cs="Times New Roman"/>
      <w:sz w:val="20"/>
      <w:szCs w:val="20"/>
    </w:rPr>
  </w:style>
  <w:style w:type="character" w:customStyle="1" w:styleId="TextkomentraChar">
    <w:name w:val="Text komentára Char"/>
    <w:basedOn w:val="Predvolenpsmoodseku"/>
    <w:link w:val="Textkomentra"/>
    <w:uiPriority w:val="99"/>
    <w:semiHidden/>
    <w:rsid w:val="00927118"/>
    <w:rPr>
      <w:rFonts w:ascii="Calibri" w:eastAsia="Times New Roman" w:hAnsi="Calibri" w:cs="Times New Roman"/>
      <w:sz w:val="20"/>
      <w:szCs w:val="20"/>
    </w:rPr>
  </w:style>
  <w:style w:type="paragraph" w:styleId="Zkladntext">
    <w:name w:val="Body Text"/>
    <w:basedOn w:val="Normlny"/>
    <w:link w:val="ZkladntextChar"/>
    <w:uiPriority w:val="99"/>
    <w:semiHidden/>
    <w:rsid w:val="00BF7CE0"/>
    <w:pPr>
      <w:widowControl w:val="0"/>
      <w:adjustRightInd w:val="0"/>
      <w:spacing w:after="0" w:line="240" w:lineRule="auto"/>
      <w:jc w:val="center"/>
    </w:pPr>
    <w:rPr>
      <w:rFonts w:ascii="Times New Roman" w:eastAsia="Times New Roman" w:hAnsi="Times New Roman" w:cs="Times New Roman"/>
      <w:b/>
      <w:bCs/>
      <w:sz w:val="28"/>
      <w:szCs w:val="28"/>
    </w:rPr>
  </w:style>
  <w:style w:type="character" w:customStyle="1" w:styleId="ZkladntextChar">
    <w:name w:val="Základný text Char"/>
    <w:basedOn w:val="Predvolenpsmoodseku"/>
    <w:link w:val="Zkladntext"/>
    <w:uiPriority w:val="99"/>
    <w:semiHidden/>
    <w:rsid w:val="00BF7CE0"/>
    <w:rPr>
      <w:rFonts w:ascii="Times New Roman" w:eastAsia="Times New Roman" w:hAnsi="Times New Roman" w:cs="Times New Roman"/>
      <w:b/>
      <w:bCs/>
      <w:sz w:val="28"/>
      <w:szCs w:val="28"/>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307348">
      <w:bodyDiv w:val="1"/>
      <w:marLeft w:val="0"/>
      <w:marRight w:val="0"/>
      <w:marTop w:val="0"/>
      <w:marBottom w:val="0"/>
      <w:divBdr>
        <w:top w:val="none" w:sz="0" w:space="0" w:color="auto"/>
        <w:left w:val="none" w:sz="0" w:space="0" w:color="auto"/>
        <w:bottom w:val="none" w:sz="0" w:space="0" w:color="auto"/>
        <w:right w:val="none" w:sz="0" w:space="0" w:color="auto"/>
      </w:divBdr>
    </w:div>
    <w:div w:id="215093339">
      <w:bodyDiv w:val="1"/>
      <w:marLeft w:val="0"/>
      <w:marRight w:val="0"/>
      <w:marTop w:val="0"/>
      <w:marBottom w:val="0"/>
      <w:divBdr>
        <w:top w:val="none" w:sz="0" w:space="0" w:color="auto"/>
        <w:left w:val="none" w:sz="0" w:space="0" w:color="auto"/>
        <w:bottom w:val="none" w:sz="0" w:space="0" w:color="auto"/>
        <w:right w:val="none" w:sz="0" w:space="0" w:color="auto"/>
      </w:divBdr>
    </w:div>
    <w:div w:id="400256864">
      <w:bodyDiv w:val="1"/>
      <w:marLeft w:val="0"/>
      <w:marRight w:val="0"/>
      <w:marTop w:val="0"/>
      <w:marBottom w:val="0"/>
      <w:divBdr>
        <w:top w:val="none" w:sz="0" w:space="0" w:color="auto"/>
        <w:left w:val="none" w:sz="0" w:space="0" w:color="auto"/>
        <w:bottom w:val="none" w:sz="0" w:space="0" w:color="auto"/>
        <w:right w:val="none" w:sz="0" w:space="0" w:color="auto"/>
      </w:divBdr>
    </w:div>
    <w:div w:id="815341568">
      <w:bodyDiv w:val="1"/>
      <w:marLeft w:val="0"/>
      <w:marRight w:val="0"/>
      <w:marTop w:val="0"/>
      <w:marBottom w:val="0"/>
      <w:divBdr>
        <w:top w:val="none" w:sz="0" w:space="0" w:color="auto"/>
        <w:left w:val="none" w:sz="0" w:space="0" w:color="auto"/>
        <w:bottom w:val="none" w:sz="0" w:space="0" w:color="auto"/>
        <w:right w:val="none" w:sz="0" w:space="0" w:color="auto"/>
      </w:divBdr>
    </w:div>
    <w:div w:id="921764060">
      <w:bodyDiv w:val="1"/>
      <w:marLeft w:val="0"/>
      <w:marRight w:val="0"/>
      <w:marTop w:val="0"/>
      <w:marBottom w:val="0"/>
      <w:divBdr>
        <w:top w:val="none" w:sz="0" w:space="0" w:color="auto"/>
        <w:left w:val="none" w:sz="0" w:space="0" w:color="auto"/>
        <w:bottom w:val="none" w:sz="0" w:space="0" w:color="auto"/>
        <w:right w:val="none" w:sz="0" w:space="0" w:color="auto"/>
      </w:divBdr>
    </w:div>
    <w:div w:id="1419131825">
      <w:bodyDiv w:val="1"/>
      <w:marLeft w:val="0"/>
      <w:marRight w:val="0"/>
      <w:marTop w:val="0"/>
      <w:marBottom w:val="0"/>
      <w:divBdr>
        <w:top w:val="none" w:sz="0" w:space="0" w:color="auto"/>
        <w:left w:val="none" w:sz="0" w:space="0" w:color="auto"/>
        <w:bottom w:val="none" w:sz="0" w:space="0" w:color="auto"/>
        <w:right w:val="none" w:sz="0" w:space="0" w:color="auto"/>
      </w:divBdr>
    </w:div>
    <w:div w:id="1591812691">
      <w:bodyDiv w:val="1"/>
      <w:marLeft w:val="0"/>
      <w:marRight w:val="0"/>
      <w:marTop w:val="0"/>
      <w:marBottom w:val="0"/>
      <w:divBdr>
        <w:top w:val="none" w:sz="0" w:space="0" w:color="auto"/>
        <w:left w:val="none" w:sz="0" w:space="0" w:color="auto"/>
        <w:bottom w:val="none" w:sz="0" w:space="0" w:color="auto"/>
        <w:right w:val="none" w:sz="0" w:space="0" w:color="auto"/>
      </w:divBdr>
    </w:div>
    <w:div w:id="1941180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f:fields xmlns:f="http://schemas.fabasoft.com/folio/2007/fields">
  <f:record ref="">
    <f:field ref="objname" par="" edit="true" text="Vyhodnotenie medzirezortného pripomienkového konania"/>
    <f:field ref="objsubject" par="" edit="true" text="Vyhodnotenie medzirezortného pripomienkového konania"/>
    <f:field ref="objcreatedby" par="" text="Administrator, System"/>
    <f:field ref="objcreatedat" par="" text="18.4.2017 13:37:19"/>
    <f:field ref="objchangedby" par="" text="Administrator, System"/>
    <f:field ref="objmodifiedat" par="" text="18.4.2017 13:37:23"/>
    <f:field ref="doc_FSCFOLIO_1_1001_FieldDocumentNumber" par="" text=""/>
    <f:field ref="doc_FSCFOLIO_1_1001_FieldSubject" par="" edit="true" text="Vyhodnotenie medzirezortného pripomienkového konania"/>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5.xml><?xml version="1.0" encoding="utf-8"?>
<p:properties xmlns:p="http://schemas.microsoft.com/office/2006/metadata/properties" xmlns:xsi="http://www.w3.org/2001/XMLSchema-instance" xmlns:pc="http://schemas.microsoft.com/office/infopath/2007/PartnerControls">
  <documentManagement>
    <_dlc_DocIdUrl xmlns="e60a29af-d413-48d4-bd90-fe9d2a897e4b">
      <Url>https://ovdmasv601/sites/DMS/_layouts/15/DocIdRedir.aspx?ID=WKX3UHSAJ2R6-2-778860</Url>
      <Description>WKX3UHSAJ2R6-2-778860</Description>
    </_dlc_DocIdUrl>
    <_dlc_DocId xmlns="e60a29af-d413-48d4-bd90-fe9d2a897e4b">WKX3UHSAJ2R6-2-778860</_dlc_DocId>
  </documentManagement>
</p:properties>
</file>

<file path=customXml/itemProps1.xml><?xml version="1.0" encoding="utf-8"?>
<ds:datastoreItem xmlns:ds="http://schemas.openxmlformats.org/officeDocument/2006/customXml" ds:itemID="{18B04826-DA5C-4784-A0DF-39398C7801DA}"/>
</file>

<file path=customXml/itemProps2.xml><?xml version="1.0" encoding="utf-8"?>
<ds:datastoreItem xmlns:ds="http://schemas.openxmlformats.org/officeDocument/2006/customXml" ds:itemID="{FF1ADCDF-4823-443F-93B7-A7E5AB718097}"/>
</file>

<file path=customXml/itemProps3.xml><?xml version="1.0" encoding="utf-8"?>
<ds:datastoreItem xmlns:ds="http://schemas.openxmlformats.org/officeDocument/2006/customXml" ds:itemID="{A7B1CFE6-1E8C-44F5-AF6F-AB689A83BF82}"/>
</file>

<file path=customXml/itemProps4.xml><?xml version="1.0" encoding="utf-8"?>
<ds:datastoreItem xmlns:ds="http://schemas.openxmlformats.org/officeDocument/2006/customXml" ds:itemID="{4E8A9591-F074-446B-902F-511FF79C122F}"/>
</file>

<file path=customXml/itemProps5.xml><?xml version="1.0" encoding="utf-8"?>
<ds:datastoreItem xmlns:ds="http://schemas.openxmlformats.org/officeDocument/2006/customXml" ds:itemID="{97B9E0FD-98DB-4CD3-83FB-B349E89C3006}"/>
</file>

<file path=docProps/app.xml><?xml version="1.0" encoding="utf-8"?>
<Properties xmlns="http://schemas.openxmlformats.org/officeDocument/2006/extended-properties" xmlns:vt="http://schemas.openxmlformats.org/officeDocument/2006/docPropsVTypes">
  <Template>Normal</Template>
  <TotalTime>0</TotalTime>
  <Pages>9</Pages>
  <Words>1781</Words>
  <Characters>10152</Characters>
  <Application>Microsoft Office Word</Application>
  <DocSecurity>0</DocSecurity>
  <Lines>84</Lines>
  <Paragraphs>23</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11910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2017-04-18T11:41:00Z</dcterms:created>
  <dcterms:modified xsi:type="dcterms:W3CDTF">2017-04-19T07:26:00Z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cisloparlamenttlac">
    <vt:lpwstr/>
  </property>
  <property fmtid="{D5CDD505-2E9C-101B-9397-08002B2CF9AE}" pid="5" name="FSC#SKEDITIONSLOVLEX@103.510:stavpredpis">
    <vt:lpwstr>Vyhodnotenie medzirezortného pripomienkového konania</vt:lpwstr>
  </property>
  <property fmtid="{D5CDD505-2E9C-101B-9397-08002B2CF9AE}" pid="6" name="FSC#SKEDITIONSLOVLEX@103.510:povodpredpis">
    <vt:lpwstr>Slovlex (eLeg)</vt:lpwstr>
  </property>
  <property fmtid="{D5CDD505-2E9C-101B-9397-08002B2CF9AE}" pid="7" name="FSC#SKEDITIONSLOVLEX@103.510:legoblast">
    <vt:lpwstr>Nelegislatívna oblasť</vt:lpwstr>
  </property>
  <property fmtid="{D5CDD505-2E9C-101B-9397-08002B2CF9AE}" pid="8" name="FSC#SKEDITIONSLOVLEX@103.510:uzemplat">
    <vt:lpwstr/>
  </property>
  <property fmtid="{D5CDD505-2E9C-101B-9397-08002B2CF9AE}" pid="9" name="FSC#SKEDITIONSLOVLEX@103.510:vztahypredpis">
    <vt:lpwstr/>
  </property>
  <property fmtid="{D5CDD505-2E9C-101B-9397-08002B2CF9AE}" pid="10" name="FSC#SKEDITIONSLOVLEX@103.510:predkladatel">
    <vt:lpwstr>Zuzana Beluská</vt:lpwstr>
  </property>
  <property fmtid="{D5CDD505-2E9C-101B-9397-08002B2CF9AE}" pid="11" name="FSC#SKEDITIONSLOVLEX@103.510:zodppredkladatel">
    <vt:lpwstr>Ing. Peter Žiga</vt:lpwstr>
  </property>
  <property fmtid="{D5CDD505-2E9C-101B-9397-08002B2CF9AE}" pid="12" name="FSC#SKEDITIONSLOVLEX@103.510:dalsipredkladatel">
    <vt:lpwstr/>
  </property>
  <property fmtid="{D5CDD505-2E9C-101B-9397-08002B2CF9AE}" pid="13" name="FSC#SKEDITIONSLOVLEX@103.510:nazovpredpis">
    <vt:lpwstr> Návrh na poskytnutie investičnej pomoci pre spoločnosť PCA Slovakia, s.r.o., IČO: 36 256 013, na realizáciu investičného zámeru v lokalite Trnava, okres Trnava </vt:lpwstr>
  </property>
  <property fmtid="{D5CDD505-2E9C-101B-9397-08002B2CF9AE}" pid="14" name="FSC#SKEDITIONSLOVLEX@103.510:nazovpredpis1">
    <vt:lpwstr/>
  </property>
  <property fmtid="{D5CDD505-2E9C-101B-9397-08002B2CF9AE}" pid="15" name="FSC#SKEDITIONSLOVLEX@103.510:nazovpredpis2">
    <vt:lpwstr/>
  </property>
  <property fmtid="{D5CDD505-2E9C-101B-9397-08002B2CF9AE}" pid="16" name="FSC#SKEDITIONSLOVLEX@103.510:nazovpredpis3">
    <vt:lpwstr/>
  </property>
  <property fmtid="{D5CDD505-2E9C-101B-9397-08002B2CF9AE}" pid="17" name="FSC#SKEDITIONSLOVLEX@103.510:cislopredpis">
    <vt:lpwstr/>
  </property>
  <property fmtid="{D5CDD505-2E9C-101B-9397-08002B2CF9AE}" pid="18" name="FSC#SKEDITIONSLOVLEX@103.510:zodpinstitucia">
    <vt:lpwstr>Ministerstvo hospodárstva Slovenskej republiky</vt:lpwstr>
  </property>
  <property fmtid="{D5CDD505-2E9C-101B-9397-08002B2CF9AE}" pid="19" name="FSC#SKEDITIONSLOVLEX@103.510:pripomienkovatelia">
    <vt:lpwstr/>
  </property>
  <property fmtid="{D5CDD505-2E9C-101B-9397-08002B2CF9AE}" pid="20" name="FSC#SKEDITIONSLOVLEX@103.510:autorpredpis">
    <vt:lpwstr/>
  </property>
  <property fmtid="{D5CDD505-2E9C-101B-9397-08002B2CF9AE}" pid="21" name="FSC#SKEDITIONSLOVLEX@103.510:podnetpredpis">
    <vt:lpwstr>iniciatívny</vt:lpwstr>
  </property>
  <property fmtid="{D5CDD505-2E9C-101B-9397-08002B2CF9AE}" pid="22" name="FSC#SKEDITIONSLOVLEX@103.510:plnynazovpredpis">
    <vt:lpwstr> Návrh na poskytnutie investičnej pomoci pre spoločnosť PCA Slovakia, s.r.o., IČO: 36 256 013, na realizáciu investičného zámeru v lokalite Trnava, okres Trnava </vt:lpwstr>
  </property>
  <property fmtid="{D5CDD505-2E9C-101B-9397-08002B2CF9AE}" pid="23" name="FSC#SKEDITIONSLOVLEX@103.510:plnynazovpredpis1">
    <vt:lpwstr/>
  </property>
  <property fmtid="{D5CDD505-2E9C-101B-9397-08002B2CF9AE}" pid="24" name="FSC#SKEDITIONSLOVLEX@103.510:plnynazovpredpis2">
    <vt:lpwstr/>
  </property>
  <property fmtid="{D5CDD505-2E9C-101B-9397-08002B2CF9AE}" pid="25" name="FSC#SKEDITIONSLOVLEX@103.510:plnynazovpredpis3">
    <vt:lpwstr/>
  </property>
  <property fmtid="{D5CDD505-2E9C-101B-9397-08002B2CF9AE}" pid="26" name="FSC#SKEDITIONSLOVLEX@103.510:rezortcislopredpis">
    <vt:lpwstr>10832/2017-4220-14843</vt:lpwstr>
  </property>
  <property fmtid="{D5CDD505-2E9C-101B-9397-08002B2CF9AE}" pid="27" name="FSC#SKEDITIONSLOVLEX@103.510:citaciapredpis">
    <vt:lpwstr/>
  </property>
  <property fmtid="{D5CDD505-2E9C-101B-9397-08002B2CF9AE}" pid="28" name="FSC#SKEDITIONSLOVLEX@103.510:spiscislouv">
    <vt:lpwstr/>
  </property>
  <property fmtid="{D5CDD505-2E9C-101B-9397-08002B2CF9AE}" pid="29" name="FSC#SKEDITIONSLOVLEX@103.510:datumschvalpredpis">
    <vt:lpwstr/>
  </property>
  <property fmtid="{D5CDD505-2E9C-101B-9397-08002B2CF9AE}" pid="30" name="FSC#SKEDITIONSLOVLEX@103.510:platneod">
    <vt:lpwstr/>
  </property>
  <property fmtid="{D5CDD505-2E9C-101B-9397-08002B2CF9AE}" pid="31" name="FSC#SKEDITIONSLOVLEX@103.510:platnedo">
    <vt:lpwstr/>
  </property>
  <property fmtid="{D5CDD505-2E9C-101B-9397-08002B2CF9AE}" pid="32" name="FSC#SKEDITIONSLOVLEX@103.510:ucinnostod">
    <vt:lpwstr/>
  </property>
  <property fmtid="{D5CDD505-2E9C-101B-9397-08002B2CF9AE}" pid="33" name="FSC#SKEDITIONSLOVLEX@103.510:ucinnostdo">
    <vt:lpwstr/>
  </property>
  <property fmtid="{D5CDD505-2E9C-101B-9397-08002B2CF9AE}" pid="34" name="FSC#SKEDITIONSLOVLEX@103.510:datumplatnosti">
    <vt:lpwstr/>
  </property>
  <property fmtid="{D5CDD505-2E9C-101B-9397-08002B2CF9AE}" pid="35" name="FSC#SKEDITIONSLOVLEX@103.510:cislolp">
    <vt:lpwstr>LP/2017/228</vt:lpwstr>
  </property>
  <property fmtid="{D5CDD505-2E9C-101B-9397-08002B2CF9AE}" pid="36" name="FSC#SKEDITIONSLOVLEX@103.510:typsprievdok">
    <vt:lpwstr>Vyhodnotenie medzirezortného pripomienkového konania</vt:lpwstr>
  </property>
  <property fmtid="{D5CDD505-2E9C-101B-9397-08002B2CF9AE}" pid="37" name="FSC#SKEDITIONSLOVLEX@103.510:cislopartlac">
    <vt:lpwstr/>
  </property>
  <property fmtid="{D5CDD505-2E9C-101B-9397-08002B2CF9AE}" pid="38" name="FSC#SKEDITIONSLOVLEX@103.510:AttrStrListDocPropUcelPredmetZmluvy">
    <vt:lpwstr/>
  </property>
  <property fmtid="{D5CDD505-2E9C-101B-9397-08002B2CF9AE}" pid="39" name="FSC#SKEDITIONSLOVLEX@103.510:AttrStrListDocPropUpravaPravFOPRO">
    <vt:lpwstr/>
  </property>
  <property fmtid="{D5CDD505-2E9C-101B-9397-08002B2CF9AE}" pid="40" name="FSC#SKEDITIONSLOVLEX@103.510:AttrStrListDocPropUpravaPredmetuZmluvy">
    <vt:lpwstr/>
  </property>
  <property fmtid="{D5CDD505-2E9C-101B-9397-08002B2CF9AE}" pid="41" name="FSC#SKEDITIONSLOVLEX@103.510:AttrStrListDocPropKategoriaZmluvy74">
    <vt:lpwstr/>
  </property>
  <property fmtid="{D5CDD505-2E9C-101B-9397-08002B2CF9AE}" pid="42" name="FSC#SKEDITIONSLOVLEX@103.510:AttrStrListDocPropKategoriaZmluvy75">
    <vt:lpwstr/>
  </property>
  <property fmtid="{D5CDD505-2E9C-101B-9397-08002B2CF9AE}" pid="43" name="FSC#SKEDITIONSLOVLEX@103.510:AttrStrListDocPropDopadyPrijatiaZmluvy">
    <vt:lpwstr/>
  </property>
  <property fmtid="{D5CDD505-2E9C-101B-9397-08002B2CF9AE}" pid="44" name="FSC#SKEDITIONSLOVLEX@103.510:AttrStrListDocPropProblematikaPPa">
    <vt:lpwstr/>
  </property>
  <property fmtid="{D5CDD505-2E9C-101B-9397-08002B2CF9AE}" pid="45" name="FSC#SKEDITIONSLOVLEX@103.510:AttrStrListDocPropPrimarnePravoEU">
    <vt:lpwstr/>
  </property>
  <property fmtid="{D5CDD505-2E9C-101B-9397-08002B2CF9AE}" pid="46" name="FSC#SKEDITIONSLOVLEX@103.510:AttrStrListDocPropSekundarneLegPravoPO">
    <vt:lpwstr/>
  </property>
  <property fmtid="{D5CDD505-2E9C-101B-9397-08002B2CF9AE}" pid="47" name="FSC#SKEDITIONSLOVLEX@103.510:AttrStrListDocPropSekundarneNelegPravoPO">
    <vt:lpwstr/>
  </property>
  <property fmtid="{D5CDD505-2E9C-101B-9397-08002B2CF9AE}" pid="48" name="FSC#SKEDITIONSLOVLEX@103.510:AttrStrListDocPropSekundarneLegPravoDO">
    <vt:lpwstr/>
  </property>
  <property fmtid="{D5CDD505-2E9C-101B-9397-08002B2CF9AE}" pid="49" name="FSC#SKEDITIONSLOVLEX@103.510:AttrStrListDocPropProblematikaPPb">
    <vt:lpwstr/>
  </property>
  <property fmtid="{D5CDD505-2E9C-101B-9397-08002B2CF9AE}" pid="50" name="FSC#SKEDITIONSLOVLEX@103.510:AttrStrListDocPropNazovPredpisuEU">
    <vt:lpwstr/>
  </property>
  <property fmtid="{D5CDD505-2E9C-101B-9397-08002B2CF9AE}" pid="51" name="FSC#SKEDITIONSLOVLEX@103.510:AttrStrListDocPropLehotaPrebratieSmernice">
    <vt:lpwstr/>
  </property>
  <property fmtid="{D5CDD505-2E9C-101B-9397-08002B2CF9AE}" pid="52" name="FSC#SKEDITIONSLOVLEX@103.510:AttrStrListDocPropLehotaNaPredlozenie">
    <vt:lpwstr/>
  </property>
  <property fmtid="{D5CDD505-2E9C-101B-9397-08002B2CF9AE}" pid="53" name="FSC#SKEDITIONSLOVLEX@103.510:AttrStrListDocPropInfoZaciatokKonania">
    <vt:lpwstr/>
  </property>
  <property fmtid="{D5CDD505-2E9C-101B-9397-08002B2CF9AE}" pid="54" name="FSC#SKEDITIONSLOVLEX@103.510:AttrStrListDocPropInfoUzPreberanePP">
    <vt:lpwstr/>
  </property>
  <property fmtid="{D5CDD505-2E9C-101B-9397-08002B2CF9AE}" pid="55" name="FSC#SKEDITIONSLOVLEX@103.510:AttrStrListDocPropStupenZlucitelnostiPP">
    <vt:lpwstr/>
  </property>
  <property fmtid="{D5CDD505-2E9C-101B-9397-08002B2CF9AE}" pid="56" name="FSC#SKEDITIONSLOVLEX@103.510:AttrStrListDocPropGestorSpolupRezorty">
    <vt:lpwstr/>
  </property>
  <property fmtid="{D5CDD505-2E9C-101B-9397-08002B2CF9AE}" pid="57" name="FSC#SKEDITIONSLOVLEX@103.510:AttrDateDocPropZaciatokPKK">
    <vt:lpwstr>1. 3. 2017</vt:lpwstr>
  </property>
  <property fmtid="{D5CDD505-2E9C-101B-9397-08002B2CF9AE}" pid="58" name="FSC#SKEDITIONSLOVLEX@103.510:AttrDateDocPropUkonceniePKK">
    <vt:lpwstr>7. 3. 2017</vt:lpwstr>
  </property>
  <property fmtid="{D5CDD505-2E9C-101B-9397-08002B2CF9AE}" pid="59" name="FSC#SKEDITIONSLOVLEX@103.510:AttrStrDocPropVplyvRozpocetVS">
    <vt:lpwstr>Pozitívne_x000d_
Negatívne</vt:lpwstr>
  </property>
  <property fmtid="{D5CDD505-2E9C-101B-9397-08002B2CF9AE}" pid="60" name="FSC#SKEDITIONSLOVLEX@103.510:AttrStrDocPropVplyvPodnikatelskeProstr">
    <vt:lpwstr>Pozitívne_x000d_
Negatívne</vt:lpwstr>
  </property>
  <property fmtid="{D5CDD505-2E9C-101B-9397-08002B2CF9AE}" pid="61" name="FSC#SKEDITIONSLOVLEX@103.510:AttrStrDocPropVplyvSocialny">
    <vt:lpwstr>Pozitívne</vt:lpwstr>
  </property>
  <property fmtid="{D5CDD505-2E9C-101B-9397-08002B2CF9AE}" pid="62" name="FSC#SKEDITIONSLOVLEX@103.510:AttrStrDocPropVplyvNaZivotProstr">
    <vt:lpwstr>Negatívne</vt:lpwstr>
  </property>
  <property fmtid="{D5CDD505-2E9C-101B-9397-08002B2CF9AE}" pid="63" name="FSC#SKEDITIONSLOVLEX@103.510:AttrStrDocPropVplyvNaInformatizaciu">
    <vt:lpwstr>Žiadne</vt:lpwstr>
  </property>
  <property fmtid="{D5CDD505-2E9C-101B-9397-08002B2CF9AE}" pid="64" name="FSC#SKEDITIONSLOVLEX@103.510:AttrStrListDocPropPoznamkaVplyv">
    <vt:lpwstr>Na MSP bude mať materiál pozitívny vplyv v prípade zapojenia sa MSP do subdodávateľských reťazcov. PCA Slovakia, s.r.o. je veľkým podnikom, preto sa realizáciou investície nepredpokladá potenciálne negatívny vplyv na malé a stredné podniky, keďže nie sú j</vt:lpwstr>
  </property>
  <property fmtid="{D5CDD505-2E9C-101B-9397-08002B2CF9AE}" pid="65" name="FSC#SKEDITIONSLOVLEX@103.510:AttrStrListDocPropAltRiesenia">
    <vt:lpwstr>Alt 1. Nerealizovanie podpory. V tom prípade by zámer nebol realizovaný v rovnakej miere, alebo vôbec.Alt 2. Podpora investičného zámeru. </vt:lpwstr>
  </property>
  <property fmtid="{D5CDD505-2E9C-101B-9397-08002B2CF9AE}" pid="66" name="FSC#SKEDITIONSLOVLEX@103.510:AttrStrListDocPropStanoviskoGest">
    <vt:lpwstr>Stála pracovná komisia na posudzovanie vybraných vplyvov vyjadruje súhlasné stanovisko s materiálom. Komisia neuplatňuje k materiálu žiadne pripomienky ani odporúčania.</vt:lpwstr>
  </property>
  <property fmtid="{D5CDD505-2E9C-101B-9397-08002B2CF9AE}" pid="67" name="FSC#SKEDITIONSLOVLEX@103.510:AttrStrListDocPropTextKomunike">
    <vt:lpwstr>Vláda Slovenskej republiky na svojom rokovaní dňa ....................... prerokovala _x000d_
a schválila materiál Návrh na poskytnutie investičnej pomoci pre spoločnosť PCA Slovakia, s.r.o., IČO: 36 256 013, na realizáciu investičného zámeru v lokalite Trnava,</vt:lpwstr>
  </property>
  <property fmtid="{D5CDD505-2E9C-101B-9397-08002B2CF9AE}" pid="68" name="FSC#SKEDITIONSLOVLEX@103.510:AttrStrListDocPropUznesenieCastA">
    <vt:lpwstr/>
  </property>
  <property fmtid="{D5CDD505-2E9C-101B-9397-08002B2CF9AE}" pid="69" name="FSC#SKEDITIONSLOVLEX@103.510:AttrStrListDocPropUznesenieZodpovednyA1">
    <vt:lpwstr/>
  </property>
  <property fmtid="{D5CDD505-2E9C-101B-9397-08002B2CF9AE}" pid="70" name="FSC#SKEDITIONSLOVLEX@103.510:AttrStrListDocPropUznesenieTextA1">
    <vt:lpwstr/>
  </property>
  <property fmtid="{D5CDD505-2E9C-101B-9397-08002B2CF9AE}" pid="71" name="FSC#SKEDITIONSLOVLEX@103.510:AttrStrListDocPropUznesenieTerminA1">
    <vt:lpwstr/>
  </property>
  <property fmtid="{D5CDD505-2E9C-101B-9397-08002B2CF9AE}" pid="72" name="FSC#SKEDITIONSLOVLEX@103.510:AttrStrListDocPropUznesenieBODA1">
    <vt:lpwstr/>
  </property>
  <property fmtid="{D5CDD505-2E9C-101B-9397-08002B2CF9AE}" pid="73" name="FSC#SKEDITIONSLOVLEX@103.510:AttrStrListDocPropUznesenieZodpovednyA2">
    <vt:lpwstr/>
  </property>
  <property fmtid="{D5CDD505-2E9C-101B-9397-08002B2CF9AE}" pid="74" name="FSC#SKEDITIONSLOVLEX@103.510:AttrStrListDocPropUznesenieTextA2">
    <vt:lpwstr/>
  </property>
  <property fmtid="{D5CDD505-2E9C-101B-9397-08002B2CF9AE}" pid="75" name="FSC#SKEDITIONSLOVLEX@103.510:AttrStrListDocPropUznesenieTerminA2">
    <vt:lpwstr/>
  </property>
  <property fmtid="{D5CDD505-2E9C-101B-9397-08002B2CF9AE}" pid="76" name="FSC#SKEDITIONSLOVLEX@103.510:AttrStrListDocPropUznesenieBODA3">
    <vt:lpwstr/>
  </property>
  <property fmtid="{D5CDD505-2E9C-101B-9397-08002B2CF9AE}" pid="77" name="FSC#SKEDITIONSLOVLEX@103.510:AttrStrListDocPropUznesenieZodpovednyA3">
    <vt:lpwstr/>
  </property>
  <property fmtid="{D5CDD505-2E9C-101B-9397-08002B2CF9AE}" pid="78" name="FSC#SKEDITIONSLOVLEX@103.510:AttrStrListDocPropUznesenieTextA3">
    <vt:lpwstr/>
  </property>
  <property fmtid="{D5CDD505-2E9C-101B-9397-08002B2CF9AE}" pid="79" name="FSC#SKEDITIONSLOVLEX@103.510:AttrStrListDocPropUznesenieTerminA3">
    <vt:lpwstr/>
  </property>
  <property fmtid="{D5CDD505-2E9C-101B-9397-08002B2CF9AE}" pid="80" name="FSC#SKEDITIONSLOVLEX@103.510:AttrStrListDocPropUznesenieBODA4">
    <vt:lpwstr/>
  </property>
  <property fmtid="{D5CDD505-2E9C-101B-9397-08002B2CF9AE}" pid="81" name="FSC#SKEDITIONSLOVLEX@103.510:AttrStrListDocPropUznesenieZodpovednyA4">
    <vt:lpwstr/>
  </property>
  <property fmtid="{D5CDD505-2E9C-101B-9397-08002B2CF9AE}" pid="82" name="FSC#SKEDITIONSLOVLEX@103.510:AttrStrListDocPropUznesenieTextA4">
    <vt:lpwstr/>
  </property>
  <property fmtid="{D5CDD505-2E9C-101B-9397-08002B2CF9AE}" pid="83" name="FSC#SKEDITIONSLOVLEX@103.510:AttrStrListDocPropUznesenieTerminA4">
    <vt:lpwstr/>
  </property>
  <property fmtid="{D5CDD505-2E9C-101B-9397-08002B2CF9AE}" pid="84" name="FSC#SKEDITIONSLOVLEX@103.510:AttrStrListDocPropUznesenieCastB">
    <vt:lpwstr/>
  </property>
  <property fmtid="{D5CDD505-2E9C-101B-9397-08002B2CF9AE}" pid="85" name="FSC#SKEDITIONSLOVLEX@103.510:AttrStrListDocPropUznesenieBODB1">
    <vt:lpwstr/>
  </property>
  <property fmtid="{D5CDD505-2E9C-101B-9397-08002B2CF9AE}" pid="86" name="FSC#SKEDITIONSLOVLEX@103.510:AttrStrListDocPropUznesenieZodpovednyB1">
    <vt:lpwstr/>
  </property>
  <property fmtid="{D5CDD505-2E9C-101B-9397-08002B2CF9AE}" pid="87" name="FSC#SKEDITIONSLOVLEX@103.510:AttrStrListDocPropUznesenieTextB1">
    <vt:lpwstr/>
  </property>
  <property fmtid="{D5CDD505-2E9C-101B-9397-08002B2CF9AE}" pid="88" name="FSC#SKEDITIONSLOVLEX@103.510:AttrStrListDocPropUznesenieTerminB1">
    <vt:lpwstr/>
  </property>
  <property fmtid="{D5CDD505-2E9C-101B-9397-08002B2CF9AE}" pid="89" name="FSC#SKEDITIONSLOVLEX@103.510:AttrStrListDocPropUznesenieBODB2">
    <vt:lpwstr/>
  </property>
  <property fmtid="{D5CDD505-2E9C-101B-9397-08002B2CF9AE}" pid="90" name="FSC#SKEDITIONSLOVLEX@103.510:AttrStrListDocPropUznesenieZodpovednyB2">
    <vt:lpwstr/>
  </property>
  <property fmtid="{D5CDD505-2E9C-101B-9397-08002B2CF9AE}" pid="91" name="FSC#SKEDITIONSLOVLEX@103.510:AttrStrListDocPropUznesenieTextB2">
    <vt:lpwstr/>
  </property>
  <property fmtid="{D5CDD505-2E9C-101B-9397-08002B2CF9AE}" pid="92" name="FSC#SKEDITIONSLOVLEX@103.510:AttrStrListDocPropUznesenieTerminB2">
    <vt:lpwstr/>
  </property>
  <property fmtid="{D5CDD505-2E9C-101B-9397-08002B2CF9AE}" pid="93" name="FSC#SKEDITIONSLOVLEX@103.510:AttrStrListDocPropUznesenieBODB3">
    <vt:lpwstr/>
  </property>
  <property fmtid="{D5CDD505-2E9C-101B-9397-08002B2CF9AE}" pid="94" name="FSC#SKEDITIONSLOVLEX@103.510:AttrStrListDocPropUznesenieZodpovednyB3">
    <vt:lpwstr/>
  </property>
  <property fmtid="{D5CDD505-2E9C-101B-9397-08002B2CF9AE}" pid="95" name="FSC#SKEDITIONSLOVLEX@103.510:AttrStrListDocPropUznesenieTextB3">
    <vt:lpwstr/>
  </property>
  <property fmtid="{D5CDD505-2E9C-101B-9397-08002B2CF9AE}" pid="96" name="FSC#SKEDITIONSLOVLEX@103.510:AttrStrListDocPropUznesenieTerminB3">
    <vt:lpwstr/>
  </property>
  <property fmtid="{D5CDD505-2E9C-101B-9397-08002B2CF9AE}" pid="97" name="FSC#SKEDITIONSLOVLEX@103.510:AttrStrListDocPropUznesenieBODB4">
    <vt:lpwstr/>
  </property>
  <property fmtid="{D5CDD505-2E9C-101B-9397-08002B2CF9AE}" pid="98" name="FSC#SKEDITIONSLOVLEX@103.510:AttrStrListDocPropUznesenieZodpovednyB4">
    <vt:lpwstr/>
  </property>
  <property fmtid="{D5CDD505-2E9C-101B-9397-08002B2CF9AE}" pid="99" name="FSC#SKEDITIONSLOVLEX@103.510:AttrStrListDocPropUznesenieTextB4">
    <vt:lpwstr/>
  </property>
  <property fmtid="{D5CDD505-2E9C-101B-9397-08002B2CF9AE}" pid="100" name="FSC#SKEDITIONSLOVLEX@103.510:AttrStrListDocPropUznesenieTerminB4">
    <vt:lpwstr/>
  </property>
  <property fmtid="{D5CDD505-2E9C-101B-9397-08002B2CF9AE}" pid="101" name="FSC#SKEDITIONSLOVLEX@103.510:AttrStrListDocPropUznesenieCastC">
    <vt:lpwstr/>
  </property>
  <property fmtid="{D5CDD505-2E9C-101B-9397-08002B2CF9AE}" pid="102" name="FSC#SKEDITIONSLOVLEX@103.510:AttrStrListDocPropUznesenieBODC1">
    <vt:lpwstr/>
  </property>
  <property fmtid="{D5CDD505-2E9C-101B-9397-08002B2CF9AE}" pid="103" name="FSC#SKEDITIONSLOVLEX@103.510:AttrStrListDocPropUznesenieZodpovednyC1">
    <vt:lpwstr/>
  </property>
  <property fmtid="{D5CDD505-2E9C-101B-9397-08002B2CF9AE}" pid="104" name="FSC#SKEDITIONSLOVLEX@103.510:AttrStrListDocPropUznesenieTextC1">
    <vt:lpwstr/>
  </property>
  <property fmtid="{D5CDD505-2E9C-101B-9397-08002B2CF9AE}" pid="105" name="FSC#SKEDITIONSLOVLEX@103.510:AttrStrListDocPropUznesenieTerminC1">
    <vt:lpwstr/>
  </property>
  <property fmtid="{D5CDD505-2E9C-101B-9397-08002B2CF9AE}" pid="106" name="FSC#SKEDITIONSLOVLEX@103.510:AttrStrListDocPropUznesenieBODC2">
    <vt:lpwstr/>
  </property>
  <property fmtid="{D5CDD505-2E9C-101B-9397-08002B2CF9AE}" pid="107" name="FSC#SKEDITIONSLOVLEX@103.510:AttrStrListDocPropUznesenieZodpovednyC2">
    <vt:lpwstr/>
  </property>
  <property fmtid="{D5CDD505-2E9C-101B-9397-08002B2CF9AE}" pid="108" name="FSC#SKEDITIONSLOVLEX@103.510:AttrStrListDocPropUznesenieTextC2">
    <vt:lpwstr/>
  </property>
  <property fmtid="{D5CDD505-2E9C-101B-9397-08002B2CF9AE}" pid="109" name="FSC#SKEDITIONSLOVLEX@103.510:AttrStrListDocPropUznesenieTerminC2">
    <vt:lpwstr/>
  </property>
  <property fmtid="{D5CDD505-2E9C-101B-9397-08002B2CF9AE}" pid="110" name="FSC#SKEDITIONSLOVLEX@103.510:AttrStrListDocPropUznesenieBODC3">
    <vt:lpwstr/>
  </property>
  <property fmtid="{D5CDD505-2E9C-101B-9397-08002B2CF9AE}" pid="111" name="FSC#SKEDITIONSLOVLEX@103.510:AttrStrListDocPropUznesenieZodpovednyC3">
    <vt:lpwstr/>
  </property>
  <property fmtid="{D5CDD505-2E9C-101B-9397-08002B2CF9AE}" pid="112" name="FSC#SKEDITIONSLOVLEX@103.510:AttrStrListDocPropUznesenieTextC3">
    <vt:lpwstr/>
  </property>
  <property fmtid="{D5CDD505-2E9C-101B-9397-08002B2CF9AE}" pid="113" name="FSC#SKEDITIONSLOVLEX@103.510:AttrStrListDocPropUznesenieTerminC3">
    <vt:lpwstr/>
  </property>
  <property fmtid="{D5CDD505-2E9C-101B-9397-08002B2CF9AE}" pid="114" name="FSC#SKEDITIONSLOVLEX@103.510:AttrStrListDocPropUznesenieBODC4">
    <vt:lpwstr/>
  </property>
  <property fmtid="{D5CDD505-2E9C-101B-9397-08002B2CF9AE}" pid="115" name="FSC#SKEDITIONSLOVLEX@103.510:AttrStrListDocPropUznesenieZodpovednyC4">
    <vt:lpwstr/>
  </property>
  <property fmtid="{D5CDD505-2E9C-101B-9397-08002B2CF9AE}" pid="116" name="FSC#SKEDITIONSLOVLEX@103.510:AttrStrListDocPropUznesenieTextC4">
    <vt:lpwstr/>
  </property>
  <property fmtid="{D5CDD505-2E9C-101B-9397-08002B2CF9AE}" pid="117" name="FSC#SKEDITIONSLOVLEX@103.510:AttrStrListDocPropUznesenieTerminC4">
    <vt:lpwstr/>
  </property>
  <property fmtid="{D5CDD505-2E9C-101B-9397-08002B2CF9AE}" pid="118" name="FSC#SKEDITIONSLOVLEX@103.510:AttrStrListDocPropUznesenieCastD">
    <vt:lpwstr/>
  </property>
  <property fmtid="{D5CDD505-2E9C-101B-9397-08002B2CF9AE}" pid="119" name="FSC#SKEDITIONSLOVLEX@103.510:AttrStrListDocPropUznesenieBODD1">
    <vt:lpwstr/>
  </property>
  <property fmtid="{D5CDD505-2E9C-101B-9397-08002B2CF9AE}" pid="120" name="FSC#SKEDITIONSLOVLEX@103.510:AttrStrListDocPropUznesenieZodpovednyD1">
    <vt:lpwstr/>
  </property>
  <property fmtid="{D5CDD505-2E9C-101B-9397-08002B2CF9AE}" pid="121" name="FSC#SKEDITIONSLOVLEX@103.510:AttrStrListDocPropUznesenieTextD1">
    <vt:lpwstr/>
  </property>
  <property fmtid="{D5CDD505-2E9C-101B-9397-08002B2CF9AE}" pid="122" name="FSC#SKEDITIONSLOVLEX@103.510:AttrStrListDocPropUznesenieTerminD1">
    <vt:lpwstr/>
  </property>
  <property fmtid="{D5CDD505-2E9C-101B-9397-08002B2CF9AE}" pid="123" name="FSC#SKEDITIONSLOVLEX@103.510:AttrStrListDocPropUznesenieBODD2">
    <vt:lpwstr/>
  </property>
  <property fmtid="{D5CDD505-2E9C-101B-9397-08002B2CF9AE}" pid="124" name="FSC#SKEDITIONSLOVLEX@103.510:AttrStrListDocPropUznesenieZodpovednyD2">
    <vt:lpwstr/>
  </property>
  <property fmtid="{D5CDD505-2E9C-101B-9397-08002B2CF9AE}" pid="125" name="FSC#SKEDITIONSLOVLEX@103.510:AttrStrListDocPropUznesenieTextD2">
    <vt:lpwstr/>
  </property>
  <property fmtid="{D5CDD505-2E9C-101B-9397-08002B2CF9AE}" pid="126" name="FSC#SKEDITIONSLOVLEX@103.510:AttrStrListDocPropUznesenieTerminD2">
    <vt:lpwstr/>
  </property>
  <property fmtid="{D5CDD505-2E9C-101B-9397-08002B2CF9AE}" pid="127" name="FSC#SKEDITIONSLOVLEX@103.510:AttrStrListDocPropUznesenieBODD3">
    <vt:lpwstr/>
  </property>
  <property fmtid="{D5CDD505-2E9C-101B-9397-08002B2CF9AE}" pid="128" name="FSC#SKEDITIONSLOVLEX@103.510:AttrStrListDocPropUznesenieZodpovednyD3">
    <vt:lpwstr/>
  </property>
  <property fmtid="{D5CDD505-2E9C-101B-9397-08002B2CF9AE}" pid="129" name="FSC#SKEDITIONSLOVLEX@103.510:AttrStrListDocPropUznesenieTextD3">
    <vt:lpwstr/>
  </property>
  <property fmtid="{D5CDD505-2E9C-101B-9397-08002B2CF9AE}" pid="130" name="FSC#SKEDITIONSLOVLEX@103.510:AttrStrListDocPropUznesenieTerminD3">
    <vt:lpwstr/>
  </property>
  <property fmtid="{D5CDD505-2E9C-101B-9397-08002B2CF9AE}" pid="131" name="FSC#SKEDITIONSLOVLEX@103.510:AttrStrListDocPropUznesenieBODD4">
    <vt:lpwstr/>
  </property>
  <property fmtid="{D5CDD505-2E9C-101B-9397-08002B2CF9AE}" pid="132" name="FSC#SKEDITIONSLOVLEX@103.510:AttrStrListDocPropUznesenieZodpovednyD4">
    <vt:lpwstr/>
  </property>
  <property fmtid="{D5CDD505-2E9C-101B-9397-08002B2CF9AE}" pid="133" name="FSC#SKEDITIONSLOVLEX@103.510:AttrStrListDocPropUznesenieTextD4">
    <vt:lpwstr/>
  </property>
  <property fmtid="{D5CDD505-2E9C-101B-9397-08002B2CF9AE}" pid="134" name="FSC#SKEDITIONSLOVLEX@103.510:AttrStrListDocPropUznesenieTerminD4">
    <vt:lpwstr/>
  </property>
  <property fmtid="{D5CDD505-2E9C-101B-9397-08002B2CF9AE}" pid="135" name="FSC#SKEDITIONSLOVLEX@103.510:AttrStrListDocPropUznesenieVykonaju">
    <vt:lpwstr>minister hospodárstva_x000d_
minister financií</vt:lpwstr>
  </property>
  <property fmtid="{D5CDD505-2E9C-101B-9397-08002B2CF9AE}" pid="136" name="FSC#SKEDITIONSLOVLEX@103.510:AttrStrListDocPropUznesenieNaVedomie">
    <vt:lpwstr/>
  </property>
  <property fmtid="{D5CDD505-2E9C-101B-9397-08002B2CF9AE}" pid="137" name="FSC#SKEDITIONSLOVLEX@103.510:funkciaPred">
    <vt:lpwstr/>
  </property>
  <property fmtid="{D5CDD505-2E9C-101B-9397-08002B2CF9AE}" pid="138" name="FSC#SKEDITIONSLOVLEX@103.510:funkciaPredAkuzativ">
    <vt:lpwstr/>
  </property>
  <property fmtid="{D5CDD505-2E9C-101B-9397-08002B2CF9AE}" pid="139" name="FSC#SKEDITIONSLOVLEX@103.510:funkciaPredDativ">
    <vt:lpwstr/>
  </property>
  <property fmtid="{D5CDD505-2E9C-101B-9397-08002B2CF9AE}" pid="140" name="FSC#SKEDITIONSLOVLEX@103.510:funkciaZodpPred">
    <vt:lpwstr>minister hospodárstva Slovenskej republiky</vt:lpwstr>
  </property>
  <property fmtid="{D5CDD505-2E9C-101B-9397-08002B2CF9AE}" pid="141" name="FSC#SKEDITIONSLOVLEX@103.510:funkciaZodpPredAkuzativ">
    <vt:lpwstr>ministerovi hospodárstva Slovenskej republiky</vt:lpwstr>
  </property>
  <property fmtid="{D5CDD505-2E9C-101B-9397-08002B2CF9AE}" pid="142" name="FSC#SKEDITIONSLOVLEX@103.510:funkciaZodpPredDativ">
    <vt:lpwstr>ministera hospodárstva Slovenskej republiky</vt:lpwstr>
  </property>
  <property fmtid="{D5CDD505-2E9C-101B-9397-08002B2CF9AE}" pid="143" name="FSC#SKEDITIONSLOVLEX@103.510:funkciaDalsiPred">
    <vt:lpwstr/>
  </property>
  <property fmtid="{D5CDD505-2E9C-101B-9397-08002B2CF9AE}" pid="144" name="FSC#SKEDITIONSLOVLEX@103.510:funkciaDalsiPredAkuzativ">
    <vt:lpwstr/>
  </property>
  <property fmtid="{D5CDD505-2E9C-101B-9397-08002B2CF9AE}" pid="145" name="FSC#SKEDITIONSLOVLEX@103.510:funkciaDalsiPredDativ">
    <vt:lpwstr/>
  </property>
  <property fmtid="{D5CDD505-2E9C-101B-9397-08002B2CF9AE}" pid="146" name="FSC#SKEDITIONSLOVLEX@103.510:predkladateliaObalSD">
    <vt:lpwstr>Ing. Peter Žiga_x000d_
minister hospodárstva Slovenskej republiky</vt:lpwstr>
  </property>
  <property fmtid="{D5CDD505-2E9C-101B-9397-08002B2CF9AE}" pid="147" name="FSC#SKEDITIONSLOVLEX@103.510:AttrStrListDocPropTextVseobPrilohy">
    <vt:lpwstr/>
  </property>
  <property fmtid="{D5CDD505-2E9C-101B-9397-08002B2CF9AE}" pid="148" name="FSC#SKEDITIONSLOVLEX@103.510:AttrStrListDocPropTextPredklSpravy">
    <vt:lpwstr>&lt;p style="text-align: justify;"&gt;Ministerstvo hospodárstva Slovenskej republiky predkladá materiál „Návrh na poskytnutie investičnej pomoci pre PCA Slovakia, s.r.o., IČO: 36&amp;nbsp;256&amp;nbsp;013, na realizáciu investičného zámeru v&amp;nbsp;lokalite Trnava, okres</vt:lpwstr>
  </property>
  <property fmtid="{D5CDD505-2E9C-101B-9397-08002B2CF9AE}" pid="149" name="FSC#COOSYSTEM@1.1:Container">
    <vt:lpwstr>COO.2145.1000.3.1921534</vt:lpwstr>
  </property>
  <property fmtid="{D5CDD505-2E9C-101B-9397-08002B2CF9AE}" pid="150" name="FSC#FSCFOLIO@1.1001:docpropproject">
    <vt:lpwstr/>
  </property>
  <property fmtid="{D5CDD505-2E9C-101B-9397-08002B2CF9AE}" pid="151" name="FSC#SKEDITIONSLOVLEX@103.510:aktualnyrok">
    <vt:lpwstr>2017</vt:lpwstr>
  </property>
  <property fmtid="{D5CDD505-2E9C-101B-9397-08002B2CF9AE}" pid="152" name="ContentTypeId">
    <vt:lpwstr>0x0101006C0C8C3C1E3DCC44BECE3792677AD011</vt:lpwstr>
  </property>
  <property fmtid="{D5CDD505-2E9C-101B-9397-08002B2CF9AE}" pid="153" name="_dlc_DocIdItemGuid">
    <vt:lpwstr>a63cf420-06b7-43e3-92db-9ce1f6eb9baf</vt:lpwstr>
  </property>
</Properties>
</file>