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3080F2" w14:textId="77777777" w:rsidR="009515A6" w:rsidRPr="002E3179" w:rsidRDefault="009515A6" w:rsidP="009515A6">
      <w:pPr>
        <w:jc w:val="center"/>
        <w:rPr>
          <w:b/>
          <w:caps/>
          <w:spacing w:val="30"/>
          <w:sz w:val="25"/>
          <w:szCs w:val="25"/>
          <w:lang w:val="sk-SK"/>
        </w:rPr>
      </w:pPr>
      <w:r w:rsidRPr="002E3179">
        <w:rPr>
          <w:b/>
          <w:caps/>
          <w:spacing w:val="30"/>
          <w:sz w:val="25"/>
          <w:szCs w:val="25"/>
          <w:lang w:val="sk-SK"/>
        </w:rPr>
        <w:t>Doložka zlučiteľnosti</w:t>
      </w:r>
    </w:p>
    <w:p w14:paraId="0BCF767F" w14:textId="77777777" w:rsidR="009515A6" w:rsidRPr="002E3179" w:rsidRDefault="009515A6" w:rsidP="009515A6">
      <w:pPr>
        <w:jc w:val="center"/>
        <w:rPr>
          <w:b/>
          <w:sz w:val="25"/>
          <w:szCs w:val="25"/>
          <w:lang w:val="sk-SK"/>
        </w:rPr>
      </w:pPr>
      <w:r>
        <w:rPr>
          <w:b/>
          <w:sz w:val="25"/>
          <w:szCs w:val="25"/>
          <w:lang w:val="sk-SK"/>
        </w:rPr>
        <w:t>návrhu zákona</w:t>
      </w:r>
      <w:r w:rsidRPr="002E3179">
        <w:rPr>
          <w:b/>
          <w:sz w:val="25"/>
          <w:szCs w:val="25"/>
          <w:lang w:val="sk-SK"/>
        </w:rPr>
        <w:t xml:space="preserve"> s</w:t>
      </w:r>
      <w:r w:rsidRPr="00006931">
        <w:rPr>
          <w:b/>
          <w:sz w:val="25"/>
          <w:szCs w:val="25"/>
          <w:lang w:val="sk-SK"/>
        </w:rPr>
        <w:t> </w:t>
      </w:r>
      <w:r w:rsidRPr="002E3179">
        <w:rPr>
          <w:b/>
          <w:sz w:val="25"/>
          <w:szCs w:val="25"/>
          <w:lang w:val="sk-SK"/>
        </w:rPr>
        <w:t>právom Európskej únie</w:t>
      </w:r>
      <w:r w:rsidRPr="00006931">
        <w:rPr>
          <w:b/>
          <w:sz w:val="25"/>
          <w:szCs w:val="25"/>
          <w:lang w:val="sk-SK"/>
        </w:rPr>
        <w:t> </w:t>
      </w:r>
    </w:p>
    <w:p w14:paraId="31018A8E" w14:textId="77777777" w:rsidR="009515A6" w:rsidRPr="002E3179" w:rsidRDefault="009515A6" w:rsidP="009515A6">
      <w:pPr>
        <w:rPr>
          <w:sz w:val="25"/>
          <w:szCs w:val="25"/>
          <w:lang w:val="sk-SK"/>
        </w:rPr>
      </w:pPr>
    </w:p>
    <w:p w14:paraId="232D27B4" w14:textId="77777777" w:rsidR="009515A6" w:rsidRPr="002E3179" w:rsidRDefault="009515A6" w:rsidP="009515A6">
      <w:pPr>
        <w:rPr>
          <w:sz w:val="25"/>
          <w:szCs w:val="25"/>
          <w:lang w:val="sk-SK"/>
        </w:rPr>
      </w:pPr>
    </w:p>
    <w:p w14:paraId="1658EE1F" w14:textId="59C90507" w:rsidR="009515A6" w:rsidRDefault="009515A6" w:rsidP="009515A6">
      <w:pPr>
        <w:pStyle w:val="Odsekzoznamu"/>
        <w:numPr>
          <w:ilvl w:val="0"/>
          <w:numId w:val="2"/>
        </w:numPr>
        <w:spacing w:before="240"/>
        <w:ind w:left="357" w:hanging="357"/>
        <w:contextualSpacing w:val="0"/>
        <w:jc w:val="both"/>
        <w:rPr>
          <w:lang w:val="sk-SK"/>
        </w:rPr>
      </w:pPr>
      <w:r w:rsidRPr="005008D2">
        <w:rPr>
          <w:b/>
          <w:lang w:val="sk-SK"/>
        </w:rPr>
        <w:t>Navrhovateľ zákona:</w:t>
      </w:r>
      <w:r w:rsidRPr="005008D2">
        <w:rPr>
          <w:lang w:val="sk-SK"/>
        </w:rPr>
        <w:t xml:space="preserve"> </w:t>
      </w:r>
      <w:r>
        <w:rPr>
          <w:lang w:val="sk-SK"/>
        </w:rPr>
        <w:t>Národný bezpečnostný úrad</w:t>
      </w:r>
    </w:p>
    <w:p w14:paraId="6CB3EAE8" w14:textId="5BCCFA09" w:rsidR="009515A6" w:rsidRPr="001E3210" w:rsidRDefault="009515A6" w:rsidP="009515A6">
      <w:pPr>
        <w:pStyle w:val="Odsekzoznamu"/>
        <w:numPr>
          <w:ilvl w:val="0"/>
          <w:numId w:val="2"/>
        </w:numPr>
        <w:spacing w:before="240"/>
        <w:contextualSpacing w:val="0"/>
        <w:jc w:val="both"/>
        <w:rPr>
          <w:bCs/>
        </w:rPr>
      </w:pPr>
      <w:r w:rsidRPr="005008D2">
        <w:rPr>
          <w:b/>
          <w:lang w:val="sk-SK"/>
        </w:rPr>
        <w:t>N</w:t>
      </w:r>
      <w:r w:rsidRPr="005008D2">
        <w:rPr>
          <w:b/>
        </w:rPr>
        <w:t>ázov</w:t>
      </w:r>
      <w:r w:rsidRPr="00CC4A80">
        <w:rPr>
          <w:b/>
        </w:rPr>
        <w:t xml:space="preserve"> </w:t>
      </w:r>
      <w:r w:rsidRPr="00CC4A80">
        <w:rPr>
          <w:b/>
          <w:lang w:val="sk-SK"/>
        </w:rPr>
        <w:t>návrhu</w:t>
      </w:r>
      <w:r w:rsidRPr="00CC4A80">
        <w:rPr>
          <w:b/>
        </w:rPr>
        <w:t xml:space="preserve"> </w:t>
      </w:r>
      <w:r w:rsidRPr="00CC4A80">
        <w:rPr>
          <w:b/>
          <w:lang w:val="sk-SK"/>
        </w:rPr>
        <w:t>zákona</w:t>
      </w:r>
      <w:r w:rsidRPr="00CC4A80">
        <w:rPr>
          <w:b/>
        </w:rPr>
        <w:t>:</w:t>
      </w:r>
      <w:r w:rsidRPr="00DA03D1">
        <w:t xml:space="preserve"> </w:t>
      </w:r>
      <w:r w:rsidRPr="001E3210">
        <w:rPr>
          <w:bCs/>
        </w:rPr>
        <w:t>Návrh zákona o</w:t>
      </w:r>
      <w:r>
        <w:rPr>
          <w:bCs/>
        </w:rPr>
        <w:t> </w:t>
      </w:r>
      <w:r>
        <w:rPr>
          <w:bCs/>
          <w:lang w:val="sk-SK"/>
        </w:rPr>
        <w:t xml:space="preserve">kybernetickej </w:t>
      </w:r>
      <w:r w:rsidR="009A4F75">
        <w:rPr>
          <w:bCs/>
          <w:lang w:val="sk-SK"/>
        </w:rPr>
        <w:t xml:space="preserve">bezpečnosti produktov s digitálnymi prvkami </w:t>
      </w:r>
      <w:r>
        <w:rPr>
          <w:bCs/>
          <w:lang w:val="sk-SK"/>
        </w:rPr>
        <w:t>a o zmene a doplnení niektorých zákonov</w:t>
      </w:r>
      <w:r w:rsidR="000033F9">
        <w:rPr>
          <w:bCs/>
          <w:lang w:val="sk-SK"/>
        </w:rPr>
        <w:t xml:space="preserve"> (zákon o kybernetickej odolnosti)</w:t>
      </w:r>
    </w:p>
    <w:p w14:paraId="4D47C9B4" w14:textId="77777777" w:rsidR="009515A6" w:rsidRPr="00DA03D1" w:rsidRDefault="009515A6" w:rsidP="009515A6">
      <w:pPr>
        <w:pStyle w:val="Odsekzoznamu"/>
        <w:numPr>
          <w:ilvl w:val="0"/>
          <w:numId w:val="2"/>
        </w:numPr>
        <w:spacing w:before="240"/>
        <w:contextualSpacing w:val="0"/>
        <w:jc w:val="both"/>
        <w:rPr>
          <w:b/>
          <w:lang w:val="sk-SK"/>
        </w:rPr>
      </w:pPr>
      <w:r w:rsidRPr="00DA03D1">
        <w:rPr>
          <w:b/>
          <w:lang w:val="sk-SK"/>
        </w:rPr>
        <w:t xml:space="preserve">Predmet návrhu </w:t>
      </w:r>
      <w:r>
        <w:rPr>
          <w:b/>
          <w:lang w:val="sk-SK"/>
        </w:rPr>
        <w:t>zákona</w:t>
      </w:r>
      <w:r w:rsidRPr="00DA03D1">
        <w:rPr>
          <w:b/>
          <w:lang w:val="sk-SK"/>
        </w:rPr>
        <w:t xml:space="preserve"> je upravený v</w:t>
      </w:r>
      <w:r w:rsidRPr="00FF206C">
        <w:rPr>
          <w:b/>
          <w:lang w:val="sk-SK"/>
        </w:rPr>
        <w:t> </w:t>
      </w:r>
      <w:r w:rsidRPr="00DA03D1">
        <w:rPr>
          <w:b/>
          <w:lang w:val="sk-SK"/>
        </w:rPr>
        <w:t>práve Európskej únie:</w:t>
      </w:r>
    </w:p>
    <w:p w14:paraId="5611EF4E" w14:textId="77777777" w:rsidR="009515A6" w:rsidRPr="00DA03D1" w:rsidRDefault="009515A6" w:rsidP="009515A6">
      <w:pPr>
        <w:ind w:firstLine="360"/>
        <w:rPr>
          <w:lang w:val="sk-SK"/>
        </w:rPr>
      </w:pPr>
    </w:p>
    <w:p w14:paraId="09167947" w14:textId="77777777" w:rsidR="009515A6" w:rsidRPr="00613528" w:rsidRDefault="009515A6" w:rsidP="009515A6">
      <w:pPr>
        <w:numPr>
          <w:ilvl w:val="0"/>
          <w:numId w:val="1"/>
        </w:numPr>
        <w:rPr>
          <w:i/>
          <w:lang w:val="sk-SK"/>
        </w:rPr>
      </w:pPr>
      <w:r w:rsidRPr="00613528">
        <w:rPr>
          <w:i/>
          <w:lang w:val="sk-SK"/>
        </w:rPr>
        <w:t xml:space="preserve">v primárnom práve </w:t>
      </w:r>
    </w:p>
    <w:p w14:paraId="3E374886" w14:textId="77777777" w:rsidR="009515A6" w:rsidRDefault="009515A6" w:rsidP="009515A6">
      <w:pPr>
        <w:ind w:left="928"/>
        <w:rPr>
          <w:color w:val="333333"/>
          <w:shd w:val="clear" w:color="auto" w:fill="FFFFFF"/>
          <w:lang w:val="sk-SK"/>
        </w:rPr>
      </w:pPr>
    </w:p>
    <w:p w14:paraId="69E60B34" w14:textId="52A596DC" w:rsidR="009515A6" w:rsidRPr="00CC4A80" w:rsidRDefault="009515A6" w:rsidP="009515A6">
      <w:pPr>
        <w:pStyle w:val="Odsekzoznamu"/>
        <w:numPr>
          <w:ilvl w:val="0"/>
          <w:numId w:val="3"/>
        </w:numPr>
        <w:jc w:val="both"/>
        <w:rPr>
          <w:color w:val="333333"/>
          <w:shd w:val="clear" w:color="auto" w:fill="FFFFFF"/>
        </w:rPr>
      </w:pPr>
      <w:r w:rsidRPr="00CC4A80">
        <w:rPr>
          <w:color w:val="333333"/>
          <w:shd w:val="clear" w:color="auto" w:fill="FFFFFF"/>
          <w:lang w:val="sk-SK"/>
        </w:rPr>
        <w:t xml:space="preserve">čl. </w:t>
      </w:r>
      <w:r w:rsidR="00EF3D84">
        <w:rPr>
          <w:color w:val="333333"/>
          <w:shd w:val="clear" w:color="auto" w:fill="FFFFFF"/>
          <w:lang w:val="sk-SK"/>
        </w:rPr>
        <w:t xml:space="preserve">33 a </w:t>
      </w:r>
      <w:r w:rsidRPr="00CC4A80">
        <w:rPr>
          <w:color w:val="333333"/>
          <w:shd w:val="clear" w:color="auto" w:fill="FFFFFF"/>
          <w:lang w:val="sk-SK"/>
        </w:rPr>
        <w:t xml:space="preserve">114 </w:t>
      </w:r>
      <w:r w:rsidRPr="00CC4A80">
        <w:rPr>
          <w:color w:val="333333"/>
          <w:shd w:val="clear" w:color="auto" w:fill="FFFFFF"/>
        </w:rPr>
        <w:t>Zmluv</w:t>
      </w:r>
      <w:r w:rsidRPr="00CC4A80">
        <w:rPr>
          <w:color w:val="333333"/>
          <w:shd w:val="clear" w:color="auto" w:fill="FFFFFF"/>
          <w:lang w:val="sk-SK"/>
        </w:rPr>
        <w:t>y</w:t>
      </w:r>
      <w:r w:rsidRPr="00CC4A80">
        <w:rPr>
          <w:color w:val="333333"/>
          <w:shd w:val="clear" w:color="auto" w:fill="FFFFFF"/>
        </w:rPr>
        <w:t xml:space="preserve"> o fungovaní Európskej únie</w:t>
      </w:r>
      <w:r w:rsidRPr="00CC4A80">
        <w:rPr>
          <w:color w:val="333333"/>
          <w:shd w:val="clear" w:color="auto" w:fill="FFFFFF"/>
          <w:lang w:val="sk-SK"/>
        </w:rPr>
        <w:t xml:space="preserve"> </w:t>
      </w:r>
      <w:r w:rsidRPr="00CC4A80">
        <w:rPr>
          <w:color w:val="333333"/>
          <w:shd w:val="clear" w:color="auto" w:fill="FFFFFF"/>
        </w:rPr>
        <w:t>(Ú. v. ES C 202, 7.6.2016);</w:t>
      </w:r>
    </w:p>
    <w:p w14:paraId="3948B184" w14:textId="77777777" w:rsidR="009515A6" w:rsidRPr="00DA03D1" w:rsidRDefault="009515A6" w:rsidP="009515A6">
      <w:pPr>
        <w:ind w:left="720"/>
        <w:rPr>
          <w:lang w:val="sk-SK"/>
        </w:rPr>
      </w:pPr>
    </w:p>
    <w:p w14:paraId="34CEF6CF" w14:textId="77777777" w:rsidR="009515A6" w:rsidRPr="00DA03D1" w:rsidRDefault="009515A6" w:rsidP="009515A6">
      <w:pPr>
        <w:numPr>
          <w:ilvl w:val="0"/>
          <w:numId w:val="1"/>
        </w:numPr>
        <w:jc w:val="both"/>
        <w:rPr>
          <w:i/>
          <w:lang w:val="sk-SK"/>
        </w:rPr>
      </w:pPr>
      <w:r w:rsidRPr="00DA03D1">
        <w:rPr>
          <w:i/>
          <w:lang w:val="sk-SK"/>
        </w:rPr>
        <w:t>v</w:t>
      </w:r>
      <w:r w:rsidRPr="00FF206C">
        <w:rPr>
          <w:i/>
          <w:lang w:val="sk-SK"/>
        </w:rPr>
        <w:t> </w:t>
      </w:r>
      <w:r w:rsidRPr="00DA03D1">
        <w:rPr>
          <w:i/>
          <w:lang w:val="sk-SK"/>
        </w:rPr>
        <w:t xml:space="preserve">sekundárnom práve </w:t>
      </w:r>
    </w:p>
    <w:p w14:paraId="02DF4596" w14:textId="77777777" w:rsidR="009515A6" w:rsidRDefault="009515A6" w:rsidP="009515A6">
      <w:pPr>
        <w:pStyle w:val="Odsekzoznamu"/>
        <w:ind w:left="1080"/>
        <w:rPr>
          <w:color w:val="333333"/>
          <w:shd w:val="clear" w:color="auto" w:fill="FFFFFF"/>
        </w:rPr>
      </w:pPr>
    </w:p>
    <w:p w14:paraId="5B847ED6" w14:textId="2C4061DA" w:rsidR="009515A6" w:rsidRPr="009515A6" w:rsidRDefault="009515A6" w:rsidP="009515A6">
      <w:pPr>
        <w:pStyle w:val="Odsekzoznamu"/>
        <w:numPr>
          <w:ilvl w:val="0"/>
          <w:numId w:val="3"/>
        </w:numPr>
        <w:jc w:val="both"/>
        <w:rPr>
          <w:color w:val="333333"/>
          <w:shd w:val="clear" w:color="auto" w:fill="FFFFFF"/>
        </w:rPr>
      </w:pPr>
      <w:r w:rsidRPr="00231217">
        <w:t>Nariadenie Európskeho parlamentu a Rady (EÚ) 2019/1020 z 20. júna 2019 o dohľade nad trhom a súlade výrobkov a o zmene smernice 2004/42/ES a nariadení (ES) č.</w:t>
      </w:r>
      <w:r w:rsidR="00A6615C">
        <w:rPr>
          <w:lang w:val="sk-SK"/>
        </w:rPr>
        <w:t> </w:t>
      </w:r>
      <w:r w:rsidRPr="00231217">
        <w:t>765/2008 a (EÚ) č. 305/2011 (Ú. v. EÚ L 169, 25.6.2019) v platnom znení</w:t>
      </w:r>
      <w:r w:rsidRPr="009515A6">
        <w:rPr>
          <w:sz w:val="18"/>
          <w:szCs w:val="18"/>
        </w:rPr>
        <w:t xml:space="preserve">  </w:t>
      </w:r>
    </w:p>
    <w:p w14:paraId="3EFD0344" w14:textId="463ECAE2" w:rsidR="009515A6" w:rsidRDefault="009515A6" w:rsidP="00A6615C">
      <w:pPr>
        <w:pStyle w:val="Textpoznmkypodiarou"/>
        <w:spacing w:after="240"/>
        <w:ind w:left="1418"/>
        <w:rPr>
          <w:i/>
          <w:color w:val="000000"/>
          <w:sz w:val="24"/>
          <w:szCs w:val="24"/>
        </w:rPr>
      </w:pPr>
      <w:r w:rsidRPr="003D2532">
        <w:rPr>
          <w:i/>
          <w:color w:val="000000"/>
          <w:sz w:val="24"/>
          <w:szCs w:val="24"/>
        </w:rPr>
        <w:t>gestorom právneho aktu je Ministerstvo hospodárstva Slovenskej republiky, Úrad pre normalizáciu, metrológiu a skúšobníctvo Slovenskej republiky a Národný bezpečnostný úrad;</w:t>
      </w:r>
    </w:p>
    <w:p w14:paraId="220ACBD9" w14:textId="1DF5663B" w:rsidR="000E0BAF" w:rsidRPr="009515A6" w:rsidRDefault="000E0BAF" w:rsidP="000E0BAF">
      <w:pPr>
        <w:pStyle w:val="Odsekzoznamu"/>
        <w:numPr>
          <w:ilvl w:val="0"/>
          <w:numId w:val="3"/>
        </w:numPr>
        <w:jc w:val="both"/>
      </w:pPr>
      <w:r w:rsidRPr="00231217">
        <w:t>Nariadenie Európskeho parlamentu a Rady (EÚ) 2024/</w:t>
      </w:r>
      <w:r w:rsidR="008140D6">
        <w:rPr>
          <w:lang w:val="sk-SK"/>
        </w:rPr>
        <w:t>1689</w:t>
      </w:r>
      <w:r w:rsidRPr="00231217">
        <w:t xml:space="preserve"> z </w:t>
      </w:r>
      <w:r w:rsidR="008140D6">
        <w:rPr>
          <w:lang w:val="sk-SK"/>
        </w:rPr>
        <w:t>13</w:t>
      </w:r>
      <w:r w:rsidRPr="00231217">
        <w:t xml:space="preserve">. </w:t>
      </w:r>
      <w:r w:rsidR="008140D6">
        <w:rPr>
          <w:lang w:val="sk-SK"/>
        </w:rPr>
        <w:t xml:space="preserve">júna </w:t>
      </w:r>
      <w:r w:rsidRPr="00231217">
        <w:t>2024</w:t>
      </w:r>
      <w:r w:rsidR="008140D6">
        <w:rPr>
          <w:lang w:val="sk-SK"/>
        </w:rPr>
        <w:t xml:space="preserve">, ktorým sa stanovujú harmonizované pravidlá v oblasti umelej inteligencie a ktorým sa menia nariadenia </w:t>
      </w:r>
      <w:r w:rsidR="006A1A70">
        <w:rPr>
          <w:lang w:val="sk-SK"/>
        </w:rPr>
        <w:t xml:space="preserve">(ES) č. 300/2008, (EÚ) č. 167/2013, (EÚ) </w:t>
      </w:r>
      <w:r w:rsidR="00F6316D">
        <w:rPr>
          <w:lang w:val="sk-SK"/>
        </w:rPr>
        <w:t xml:space="preserve">č. 168/2013, (EÚ) 2018/858, (EÚ) 2018/1139 a (EÚ) 2019/2144 a smernice 2014/90/EÚ, </w:t>
      </w:r>
      <w:r w:rsidR="00C83D2F">
        <w:rPr>
          <w:lang w:val="sk-SK"/>
        </w:rPr>
        <w:t>(EÚ) 2016/797 a (EÚ) 2020/1828 (akt o umelej inteligencii)</w:t>
      </w:r>
      <w:r w:rsidRPr="00231217">
        <w:t>(Ú. v. EÚ L, 2024/</w:t>
      </w:r>
      <w:r w:rsidR="00C83D2F">
        <w:rPr>
          <w:lang w:val="sk-SK"/>
        </w:rPr>
        <w:t>1689</w:t>
      </w:r>
      <w:r w:rsidRPr="00231217">
        <w:t xml:space="preserve">, </w:t>
      </w:r>
      <w:r w:rsidR="00C83D2F">
        <w:rPr>
          <w:lang w:val="sk-SK"/>
        </w:rPr>
        <w:t>12</w:t>
      </w:r>
      <w:r w:rsidRPr="00231217">
        <w:t>.</w:t>
      </w:r>
      <w:r w:rsidR="00C83D2F">
        <w:rPr>
          <w:lang w:val="sk-SK"/>
        </w:rPr>
        <w:t>7</w:t>
      </w:r>
      <w:r w:rsidRPr="00231217">
        <w:t>.2024)</w:t>
      </w:r>
      <w:r>
        <w:rPr>
          <w:lang w:val="sk-SK"/>
        </w:rPr>
        <w:t xml:space="preserve"> v platnom znení</w:t>
      </w:r>
    </w:p>
    <w:p w14:paraId="133B009A" w14:textId="77939A1B" w:rsidR="000E0BAF" w:rsidRPr="009515A6" w:rsidRDefault="000E0BAF" w:rsidP="00664E25">
      <w:pPr>
        <w:pStyle w:val="Textpoznmkypodiarou"/>
        <w:spacing w:after="240"/>
        <w:ind w:left="1418"/>
        <w:rPr>
          <w:i/>
          <w:color w:val="000000"/>
          <w:sz w:val="24"/>
          <w:szCs w:val="24"/>
        </w:rPr>
      </w:pPr>
      <w:r w:rsidRPr="009515A6">
        <w:rPr>
          <w:i/>
          <w:color w:val="000000"/>
          <w:sz w:val="24"/>
          <w:szCs w:val="24"/>
        </w:rPr>
        <w:t xml:space="preserve">gestorom právneho aktu je </w:t>
      </w:r>
      <w:r w:rsidR="0077613D">
        <w:rPr>
          <w:i/>
          <w:color w:val="000000"/>
          <w:sz w:val="24"/>
          <w:szCs w:val="24"/>
        </w:rPr>
        <w:t>Ministerstvo investícií, regionálneho rozvoja a informatizácie Slovenskej republiky, Ministerstvo hospodárstva</w:t>
      </w:r>
      <w:r w:rsidR="00664E25">
        <w:rPr>
          <w:i/>
          <w:color w:val="000000"/>
          <w:sz w:val="24"/>
          <w:szCs w:val="24"/>
        </w:rPr>
        <w:t xml:space="preserve"> Slovenskej republiky, </w:t>
      </w:r>
      <w:r w:rsidRPr="009515A6">
        <w:rPr>
          <w:i/>
          <w:color w:val="000000"/>
          <w:sz w:val="24"/>
          <w:szCs w:val="24"/>
        </w:rPr>
        <w:t>Úrad pre normalizáciu, metrológiu a skúšobníctvo Slovenskej republiky</w:t>
      </w:r>
      <w:r w:rsidR="00664E25">
        <w:rPr>
          <w:i/>
          <w:color w:val="000000"/>
          <w:sz w:val="24"/>
          <w:szCs w:val="24"/>
        </w:rPr>
        <w:t xml:space="preserve"> a Národný bezpečnostný úrad</w:t>
      </w:r>
      <w:r w:rsidRPr="009515A6">
        <w:rPr>
          <w:i/>
          <w:color w:val="000000"/>
          <w:sz w:val="24"/>
          <w:szCs w:val="24"/>
        </w:rPr>
        <w:t>;</w:t>
      </w:r>
    </w:p>
    <w:p w14:paraId="5B2A541A" w14:textId="10665827" w:rsidR="000E0BAF" w:rsidRPr="009515A6" w:rsidRDefault="000E0BAF" w:rsidP="000E0BAF">
      <w:pPr>
        <w:pStyle w:val="Odsekzoznamu"/>
        <w:numPr>
          <w:ilvl w:val="0"/>
          <w:numId w:val="3"/>
        </w:numPr>
        <w:jc w:val="both"/>
      </w:pPr>
      <w:r w:rsidRPr="00231217">
        <w:t>Nariadenie Európskeho parlamentu a Rady (EÚ) 2024/2847 z 23. októbra 2024 o</w:t>
      </w:r>
      <w:r w:rsidR="00A6615C">
        <w:rPr>
          <w:lang w:val="sk-SK"/>
        </w:rPr>
        <w:t> </w:t>
      </w:r>
      <w:r w:rsidRPr="00231217">
        <w:t>horizontálnych požiadavkách kybernetickej bezpečnosti pre produkty s digitálnymi prvkami a o zmene nariadení (EÚ) č. 168/2013 a (EÚ) 2019/1020 a smernice (EÚ) 2020/1828 (akt o kybernetickej odolnosti) (Ú. v. EÚ L, 2024/2847, 20.11.2024)</w:t>
      </w:r>
      <w:r>
        <w:rPr>
          <w:lang w:val="sk-SK"/>
        </w:rPr>
        <w:t xml:space="preserve"> v platnom znení</w:t>
      </w:r>
    </w:p>
    <w:p w14:paraId="01E94C6E" w14:textId="77777777" w:rsidR="000E0BAF" w:rsidRPr="009515A6" w:rsidRDefault="000E0BAF" w:rsidP="00A6615C">
      <w:pPr>
        <w:pStyle w:val="Textpoznmkypodiarou"/>
        <w:spacing w:after="240"/>
        <w:ind w:left="1418"/>
        <w:rPr>
          <w:i/>
          <w:color w:val="000000"/>
          <w:sz w:val="24"/>
          <w:szCs w:val="24"/>
        </w:rPr>
      </w:pPr>
      <w:r w:rsidRPr="009515A6">
        <w:rPr>
          <w:i/>
          <w:color w:val="000000"/>
          <w:sz w:val="24"/>
          <w:szCs w:val="24"/>
        </w:rPr>
        <w:t>gestorom právneho aktu je Národný bezpečnostný úrad a Úrad pre normalizáciu, metrológiu a skúšobníctvo Slovenskej republiky;</w:t>
      </w:r>
    </w:p>
    <w:p w14:paraId="7516C09C" w14:textId="56B49FFB" w:rsidR="00C4280E" w:rsidRDefault="001736BF" w:rsidP="00C4280E">
      <w:pPr>
        <w:pStyle w:val="Textpoznmkypodiarou"/>
        <w:numPr>
          <w:ilvl w:val="0"/>
          <w:numId w:val="3"/>
        </w:numPr>
        <w:rPr>
          <w:sz w:val="24"/>
          <w:szCs w:val="24"/>
          <w:lang w:val="ru-RU" w:eastAsia="sk-SK"/>
        </w:rPr>
      </w:pPr>
      <w:r>
        <w:rPr>
          <w:sz w:val="24"/>
          <w:szCs w:val="24"/>
          <w:lang w:val="ru-RU" w:eastAsia="sk-SK"/>
        </w:rPr>
        <w:t>D</w:t>
      </w:r>
      <w:r w:rsidR="002A564B" w:rsidRPr="00E92C2B">
        <w:rPr>
          <w:sz w:val="24"/>
          <w:szCs w:val="24"/>
          <w:lang w:val="ru-RU" w:eastAsia="sk-SK"/>
        </w:rPr>
        <w:t>elegované nariadenie Komisie (EÚ) 2025/1535 z 29. júla 2025, ktorým sa dopĺňa nariadenie Európskeho parlamentu a Rady (EÚ) 2024/2847, pokiaľ ide o vylúčenie z</w:t>
      </w:r>
      <w:r w:rsidR="00A6615C">
        <w:rPr>
          <w:sz w:val="24"/>
          <w:szCs w:val="24"/>
          <w:lang w:eastAsia="sk-SK"/>
        </w:rPr>
        <w:t> </w:t>
      </w:r>
      <w:r w:rsidR="002A564B" w:rsidRPr="00E92C2B">
        <w:rPr>
          <w:sz w:val="24"/>
          <w:szCs w:val="24"/>
          <w:lang w:val="ru-RU" w:eastAsia="sk-SK"/>
        </w:rPr>
        <w:t xml:space="preserve">uplatňovania uvedeného nariadenia na určité produkty s digitálnymi prvkami, na ktoré </w:t>
      </w:r>
      <w:r w:rsidR="002A564B" w:rsidRPr="00E92C2B">
        <w:rPr>
          <w:sz w:val="24"/>
          <w:szCs w:val="24"/>
          <w:lang w:val="ru-RU" w:eastAsia="sk-SK"/>
        </w:rPr>
        <w:lastRenderedPageBreak/>
        <w:t>sa vzťahuje nariadenie Európskeho parlamentu a Rady (EÚ) č. 168/2013</w:t>
      </w:r>
      <w:r w:rsidR="004D6B3A">
        <w:rPr>
          <w:sz w:val="24"/>
          <w:szCs w:val="24"/>
          <w:lang w:eastAsia="sk-SK"/>
        </w:rPr>
        <w:t xml:space="preserve"> </w:t>
      </w:r>
      <w:r w:rsidR="004D6B3A" w:rsidRPr="004D6B3A">
        <w:rPr>
          <w:sz w:val="24"/>
          <w:szCs w:val="24"/>
          <w:lang w:val="ru-RU" w:eastAsia="sk-SK"/>
        </w:rPr>
        <w:t>(Ú. v. EÚ L, 2025/1535, 29.10.2025)</w:t>
      </w:r>
    </w:p>
    <w:p w14:paraId="484C1290" w14:textId="5DED581A" w:rsidR="00E92C2B" w:rsidRPr="001444C1" w:rsidRDefault="00E92C2B" w:rsidP="001444C1">
      <w:pPr>
        <w:pStyle w:val="Textpoznmkypodiarou"/>
        <w:ind w:left="1416"/>
        <w:rPr>
          <w:i/>
          <w:sz w:val="24"/>
          <w:szCs w:val="24"/>
          <w:lang w:eastAsia="sk-SK"/>
        </w:rPr>
      </w:pPr>
      <w:r w:rsidRPr="001444C1">
        <w:rPr>
          <w:i/>
          <w:sz w:val="24"/>
          <w:szCs w:val="24"/>
          <w:lang w:eastAsia="sk-SK"/>
        </w:rPr>
        <w:t>gestorom právneho aktu je Ministerstvo dopravy Slovenskej republiky a Národný bezpečnostný úrad.</w:t>
      </w:r>
    </w:p>
    <w:p w14:paraId="472BDE14" w14:textId="77777777" w:rsidR="009515A6" w:rsidRPr="00DA03D1" w:rsidRDefault="009515A6" w:rsidP="009515A6">
      <w:pPr>
        <w:jc w:val="both"/>
        <w:rPr>
          <w:lang w:val="sk-SK"/>
        </w:rPr>
      </w:pPr>
    </w:p>
    <w:p w14:paraId="78F38CE3" w14:textId="77777777" w:rsidR="009515A6" w:rsidRPr="00DA03D1" w:rsidRDefault="009515A6" w:rsidP="009515A6">
      <w:pPr>
        <w:ind w:firstLine="284"/>
        <w:rPr>
          <w:i/>
          <w:lang w:val="sk-SK"/>
        </w:rPr>
      </w:pPr>
      <w:r w:rsidRPr="00DA03D1">
        <w:rPr>
          <w:i/>
          <w:lang w:val="sk-SK"/>
        </w:rPr>
        <w:t xml:space="preserve">c) </w:t>
      </w:r>
      <w:r w:rsidRPr="00FF206C">
        <w:rPr>
          <w:i/>
          <w:lang w:val="sk-SK"/>
        </w:rPr>
        <w:tab/>
      </w:r>
      <w:r w:rsidRPr="00DA03D1">
        <w:rPr>
          <w:i/>
          <w:lang w:val="sk-SK"/>
        </w:rPr>
        <w:t>v</w:t>
      </w:r>
      <w:r w:rsidRPr="00FF206C">
        <w:rPr>
          <w:i/>
          <w:lang w:val="sk-SK"/>
        </w:rPr>
        <w:t> </w:t>
      </w:r>
      <w:r w:rsidRPr="00DA03D1">
        <w:rPr>
          <w:i/>
          <w:lang w:val="sk-SK"/>
        </w:rPr>
        <w:t>judikatúre Súdneho dvora Európskej únie</w:t>
      </w:r>
    </w:p>
    <w:p w14:paraId="3270E8B0" w14:textId="77777777" w:rsidR="009515A6" w:rsidRPr="00DA03D1" w:rsidRDefault="009515A6" w:rsidP="009515A6">
      <w:pPr>
        <w:ind w:firstLine="284"/>
        <w:rPr>
          <w:i/>
          <w:lang w:val="sk-SK"/>
        </w:rPr>
      </w:pPr>
    </w:p>
    <w:p w14:paraId="309B641B" w14:textId="2823882C" w:rsidR="009515A6" w:rsidRDefault="009515A6" w:rsidP="009515A6">
      <w:pPr>
        <w:pStyle w:val="Odsekzoznamu"/>
        <w:numPr>
          <w:ilvl w:val="0"/>
          <w:numId w:val="3"/>
        </w:numPr>
        <w:jc w:val="both"/>
        <w:rPr>
          <w:lang w:val="sk-SK"/>
        </w:rPr>
      </w:pPr>
      <w:r w:rsidRPr="00CC4A80">
        <w:rPr>
          <w:color w:val="333333"/>
          <w:shd w:val="clear" w:color="auto" w:fill="FFFFFF"/>
          <w:lang w:val="sk-SK"/>
        </w:rPr>
        <w:t>Nie</w:t>
      </w:r>
      <w:r>
        <w:rPr>
          <w:lang w:val="sk-SK"/>
        </w:rPr>
        <w:t xml:space="preserve"> je upravený.</w:t>
      </w:r>
    </w:p>
    <w:p w14:paraId="762BCBBC" w14:textId="77777777" w:rsidR="00E108F7" w:rsidRDefault="00E108F7" w:rsidP="00E108F7">
      <w:pPr>
        <w:pStyle w:val="Odsekzoznamu"/>
        <w:ind w:left="1080"/>
        <w:jc w:val="both"/>
        <w:rPr>
          <w:lang w:val="sk-SK"/>
        </w:rPr>
      </w:pPr>
    </w:p>
    <w:p w14:paraId="704A906A" w14:textId="43650873" w:rsidR="009515A6" w:rsidRPr="00A97131" w:rsidRDefault="009515A6" w:rsidP="00A97131">
      <w:pPr>
        <w:pStyle w:val="Odsekzoznamu"/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rPr>
          <w:b/>
          <w:lang w:val="sk-SK"/>
        </w:rPr>
      </w:pPr>
      <w:r w:rsidRPr="00A97131">
        <w:rPr>
          <w:b/>
          <w:lang w:val="sk-SK"/>
        </w:rPr>
        <w:t xml:space="preserve">Záväzky Slovenskej republiky vo vzťahu k Európskej únii: </w:t>
      </w:r>
    </w:p>
    <w:p w14:paraId="77932C30" w14:textId="77777777" w:rsidR="009515A6" w:rsidRPr="00DA03D1" w:rsidRDefault="009515A6" w:rsidP="009515A6">
      <w:pPr>
        <w:rPr>
          <w:lang w:val="sk-SK"/>
        </w:rPr>
      </w:pPr>
    </w:p>
    <w:p w14:paraId="64132D0A" w14:textId="77777777" w:rsidR="009515A6" w:rsidRPr="00DA03D1" w:rsidRDefault="009515A6" w:rsidP="009515A6">
      <w:pPr>
        <w:ind w:left="709" w:hanging="349"/>
        <w:rPr>
          <w:i/>
          <w:iCs/>
          <w:lang w:val="sk-SK"/>
        </w:rPr>
      </w:pPr>
      <w:r w:rsidRPr="00DA03D1">
        <w:rPr>
          <w:i/>
          <w:iCs/>
          <w:lang w:val="sk-SK"/>
        </w:rPr>
        <w:t>a)</w:t>
      </w:r>
      <w:r w:rsidRPr="00DA03D1">
        <w:rPr>
          <w:i/>
          <w:iCs/>
          <w:lang w:val="sk-SK"/>
        </w:rPr>
        <w:tab/>
      </w:r>
      <w:r w:rsidRPr="00DA03D1">
        <w:rPr>
          <w:rFonts w:ascii="Times" w:hAnsi="Times" w:cs="Times"/>
          <w:i/>
          <w:iCs/>
        </w:rPr>
        <w:t>lehota na implementáciu nariadenia alebo rozhodnutia</w:t>
      </w:r>
      <w:r w:rsidRPr="00DA03D1">
        <w:rPr>
          <w:i/>
          <w:iCs/>
          <w:lang w:val="sk-SK"/>
        </w:rPr>
        <w:t xml:space="preserve"> </w:t>
      </w:r>
    </w:p>
    <w:p w14:paraId="4EB3BF5C" w14:textId="77777777" w:rsidR="009515A6" w:rsidRPr="00DA03D1" w:rsidRDefault="009515A6" w:rsidP="009515A6">
      <w:pPr>
        <w:ind w:left="720"/>
        <w:rPr>
          <w:lang w:val="sk-SK"/>
        </w:rPr>
      </w:pPr>
    </w:p>
    <w:p w14:paraId="058865F4" w14:textId="72AE8945" w:rsidR="009515A6" w:rsidRPr="00C74A5A" w:rsidRDefault="009515A6" w:rsidP="00C74A5A">
      <w:pPr>
        <w:pStyle w:val="Odsekzoznamu"/>
        <w:numPr>
          <w:ilvl w:val="0"/>
          <w:numId w:val="3"/>
        </w:numPr>
        <w:jc w:val="both"/>
        <w:rPr>
          <w:lang w:val="sk-SK"/>
        </w:rPr>
      </w:pPr>
      <w:r w:rsidRPr="003F7B04">
        <w:rPr>
          <w:lang w:val="sk-SK"/>
        </w:rPr>
        <w:t>nariadenie (EÚ) 2024/</w:t>
      </w:r>
      <w:r w:rsidR="003D2532">
        <w:rPr>
          <w:lang w:val="sk-SK"/>
        </w:rPr>
        <w:t>2847</w:t>
      </w:r>
      <w:r w:rsidRPr="003F7B04">
        <w:rPr>
          <w:lang w:val="sk-SK"/>
        </w:rPr>
        <w:t xml:space="preserve"> sa uplatňuje od </w:t>
      </w:r>
      <w:r w:rsidR="003D2532">
        <w:rPr>
          <w:lang w:val="sk-SK"/>
        </w:rPr>
        <w:t>11. decembra 2027</w:t>
      </w:r>
      <w:r w:rsidRPr="003F7B04">
        <w:rPr>
          <w:lang w:val="sk-SK"/>
        </w:rPr>
        <w:t xml:space="preserve"> okrem </w:t>
      </w:r>
      <w:r w:rsidR="003D2532" w:rsidRPr="00C74A5A">
        <w:rPr>
          <w:lang w:val="sk-SK"/>
        </w:rPr>
        <w:t>článku 14</w:t>
      </w:r>
      <w:r w:rsidR="005B4738">
        <w:rPr>
          <w:lang w:val="sk-SK"/>
        </w:rPr>
        <w:t>, ktorý</w:t>
      </w:r>
      <w:r w:rsidRPr="00C74A5A">
        <w:rPr>
          <w:lang w:val="sk-SK"/>
        </w:rPr>
        <w:t xml:space="preserve"> </w:t>
      </w:r>
      <w:r w:rsidR="005B4738">
        <w:rPr>
          <w:lang w:val="sk-SK"/>
        </w:rPr>
        <w:t>sa uplatňuje</w:t>
      </w:r>
      <w:r w:rsidRPr="00C74A5A">
        <w:rPr>
          <w:lang w:val="sk-SK"/>
        </w:rPr>
        <w:t xml:space="preserve"> od </w:t>
      </w:r>
      <w:r w:rsidR="003D2532" w:rsidRPr="00C74A5A">
        <w:rPr>
          <w:lang w:val="sk-SK"/>
        </w:rPr>
        <w:t>11. septembra 2026</w:t>
      </w:r>
      <w:r w:rsidR="005B4738">
        <w:rPr>
          <w:lang w:val="sk-SK"/>
        </w:rPr>
        <w:t xml:space="preserve"> a </w:t>
      </w:r>
      <w:r w:rsidRPr="00C74A5A">
        <w:rPr>
          <w:lang w:val="sk-SK"/>
        </w:rPr>
        <w:t>kapitoly I</w:t>
      </w:r>
      <w:r w:rsidR="003D2532" w:rsidRPr="00C74A5A">
        <w:rPr>
          <w:lang w:val="sk-SK"/>
        </w:rPr>
        <w:t>V (články 35 až 51)</w:t>
      </w:r>
      <w:r w:rsidRPr="00C74A5A">
        <w:rPr>
          <w:lang w:val="sk-SK"/>
        </w:rPr>
        <w:t>, ktor</w:t>
      </w:r>
      <w:r w:rsidR="003D2532" w:rsidRPr="00C74A5A">
        <w:rPr>
          <w:lang w:val="sk-SK"/>
        </w:rPr>
        <w:t>á</w:t>
      </w:r>
      <w:r w:rsidRPr="00C74A5A">
        <w:rPr>
          <w:lang w:val="sk-SK"/>
        </w:rPr>
        <w:t xml:space="preserve"> sa uplatňuj</w:t>
      </w:r>
      <w:r w:rsidR="003D2532" w:rsidRPr="00C74A5A">
        <w:rPr>
          <w:lang w:val="sk-SK"/>
        </w:rPr>
        <w:t>e</w:t>
      </w:r>
      <w:r w:rsidRPr="00C74A5A">
        <w:rPr>
          <w:lang w:val="sk-SK"/>
        </w:rPr>
        <w:t xml:space="preserve"> od </w:t>
      </w:r>
      <w:r w:rsidR="003D2532" w:rsidRPr="00C74A5A">
        <w:rPr>
          <w:lang w:val="sk-SK"/>
        </w:rPr>
        <w:t>11. júna 2026.</w:t>
      </w:r>
    </w:p>
    <w:p w14:paraId="5CBBFEEE" w14:textId="77777777" w:rsidR="009515A6" w:rsidRPr="00DA03D1" w:rsidRDefault="009515A6" w:rsidP="009515A6">
      <w:pPr>
        <w:rPr>
          <w:lang w:val="sk-SK"/>
        </w:rPr>
      </w:pPr>
    </w:p>
    <w:p w14:paraId="332FE0A1" w14:textId="77777777" w:rsidR="009515A6" w:rsidRPr="00DA03D1" w:rsidRDefault="009515A6" w:rsidP="009515A6">
      <w:pPr>
        <w:ind w:left="709" w:hanging="349"/>
        <w:jc w:val="both"/>
        <w:rPr>
          <w:i/>
          <w:iCs/>
          <w:lang w:val="sk-SK"/>
        </w:rPr>
      </w:pPr>
      <w:r w:rsidRPr="00DA03D1">
        <w:rPr>
          <w:i/>
          <w:iCs/>
          <w:lang w:val="sk-SK"/>
        </w:rPr>
        <w:t>b)</w:t>
      </w:r>
      <w:r w:rsidRPr="00DA03D1">
        <w:rPr>
          <w:i/>
          <w:iCs/>
          <w:lang w:val="sk-SK"/>
        </w:rPr>
        <w:tab/>
      </w:r>
      <w:r w:rsidRPr="00DA03D1">
        <w:rPr>
          <w:rFonts w:ascii="Times" w:hAnsi="Times" w:cs="Times"/>
          <w:i/>
          <w:iCs/>
        </w:rPr>
        <w:t>informácia o začatí konania v rámci „EÚ Pilot“ alebo o začatí postupu Európskej komisie, alebo o konaní Súdneho dvora Európskej únie proti Slovenskej republike podľa čl. 258 a</w:t>
      </w:r>
      <w:r>
        <w:rPr>
          <w:rFonts w:ascii="Times" w:hAnsi="Times" w:cs="Times"/>
          <w:i/>
          <w:iCs/>
          <w:lang w:val="sk-SK"/>
        </w:rPr>
        <w:t> </w:t>
      </w:r>
      <w:r w:rsidRPr="00DA03D1">
        <w:rPr>
          <w:rFonts w:ascii="Times" w:hAnsi="Times" w:cs="Times"/>
          <w:i/>
          <w:iCs/>
        </w:rPr>
        <w:t>260 Zmluvy o fungovaní Európskej únie v jej platnom znení, spolu s uvedením konkrétnych vytýkaných nedostatkov a požiadaviek na zabezpečenie nápravy so zreteľom na nariadenie Európskeho parlamentu a Rady (ES) č. 1049/2001 z 30. mája 2001 o prístupe verejnosti k</w:t>
      </w:r>
      <w:r>
        <w:rPr>
          <w:rFonts w:ascii="Times" w:hAnsi="Times" w:cs="Times"/>
          <w:i/>
          <w:iCs/>
          <w:lang w:val="sk-SK"/>
        </w:rPr>
        <w:t> </w:t>
      </w:r>
      <w:r w:rsidRPr="00DA03D1">
        <w:rPr>
          <w:rFonts w:ascii="Times" w:hAnsi="Times" w:cs="Times"/>
          <w:i/>
          <w:iCs/>
        </w:rPr>
        <w:t xml:space="preserve">dokumentom Európskeho parlamentu, Rady a Komisie </w:t>
      </w:r>
    </w:p>
    <w:p w14:paraId="4EC9571B" w14:textId="77777777" w:rsidR="009515A6" w:rsidRPr="00DA03D1" w:rsidRDefault="009515A6" w:rsidP="009515A6">
      <w:pPr>
        <w:ind w:left="709" w:hanging="349"/>
        <w:rPr>
          <w:lang w:val="sk-SK"/>
        </w:rPr>
      </w:pPr>
      <w:r w:rsidRPr="00FF206C">
        <w:rPr>
          <w:lang w:val="sk-SK"/>
        </w:rPr>
        <w:tab/>
      </w:r>
    </w:p>
    <w:p w14:paraId="1D1F7FC0" w14:textId="77777777" w:rsidR="009515A6" w:rsidRPr="005008D2" w:rsidRDefault="009515A6" w:rsidP="009515A6">
      <w:pPr>
        <w:pStyle w:val="Odsekzoznamu"/>
        <w:numPr>
          <w:ilvl w:val="0"/>
          <w:numId w:val="3"/>
        </w:numPr>
        <w:rPr>
          <w:lang w:val="sk-SK"/>
        </w:rPr>
      </w:pPr>
      <w:r w:rsidRPr="005008D2">
        <w:rPr>
          <w:lang w:val="sk-SK"/>
        </w:rPr>
        <w:t>nebolo začaté konanie proti Slovenskej republike</w:t>
      </w:r>
    </w:p>
    <w:p w14:paraId="5C74B387" w14:textId="77777777" w:rsidR="009515A6" w:rsidRPr="00DA03D1" w:rsidRDefault="009515A6" w:rsidP="009515A6">
      <w:pPr>
        <w:ind w:left="709" w:hanging="349"/>
        <w:rPr>
          <w:lang w:val="sk-SK"/>
        </w:rPr>
      </w:pPr>
    </w:p>
    <w:p w14:paraId="04182687" w14:textId="77777777" w:rsidR="009515A6" w:rsidRPr="00DA03D1" w:rsidRDefault="009515A6" w:rsidP="00A6615C">
      <w:pPr>
        <w:ind w:left="705" w:hanging="705"/>
        <w:jc w:val="both"/>
        <w:rPr>
          <w:rFonts w:ascii="Times" w:hAnsi="Times" w:cs="Times"/>
        </w:rPr>
      </w:pPr>
      <w:r w:rsidRPr="00DA03D1">
        <w:rPr>
          <w:i/>
          <w:iCs/>
          <w:lang w:val="sk-SK"/>
        </w:rPr>
        <w:t>c)</w:t>
      </w:r>
      <w:r w:rsidRPr="00DA03D1">
        <w:rPr>
          <w:i/>
          <w:iCs/>
          <w:lang w:val="sk-SK"/>
        </w:rPr>
        <w:tab/>
      </w:r>
      <w:r w:rsidRPr="00DA03D1">
        <w:rPr>
          <w:rFonts w:ascii="Times" w:hAnsi="Times" w:cs="Times"/>
          <w:i/>
          <w:iCs/>
        </w:rPr>
        <w:t xml:space="preserve">informácia o právnych predpisoch, v ktorých </w:t>
      </w:r>
      <w:r>
        <w:rPr>
          <w:rFonts w:ascii="Times" w:hAnsi="Times" w:cs="Times"/>
          <w:i/>
          <w:iCs/>
          <w:lang w:val="sk-SK"/>
        </w:rPr>
        <w:t>sú</w:t>
      </w:r>
      <w:r w:rsidRPr="00DA03D1">
        <w:rPr>
          <w:rFonts w:ascii="Times" w:hAnsi="Times" w:cs="Times"/>
          <w:i/>
          <w:iCs/>
        </w:rPr>
        <w:t xml:space="preserve"> </w:t>
      </w:r>
      <w:r>
        <w:rPr>
          <w:rFonts w:ascii="Times" w:hAnsi="Times" w:cs="Times"/>
          <w:i/>
          <w:iCs/>
          <w:lang w:val="sk-SK"/>
        </w:rPr>
        <w:t>uvádzané právne</w:t>
      </w:r>
      <w:bookmarkStart w:id="0" w:name="_GoBack"/>
      <w:bookmarkEnd w:id="0"/>
      <w:r>
        <w:rPr>
          <w:rFonts w:ascii="Times" w:hAnsi="Times" w:cs="Times"/>
          <w:i/>
          <w:iCs/>
          <w:lang w:val="sk-SK"/>
        </w:rPr>
        <w:t xml:space="preserve"> akty Európskej únie</w:t>
      </w:r>
      <w:r w:rsidRPr="00DA03D1">
        <w:rPr>
          <w:rFonts w:ascii="Times" w:hAnsi="Times" w:cs="Times"/>
          <w:i/>
          <w:iCs/>
        </w:rPr>
        <w:t xml:space="preserve"> už prebraté spolu s uvedením rozsahu tohto prebratia</w:t>
      </w:r>
      <w:r w:rsidRPr="00DA03D1">
        <w:rPr>
          <w:rFonts w:ascii="Times" w:hAnsi="Times" w:cs="Times"/>
        </w:rPr>
        <w:t xml:space="preserve"> </w:t>
      </w:r>
    </w:p>
    <w:p w14:paraId="2D8AAC69" w14:textId="77777777" w:rsidR="009515A6" w:rsidRPr="00DA03D1" w:rsidRDefault="009515A6" w:rsidP="009515A6">
      <w:pPr>
        <w:rPr>
          <w:lang w:val="sk-SK"/>
        </w:rPr>
      </w:pPr>
    </w:p>
    <w:p w14:paraId="3C0507CB" w14:textId="77777777" w:rsidR="009515A6" w:rsidRPr="005008D2" w:rsidRDefault="009515A6" w:rsidP="009515A6">
      <w:pPr>
        <w:pStyle w:val="Odsekzoznamu"/>
        <w:numPr>
          <w:ilvl w:val="0"/>
          <w:numId w:val="3"/>
        </w:numPr>
        <w:rPr>
          <w:lang w:val="sk-SK"/>
        </w:rPr>
      </w:pPr>
      <w:r w:rsidRPr="005008D2">
        <w:rPr>
          <w:lang w:val="sk-SK"/>
        </w:rPr>
        <w:t>bezpredmetné </w:t>
      </w:r>
    </w:p>
    <w:p w14:paraId="2808D3CF" w14:textId="77777777" w:rsidR="009515A6" w:rsidRPr="00DA03D1" w:rsidRDefault="009515A6" w:rsidP="009515A6">
      <w:pPr>
        <w:pStyle w:val="Odsekzoznamu"/>
        <w:numPr>
          <w:ilvl w:val="0"/>
          <w:numId w:val="2"/>
        </w:numPr>
        <w:spacing w:before="240"/>
        <w:contextualSpacing w:val="0"/>
        <w:jc w:val="both"/>
        <w:rPr>
          <w:b/>
          <w:lang w:val="sk-SK"/>
        </w:rPr>
      </w:pPr>
      <w:r w:rsidRPr="00DA03D1">
        <w:rPr>
          <w:b/>
          <w:lang w:val="sk-SK"/>
        </w:rPr>
        <w:t xml:space="preserve">Návrh </w:t>
      </w:r>
      <w:r>
        <w:rPr>
          <w:b/>
          <w:lang w:val="sk-SK"/>
        </w:rPr>
        <w:t>zákona</w:t>
      </w:r>
      <w:r w:rsidRPr="00DA03D1">
        <w:rPr>
          <w:b/>
          <w:lang w:val="sk-SK"/>
        </w:rPr>
        <w:t xml:space="preserve"> je zlučiteľný s</w:t>
      </w:r>
      <w:r w:rsidRPr="00FF206C">
        <w:rPr>
          <w:b/>
          <w:lang w:val="sk-SK"/>
        </w:rPr>
        <w:t> </w:t>
      </w:r>
      <w:r w:rsidRPr="00DA03D1">
        <w:rPr>
          <w:b/>
          <w:lang w:val="sk-SK"/>
        </w:rPr>
        <w:t>právom Európskej únie:</w:t>
      </w:r>
    </w:p>
    <w:p w14:paraId="75B2769A" w14:textId="77777777" w:rsidR="009515A6" w:rsidRPr="00DA03D1" w:rsidRDefault="009515A6" w:rsidP="009515A6">
      <w:pPr>
        <w:ind w:left="360" w:hanging="360"/>
        <w:rPr>
          <w:b/>
          <w:lang w:val="sk-SK"/>
        </w:rPr>
      </w:pPr>
    </w:p>
    <w:p w14:paraId="5A7CD9F2" w14:textId="77777777" w:rsidR="009515A6" w:rsidRPr="005008D2" w:rsidRDefault="009515A6" w:rsidP="009515A6">
      <w:pPr>
        <w:pStyle w:val="Odsekzoznamu"/>
        <w:numPr>
          <w:ilvl w:val="0"/>
          <w:numId w:val="4"/>
        </w:numPr>
        <w:rPr>
          <w:lang w:val="sk-SK"/>
        </w:rPr>
      </w:pPr>
      <w:r w:rsidRPr="005008D2">
        <w:rPr>
          <w:lang w:val="sk-SK"/>
        </w:rPr>
        <w:t>úplne</w:t>
      </w:r>
    </w:p>
    <w:p w14:paraId="02C1F741" w14:textId="77777777" w:rsidR="009515A6" w:rsidRPr="00DA03D1" w:rsidRDefault="009515A6" w:rsidP="009515A6">
      <w:pPr>
        <w:tabs>
          <w:tab w:val="left" w:pos="360"/>
        </w:tabs>
        <w:rPr>
          <w:lang w:val="sk-SK"/>
        </w:rPr>
      </w:pPr>
    </w:p>
    <w:p w14:paraId="66372006" w14:textId="77777777" w:rsidR="00414EA9" w:rsidRDefault="00414EA9"/>
    <w:sectPr w:rsidR="00414EA9" w:rsidSect="009515A6">
      <w:headerReference w:type="default" r:id="rId8"/>
      <w:footerReference w:type="default" r:id="rId9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AC98CC" w14:textId="77777777" w:rsidR="00416E34" w:rsidRDefault="00416E34">
      <w:r>
        <w:separator/>
      </w:r>
    </w:p>
  </w:endnote>
  <w:endnote w:type="continuationSeparator" w:id="0">
    <w:p w14:paraId="00CF2C91" w14:textId="77777777" w:rsidR="00416E34" w:rsidRDefault="00416E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roman"/>
    <w:pitch w:val="default"/>
  </w:font>
  <w:font w:name="Aptos Display">
    <w:altName w:val="Calibri"/>
    <w:charset w:val="00"/>
    <w:family w:val="roman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81A60C" w14:textId="25BC0324" w:rsidR="003D2532" w:rsidRDefault="003D2532">
    <w:pPr>
      <w:pStyle w:val="Pta"/>
      <w:jc w:val="center"/>
    </w:pPr>
    <w:r>
      <w:fldChar w:fldCharType="begin"/>
    </w:r>
    <w:r>
      <w:instrText>PAGE   \* MERGEFORMAT</w:instrText>
    </w:r>
    <w:r>
      <w:fldChar w:fldCharType="separate"/>
    </w:r>
    <w:r w:rsidR="00A6615C" w:rsidRPr="00A6615C">
      <w:rPr>
        <w:noProof/>
        <w:lang w:val="sk-SK"/>
      </w:rPr>
      <w:t>2</w:t>
    </w:r>
    <w:r>
      <w:fldChar w:fldCharType="end"/>
    </w:r>
  </w:p>
  <w:p w14:paraId="4BCBE8F5" w14:textId="77777777" w:rsidR="003D2532" w:rsidRDefault="003D253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C360D1" w14:textId="77777777" w:rsidR="00416E34" w:rsidRDefault="00416E34">
      <w:r>
        <w:separator/>
      </w:r>
    </w:p>
  </w:footnote>
  <w:footnote w:type="continuationSeparator" w:id="0">
    <w:p w14:paraId="0595ECAA" w14:textId="77777777" w:rsidR="00416E34" w:rsidRDefault="00416E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0BABA6" w14:textId="77777777" w:rsidR="003D2532" w:rsidRPr="00505468" w:rsidRDefault="003D2532" w:rsidP="0050546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BC4F52"/>
    <w:multiLevelType w:val="hybridMultilevel"/>
    <w:tmpl w:val="C4AEB854"/>
    <w:lvl w:ilvl="0" w:tplc="28465128">
      <w:start w:val="3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2DB530E9"/>
    <w:multiLevelType w:val="hybridMultilevel"/>
    <w:tmpl w:val="FFFFFFFF"/>
    <w:lvl w:ilvl="0" w:tplc="08090017">
      <w:start w:val="1"/>
      <w:numFmt w:val="lowerLetter"/>
      <w:lvlText w:val="%1)"/>
      <w:lvlJc w:val="left"/>
      <w:pPr>
        <w:ind w:left="928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56787AC7"/>
    <w:multiLevelType w:val="hybridMultilevel"/>
    <w:tmpl w:val="C4AEB854"/>
    <w:lvl w:ilvl="0" w:tplc="28465128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70E3363"/>
    <w:multiLevelType w:val="hybridMultilevel"/>
    <w:tmpl w:val="9550BB74"/>
    <w:lvl w:ilvl="0" w:tplc="8B0A5F2C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5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5A6"/>
    <w:rsid w:val="000033F9"/>
    <w:rsid w:val="000E0BAF"/>
    <w:rsid w:val="001444C1"/>
    <w:rsid w:val="001736BF"/>
    <w:rsid w:val="00287915"/>
    <w:rsid w:val="002A564B"/>
    <w:rsid w:val="00365599"/>
    <w:rsid w:val="003D2532"/>
    <w:rsid w:val="00414EA9"/>
    <w:rsid w:val="00416E34"/>
    <w:rsid w:val="00452C75"/>
    <w:rsid w:val="004D4E1C"/>
    <w:rsid w:val="004D6B3A"/>
    <w:rsid w:val="005B4738"/>
    <w:rsid w:val="00613528"/>
    <w:rsid w:val="00664E25"/>
    <w:rsid w:val="006A1A70"/>
    <w:rsid w:val="0077613D"/>
    <w:rsid w:val="008140D6"/>
    <w:rsid w:val="00877C41"/>
    <w:rsid w:val="009515A6"/>
    <w:rsid w:val="009A4F75"/>
    <w:rsid w:val="00A6615C"/>
    <w:rsid w:val="00A97131"/>
    <w:rsid w:val="00AF0F39"/>
    <w:rsid w:val="00C4280E"/>
    <w:rsid w:val="00C74A5A"/>
    <w:rsid w:val="00C83D2F"/>
    <w:rsid w:val="00CA3D64"/>
    <w:rsid w:val="00E108F7"/>
    <w:rsid w:val="00E92C2B"/>
    <w:rsid w:val="00EC6677"/>
    <w:rsid w:val="00ED4D59"/>
    <w:rsid w:val="00EF3D84"/>
    <w:rsid w:val="00F63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155E4"/>
  <w15:chartTrackingRefBased/>
  <w15:docId w15:val="{106286C0-79B4-47D4-B685-69EB48804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515A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lang w:val="ru-RU"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9515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9515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9515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9515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9515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9515A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9515A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9515A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9515A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515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9515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9515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9515A6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9515A6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9515A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9515A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9515A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9515A6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9515A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9515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9515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9515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9515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9515A6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99"/>
    <w:qFormat/>
    <w:rsid w:val="009515A6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9515A6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9515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9515A6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9515A6"/>
    <w:rPr>
      <w:b/>
      <w:bCs/>
      <w:smallCaps/>
      <w:color w:val="0F4761" w:themeColor="accent1" w:themeShade="BF"/>
      <w:spacing w:val="5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9515A6"/>
    <w:pPr>
      <w:widowControl/>
      <w:autoSpaceDE/>
      <w:autoSpaceDN/>
      <w:adjustRightInd/>
      <w:jc w:val="both"/>
    </w:pPr>
    <w:rPr>
      <w:sz w:val="18"/>
      <w:szCs w:val="20"/>
      <w:lang w:val="sk-SK"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9515A6"/>
    <w:rPr>
      <w:rFonts w:ascii="Times New Roman" w:eastAsia="Times New Roman" w:hAnsi="Times New Roman" w:cs="Times New Roman"/>
      <w:kern w:val="0"/>
      <w:sz w:val="18"/>
      <w:szCs w:val="20"/>
      <w14:ligatures w14:val="none"/>
    </w:rPr>
  </w:style>
  <w:style w:type="paragraph" w:styleId="Hlavika">
    <w:name w:val="header"/>
    <w:basedOn w:val="Normlny"/>
    <w:link w:val="HlavikaChar"/>
    <w:uiPriority w:val="99"/>
    <w:rsid w:val="009515A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515A6"/>
    <w:rPr>
      <w:rFonts w:ascii="Times New Roman" w:eastAsia="Times New Roman" w:hAnsi="Times New Roman" w:cs="Times New Roman"/>
      <w:kern w:val="0"/>
      <w:lang w:val="ru-RU" w:eastAsia="sk-SK"/>
      <w14:ligatures w14:val="none"/>
    </w:rPr>
  </w:style>
  <w:style w:type="paragraph" w:styleId="Pta">
    <w:name w:val="footer"/>
    <w:basedOn w:val="Normlny"/>
    <w:link w:val="PtaChar"/>
    <w:uiPriority w:val="99"/>
    <w:rsid w:val="009515A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515A6"/>
    <w:rPr>
      <w:rFonts w:ascii="Times New Roman" w:eastAsia="Times New Roman" w:hAnsi="Times New Roman" w:cs="Times New Roman"/>
      <w:kern w:val="0"/>
      <w:lang w:val="ru-RU" w:eastAsia="sk-SK"/>
      <w14:ligatures w14:val="non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8791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87915"/>
    <w:rPr>
      <w:rFonts w:ascii="Segoe UI" w:eastAsia="Times New Roman" w:hAnsi="Segoe UI" w:cs="Segoe UI"/>
      <w:kern w:val="0"/>
      <w:sz w:val="18"/>
      <w:szCs w:val="18"/>
      <w:lang w:val="ru-RU"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31085B-F9CB-4E9C-82B6-DCF7DAC95E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530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Šnirc Dalibor</cp:lastModifiedBy>
  <cp:revision>7</cp:revision>
  <dcterms:created xsi:type="dcterms:W3CDTF">2025-10-24T10:32:00Z</dcterms:created>
  <dcterms:modified xsi:type="dcterms:W3CDTF">2026-08-12T11:15:00Z</dcterms:modified>
</cp:coreProperties>
</file>