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74F" w:rsidRPr="006E7B31" w:rsidRDefault="00F5074F" w:rsidP="00F50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E7B31">
        <w:rPr>
          <w:rFonts w:ascii="Times New Roman" w:eastAsia="Times New Roman" w:hAnsi="Times New Roman" w:cs="Times New Roman"/>
          <w:b/>
          <w:bCs/>
          <w:sz w:val="28"/>
          <w:szCs w:val="28"/>
        </w:rPr>
        <w:t>Doložka vybraných vplyvov</w:t>
      </w:r>
    </w:p>
    <w:p w:rsidR="00F5074F" w:rsidRPr="006E7B31" w:rsidRDefault="00F5074F" w:rsidP="00F5074F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6E7B31" w:rsidRPr="006E7B31" w:rsidTr="004E4249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Základné údaje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4E424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Názov materiálu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auto"/>
          </w:tcPr>
          <w:p w:rsidR="00F5074F" w:rsidRPr="006E7B31" w:rsidRDefault="00B00D33" w:rsidP="004E4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</w:rPr>
              <w:t>Návrh Dlhodobého</w:t>
            </w:r>
            <w:r w:rsidR="00F5074F" w:rsidRPr="006E7B31">
              <w:rPr>
                <w:rFonts w:ascii="Times New Roman" w:eastAsia="Calibri" w:hAnsi="Times New Roman" w:cs="Times New Roman"/>
              </w:rPr>
              <w:t xml:space="preserve"> plán</w:t>
            </w:r>
            <w:r w:rsidRPr="006E7B31">
              <w:rPr>
                <w:rFonts w:ascii="Times New Roman" w:eastAsia="Calibri" w:hAnsi="Times New Roman" w:cs="Times New Roman"/>
              </w:rPr>
              <w:t>u</w:t>
            </w:r>
            <w:r w:rsidR="00F5074F" w:rsidRPr="006E7B31">
              <w:rPr>
                <w:rFonts w:ascii="Times New Roman" w:eastAsia="Calibri" w:hAnsi="Times New Roman" w:cs="Times New Roman"/>
              </w:rPr>
              <w:t xml:space="preserve"> rozvoja obrany s dôrazom na výstavbu a rozvoj ozbrojených síl Slovenskej republiky s výhľadom do roku 2030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4E424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Predkladateľ (a spolupredkladateľ)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Peter Gajdoš, minister obrany Slovenskej republiky</w:t>
            </w:r>
          </w:p>
        </w:tc>
      </w:tr>
      <w:tr w:rsidR="006E7B31" w:rsidRPr="006E7B31" w:rsidTr="004E4249">
        <w:tc>
          <w:tcPr>
            <w:tcW w:w="4212" w:type="dxa"/>
            <w:gridSpan w:val="2"/>
            <w:vMerge w:val="restart"/>
            <w:tcBorders>
              <w:bottom w:val="single" w:sz="4" w:space="0" w:color="FFFFFF"/>
            </w:tcBorders>
            <w:shd w:val="clear" w:color="auto" w:fill="E2E2E2"/>
            <w:vAlign w:val="center"/>
          </w:tcPr>
          <w:p w:rsidR="00F5074F" w:rsidRPr="006E7B31" w:rsidRDefault="00F5074F" w:rsidP="004E424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</w:rPr>
              <w:t>☒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Materiál nelegislatívnej povahy</w:t>
            </w:r>
          </w:p>
        </w:tc>
      </w:tr>
      <w:tr w:rsidR="006E7B31" w:rsidRPr="006E7B31" w:rsidTr="004E4249">
        <w:tc>
          <w:tcPr>
            <w:tcW w:w="4212" w:type="dxa"/>
            <w:gridSpan w:val="2"/>
            <w:vMerge/>
            <w:tcBorders>
              <w:top w:val="nil"/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Materiál legislatívnej povahy</w:t>
            </w:r>
          </w:p>
        </w:tc>
      </w:tr>
      <w:tr w:rsidR="006E7B31" w:rsidRPr="006E7B31" w:rsidTr="004E4249">
        <w:tc>
          <w:tcPr>
            <w:tcW w:w="4212" w:type="dxa"/>
            <w:gridSpan w:val="2"/>
            <w:vMerge/>
            <w:tcBorders>
              <w:top w:val="nil"/>
            </w:tcBorders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Transpozícia práva EÚ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V prípade transpozície uveďte zoznam transponovaných predpisov:</w:t>
            </w:r>
          </w:p>
        </w:tc>
      </w:tr>
      <w:tr w:rsidR="006E7B31" w:rsidRPr="006E7B31" w:rsidTr="004E4249">
        <w:tc>
          <w:tcPr>
            <w:tcW w:w="5634" w:type="dxa"/>
            <w:gridSpan w:val="5"/>
            <w:tcBorders>
              <w:top w:val="single" w:sz="4" w:space="0" w:color="000000"/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4E424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F5074F" w:rsidRPr="006E7B31" w:rsidRDefault="0050565C" w:rsidP="005056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 08. septembra</w:t>
            </w:r>
            <w:r w:rsidR="00F5074F" w:rsidRPr="006E7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2017</w:t>
            </w:r>
          </w:p>
          <w:p w:rsidR="0050565C" w:rsidRPr="006E7B31" w:rsidRDefault="0050565C" w:rsidP="005056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 12. septembra 2017</w:t>
            </w:r>
          </w:p>
        </w:tc>
      </w:tr>
      <w:tr w:rsidR="006E7B31" w:rsidRPr="006E7B31" w:rsidTr="004E4249">
        <w:tc>
          <w:tcPr>
            <w:tcW w:w="5634" w:type="dxa"/>
            <w:gridSpan w:val="5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4E424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September 2017</w:t>
            </w:r>
          </w:p>
        </w:tc>
      </w:tr>
      <w:tr w:rsidR="006E7B31" w:rsidRPr="006E7B31" w:rsidTr="004E4249">
        <w:trPr>
          <w:trHeight w:val="538"/>
        </w:trPr>
        <w:tc>
          <w:tcPr>
            <w:tcW w:w="5634" w:type="dxa"/>
            <w:gridSpan w:val="5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4E424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Október 2017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left w:val="nil"/>
              <w:righ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Definícia problému</w:t>
            </w:r>
          </w:p>
        </w:tc>
      </w:tr>
      <w:tr w:rsidR="006E7B31" w:rsidRPr="006E7B31" w:rsidTr="004E4249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 základné problémy, na ktoré navrhovaná regulácia reaguje.</w:t>
            </w:r>
          </w:p>
          <w:p w:rsidR="00F5074F" w:rsidRPr="006E7B31" w:rsidRDefault="00F5074F" w:rsidP="004E4249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</w:rPr>
              <w:t>Materiál bol vypracovaný a je predkladaný na rokovanie vlády Slovenskej republiky ako iniciatívny materiál.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Ciele a výsledný stav</w:t>
            </w:r>
          </w:p>
        </w:tc>
      </w:tr>
      <w:tr w:rsidR="006E7B31" w:rsidRPr="006E7B31" w:rsidTr="004E4249">
        <w:trPr>
          <w:trHeight w:val="741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:rsidR="00F5074F" w:rsidRPr="006E7B31" w:rsidRDefault="00F5074F" w:rsidP="004E42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 hlavné ciele navrhovaného predpisu (aký výsledný stav chcete reguláciou dosiahnuť).</w:t>
            </w:r>
          </w:p>
          <w:p w:rsidR="00F5074F" w:rsidRPr="006E7B31" w:rsidRDefault="00F5074F" w:rsidP="004E4249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</w:rPr>
              <w:t>Cieľom materiálu je definovanie požiadaviek na spôsobilosti ozbrojených síl Slovenskej republiky, v súlade s všeobecnými záväznými právnymi predpismi, medzinárodnými zmluvami, Obrannou stratégiou Slovenskej republiky a Bielou knihou o obrane Slovenskej republiky, s výhľadom do roku 2030 a postup ich realizácie.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Dotknuté subjekty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 subjekty, ktorých sa zmeny návrhu dotknú priamo aj nepriamo:</w:t>
            </w:r>
          </w:p>
          <w:p w:rsidR="00F5074F" w:rsidRPr="006E7B31" w:rsidRDefault="00F5074F" w:rsidP="004E4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Predložený návrh nemá priamy a nepriamy dopad na ostatné subjekty.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Alternatívne riešenia</w:t>
            </w:r>
          </w:p>
        </w:tc>
      </w:tr>
      <w:tr w:rsidR="006E7B31" w:rsidRPr="006E7B31" w:rsidTr="004E4249">
        <w:trPr>
          <w:trHeight w:val="709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Aké alternatívne riešenia boli posudzované?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Uveďte, aké alternatívne spôsoby na odstránenie definovaného problému boli identifikované a posudzované.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Alternatívne riešenia neboli navrhované.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Vykonávacie predpisy</w:t>
            </w:r>
          </w:p>
        </w:tc>
      </w:tr>
      <w:tr w:rsidR="006E7B31" w:rsidRPr="006E7B31" w:rsidTr="004E4249">
        <w:tc>
          <w:tcPr>
            <w:tcW w:w="6203" w:type="dxa"/>
            <w:gridSpan w:val="6"/>
            <w:tcBorders>
              <w:top w:val="single" w:sz="4" w:space="0" w:color="FFFFFF"/>
              <w:bottom w:val="nil"/>
              <w:righ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</w:rPr>
              <w:t>☐</w:t>
            </w:r>
            <w:r w:rsidRPr="006E7B31">
              <w:rPr>
                <w:rFonts w:ascii="Times New Roman" w:eastAsia="Times New Roman" w:hAnsi="Times New Roman" w:cs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</w:rPr>
              <w:t>☒</w:t>
            </w:r>
            <w:r w:rsidRPr="006E7B31">
              <w:rPr>
                <w:rFonts w:ascii="Times New Roman" w:eastAsia="Times New Roman" w:hAnsi="Times New Roman" w:cs="Times New Roman"/>
              </w:rPr>
              <w:t xml:space="preserve">  Nie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Ak áno, uveďte ktoré oblasti budú nimi upravené, resp. ktorých vykonávacích predpisov sa zmena dotkne: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 xml:space="preserve">Transpozícia práva EÚ </w:t>
            </w:r>
          </w:p>
        </w:tc>
      </w:tr>
      <w:tr w:rsidR="006E7B31" w:rsidRPr="006E7B31" w:rsidTr="004E4249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6E7B31" w:rsidRPr="006E7B31" w:rsidTr="004E4249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Preskúmanie účelnosti**</w:t>
            </w:r>
          </w:p>
        </w:tc>
      </w:tr>
      <w:tr w:rsidR="006E7B31" w:rsidRPr="006E7B31" w:rsidTr="004E4249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 termín, kedy by malo dôjsť k preskúmaniu účinnosti a účelnosti navrhovaného predpisu.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 kritériá, na základe ktorých bude preskúmanie vykonané.</w:t>
            </w:r>
          </w:p>
        </w:tc>
      </w:tr>
      <w:tr w:rsidR="006E7B31" w:rsidRPr="006E7B31" w:rsidTr="004E4249">
        <w:trPr>
          <w:trHeight w:val="715"/>
        </w:trPr>
        <w:tc>
          <w:tcPr>
            <w:tcW w:w="9180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 xml:space="preserve">* vyplniť iba v prípade, ak materiál nie je zahrnutý do Plánu práce vlády Slovenskej republiky alebo Plánu  legislatívnych úloh vlády Slovenskej republiky. 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** nepovinné</w:t>
            </w:r>
          </w:p>
        </w:tc>
      </w:tr>
      <w:tr w:rsidR="006E7B31" w:rsidRPr="006E7B31" w:rsidTr="004E4249">
        <w:trPr>
          <w:trHeight w:val="577"/>
        </w:trPr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  <w:vAlign w:val="center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lastRenderedPageBreak/>
              <w:t>Vplyvy navrhovaného materiálu</w:t>
            </w:r>
          </w:p>
        </w:tc>
      </w:tr>
      <w:tr w:rsidR="006E7B31" w:rsidRPr="006E7B31" w:rsidTr="004E4249">
        <w:tc>
          <w:tcPr>
            <w:tcW w:w="3812" w:type="dxa"/>
            <w:tcBorders>
              <w:bottom w:val="nil"/>
            </w:tcBorders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  <w:b/>
              </w:rPr>
              <w:t>☒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Negatívne</w:t>
            </w:r>
          </w:p>
        </w:tc>
      </w:tr>
      <w:tr w:rsidR="006E7B31" w:rsidRPr="006E7B31" w:rsidTr="004E4249">
        <w:tc>
          <w:tcPr>
            <w:tcW w:w="3812" w:type="dxa"/>
            <w:tcBorders>
              <w:top w:val="nil"/>
              <w:bottom w:val="single" w:sz="4" w:space="0" w:color="000000"/>
            </w:tcBorders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:rsidR="00F5074F" w:rsidRPr="006E7B31" w:rsidRDefault="006E7B31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</w:rPr>
              <w:t>☒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Áno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6E7B31" w:rsidP="004E424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Čiastočne</w:t>
            </w:r>
          </w:p>
        </w:tc>
      </w:tr>
      <w:tr w:rsidR="006E7B31" w:rsidRPr="006E7B31" w:rsidTr="004E4249">
        <w:tc>
          <w:tcPr>
            <w:tcW w:w="3812" w:type="dxa"/>
            <w:tcBorders>
              <w:top w:val="single" w:sz="4" w:space="0" w:color="000000"/>
              <w:bottom w:val="nil"/>
            </w:tcBorders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Negatívne</w:t>
            </w:r>
          </w:p>
        </w:tc>
      </w:tr>
      <w:tr w:rsidR="006E7B31" w:rsidRPr="006E7B31" w:rsidTr="004E4249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left w:val="single" w:sz="4" w:space="0" w:color="000000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Negatívne</w:t>
            </w:r>
          </w:p>
        </w:tc>
      </w:tr>
      <w:tr w:rsidR="006E7B31" w:rsidRPr="006E7B31" w:rsidTr="004E4249">
        <w:tc>
          <w:tcPr>
            <w:tcW w:w="3812" w:type="dxa"/>
            <w:tcBorders>
              <w:top w:val="single" w:sz="4" w:space="0" w:color="000000"/>
            </w:tcBorders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Negatívne</w:t>
            </w:r>
          </w:p>
        </w:tc>
      </w:tr>
      <w:tr w:rsidR="006E7B31" w:rsidRPr="006E7B31" w:rsidTr="004E4249">
        <w:tc>
          <w:tcPr>
            <w:tcW w:w="3812" w:type="dxa"/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Negatívne</w:t>
            </w:r>
          </w:p>
        </w:tc>
      </w:tr>
      <w:tr w:rsidR="006E7B31" w:rsidRPr="006E7B31" w:rsidTr="004E4249">
        <w:tc>
          <w:tcPr>
            <w:tcW w:w="3812" w:type="dxa"/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Negatívne</w:t>
            </w:r>
          </w:p>
        </w:tc>
      </w:tr>
      <w:tr w:rsidR="006E7B31" w:rsidRPr="006E7B31" w:rsidTr="004E4249">
        <w:tc>
          <w:tcPr>
            <w:tcW w:w="3812" w:type="dxa"/>
            <w:shd w:val="clear" w:color="auto" w:fill="E2E2E2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Vplyvy na služby verejnej správy pre občana, z toho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 xml:space="preserve">     vplyvy služieb verejnej správy na   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 xml:space="preserve">     občana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 xml:space="preserve">     vplyvy na procesy služieb vo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 xml:space="preserve">     verejnej správe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12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2"/>
                <w:szCs w:val="12"/>
              </w:rPr>
            </w:pP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Pozitívne</w:t>
            </w:r>
          </w:p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12"/>
                <w:szCs w:val="12"/>
              </w:rPr>
            </w:pP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</w:pP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  <w:b/>
              </w:rPr>
              <w:t>☒</w:t>
            </w: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12"/>
                <w:szCs w:val="12"/>
              </w:rPr>
            </w:pP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Gothic" w:hAnsi="MS Gothic" w:cs="Times New Roman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Žiadne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2"/>
                <w:szCs w:val="12"/>
              </w:rPr>
            </w:pP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2"/>
                <w:szCs w:val="12"/>
              </w:rPr>
            </w:pPr>
          </w:p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MS Mincho" w:hAnsi="MS Mincho" w:cs="Times New Roman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Negatívne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Negatívne</w:t>
            </w:r>
          </w:p>
        </w:tc>
      </w:tr>
    </w:tbl>
    <w:p w:rsidR="00F5074F" w:rsidRPr="006E7B31" w:rsidRDefault="00F5074F" w:rsidP="00F5074F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6"/>
      </w:tblGrid>
      <w:tr w:rsidR="006E7B31" w:rsidRPr="006E7B31" w:rsidTr="004E4249">
        <w:tc>
          <w:tcPr>
            <w:tcW w:w="9176" w:type="dxa"/>
            <w:tcBorders>
              <w:bottom w:val="nil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Poznámky</w:t>
            </w:r>
          </w:p>
        </w:tc>
      </w:tr>
      <w:tr w:rsidR="006E7B31" w:rsidRPr="006E7B31" w:rsidTr="004E4249">
        <w:trPr>
          <w:trHeight w:val="713"/>
        </w:trPr>
        <w:tc>
          <w:tcPr>
            <w:tcW w:w="9176" w:type="dxa"/>
            <w:tcBorders>
              <w:top w:val="nil"/>
              <w:bottom w:val="single" w:sz="4" w:space="0" w:color="FFFFFF"/>
            </w:tcBorders>
            <w:shd w:val="clear" w:color="auto" w:fill="auto"/>
          </w:tcPr>
          <w:p w:rsidR="00F5074F" w:rsidRPr="006E7B31" w:rsidRDefault="00F5074F" w:rsidP="004E4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V prípade potreby uveďte doplňujúce informácie k návrhu.</w:t>
            </w:r>
          </w:p>
        </w:tc>
      </w:tr>
      <w:tr w:rsidR="006E7B31" w:rsidRPr="006E7B31" w:rsidTr="004E4249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Kontakt na spracovateľa</w:t>
            </w:r>
          </w:p>
        </w:tc>
      </w:tr>
      <w:tr w:rsidR="006E7B31" w:rsidRPr="006E7B31" w:rsidTr="004E4249">
        <w:trPr>
          <w:trHeight w:val="586"/>
        </w:trPr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 údaje na kontaktnú osobu, ktorú je možné kontaktovať v súvislosti s posúdením vybraných vplyvov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Mgr. Juraj ČERVIENKA, tel. 0960 317 533, e-mail: juraj.cervienka@mod.gov.sk</w:t>
            </w:r>
          </w:p>
        </w:tc>
      </w:tr>
      <w:tr w:rsidR="006E7B31" w:rsidRPr="006E7B31" w:rsidTr="004E4249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Zdroje</w:t>
            </w:r>
          </w:p>
        </w:tc>
      </w:tr>
      <w:tr w:rsidR="006E7B31" w:rsidRPr="006E7B31" w:rsidTr="004E4249">
        <w:trPr>
          <w:trHeight w:val="401"/>
        </w:trPr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 zdroje (štatistiky, prieskumy, spoluprácu s odborníkmi a iné), z ktorých ste pri vypracovávaní doložky, príp. analýz vplyvov vychádzali.</w:t>
            </w:r>
          </w:p>
        </w:tc>
      </w:tr>
      <w:tr w:rsidR="006E7B31" w:rsidRPr="006E7B31" w:rsidTr="004E4249">
        <w:tc>
          <w:tcPr>
            <w:tcW w:w="9176" w:type="dxa"/>
            <w:tcBorders>
              <w:bottom w:val="single" w:sz="4" w:space="0" w:color="FFFFFF"/>
            </w:tcBorders>
            <w:shd w:val="clear" w:color="auto" w:fill="E2E2E2"/>
          </w:tcPr>
          <w:p w:rsidR="00F5074F" w:rsidRPr="006E7B31" w:rsidRDefault="00F5074F" w:rsidP="00F5074F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Stanovisko Komisie pre posudzovanie vybraných vplyvov z PPK</w:t>
            </w:r>
          </w:p>
        </w:tc>
      </w:tr>
      <w:tr w:rsidR="006E7B31" w:rsidRPr="006E7B31" w:rsidTr="004E4249">
        <w:tc>
          <w:tcPr>
            <w:tcW w:w="9176" w:type="dxa"/>
            <w:tcBorders>
              <w:top w:val="single" w:sz="4" w:space="0" w:color="FFFFFF"/>
            </w:tcBorders>
            <w:shd w:val="clear" w:color="auto" w:fill="FFFFF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Uveďte stanovisko Komisie pre posudzovanie vybraných vplyvov, ktoré Vám bolo zaslané v rámci predbežného pripomienkového konania</w:t>
            </w:r>
          </w:p>
          <w:p w:rsidR="004E4249" w:rsidRPr="006E7B31" w:rsidRDefault="004E4249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Stála pracovná komisia Legislatívnej rady vlády SR na posudzovanie vybraných vplyvov vyjadrila súhlasné stanovisko a k predkladanému materiálu neuplatňuje žiadne pripomienky ani odporúčania.</w:t>
            </w:r>
          </w:p>
        </w:tc>
      </w:tr>
    </w:tbl>
    <w:p w:rsidR="00F5074F" w:rsidRPr="006E7B31" w:rsidRDefault="00F5074F" w:rsidP="00F5074F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7B31">
        <w:rPr>
          <w:rFonts w:ascii="Times New Roman" w:eastAsia="Times New Roman" w:hAnsi="Times New Roman" w:cs="Times New Roman"/>
          <w:b/>
          <w:bCs/>
          <w:sz w:val="28"/>
          <w:szCs w:val="28"/>
        </w:rPr>
        <w:t>Analýza vplyvov na rozpočet verejnej správy,</w:t>
      </w:r>
    </w:p>
    <w:p w:rsidR="00F5074F" w:rsidRPr="006E7B31" w:rsidRDefault="00F5074F" w:rsidP="00F50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7B31">
        <w:rPr>
          <w:rFonts w:ascii="Times New Roman" w:eastAsia="Times New Roman" w:hAnsi="Times New Roman" w:cs="Times New Roman"/>
          <w:b/>
          <w:bCs/>
          <w:sz w:val="28"/>
          <w:szCs w:val="28"/>
        </w:rPr>
        <w:t>na zamestnanosť vo verejnej správe a financovanie návrhu</w:t>
      </w:r>
    </w:p>
    <w:p w:rsidR="00F5074F" w:rsidRPr="006E7B31" w:rsidRDefault="00F5074F" w:rsidP="00F507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/>
          <w:bCs/>
          <w:sz w:val="24"/>
          <w:szCs w:val="24"/>
        </w:rPr>
        <w:t>2.1 Zhrnutie vplyvov na rozpočet verejnej správy v návrhu</w:t>
      </w:r>
    </w:p>
    <w:p w:rsidR="00F5074F" w:rsidRPr="006E7B31" w:rsidRDefault="00F5074F" w:rsidP="00F507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>Tabuľka č. 1</w:t>
      </w:r>
    </w:p>
    <w:tbl>
      <w:tblPr>
        <w:tblW w:w="10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703"/>
        <w:gridCol w:w="1559"/>
        <w:gridCol w:w="247"/>
        <w:gridCol w:w="1354"/>
        <w:gridCol w:w="1520"/>
      </w:tblGrid>
      <w:tr w:rsidR="006E7B31" w:rsidRPr="006E7B31" w:rsidTr="00A138CA">
        <w:trPr>
          <w:gridAfter w:val="2"/>
          <w:wAfter w:w="2874" w:type="dxa"/>
          <w:cantSplit/>
          <w:trHeight w:val="276"/>
          <w:jc w:val="center"/>
        </w:trPr>
        <w:tc>
          <w:tcPr>
            <w:tcW w:w="4661" w:type="dxa"/>
            <w:vMerge w:val="restart"/>
            <w:shd w:val="clear" w:color="auto" w:fill="BFBFBF"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Vplyvy na rozpočet verejnej správy</w:t>
            </w:r>
          </w:p>
        </w:tc>
        <w:tc>
          <w:tcPr>
            <w:tcW w:w="703" w:type="dxa"/>
            <w:shd w:val="clear" w:color="auto" w:fill="BFBFBF"/>
          </w:tcPr>
          <w:p w:rsidR="00A138CA" w:rsidRPr="006E7B31" w:rsidRDefault="00A138CA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shd w:val="clear" w:color="auto" w:fill="BFBFBF"/>
          </w:tcPr>
          <w:p w:rsidR="00A138CA" w:rsidRPr="006E7B31" w:rsidRDefault="00A138CA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7B31" w:rsidRPr="006E7B31" w:rsidTr="00A138CA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BFBFBF"/>
          </w:tcPr>
          <w:p w:rsidR="00A138CA" w:rsidRPr="006E7B31" w:rsidRDefault="00A138CA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601" w:type="dxa"/>
            <w:gridSpan w:val="2"/>
            <w:shd w:val="clear" w:color="auto" w:fill="BFBFBF"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520" w:type="dxa"/>
            <w:shd w:val="clear" w:color="auto" w:fill="BFBFBF"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Príjmy verejnej správy celkom</w:t>
            </w:r>
          </w:p>
        </w:tc>
        <w:tc>
          <w:tcPr>
            <w:tcW w:w="703" w:type="dxa"/>
            <w:shd w:val="clear" w:color="auto" w:fill="C0C0C0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shd w:val="clear" w:color="auto" w:fill="C0C0C0"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C0C0C0"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v tom: za každý subjekt verejnej správy zvlášť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z toho:  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Rozpočtové prostriedky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EÚ zdroje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obce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vyššie územné celky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ostatné subjekty verejnej správy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Výdavky verejnej správy celkom</w:t>
            </w:r>
          </w:p>
        </w:tc>
        <w:tc>
          <w:tcPr>
            <w:tcW w:w="703" w:type="dxa"/>
            <w:shd w:val="clear" w:color="auto" w:fill="C0C0C0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  <w:shd w:val="clear" w:color="auto" w:fill="C0C0C0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1 081 934 141</w:t>
            </w:r>
          </w:p>
        </w:tc>
        <w:tc>
          <w:tcPr>
            <w:tcW w:w="1601" w:type="dxa"/>
            <w:gridSpan w:val="2"/>
            <w:shd w:val="clear" w:color="auto" w:fill="C0C0C0"/>
            <w:noWrap/>
            <w:vAlign w:val="center"/>
          </w:tcPr>
          <w:p w:rsidR="00A138CA" w:rsidRPr="006E7B31" w:rsidRDefault="00A138CA" w:rsidP="00BF6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1 154 506 945 </w:t>
            </w:r>
          </w:p>
        </w:tc>
        <w:tc>
          <w:tcPr>
            <w:tcW w:w="1520" w:type="dxa"/>
            <w:shd w:val="clear" w:color="auto" w:fill="C0C0C0"/>
            <w:noWrap/>
            <w:vAlign w:val="center"/>
          </w:tcPr>
          <w:p w:rsidR="00A138CA" w:rsidRPr="006E7B31" w:rsidRDefault="00A138CA" w:rsidP="00BF6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</w:rPr>
              <w:t>1 611 677 389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v tom: Ministerstvo obrany SR – rozpočtová kapitola 11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program 095 – Rozvoj obrany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program 096 – Obrana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Medzirezortné programy: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Podpora obrany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Hospodárska mobilizácia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7B31">
              <w:rPr>
                <w:rFonts w:ascii="Times New Roman" w:eastAsia="Times New Roman" w:hAnsi="Times New Roman" w:cs="Times New Roman"/>
                <w:szCs w:val="24"/>
              </w:rPr>
              <w:t>Vys</w:t>
            </w:r>
            <w:proofErr w:type="spellEnd"/>
            <w:r w:rsidRPr="006E7B31">
              <w:rPr>
                <w:rFonts w:ascii="Times New Roman" w:eastAsia="Times New Roman" w:hAnsi="Times New Roman" w:cs="Times New Roman"/>
                <w:szCs w:val="24"/>
              </w:rPr>
              <w:t>. civil. expertov do KM mimo SR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Oficiálna rozvojová pomoc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2. etapa implementácie MZP SZO v SR</w:t>
            </w:r>
          </w:p>
        </w:tc>
        <w:tc>
          <w:tcPr>
            <w:tcW w:w="703" w:type="dxa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1 081 934 141</w:t>
            </w: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325 434 426</w:t>
            </w: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749 309 839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</w:rPr>
              <w:t>870 000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6 000 000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307 376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2 500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1 154 506 945 </w:t>
            </w: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362 530 370</w:t>
            </w: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784 606 699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</w:rPr>
              <w:t>1 050 000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6 000 000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307 376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2 500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1 611 677 389</w:t>
            </w: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546 606 959</w:t>
            </w:r>
          </w:p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1 057 700 554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</w:rPr>
              <w:t>1 050 000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6 000 000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307 376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2 500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z toho: </w:t>
            </w:r>
          </w:p>
        </w:tc>
        <w:tc>
          <w:tcPr>
            <w:tcW w:w="703" w:type="dxa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703" w:type="dxa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i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i/>
              </w:rPr>
              <w:t>1 081 934 141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354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i/>
              </w:rPr>
              <w:t>1 154 506 945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BF6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i/>
              </w:rPr>
              <w:t>1 611 677 389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Rozpočtové prostriedky</w:t>
            </w:r>
          </w:p>
        </w:tc>
        <w:tc>
          <w:tcPr>
            <w:tcW w:w="703" w:type="dxa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1 081 934 141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i/>
              </w:rPr>
              <w:t>1 154 506 945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i/>
              </w:rPr>
              <w:t>1 611 677 389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EÚ zdroje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spolufinancovanie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obce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vyššie územné celky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ostatné subjekty verejnej správy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Vplyv na počet zamestnancov </w:t>
            </w:r>
          </w:p>
        </w:tc>
        <w:tc>
          <w:tcPr>
            <w:tcW w:w="703" w:type="dxa"/>
            <w:shd w:val="clear" w:color="auto" w:fill="BFBFBF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BFBFBF"/>
            <w:noWrap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20 592</w:t>
            </w:r>
          </w:p>
        </w:tc>
        <w:tc>
          <w:tcPr>
            <w:tcW w:w="1601" w:type="dxa"/>
            <w:gridSpan w:val="2"/>
            <w:shd w:val="clear" w:color="auto" w:fill="BFBFBF"/>
            <w:noWrap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21 292</w:t>
            </w:r>
          </w:p>
        </w:tc>
        <w:tc>
          <w:tcPr>
            <w:tcW w:w="1520" w:type="dxa"/>
            <w:shd w:val="clear" w:color="auto" w:fill="BFBFBF"/>
            <w:noWrap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21 810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703" w:type="dxa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20 592</w:t>
            </w:r>
          </w:p>
        </w:tc>
        <w:tc>
          <w:tcPr>
            <w:tcW w:w="1601" w:type="dxa"/>
            <w:gridSpan w:val="2"/>
            <w:noWrap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21 292</w:t>
            </w:r>
          </w:p>
        </w:tc>
        <w:tc>
          <w:tcPr>
            <w:tcW w:w="1520" w:type="dxa"/>
            <w:noWrap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21 810</w:t>
            </w:r>
          </w:p>
        </w:tc>
      </w:tr>
      <w:tr w:rsidR="006E7B31" w:rsidRPr="006E7B31" w:rsidTr="007758A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obce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7758A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vyššie územné celky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7758A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ostatné subjekty verejnej správy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BD6D9D" w:rsidRPr="006E7B31" w:rsidTr="00A138CA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BD6D9D" w:rsidRPr="006E7B31" w:rsidRDefault="00BD6D9D" w:rsidP="00BD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Vplyv na mzdové výdavky</w:t>
            </w:r>
          </w:p>
        </w:tc>
        <w:tc>
          <w:tcPr>
            <w:tcW w:w="703" w:type="dxa"/>
            <w:shd w:val="clear" w:color="auto" w:fill="BFBFBF"/>
          </w:tcPr>
          <w:p w:rsidR="00BD6D9D" w:rsidRPr="006E7B31" w:rsidRDefault="00BD6D9D" w:rsidP="00BD6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</w:rPr>
              <w:t>0</w:t>
            </w:r>
          </w:p>
        </w:tc>
        <w:tc>
          <w:tcPr>
            <w:tcW w:w="1559" w:type="dxa"/>
            <w:shd w:val="clear" w:color="auto" w:fill="BFBFBF"/>
            <w:noWrap/>
            <w:vAlign w:val="center"/>
          </w:tcPr>
          <w:p w:rsidR="00BD6D9D" w:rsidRPr="00BD6D9D" w:rsidRDefault="00BD6D9D" w:rsidP="00BD6D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6D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277 469 538</w:t>
            </w:r>
          </w:p>
        </w:tc>
        <w:tc>
          <w:tcPr>
            <w:tcW w:w="1601" w:type="dxa"/>
            <w:gridSpan w:val="2"/>
            <w:shd w:val="clear" w:color="auto" w:fill="BFBFBF"/>
            <w:noWrap/>
            <w:vAlign w:val="center"/>
          </w:tcPr>
          <w:p w:rsidR="00BD6D9D" w:rsidRPr="00BD6D9D" w:rsidRDefault="00BD6D9D" w:rsidP="00BD6D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6D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277 469 538</w:t>
            </w:r>
          </w:p>
        </w:tc>
        <w:tc>
          <w:tcPr>
            <w:tcW w:w="1520" w:type="dxa"/>
            <w:shd w:val="clear" w:color="auto" w:fill="BFBFBF"/>
            <w:noWrap/>
            <w:vAlign w:val="center"/>
          </w:tcPr>
          <w:p w:rsidR="00BD6D9D" w:rsidRPr="00BD6D9D" w:rsidRDefault="00BD6D9D" w:rsidP="00BD6D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6D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277 469 538</w:t>
            </w:r>
          </w:p>
        </w:tc>
      </w:tr>
      <w:tr w:rsidR="00BD6D9D" w:rsidRPr="006E7B31" w:rsidTr="003E365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BD6D9D" w:rsidRPr="006E7B31" w:rsidRDefault="00BD6D9D" w:rsidP="00BD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ŠR</w:t>
            </w:r>
          </w:p>
        </w:tc>
        <w:tc>
          <w:tcPr>
            <w:tcW w:w="703" w:type="dxa"/>
          </w:tcPr>
          <w:p w:rsidR="00BD6D9D" w:rsidRPr="006E7B31" w:rsidRDefault="00BD6D9D" w:rsidP="00BD6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</w:rPr>
            </w:pPr>
            <w:r w:rsidRPr="006E7B31">
              <w:rPr>
                <w:rFonts w:ascii="Times New Roman" w:eastAsia="Times New Roman" w:hAnsi="Times New Roman" w:cs="Times New Roman"/>
                <w:bCs/>
                <w:iCs/>
                <w:sz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BD6D9D" w:rsidRPr="006E7B31" w:rsidRDefault="00BD6D9D" w:rsidP="00BD6D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277 469 538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BD6D9D" w:rsidRPr="006E7B31" w:rsidRDefault="00BD6D9D" w:rsidP="00BD6D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277 469 538</w:t>
            </w:r>
          </w:p>
        </w:tc>
        <w:tc>
          <w:tcPr>
            <w:tcW w:w="1520" w:type="dxa"/>
            <w:noWrap/>
            <w:vAlign w:val="center"/>
          </w:tcPr>
          <w:p w:rsidR="00BD6D9D" w:rsidRPr="006E7B31" w:rsidRDefault="00BD6D9D" w:rsidP="00BD6D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277 469 538</w:t>
            </w:r>
          </w:p>
        </w:tc>
      </w:tr>
      <w:tr w:rsidR="006E7B31" w:rsidRPr="006E7B31" w:rsidTr="00375CE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obce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375CE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vyššie územné celky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375CE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vplyv na ostatné subjekty verejnej správy</w:t>
            </w:r>
          </w:p>
        </w:tc>
        <w:tc>
          <w:tcPr>
            <w:tcW w:w="703" w:type="dxa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Financovanie zabezpečené v rozpočte</w:t>
            </w:r>
          </w:p>
        </w:tc>
        <w:tc>
          <w:tcPr>
            <w:tcW w:w="703" w:type="dxa"/>
            <w:shd w:val="clear" w:color="auto" w:fill="C0C0C0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</w:rPr>
              <w:t>0</w:t>
            </w:r>
          </w:p>
        </w:tc>
        <w:tc>
          <w:tcPr>
            <w:tcW w:w="1559" w:type="dxa"/>
            <w:shd w:val="clear" w:color="auto" w:fill="C0C0C0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sz w:val="24"/>
              </w:rPr>
              <w:t>1 081 934 141</w:t>
            </w:r>
          </w:p>
        </w:tc>
        <w:tc>
          <w:tcPr>
            <w:tcW w:w="1601" w:type="dxa"/>
            <w:gridSpan w:val="2"/>
            <w:shd w:val="clear" w:color="auto" w:fill="C0C0C0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sz w:val="24"/>
              </w:rPr>
              <w:t>1 154 506 945 </w:t>
            </w:r>
          </w:p>
        </w:tc>
        <w:tc>
          <w:tcPr>
            <w:tcW w:w="1520" w:type="dxa"/>
            <w:shd w:val="clear" w:color="auto" w:fill="C0C0C0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sz w:val="24"/>
              </w:rPr>
              <w:t>1 611 677 389</w:t>
            </w:r>
          </w:p>
        </w:tc>
      </w:tr>
      <w:tr w:rsidR="006E7B31" w:rsidRPr="006E7B31" w:rsidTr="00A138CA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lastRenderedPageBreak/>
              <w:t>v tom: Ministerstvo obrany SR – rozpočtová kapitola 11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program 095 – Rozvoj obrany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program 096 – Obrana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Medzirezortné programy: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Podpora obrany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Hospodárska mobilizácia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7B31">
              <w:rPr>
                <w:rFonts w:ascii="Times New Roman" w:eastAsia="Times New Roman" w:hAnsi="Times New Roman" w:cs="Times New Roman"/>
              </w:rPr>
              <w:t>Vys</w:t>
            </w:r>
            <w:proofErr w:type="spellEnd"/>
            <w:r w:rsidRPr="006E7B31">
              <w:rPr>
                <w:rFonts w:ascii="Times New Roman" w:eastAsia="Times New Roman" w:hAnsi="Times New Roman" w:cs="Times New Roman"/>
              </w:rPr>
              <w:t>. civil. expertov do KM mimo SR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Oficiálna rozvojová pomoc</w:t>
            </w:r>
          </w:p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2. etapa implementácie MZP SZO v SR</w:t>
            </w:r>
          </w:p>
        </w:tc>
        <w:tc>
          <w:tcPr>
            <w:tcW w:w="703" w:type="dxa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559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1 081 934 141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325 434 426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749 309 839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870 000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6 000 000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307 376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2 500</w:t>
            </w:r>
          </w:p>
        </w:tc>
        <w:tc>
          <w:tcPr>
            <w:tcW w:w="1601" w:type="dxa"/>
            <w:gridSpan w:val="2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1 154 506 945 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362 530 370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784 606 699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1 050 000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6 000 000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307 376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2 500</w:t>
            </w:r>
          </w:p>
        </w:tc>
        <w:tc>
          <w:tcPr>
            <w:tcW w:w="1520" w:type="dxa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1 611 677 389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546 606 959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1 057 700 554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1 050 000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6 000 000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307 376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10 000</w:t>
            </w:r>
          </w:p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</w:rPr>
              <w:t>2 500</w:t>
            </w:r>
          </w:p>
        </w:tc>
      </w:tr>
      <w:tr w:rsidR="006E7B31" w:rsidRPr="006E7B31" w:rsidTr="00626645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Iné ako rozpočtové zdroje</w:t>
            </w:r>
          </w:p>
        </w:tc>
        <w:tc>
          <w:tcPr>
            <w:tcW w:w="703" w:type="dxa"/>
            <w:shd w:val="clear" w:color="auto" w:fill="BFBFBF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BFBFBF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shd w:val="clear" w:color="auto" w:fill="BFBFBF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BFBFBF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E7B31" w:rsidRPr="006E7B31" w:rsidTr="00626645">
        <w:trPr>
          <w:trHeight w:val="70"/>
          <w:jc w:val="center"/>
        </w:trPr>
        <w:tc>
          <w:tcPr>
            <w:tcW w:w="4661" w:type="dxa"/>
            <w:shd w:val="clear" w:color="auto" w:fill="A6A6A6"/>
            <w:noWrap/>
            <w:vAlign w:val="center"/>
          </w:tcPr>
          <w:p w:rsidR="00A138CA" w:rsidRPr="006E7B31" w:rsidRDefault="00A138CA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Rozpočtovo nekrytý vplyv / úspora</w:t>
            </w:r>
          </w:p>
        </w:tc>
        <w:tc>
          <w:tcPr>
            <w:tcW w:w="703" w:type="dxa"/>
            <w:shd w:val="clear" w:color="auto" w:fill="A6A6A6"/>
            <w:vAlign w:val="center"/>
          </w:tcPr>
          <w:p w:rsidR="00A138CA" w:rsidRPr="006E7B31" w:rsidRDefault="00A138CA" w:rsidP="004E3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6A6A6"/>
            <w:noWrap/>
            <w:vAlign w:val="center"/>
          </w:tcPr>
          <w:p w:rsidR="00A138CA" w:rsidRPr="006E7B31" w:rsidRDefault="00A138CA" w:rsidP="00BF6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01" w:type="dxa"/>
            <w:gridSpan w:val="2"/>
            <w:shd w:val="clear" w:color="auto" w:fill="A6A6A6"/>
            <w:noWrap/>
            <w:vAlign w:val="center"/>
          </w:tcPr>
          <w:p w:rsidR="00A138CA" w:rsidRPr="006E7B31" w:rsidRDefault="00A138CA" w:rsidP="00BF6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6A6A6"/>
            <w:noWrap/>
            <w:vAlign w:val="center"/>
          </w:tcPr>
          <w:p w:rsidR="00A138CA" w:rsidRPr="006E7B31" w:rsidRDefault="00A138CA" w:rsidP="00BF65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bookmarkEnd w:id="1"/>
    </w:tbl>
    <w:p w:rsidR="00F5074F" w:rsidRPr="006E7B31" w:rsidRDefault="00F5074F" w:rsidP="00F507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074F" w:rsidRPr="006E7B31" w:rsidRDefault="00F5074F" w:rsidP="00F5074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2"/>
          <w:szCs w:val="24"/>
        </w:rPr>
      </w:pPr>
      <w:r w:rsidRPr="006E7B31">
        <w:rPr>
          <w:rFonts w:ascii="Times New Roman" w:eastAsia="Times New Roman" w:hAnsi="Times New Roman" w:cs="Times New Roman"/>
          <w:b/>
          <w:bCs/>
          <w:sz w:val="24"/>
          <w:szCs w:val="24"/>
        </w:rPr>
        <w:t>2.1.1. Financovanie návrhu - Návrh na riešenie úbytku príjmov alebo zvýšených výdavkov podľa § 33 ods. 1 zákona č. 523/2004 Z. z. o rozpočtových pravidlách verejnej správy:</w:t>
      </w:r>
    </w:p>
    <w:p w:rsidR="00F5074F" w:rsidRPr="006E7B31" w:rsidRDefault="00F5074F" w:rsidP="00F507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 xml:space="preserve">Zabezpečenie postupov realizácie navrhovaných opatrení si vyžaduje finančné prostriedky v rokoch 2018-2020 v celkovej výške: 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848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118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475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eur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, z toho na rok:</w:t>
      </w:r>
    </w:p>
    <w:p w:rsidR="00F5074F" w:rsidRPr="006E7B31" w:rsidRDefault="00F5074F" w:rsidP="00F507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2018:  1 0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81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934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141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eur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, 2019: 1 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154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506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D6D9D">
        <w:rPr>
          <w:rFonts w:ascii="Times New Roman" w:eastAsia="Times New Roman" w:hAnsi="Times New Roman" w:cs="Times New Roman"/>
          <w:bCs/>
          <w:sz w:val="24"/>
          <w:szCs w:val="24"/>
        </w:rPr>
        <w:t>945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eur</w:t>
      </w: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 xml:space="preserve">, 2020: </w:t>
      </w:r>
      <w:r w:rsidRPr="006E7B31">
        <w:rPr>
          <w:rFonts w:ascii="Times New Roman" w:eastAsia="Calibri" w:hAnsi="Times New Roman" w:cs="Times New Roman"/>
          <w:bCs/>
          <w:sz w:val="24"/>
        </w:rPr>
        <w:t>1 611 </w:t>
      </w:r>
      <w:r w:rsidR="00354B13" w:rsidRPr="006E7B31">
        <w:rPr>
          <w:rFonts w:ascii="Times New Roman" w:eastAsia="Calibri" w:hAnsi="Times New Roman" w:cs="Times New Roman"/>
          <w:bCs/>
          <w:sz w:val="24"/>
        </w:rPr>
        <w:t>677</w:t>
      </w:r>
      <w:r w:rsidRPr="006E7B31">
        <w:rPr>
          <w:rFonts w:ascii="Times New Roman" w:eastAsia="Calibri" w:hAnsi="Times New Roman" w:cs="Times New Roman"/>
          <w:bCs/>
          <w:sz w:val="24"/>
        </w:rPr>
        <w:t> </w:t>
      </w:r>
      <w:r w:rsidR="00354B13" w:rsidRPr="006E7B31">
        <w:rPr>
          <w:rFonts w:ascii="Times New Roman" w:eastAsia="Calibri" w:hAnsi="Times New Roman" w:cs="Times New Roman"/>
          <w:bCs/>
          <w:sz w:val="24"/>
        </w:rPr>
        <w:t>389</w:t>
      </w:r>
      <w:r w:rsidRPr="006E7B31">
        <w:rPr>
          <w:rFonts w:ascii="Times New Roman" w:eastAsia="Calibri" w:hAnsi="Times New Roman" w:cs="Times New Roman"/>
          <w:bCs/>
          <w:sz w:val="24"/>
        </w:rPr>
        <w:t xml:space="preserve"> </w:t>
      </w:r>
      <w:r w:rsidR="00354B13" w:rsidRPr="006E7B31">
        <w:rPr>
          <w:rFonts w:ascii="Times New Roman" w:eastAsia="Times New Roman" w:hAnsi="Times New Roman" w:cs="Times New Roman"/>
          <w:bCs/>
          <w:sz w:val="24"/>
          <w:szCs w:val="24"/>
        </w:rPr>
        <w:t>eur</w:t>
      </w:r>
    </w:p>
    <w:p w:rsidR="00F5074F" w:rsidRPr="006E7B31" w:rsidRDefault="00F5074F" w:rsidP="00F507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/>
          <w:bCs/>
          <w:sz w:val="24"/>
          <w:szCs w:val="24"/>
        </w:rPr>
        <w:t>2.2. Popis a charakteristika návrhu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/>
          <w:bCs/>
          <w:sz w:val="24"/>
          <w:szCs w:val="24"/>
        </w:rPr>
        <w:t>2.2.1. Popis návrhu:</w:t>
      </w:r>
    </w:p>
    <w:p w:rsidR="00F5074F" w:rsidRPr="006E7B31" w:rsidRDefault="00F5074F" w:rsidP="00F507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>Akú problematiku návrh rieši? Kto bude návrh implementovať? Kde sa budú služby poskytovať?</w:t>
      </w:r>
    </w:p>
    <w:p w:rsidR="00F5074F" w:rsidRPr="006E7B31" w:rsidRDefault="00F5074F" w:rsidP="00F5074F">
      <w:pPr>
        <w:tabs>
          <w:tab w:val="left" w:pos="709"/>
          <w:tab w:val="left" w:pos="993"/>
        </w:tabs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B31">
        <w:rPr>
          <w:rFonts w:ascii="Times New Roman" w:eastAsia="Calibri" w:hAnsi="Times New Roman" w:cs="Times New Roman"/>
          <w:sz w:val="24"/>
          <w:szCs w:val="24"/>
        </w:rPr>
        <w:t>Materiál „Dlhodobý plán rozvoja obrany s dôrazom na výstavbu a rozvoj ozbrojených síl Slovenskej republiky s výhľadom do roku 2030</w:t>
      </w:r>
      <w:r w:rsidRPr="006E7B31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r w:rsidRPr="006E7B31">
        <w:rPr>
          <w:rFonts w:ascii="Times New Roman" w:eastAsia="Calibri" w:hAnsi="Times New Roman" w:cs="Times New Roman"/>
          <w:sz w:val="24"/>
          <w:szCs w:val="24"/>
        </w:rPr>
        <w:t xml:space="preserve">popisuje ako budú dosahované ciele rozvoja spôsobilostí ozbrojených síl Slovenskej republiky. Zároveň poskytuje rámec, ktorý umožní prijímať rozhodnutia o prioritách obstarávania a modernizácie hlavnej výzbroje, techniky a materiálu ozbrojených síl vo vzťahu k obrannej politike Slovenskej republiky. Je zameraný na výstavbu moderných ozbrojených síl na plnenie širokého spektra úloh v oblasti obrany štátu i mimo územia štátu. Poskytuje trinásťročný plánovací rámec, ktorý umožňuje prijímať rozhodnutia o postupe realizácie rozvoja. </w:t>
      </w:r>
    </w:p>
    <w:p w:rsidR="00F5074F" w:rsidRPr="006E7B31" w:rsidRDefault="00F5074F" w:rsidP="00F5074F">
      <w:pPr>
        <w:tabs>
          <w:tab w:val="left" w:pos="709"/>
          <w:tab w:val="left" w:pos="993"/>
        </w:tabs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5074F" w:rsidRPr="006E7B31" w:rsidRDefault="00F5074F" w:rsidP="00F5074F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/>
          <w:bCs/>
          <w:sz w:val="24"/>
          <w:szCs w:val="24"/>
        </w:rPr>
        <w:t>2.2.2. Charakteristika návrhu:</w:t>
      </w:r>
    </w:p>
    <w:p w:rsidR="00F5074F" w:rsidRPr="006E7B31" w:rsidRDefault="00F5074F" w:rsidP="00F5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>zmena sadzby</w:t>
      </w:r>
    </w:p>
    <w:p w:rsidR="00F5074F" w:rsidRPr="006E7B31" w:rsidRDefault="00F5074F" w:rsidP="00F5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 xml:space="preserve">  zmena v nároku</w:t>
      </w:r>
    </w:p>
    <w:p w:rsidR="00F5074F" w:rsidRPr="006E7B31" w:rsidRDefault="00F5074F" w:rsidP="00F5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 xml:space="preserve">  nová služba alebo nariadenie (alebo ich zrušenie)</w:t>
      </w:r>
    </w:p>
    <w:p w:rsidR="00F5074F" w:rsidRPr="006E7B31" w:rsidRDefault="00F5074F" w:rsidP="00F5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 xml:space="preserve">  kombinovaný návrh</w:t>
      </w:r>
    </w:p>
    <w:p w:rsidR="00F5074F" w:rsidRPr="006E7B31" w:rsidRDefault="00F5074F" w:rsidP="00F5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X</w:t>
      </w:r>
      <w:r w:rsidRPr="006E7B31">
        <w:rPr>
          <w:rFonts w:ascii="Times New Roman" w:eastAsia="Times New Roman" w:hAnsi="Times New Roman" w:cs="Times New Roman"/>
          <w:sz w:val="24"/>
          <w:szCs w:val="24"/>
        </w:rPr>
        <w:t xml:space="preserve">  iné </w:t>
      </w:r>
    </w:p>
    <w:p w:rsidR="00F5074F" w:rsidRPr="006E7B31" w:rsidRDefault="00F5074F" w:rsidP="00F5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/>
          <w:bCs/>
          <w:sz w:val="24"/>
          <w:szCs w:val="24"/>
        </w:rPr>
        <w:t>2.2.3. Predpoklady vývoja objemu aktivít: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>Jasne popíšte, v prípade potreby použite nižšie uvedenú tabuľku. Uveďte aj odhady základov daní a/alebo poplatkov, ak sa ich táto zmena týka.</w:t>
      </w:r>
    </w:p>
    <w:p w:rsidR="00F5074F" w:rsidRPr="006E7B31" w:rsidRDefault="00F5074F" w:rsidP="00F5074F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074F" w:rsidRPr="006E7B31" w:rsidRDefault="00F5074F" w:rsidP="00F5074F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074F" w:rsidRPr="006E7B31" w:rsidRDefault="006E7B31" w:rsidP="00F5074F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</w:t>
      </w:r>
      <w:r w:rsidR="00F5074F" w:rsidRPr="006E7B31">
        <w:rPr>
          <w:rFonts w:ascii="Times New Roman" w:eastAsia="Times New Roman" w:hAnsi="Times New Roman" w:cs="Times New Roman"/>
          <w:sz w:val="24"/>
          <w:szCs w:val="24"/>
        </w:rPr>
        <w:t xml:space="preserve">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6E7B31" w:rsidRPr="006E7B31" w:rsidTr="004E4249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/>
            <w:vAlign w:val="center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/>
            <w:vAlign w:val="center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Odhadované objemy</w:t>
            </w:r>
          </w:p>
        </w:tc>
      </w:tr>
      <w:tr w:rsidR="006E7B31" w:rsidRPr="006E7B31" w:rsidTr="004E4249">
        <w:trPr>
          <w:cantSplit/>
          <w:trHeight w:val="70"/>
        </w:trPr>
        <w:tc>
          <w:tcPr>
            <w:tcW w:w="4530" w:type="dxa"/>
            <w:vMerge/>
            <w:shd w:val="clear" w:color="auto" w:fill="BFBFBF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+ 1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+ 2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+ 3</w:t>
            </w:r>
          </w:p>
        </w:tc>
      </w:tr>
      <w:tr w:rsidR="006E7B31" w:rsidRPr="006E7B31" w:rsidTr="004E4249">
        <w:trPr>
          <w:trHeight w:val="70"/>
        </w:trPr>
        <w:tc>
          <w:tcPr>
            <w:tcW w:w="4530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Indikátor ABC</w:t>
            </w: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70"/>
        </w:trPr>
        <w:tc>
          <w:tcPr>
            <w:tcW w:w="4530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Indikátor KLM</w:t>
            </w: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74F" w:rsidRPr="006E7B31" w:rsidTr="004E4249">
        <w:trPr>
          <w:trHeight w:val="70"/>
        </w:trPr>
        <w:tc>
          <w:tcPr>
            <w:tcW w:w="4530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Indikátor XYZ</w:t>
            </w: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74F" w:rsidRPr="006E7B31" w:rsidRDefault="00F5074F" w:rsidP="004E42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074F" w:rsidRPr="006E7B31" w:rsidRDefault="00F5074F" w:rsidP="00F5074F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074F" w:rsidRPr="006E7B31" w:rsidRDefault="00F5074F" w:rsidP="00F5074F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/>
          <w:bCs/>
          <w:sz w:val="24"/>
          <w:szCs w:val="24"/>
        </w:rPr>
        <w:t>2.2.4. Výpočty vplyvov na verejné financie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sz w:val="24"/>
          <w:szCs w:val="24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F5074F" w:rsidRPr="006E7B31" w:rsidSect="004E4249">
          <w:footerReference w:type="default" r:id="rId8"/>
          <w:pgSz w:w="11906" w:h="16838"/>
          <w:pgMar w:top="1417" w:right="1417" w:bottom="1276" w:left="1417" w:header="708" w:footer="708" w:gutter="0"/>
          <w:pgNumType w:start="44"/>
          <w:cols w:space="708"/>
          <w:docGrid w:linePitch="360"/>
        </w:sectPr>
      </w:pPr>
    </w:p>
    <w:p w:rsidR="00F5074F" w:rsidRPr="006E7B31" w:rsidRDefault="00F5074F" w:rsidP="00F5074F">
      <w:pPr>
        <w:spacing w:after="24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Tabuľka č. 3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6E7B31" w:rsidRPr="006E7B31" w:rsidTr="004E4249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6E7B31" w:rsidRPr="006E7B31" w:rsidTr="004E4249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Daňové príjmy (100)</w:t>
            </w: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Nedaňové príjmy (200)</w:t>
            </w: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Granty a transfery (300)</w:t>
            </w: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1 –  príjmy rozpísať až do položiek platnej ekonomickej klasifikácie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/>
          <w:bCs/>
          <w:sz w:val="24"/>
          <w:szCs w:val="24"/>
        </w:rPr>
        <w:t>Poznámka: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7B31">
        <w:rPr>
          <w:rFonts w:ascii="Times New Roman" w:eastAsia="Times New Roman" w:hAnsi="Times New Roman" w:cs="Times New Roman"/>
          <w:bCs/>
          <w:sz w:val="24"/>
          <w:szCs w:val="24"/>
        </w:rPr>
        <w:t>Ak sa vplyv týka viacerých subjektov verejnej správy, vypĺňa sa samostatná tabuľka za každý subjekt.</w:t>
      </w: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240" w:line="240" w:lineRule="auto"/>
        <w:ind w:right="-32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E7B3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Tabuľka č. 4 </w:t>
      </w: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2356"/>
        <w:gridCol w:w="1843"/>
        <w:gridCol w:w="1961"/>
        <w:gridCol w:w="2220"/>
      </w:tblGrid>
      <w:tr w:rsidR="006E7B31" w:rsidRPr="006E7B31" w:rsidTr="004E424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Výdavky (v eurách)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6E7B31" w:rsidRPr="006E7B31" w:rsidTr="004E424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Bežné výdavky (600)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51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834 680 396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833 814 613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354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1 169 770 004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Mzdy, platy, služobné príjmy a ostatné osobné vyrovnania (610)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277 469 538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277 469 538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277 469 538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Poistné a príspevok do poisťovní (620)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106 379 362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106 836 538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107 559 533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Tovary a služby (630)</w:t>
            </w:r>
            <w:r w:rsidRPr="006E7B3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51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288 632 160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286 830 808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354B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617 201 144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Bežné transfery (640)</w:t>
            </w:r>
            <w:r w:rsidRPr="006E7B3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162 199 336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162 677 729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167 539 789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Splácanie úrokov a ostatné platby súvisiace s úverom, pôžičkou, návratnou finančnou výpomocou a finančným prenájmom (650)</w:t>
            </w:r>
            <w:r w:rsidRPr="006E7B3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Kapitálové výdavky (700)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BD6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BD6D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="00514372"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="00BD6D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253</w:t>
            </w: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6D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51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320 692 332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441 907 385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Obstarávanie kapitálových aktív (710)</w:t>
            </w:r>
            <w:r w:rsidRPr="006E7B3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6D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247 253 745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6D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320 692 332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BD6D9D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D9D">
              <w:rPr>
                <w:rFonts w:ascii="Times New Roman" w:eastAsia="Calibri" w:hAnsi="Times New Roman" w:cs="Times New Roman"/>
                <w:sz w:val="24"/>
                <w:szCs w:val="24"/>
              </w:rPr>
              <w:t>441 907 385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Kapitálové transfery (720)</w:t>
            </w:r>
            <w:r w:rsidRPr="006E7B3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Výdavky z transakcií s finančnými aktívami a finančnými pasívami (800)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Dopad na výdavky verejnej správy celkom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51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Times New Roman" w:hAnsi="Times New Roman" w:cs="Times New Roman"/>
                <w:b/>
                <w:sz w:val="24"/>
              </w:rPr>
              <w:t>1 </w:t>
            </w:r>
            <w:r w:rsidR="00514372" w:rsidRPr="006E7B31">
              <w:rPr>
                <w:rFonts w:ascii="Times New Roman" w:eastAsia="Times New Roman" w:hAnsi="Times New Roman" w:cs="Times New Roman"/>
                <w:b/>
                <w:sz w:val="24"/>
              </w:rPr>
              <w:t>081</w:t>
            </w:r>
            <w:r w:rsidRPr="006E7B31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 w:rsidR="00514372" w:rsidRPr="006E7B31">
              <w:rPr>
                <w:rFonts w:ascii="Times New Roman" w:eastAsia="Times New Roman" w:hAnsi="Times New Roman" w:cs="Times New Roman"/>
                <w:b/>
                <w:sz w:val="24"/>
              </w:rPr>
              <w:t>934</w:t>
            </w:r>
            <w:r w:rsidRPr="006E7B3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514372" w:rsidRPr="006E7B31">
              <w:rPr>
                <w:rFonts w:ascii="Times New Roman" w:eastAsia="Times New Roman" w:hAnsi="Times New Roman" w:cs="Times New Roman"/>
                <w:b/>
                <w:sz w:val="24"/>
              </w:rPr>
              <w:t>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51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sz w:val="24"/>
              </w:rPr>
              <w:t>1 </w:t>
            </w:r>
            <w:r w:rsidR="00514372" w:rsidRPr="006E7B31">
              <w:rPr>
                <w:rFonts w:ascii="Times New Roman" w:eastAsia="Calibri" w:hAnsi="Times New Roman" w:cs="Times New Roman"/>
                <w:b/>
                <w:sz w:val="24"/>
              </w:rPr>
              <w:t>154</w:t>
            </w:r>
            <w:r w:rsidRPr="006E7B31">
              <w:rPr>
                <w:rFonts w:ascii="Times New Roman" w:eastAsia="Calibri" w:hAnsi="Times New Roman" w:cs="Times New Roman"/>
                <w:b/>
                <w:sz w:val="24"/>
              </w:rPr>
              <w:t> </w:t>
            </w:r>
            <w:r w:rsidR="00514372" w:rsidRPr="006E7B31">
              <w:rPr>
                <w:rFonts w:ascii="Times New Roman" w:eastAsia="Calibri" w:hAnsi="Times New Roman" w:cs="Times New Roman"/>
                <w:b/>
                <w:sz w:val="24"/>
              </w:rPr>
              <w:t>506</w:t>
            </w:r>
            <w:r w:rsidRPr="006E7B31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="00514372" w:rsidRPr="006E7B31">
              <w:rPr>
                <w:rFonts w:ascii="Times New Roman" w:eastAsia="Calibri" w:hAnsi="Times New Roman" w:cs="Times New Roman"/>
                <w:b/>
                <w:sz w:val="24"/>
              </w:rPr>
              <w:t>945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51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</w:rPr>
              <w:t>1 611 </w:t>
            </w:r>
            <w:r w:rsidR="00514372" w:rsidRPr="006E7B31">
              <w:rPr>
                <w:rFonts w:ascii="Times New Roman" w:eastAsia="Calibri" w:hAnsi="Times New Roman" w:cs="Times New Roman"/>
                <w:b/>
                <w:bCs/>
                <w:sz w:val="24"/>
              </w:rPr>
              <w:t>677</w:t>
            </w: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</w:t>
            </w:r>
            <w:r w:rsidR="00514372" w:rsidRPr="006E7B31">
              <w:rPr>
                <w:rFonts w:ascii="Times New Roman" w:eastAsia="Calibri" w:hAnsi="Times New Roman" w:cs="Times New Roman"/>
                <w:b/>
                <w:bCs/>
                <w:sz w:val="24"/>
              </w:rPr>
              <w:t>389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B31">
        <w:rPr>
          <w:rFonts w:ascii="Times New Roman" w:eastAsia="Calibri" w:hAnsi="Times New Roman" w:cs="Times New Roman"/>
          <w:bCs/>
          <w:sz w:val="24"/>
          <w:szCs w:val="24"/>
        </w:rPr>
        <w:t>2 – výdavky rozpísať až do položiek platnej ekonomickej klasifikácie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7B31">
        <w:rPr>
          <w:rFonts w:ascii="Times New Roman" w:eastAsia="Calibri" w:hAnsi="Times New Roman" w:cs="Times New Roman"/>
          <w:b/>
          <w:bCs/>
          <w:sz w:val="24"/>
          <w:szCs w:val="24"/>
        </w:rPr>
        <w:t>Poznámka: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B31">
        <w:rPr>
          <w:rFonts w:ascii="Times New Roman" w:eastAsia="Calibri" w:hAnsi="Times New Roman" w:cs="Times New Roman"/>
          <w:bCs/>
          <w:sz w:val="24"/>
          <w:szCs w:val="24"/>
        </w:rPr>
        <w:t>Ak sa vplyv týka viacerých subjektov verejnej správy, vypĺňa sa samostatná tabuľka za každý subjekt.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E7B3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                Tabuľka č. 5 </w:t>
      </w:r>
    </w:p>
    <w:p w:rsidR="00F5074F" w:rsidRPr="006E7B31" w:rsidRDefault="00F5074F" w:rsidP="00F507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8"/>
        <w:gridCol w:w="1701"/>
        <w:gridCol w:w="709"/>
        <w:gridCol w:w="1176"/>
        <w:gridCol w:w="1233"/>
        <w:gridCol w:w="465"/>
        <w:gridCol w:w="1722"/>
        <w:gridCol w:w="630"/>
        <w:gridCol w:w="990"/>
      </w:tblGrid>
      <w:tr w:rsidR="006E7B31" w:rsidRPr="006E7B31" w:rsidTr="004E4249">
        <w:trPr>
          <w:cantSplit/>
          <w:trHeight w:val="255"/>
        </w:trPr>
        <w:tc>
          <w:tcPr>
            <w:tcW w:w="6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Zamestnanosť</w:t>
            </w:r>
          </w:p>
        </w:tc>
        <w:tc>
          <w:tcPr>
            <w:tcW w:w="7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6E7B31" w:rsidRPr="006E7B31" w:rsidTr="004E4249">
        <w:trPr>
          <w:cantSplit/>
          <w:trHeight w:val="255"/>
        </w:trPr>
        <w:tc>
          <w:tcPr>
            <w:tcW w:w="6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Počet zamestnancov celkom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20 592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21 292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21 810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 toho vplyv na ŠR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20 592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21 292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21 810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Priemerný mzdový výdavok (v eurách)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1 157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1 177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1 268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 toho vplyv na ŠR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1 157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1 177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1 268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Osobné výdavky celkom (v eurách)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392 286 986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410 446 761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455 221 527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Mzdy, platy, služobné príjmy a ostatné osobné vyrovnania(610)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285 907 624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300 670 223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332 063 974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 toho vplyv na ŠR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285 907 624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300 670 223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332 063 974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Poistné a príspevok do poisťovní (620)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106 379 362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109 776 538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123 157 553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 toho vplyv na ŠR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106 379 362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109 776 538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74F" w:rsidRPr="006E7B31" w:rsidRDefault="00F5074F" w:rsidP="004E42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</w:rPr>
              <w:t>123 157 553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255"/>
        </w:trPr>
        <w:tc>
          <w:tcPr>
            <w:tcW w:w="6808" w:type="dxa"/>
            <w:tcBorders>
              <w:top w:val="nil"/>
              <w:left w:val="nil"/>
              <w:bottom w:val="nil"/>
              <w:right w:val="nil"/>
            </w:tcBorders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Poznámky: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255"/>
        </w:trPr>
        <w:tc>
          <w:tcPr>
            <w:tcW w:w="138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5074F" w:rsidRPr="006E7B31" w:rsidRDefault="00F5074F" w:rsidP="004E4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B31" w:rsidRPr="006E7B31" w:rsidTr="004E424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B31">
              <w:rPr>
                <w:rFonts w:ascii="Times New Roman" w:eastAsia="Calibri" w:hAnsi="Times New Roman" w:cs="Times New Roman"/>
                <w:sz w:val="24"/>
                <w:szCs w:val="24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5074F" w:rsidRPr="006E7B31" w:rsidRDefault="00F5074F" w:rsidP="004E42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5074F" w:rsidRPr="006E7B31" w:rsidRDefault="00F5074F" w:rsidP="00F5074F">
      <w:pPr>
        <w:spacing w:after="0" w:line="240" w:lineRule="auto"/>
        <w:ind w:right="-57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F5074F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074F" w:rsidRPr="006E7B31" w:rsidRDefault="00F5074F" w:rsidP="006E7B31">
      <w:pPr>
        <w:spacing w:after="0" w:line="240" w:lineRule="auto"/>
        <w:ind w:right="-578"/>
        <w:rPr>
          <w:rFonts w:ascii="Times New Roman" w:eastAsia="Times New Roman" w:hAnsi="Times New Roman" w:cs="Times New Roman"/>
          <w:bCs/>
          <w:sz w:val="24"/>
          <w:szCs w:val="24"/>
        </w:rPr>
        <w:sectPr w:rsidR="00F5074F" w:rsidRPr="006E7B31" w:rsidSect="004E4249">
          <w:pgSz w:w="16838" w:h="11906" w:orient="landscape"/>
          <w:pgMar w:top="1134" w:right="1418" w:bottom="1418" w:left="1418" w:header="709" w:footer="709" w:gutter="0"/>
          <w:cols w:space="708"/>
          <w:docGrid w:linePitch="360"/>
        </w:sectPr>
      </w:pPr>
    </w:p>
    <w:p w:rsidR="00D3270E" w:rsidRPr="006E7B31" w:rsidRDefault="00D3270E"/>
    <w:sectPr w:rsidR="00D3270E" w:rsidRPr="006E7B31" w:rsidSect="008D0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3AC" w:rsidRDefault="001623AC">
      <w:pPr>
        <w:spacing w:after="0" w:line="240" w:lineRule="auto"/>
      </w:pPr>
      <w:r>
        <w:separator/>
      </w:r>
    </w:p>
  </w:endnote>
  <w:endnote w:type="continuationSeparator" w:id="0">
    <w:p w:rsidR="001623AC" w:rsidRDefault="0016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372" w:rsidRDefault="00514372">
    <w:pPr>
      <w:pStyle w:val="Pta"/>
      <w:jc w:val="center"/>
    </w:pPr>
  </w:p>
  <w:p w:rsidR="00514372" w:rsidRDefault="005143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3AC" w:rsidRDefault="001623AC">
      <w:pPr>
        <w:spacing w:after="0" w:line="240" w:lineRule="auto"/>
      </w:pPr>
      <w:r>
        <w:separator/>
      </w:r>
    </w:p>
  </w:footnote>
  <w:footnote w:type="continuationSeparator" w:id="0">
    <w:p w:rsidR="001623AC" w:rsidRDefault="00162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8E"/>
    <w:rsid w:val="001623AC"/>
    <w:rsid w:val="001627E7"/>
    <w:rsid w:val="00166E35"/>
    <w:rsid w:val="00212F3A"/>
    <w:rsid w:val="00354B13"/>
    <w:rsid w:val="004B51E1"/>
    <w:rsid w:val="004E4249"/>
    <w:rsid w:val="004F4741"/>
    <w:rsid w:val="0050565C"/>
    <w:rsid w:val="00514372"/>
    <w:rsid w:val="005C7FF8"/>
    <w:rsid w:val="006E7B31"/>
    <w:rsid w:val="007D07A3"/>
    <w:rsid w:val="008D0789"/>
    <w:rsid w:val="0096198E"/>
    <w:rsid w:val="009A7410"/>
    <w:rsid w:val="00A138CA"/>
    <w:rsid w:val="00A7487B"/>
    <w:rsid w:val="00A90F9E"/>
    <w:rsid w:val="00AF5847"/>
    <w:rsid w:val="00B00D33"/>
    <w:rsid w:val="00B627B1"/>
    <w:rsid w:val="00BD6D9D"/>
    <w:rsid w:val="00C50A51"/>
    <w:rsid w:val="00D3270E"/>
    <w:rsid w:val="00D54D03"/>
    <w:rsid w:val="00F009A1"/>
    <w:rsid w:val="00F5074F"/>
    <w:rsid w:val="00F905DF"/>
    <w:rsid w:val="00FB3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0A0B9-C789-4FD3-9330-397742D9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07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50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074F"/>
  </w:style>
  <w:style w:type="paragraph" w:styleId="Textbubliny">
    <w:name w:val="Balloon Text"/>
    <w:basedOn w:val="Normlny"/>
    <w:link w:val="TextbublinyChar"/>
    <w:uiPriority w:val="99"/>
    <w:semiHidden/>
    <w:unhideWhenUsed/>
    <w:rsid w:val="00505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65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E7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Doložka-vybraných-vplyvov"/>
    <f:field ref="objsubject" par="" edit="true" text=""/>
    <f:field ref="objcreatedby" par="" text="Grunská, Ivana, PhDr."/>
    <f:field ref="objcreatedat" par="" text="14.9.2017 10:16:25"/>
    <f:field ref="objchangedby" par="" text="Administrator, System"/>
    <f:field ref="objmodifiedat" par="" text="14.9.2017 10:16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https://ovdmasv601/sites/DMS/_layouts/15/DocIdRedir.aspx?ID=WKX3UHSAJ2R6-2-802008</Url>
      <Description>WKX3UHSAJ2R6-2-802008</Description>
    </_dlc_DocIdUrl>
    <_dlc_DocId xmlns="e60a29af-d413-48d4-bd90-fe9d2a897e4b">WKX3UHSAJ2R6-2-802008</_dlc_DocId>
  </documentManagement>
</p:properties>
</file>

<file path=customXml/itemProps1.xml><?xml version="1.0" encoding="utf-8"?>
<ds:datastoreItem xmlns:ds="http://schemas.openxmlformats.org/officeDocument/2006/customXml" ds:itemID="{DFEA09A0-CB28-4C43-BF89-733B3F56EAAF}"/>
</file>

<file path=customXml/itemProps2.xml><?xml version="1.0" encoding="utf-8"?>
<ds:datastoreItem xmlns:ds="http://schemas.openxmlformats.org/officeDocument/2006/customXml" ds:itemID="{3562DFCF-5F74-4CB7-87C8-F36C32E5DAA9}"/>
</file>

<file path=customXml/itemProps3.xml><?xml version="1.0" encoding="utf-8"?>
<ds:datastoreItem xmlns:ds="http://schemas.openxmlformats.org/officeDocument/2006/customXml" ds:itemID="{55637C85-6BBF-4341-B3B1-47E169520F2D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69778824-CF44-4507-9A03-D671B0E1ED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1722</Words>
  <Characters>9817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 SR</Company>
  <LinksUpToDate>false</LinksUpToDate>
  <CharactersWithSpaces>11516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CERVIENKA Juraj</dc:creator>
  <cp:keywords/>
  <dc:description/>
  <cp:lastModifiedBy>SEVCOVICOVA Viola</cp:lastModifiedBy>
  <cp:revision>2</cp:revision>
  <cp:lastPrinted>2017-09-14T08:11:00Z</cp:lastPrinted>
  <dcterms:created xsi:type="dcterms:W3CDTF">2017-09-28T09:16:00Z</dcterms:created>
  <dcterms:modified xsi:type="dcterms:W3CDTF">2017-09-28T09:16:00Z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PhDr. Ivana Grunská</vt:lpwstr>
  </property>
  <property fmtid="{D5CDD505-2E9C-101B-9397-08002B2CF9AE}" pid="12" name="FSC#SKEDITIONSLOVLEX@103.510:zodppredkladatel">
    <vt:lpwstr>Peter Gajdoš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Dlhodobého plánu rozvoja obrany s dôrazom na výstavbu a rozvoj ozbrojených síl Slovenskej republiky s výhľadom do roku 2030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obrany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 MO SR v súlade s § 25 ods. 3 zákona č. 319/2002 Z. z. o obrane Slovenskej republiky v znení neskorších predpisov </vt:lpwstr>
  </property>
  <property fmtid="{D5CDD505-2E9C-101B-9397-08002B2CF9AE}" pid="23" name="FSC#SKEDITIONSLOVLEX@103.510:plnynazovpredpis">
    <vt:lpwstr> Návrh Dlhodobého plánu rozvoja obrany s dôrazom na výstavbu a rozvoj ozbrojených síl Slovenskej republiky s výhľadom do roku 2030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SEKRO-72-18/2017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LP/2017/665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>Vláda Slovenskej republiky na svojom rokovaní dňa ....................... prerokovala a schválila materiál Návrh Dlhodobého plánu rozvoja obrany s dôrazom na výstavbu a rozvoj ozbrojených síl Slovenskej republiky s výhľadom do roku 2030.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>minister obrany_x000d_
predseda Národnej rady Slovenskej republiky 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obrany Slovenskej republiky</vt:lpwstr>
  </property>
  <property fmtid="{D5CDD505-2E9C-101B-9397-08002B2CF9AE}" pid="142" name="FSC#SKEDITIONSLOVLEX@103.510:funkciaZodpPredAkuzativ">
    <vt:lpwstr>ministrovi obrany Slovenskej republiky</vt:lpwstr>
  </property>
  <property fmtid="{D5CDD505-2E9C-101B-9397-08002B2CF9AE}" pid="143" name="FSC#SKEDITIONSLOVLEX@103.510:funkciaZodpPredDativ">
    <vt:lpwstr>ministra obrany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Peter Gajdoš_x000d_
minister obrany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14. 9. 2017</vt:lpwstr>
  </property>
  <property fmtid="{D5CDD505-2E9C-101B-9397-08002B2CF9AE}" pid="151" name="FSC#COOSYSTEM@1.1:Container">
    <vt:lpwstr>COO.2145.1000.3.2158295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22b106aa-5b82-4905-8f8f-b7ac65878338</vt:lpwstr>
  </property>
</Properties>
</file>