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118" w:rsidRPr="00DC4A5C" w:rsidRDefault="00927118" w:rsidP="00DC4A5C">
      <w:pPr>
        <w:adjustRightInd w:val="0"/>
        <w:spacing w:after="0" w:line="240" w:lineRule="auto"/>
        <w:jc w:val="center"/>
        <w:rPr>
          <w:rFonts w:ascii="Times New Roman" w:eastAsia="Times New Roman" w:hAnsi="Times New Roman" w:cs="Calibri"/>
          <w:b/>
          <w:caps/>
          <w:sz w:val="24"/>
          <w:szCs w:val="28"/>
        </w:rPr>
      </w:pPr>
      <w:r w:rsidRPr="00DC4A5C">
        <w:rPr>
          <w:rFonts w:ascii="Times New Roman" w:eastAsia="Times New Roman" w:hAnsi="Times New Roman" w:cs="Calibri"/>
          <w:b/>
          <w:caps/>
          <w:sz w:val="24"/>
          <w:szCs w:val="28"/>
        </w:rPr>
        <w:t>Vyhodnotenie medzirezortného pripomienkového konania</w:t>
      </w:r>
    </w:p>
    <w:p w:rsidR="00927118" w:rsidRPr="00DC4A5C" w:rsidRDefault="00927118" w:rsidP="00DC4A5C">
      <w:pPr>
        <w:spacing w:after="0"/>
        <w:jc w:val="center"/>
        <w:rPr>
          <w:sz w:val="20"/>
        </w:rPr>
      </w:pPr>
    </w:p>
    <w:p w:rsidR="00307B19" w:rsidRPr="00DC4A5C" w:rsidRDefault="00307B19" w:rsidP="00DC4A5C">
      <w:pPr>
        <w:spacing w:after="0"/>
        <w:jc w:val="center"/>
        <w:divId w:val="1200120403"/>
        <w:rPr>
          <w:rFonts w:ascii="Times" w:hAnsi="Times" w:cs="Times"/>
          <w:sz w:val="24"/>
          <w:szCs w:val="25"/>
        </w:rPr>
      </w:pPr>
      <w:r w:rsidRPr="00DC4A5C">
        <w:rPr>
          <w:rFonts w:ascii="Times" w:hAnsi="Times" w:cs="Times"/>
          <w:sz w:val="24"/>
          <w:szCs w:val="25"/>
        </w:rPr>
        <w:t xml:space="preserve">Návrh Akčného plánu rozvoja okresu Bardejov a návrh na uvoľnenie finančných prostriedkov zo zdrojov kapitoly Všeobecná pokladničná správa </w:t>
      </w:r>
    </w:p>
    <w:p w:rsidR="00927118" w:rsidRPr="00DC4A5C" w:rsidRDefault="00927118" w:rsidP="00DC4A5C">
      <w:pPr>
        <w:spacing w:after="0"/>
        <w:rPr>
          <w:sz w:val="20"/>
        </w:rPr>
      </w:pPr>
    </w:p>
    <w:tbl>
      <w:tblPr>
        <w:tblW w:w="15598" w:type="dxa"/>
        <w:tblCellMar>
          <w:left w:w="0" w:type="dxa"/>
          <w:right w:w="0" w:type="dxa"/>
        </w:tblCellMar>
        <w:tblLook w:val="0000" w:firstRow="0" w:lastRow="0" w:firstColumn="0" w:lastColumn="0" w:noHBand="0" w:noVBand="0"/>
      </w:tblPr>
      <w:tblGrid>
        <w:gridCol w:w="7797"/>
        <w:gridCol w:w="7801"/>
      </w:tblGrid>
      <w:tr w:rsidR="00927118" w:rsidRPr="00DC4A5C" w:rsidTr="00B76589">
        <w:tc>
          <w:tcPr>
            <w:tcW w:w="7797"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24"/>
                <w:szCs w:val="25"/>
              </w:rPr>
            </w:pPr>
            <w:r w:rsidRPr="00DC4A5C">
              <w:rPr>
                <w:rFonts w:ascii="Times New Roman" w:hAnsi="Times New Roman" w:cs="Calibri"/>
                <w:sz w:val="24"/>
                <w:szCs w:val="25"/>
              </w:rPr>
              <w:t>Spôsob pripomienkového konania</w:t>
            </w:r>
          </w:p>
        </w:tc>
        <w:tc>
          <w:tcPr>
            <w:tcW w:w="7801"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18"/>
                <w:szCs w:val="20"/>
              </w:rPr>
            </w:pPr>
            <w:r w:rsidRPr="00DC4A5C">
              <w:rPr>
                <w:rFonts w:ascii="Times New Roman" w:hAnsi="Times New Roman" w:cs="Calibri"/>
                <w:sz w:val="18"/>
                <w:szCs w:val="20"/>
              </w:rPr>
              <w:t> </w:t>
            </w:r>
          </w:p>
        </w:tc>
      </w:tr>
      <w:tr w:rsidR="00A251BF" w:rsidRPr="00DC4A5C" w:rsidTr="00B76589">
        <w:tc>
          <w:tcPr>
            <w:tcW w:w="7797" w:type="dxa"/>
            <w:tcBorders>
              <w:top w:val="nil"/>
              <w:left w:val="nil"/>
              <w:bottom w:val="nil"/>
              <w:right w:val="nil"/>
            </w:tcBorders>
          </w:tcPr>
          <w:p w:rsidR="00A251BF" w:rsidRPr="00DC4A5C" w:rsidRDefault="00A251BF" w:rsidP="00DC4A5C">
            <w:pPr>
              <w:spacing w:after="0" w:line="240" w:lineRule="auto"/>
              <w:rPr>
                <w:rFonts w:ascii="Times New Roman" w:hAnsi="Times New Roman" w:cs="Calibri"/>
                <w:sz w:val="24"/>
                <w:szCs w:val="25"/>
              </w:rPr>
            </w:pPr>
            <w:r w:rsidRPr="00DC4A5C">
              <w:rPr>
                <w:rFonts w:ascii="Times New Roman" w:hAnsi="Times New Roman" w:cs="Calibri"/>
                <w:sz w:val="24"/>
                <w:szCs w:val="25"/>
              </w:rPr>
              <w:t>Počet vznesených pripomienok, z toho zásadných</w:t>
            </w:r>
          </w:p>
        </w:tc>
        <w:tc>
          <w:tcPr>
            <w:tcW w:w="7801" w:type="dxa"/>
            <w:tcBorders>
              <w:top w:val="nil"/>
              <w:left w:val="nil"/>
              <w:bottom w:val="nil"/>
              <w:right w:val="nil"/>
            </w:tcBorders>
          </w:tcPr>
          <w:p w:rsidR="00A251BF" w:rsidRPr="00DC4A5C" w:rsidRDefault="00307B19" w:rsidP="00DC4A5C">
            <w:pPr>
              <w:spacing w:after="0" w:line="240" w:lineRule="auto"/>
              <w:rPr>
                <w:rFonts w:ascii="Times New Roman" w:hAnsi="Times New Roman" w:cs="Calibri"/>
                <w:sz w:val="18"/>
                <w:szCs w:val="20"/>
              </w:rPr>
            </w:pPr>
            <w:r w:rsidRPr="00DC4A5C">
              <w:rPr>
                <w:rFonts w:ascii="Times" w:hAnsi="Times" w:cs="Times"/>
                <w:sz w:val="24"/>
                <w:szCs w:val="25"/>
              </w:rPr>
              <w:t>52 /9</w:t>
            </w:r>
          </w:p>
        </w:tc>
      </w:tr>
      <w:tr w:rsidR="00927118" w:rsidRPr="00DC4A5C" w:rsidTr="00B76589">
        <w:tc>
          <w:tcPr>
            <w:tcW w:w="7797"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24"/>
                <w:szCs w:val="25"/>
              </w:rPr>
            </w:pPr>
            <w:r w:rsidRPr="00DC4A5C">
              <w:rPr>
                <w:rFonts w:ascii="Times New Roman" w:hAnsi="Times New Roman" w:cs="Calibri"/>
                <w:sz w:val="24"/>
                <w:szCs w:val="25"/>
              </w:rPr>
              <w:t>Počet vyhodnotených pripomienok</w:t>
            </w:r>
          </w:p>
        </w:tc>
        <w:tc>
          <w:tcPr>
            <w:tcW w:w="7801" w:type="dxa"/>
            <w:tcBorders>
              <w:top w:val="nil"/>
              <w:left w:val="nil"/>
              <w:bottom w:val="nil"/>
              <w:right w:val="nil"/>
            </w:tcBorders>
          </w:tcPr>
          <w:p w:rsidR="00927118" w:rsidRPr="00DC4A5C" w:rsidRDefault="00307B19" w:rsidP="00DC4A5C">
            <w:pPr>
              <w:spacing w:after="0" w:line="240" w:lineRule="auto"/>
              <w:rPr>
                <w:rFonts w:ascii="Times New Roman" w:hAnsi="Times New Roman" w:cs="Calibri"/>
                <w:sz w:val="18"/>
                <w:szCs w:val="20"/>
              </w:rPr>
            </w:pPr>
            <w:r w:rsidRPr="00DC4A5C">
              <w:rPr>
                <w:rFonts w:ascii="Times" w:hAnsi="Times" w:cs="Times"/>
                <w:sz w:val="24"/>
                <w:szCs w:val="25"/>
              </w:rPr>
              <w:t>52</w:t>
            </w:r>
          </w:p>
        </w:tc>
      </w:tr>
      <w:tr w:rsidR="00927118" w:rsidRPr="00DC4A5C" w:rsidTr="00B76589">
        <w:tc>
          <w:tcPr>
            <w:tcW w:w="7797"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24"/>
                <w:szCs w:val="25"/>
              </w:rPr>
            </w:pPr>
          </w:p>
        </w:tc>
        <w:tc>
          <w:tcPr>
            <w:tcW w:w="7801"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18"/>
                <w:szCs w:val="20"/>
              </w:rPr>
            </w:pPr>
          </w:p>
        </w:tc>
      </w:tr>
      <w:tr w:rsidR="00927118" w:rsidRPr="00DC4A5C" w:rsidTr="00B76589">
        <w:tc>
          <w:tcPr>
            <w:tcW w:w="7797"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24"/>
                <w:szCs w:val="25"/>
              </w:rPr>
            </w:pPr>
            <w:r w:rsidRPr="00DC4A5C">
              <w:rPr>
                <w:rFonts w:ascii="Times New Roman" w:hAnsi="Times New Roman" w:cs="Calibri"/>
                <w:sz w:val="24"/>
                <w:szCs w:val="25"/>
              </w:rPr>
              <w:t>Počet akceptovaných pripomienok, z toho zásadných</w:t>
            </w:r>
          </w:p>
        </w:tc>
        <w:tc>
          <w:tcPr>
            <w:tcW w:w="7801" w:type="dxa"/>
            <w:tcBorders>
              <w:top w:val="nil"/>
              <w:left w:val="nil"/>
              <w:bottom w:val="nil"/>
              <w:right w:val="nil"/>
            </w:tcBorders>
          </w:tcPr>
          <w:p w:rsidR="00927118" w:rsidRPr="00DC4A5C" w:rsidRDefault="00307B19" w:rsidP="00DC4A5C">
            <w:pPr>
              <w:spacing w:after="0" w:line="240" w:lineRule="auto"/>
              <w:rPr>
                <w:rFonts w:ascii="Times New Roman" w:hAnsi="Times New Roman" w:cs="Calibri"/>
                <w:sz w:val="18"/>
                <w:szCs w:val="20"/>
              </w:rPr>
            </w:pPr>
            <w:r w:rsidRPr="00DC4A5C">
              <w:rPr>
                <w:rFonts w:ascii="Times" w:hAnsi="Times" w:cs="Times"/>
                <w:sz w:val="24"/>
                <w:szCs w:val="25"/>
              </w:rPr>
              <w:t>34 /3</w:t>
            </w:r>
          </w:p>
        </w:tc>
      </w:tr>
      <w:tr w:rsidR="00927118" w:rsidRPr="00DC4A5C" w:rsidTr="00B76589">
        <w:tc>
          <w:tcPr>
            <w:tcW w:w="7797"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24"/>
                <w:szCs w:val="25"/>
              </w:rPr>
            </w:pPr>
            <w:r w:rsidRPr="00DC4A5C">
              <w:rPr>
                <w:rFonts w:ascii="Times New Roman" w:hAnsi="Times New Roman" w:cs="Calibri"/>
                <w:sz w:val="24"/>
                <w:szCs w:val="25"/>
              </w:rPr>
              <w:t>Počet čiastočne akceptovaných pripomienok, z toho zásadných</w:t>
            </w:r>
          </w:p>
        </w:tc>
        <w:tc>
          <w:tcPr>
            <w:tcW w:w="7801" w:type="dxa"/>
            <w:tcBorders>
              <w:top w:val="nil"/>
              <w:left w:val="nil"/>
              <w:bottom w:val="nil"/>
              <w:right w:val="nil"/>
            </w:tcBorders>
          </w:tcPr>
          <w:p w:rsidR="00927118" w:rsidRPr="00DC4A5C" w:rsidRDefault="00307B19" w:rsidP="00DC4A5C">
            <w:pPr>
              <w:spacing w:after="0" w:line="240" w:lineRule="auto"/>
              <w:rPr>
                <w:rFonts w:ascii="Times New Roman" w:hAnsi="Times New Roman" w:cs="Calibri"/>
                <w:sz w:val="18"/>
                <w:szCs w:val="20"/>
              </w:rPr>
            </w:pPr>
            <w:r w:rsidRPr="00DC4A5C">
              <w:rPr>
                <w:rFonts w:ascii="Times" w:hAnsi="Times" w:cs="Times"/>
                <w:sz w:val="24"/>
                <w:szCs w:val="25"/>
              </w:rPr>
              <w:t>16 /6</w:t>
            </w:r>
          </w:p>
        </w:tc>
      </w:tr>
      <w:tr w:rsidR="00927118" w:rsidRPr="00DC4A5C" w:rsidTr="00B76589">
        <w:tc>
          <w:tcPr>
            <w:tcW w:w="7797"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24"/>
                <w:szCs w:val="25"/>
              </w:rPr>
            </w:pPr>
            <w:r w:rsidRPr="00DC4A5C">
              <w:rPr>
                <w:rFonts w:ascii="Times New Roman" w:hAnsi="Times New Roman" w:cs="Calibri"/>
                <w:sz w:val="24"/>
                <w:szCs w:val="25"/>
              </w:rPr>
              <w:t>Počet neakceptovaných pripomienok, z toho zásadných</w:t>
            </w:r>
          </w:p>
        </w:tc>
        <w:tc>
          <w:tcPr>
            <w:tcW w:w="7801" w:type="dxa"/>
            <w:tcBorders>
              <w:top w:val="nil"/>
              <w:left w:val="nil"/>
              <w:bottom w:val="nil"/>
              <w:right w:val="nil"/>
            </w:tcBorders>
          </w:tcPr>
          <w:p w:rsidR="00927118" w:rsidRPr="00DC4A5C" w:rsidRDefault="00307B19" w:rsidP="00DC4A5C">
            <w:pPr>
              <w:spacing w:after="0" w:line="240" w:lineRule="auto"/>
              <w:rPr>
                <w:rFonts w:ascii="Times New Roman" w:hAnsi="Times New Roman" w:cs="Calibri"/>
                <w:sz w:val="18"/>
                <w:szCs w:val="20"/>
              </w:rPr>
            </w:pPr>
            <w:r w:rsidRPr="00DC4A5C">
              <w:rPr>
                <w:rFonts w:ascii="Times" w:hAnsi="Times" w:cs="Times"/>
                <w:sz w:val="24"/>
                <w:szCs w:val="25"/>
              </w:rPr>
              <w:t>2 /0</w:t>
            </w:r>
          </w:p>
        </w:tc>
      </w:tr>
      <w:tr w:rsidR="00927118" w:rsidRPr="00DC4A5C" w:rsidTr="00B76589">
        <w:tc>
          <w:tcPr>
            <w:tcW w:w="7797"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bCs/>
                <w:sz w:val="24"/>
                <w:szCs w:val="25"/>
              </w:rPr>
            </w:pPr>
          </w:p>
        </w:tc>
        <w:tc>
          <w:tcPr>
            <w:tcW w:w="7801"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18"/>
                <w:szCs w:val="20"/>
              </w:rPr>
            </w:pPr>
          </w:p>
        </w:tc>
      </w:tr>
      <w:tr w:rsidR="00927118" w:rsidRPr="00DC4A5C" w:rsidTr="00B76589">
        <w:tc>
          <w:tcPr>
            <w:tcW w:w="7797"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24"/>
                <w:szCs w:val="25"/>
              </w:rPr>
            </w:pPr>
            <w:proofErr w:type="spellStart"/>
            <w:r w:rsidRPr="00DC4A5C">
              <w:rPr>
                <w:rFonts w:ascii="Times New Roman" w:hAnsi="Times New Roman" w:cs="Calibri"/>
                <w:bCs/>
                <w:sz w:val="24"/>
                <w:szCs w:val="25"/>
              </w:rPr>
              <w:t>Rozporové</w:t>
            </w:r>
            <w:proofErr w:type="spellEnd"/>
            <w:r w:rsidRPr="00DC4A5C">
              <w:rPr>
                <w:rFonts w:ascii="Times New Roman" w:hAnsi="Times New Roman" w:cs="Calibri"/>
                <w:bCs/>
                <w:sz w:val="24"/>
                <w:szCs w:val="25"/>
              </w:rPr>
              <w:t xml:space="preserve"> konanie (s kým, kedy, s akým výsledkom)</w:t>
            </w:r>
          </w:p>
        </w:tc>
        <w:tc>
          <w:tcPr>
            <w:tcW w:w="7801"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18"/>
                <w:szCs w:val="20"/>
              </w:rPr>
            </w:pPr>
          </w:p>
        </w:tc>
      </w:tr>
      <w:tr w:rsidR="00927118" w:rsidRPr="00DC4A5C" w:rsidTr="00B76589">
        <w:tc>
          <w:tcPr>
            <w:tcW w:w="7797"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bCs/>
                <w:sz w:val="24"/>
                <w:szCs w:val="25"/>
              </w:rPr>
            </w:pPr>
            <w:r w:rsidRPr="00DC4A5C">
              <w:rPr>
                <w:rFonts w:ascii="Times New Roman" w:hAnsi="Times New Roman" w:cs="Calibri"/>
                <w:bCs/>
                <w:sz w:val="24"/>
                <w:szCs w:val="25"/>
              </w:rPr>
              <w:t>Počet odstránených pripomienok</w:t>
            </w:r>
          </w:p>
        </w:tc>
        <w:tc>
          <w:tcPr>
            <w:tcW w:w="7801"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18"/>
                <w:szCs w:val="20"/>
              </w:rPr>
            </w:pPr>
          </w:p>
        </w:tc>
      </w:tr>
      <w:tr w:rsidR="00927118" w:rsidRPr="00DC4A5C" w:rsidTr="00B76589">
        <w:tc>
          <w:tcPr>
            <w:tcW w:w="7797"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bCs/>
                <w:sz w:val="24"/>
                <w:szCs w:val="25"/>
              </w:rPr>
            </w:pPr>
            <w:r w:rsidRPr="00DC4A5C">
              <w:rPr>
                <w:rFonts w:ascii="Times New Roman" w:hAnsi="Times New Roman" w:cs="Calibri"/>
                <w:bCs/>
                <w:sz w:val="24"/>
                <w:szCs w:val="25"/>
              </w:rPr>
              <w:t>Počet neodstránených pripomienok</w:t>
            </w:r>
          </w:p>
        </w:tc>
        <w:tc>
          <w:tcPr>
            <w:tcW w:w="7801" w:type="dxa"/>
            <w:tcBorders>
              <w:top w:val="nil"/>
              <w:left w:val="nil"/>
              <w:bottom w:val="nil"/>
              <w:right w:val="nil"/>
            </w:tcBorders>
          </w:tcPr>
          <w:p w:rsidR="00927118" w:rsidRPr="00DC4A5C" w:rsidRDefault="00927118" w:rsidP="00DC4A5C">
            <w:pPr>
              <w:spacing w:after="0" w:line="240" w:lineRule="auto"/>
              <w:rPr>
                <w:rFonts w:ascii="Times New Roman" w:hAnsi="Times New Roman" w:cs="Calibri"/>
                <w:sz w:val="18"/>
                <w:szCs w:val="20"/>
              </w:rPr>
            </w:pPr>
          </w:p>
        </w:tc>
      </w:tr>
    </w:tbl>
    <w:p w:rsidR="00927118" w:rsidRPr="00DC4A5C" w:rsidRDefault="00927118" w:rsidP="00DC4A5C">
      <w:pPr>
        <w:spacing w:after="0" w:line="240" w:lineRule="auto"/>
        <w:rPr>
          <w:rFonts w:ascii="Times New Roman" w:hAnsi="Times New Roman" w:cs="Calibri"/>
          <w:b/>
          <w:sz w:val="18"/>
          <w:szCs w:val="20"/>
        </w:rPr>
      </w:pPr>
    </w:p>
    <w:p w:rsidR="00927118" w:rsidRPr="00DC4A5C" w:rsidRDefault="00927118" w:rsidP="00DC4A5C">
      <w:pPr>
        <w:spacing w:after="0" w:line="240" w:lineRule="auto"/>
        <w:rPr>
          <w:sz w:val="24"/>
          <w:szCs w:val="25"/>
        </w:rPr>
      </w:pPr>
      <w:r w:rsidRPr="00DC4A5C">
        <w:rPr>
          <w:rFonts w:ascii="Times New Roman" w:hAnsi="Times New Roman" w:cs="Calibri"/>
          <w:sz w:val="24"/>
          <w:szCs w:val="25"/>
        </w:rPr>
        <w:t>Sumarizácia vznesených pripomienok podľa subjektov</w:t>
      </w:r>
    </w:p>
    <w:p w:rsidR="00307B19" w:rsidRPr="00DC4A5C" w:rsidRDefault="00307B19" w:rsidP="00DC4A5C">
      <w:pPr>
        <w:spacing w:after="0"/>
        <w:rPr>
          <w:sz w:val="20"/>
        </w:rPr>
      </w:pPr>
    </w:p>
    <w:tbl>
      <w:tblPr>
        <w:tblW w:w="507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15"/>
        <w:gridCol w:w="7835"/>
        <w:gridCol w:w="1349"/>
        <w:gridCol w:w="1349"/>
        <w:gridCol w:w="1336"/>
        <w:gridCol w:w="1275"/>
      </w:tblGrid>
      <w:tr w:rsidR="00307B19" w:rsidRPr="00DC4A5C" w:rsidTr="00F57A3E">
        <w:trPr>
          <w:divId w:val="1751391607"/>
          <w:jc w:val="center"/>
        </w:trPr>
        <w:tc>
          <w:tcPr>
            <w:tcW w:w="11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Č.</w:t>
            </w:r>
          </w:p>
        </w:tc>
        <w:tc>
          <w:tcPr>
            <w:tcW w:w="2911"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Subjekt</w:t>
            </w:r>
          </w:p>
        </w:tc>
        <w:tc>
          <w:tcPr>
            <w:tcW w:w="501"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Pripomienky do termínu</w:t>
            </w:r>
          </w:p>
        </w:tc>
        <w:tc>
          <w:tcPr>
            <w:tcW w:w="501"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Pripomienky po termíne</w:t>
            </w:r>
          </w:p>
        </w:tc>
        <w:tc>
          <w:tcPr>
            <w:tcW w:w="496"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Nemali pripomienky</w:t>
            </w:r>
          </w:p>
        </w:tc>
        <w:tc>
          <w:tcPr>
            <w:tcW w:w="47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Vôbec nezaslali</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Asociácia </w:t>
            </w:r>
            <w:r w:rsidR="00DC4A5C" w:rsidRPr="00DC4A5C">
              <w:rPr>
                <w:rFonts w:ascii="Times" w:hAnsi="Times" w:cs="Times"/>
                <w:sz w:val="24"/>
                <w:szCs w:val="25"/>
              </w:rPr>
              <w:t>zamestnávateľských</w:t>
            </w:r>
            <w:r w:rsidRPr="00DC4A5C">
              <w:rPr>
                <w:rFonts w:ascii="Times" w:hAnsi="Times" w:cs="Times"/>
                <w:sz w:val="24"/>
                <w:szCs w:val="25"/>
              </w:rPr>
              <w:t xml:space="preserve">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Generálna prokuratúra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Ministerstvo dopravy a výstavby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4 (3o,1z)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4.</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Ministerstvo hospodárstva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5 (3o,2z)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Ministerstvo kultúry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5 (4o,1z)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Ministerstvo pôdohospodárstva a rozvoja vidieka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8 (7o,1z)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Ministerstvo práce, sociálnych vecí a rodiny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Ministerstvo vnútra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11.</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Ministerstvo zdravotníctva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Ministerstvo zahraničných vecí a európskych záležitostí </w:t>
            </w:r>
            <w:r w:rsidR="00DC4A5C">
              <w:rPr>
                <w:rFonts w:ascii="Times" w:hAnsi="Times" w:cs="Times"/>
                <w:sz w:val="24"/>
                <w:szCs w:val="25"/>
              </w:rPr>
              <w:t>SR</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Ministerstvo životného prostredia</w:t>
            </w:r>
            <w:r w:rsidR="00DC4A5C">
              <w:rPr>
                <w:rFonts w:ascii="Times" w:hAnsi="Times" w:cs="Times"/>
                <w:sz w:val="24"/>
                <w:szCs w:val="25"/>
              </w:rPr>
              <w:t xml:space="preserve">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8 (4o,4z)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Úrad priemyselného vlastníctva</w:t>
            </w:r>
            <w:r w:rsidR="00DC4A5C">
              <w:rPr>
                <w:rFonts w:ascii="Times" w:hAnsi="Times" w:cs="Times"/>
                <w:sz w:val="24"/>
                <w:szCs w:val="25"/>
              </w:rPr>
              <w:t xml:space="preserve">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Úrad jadrového dozoru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Ministerstvo spravodlivosti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Najvyšší kontrolný úrad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Kancelária Ústavného súdu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Konfederácia odborových zväzov</w:t>
            </w:r>
            <w:r w:rsidR="00DC4A5C">
              <w:rPr>
                <w:rFonts w:ascii="Times" w:hAnsi="Times" w:cs="Times"/>
                <w:sz w:val="24"/>
                <w:szCs w:val="25"/>
              </w:rPr>
              <w:t xml:space="preserve"> </w:t>
            </w:r>
            <w:r w:rsidR="00F57A3E" w:rsidRPr="00DC4A5C">
              <w:rPr>
                <w:rFonts w:ascii="Times" w:hAnsi="Times" w:cs="Times"/>
                <w:sz w:val="24"/>
                <w:szCs w:val="25"/>
              </w:rPr>
              <w:t>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39.</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x</w:t>
            </w:r>
          </w:p>
        </w:tc>
      </w:tr>
      <w:tr w:rsidR="00307B19" w:rsidRPr="00DC4A5C" w:rsidTr="00F57A3E">
        <w:trPr>
          <w:divId w:val="1751391607"/>
          <w:jc w:val="center"/>
        </w:trPr>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52 (43o,9z)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rFonts w:ascii="Times" w:hAnsi="Times" w:cs="Times"/>
                <w:sz w:val="24"/>
                <w:szCs w:val="25"/>
              </w:rPr>
            </w:pPr>
          </w:p>
        </w:tc>
        <w:tc>
          <w:tcPr>
            <w:tcW w:w="474" w:type="pct"/>
            <w:tcBorders>
              <w:top w:val="outset" w:sz="6" w:space="0" w:color="000000"/>
              <w:left w:val="outset" w:sz="6" w:space="0" w:color="000000"/>
              <w:bottom w:val="outset" w:sz="6" w:space="0" w:color="000000"/>
              <w:right w:val="outset" w:sz="6" w:space="0" w:color="000000"/>
            </w:tcBorders>
            <w:hideMark/>
          </w:tcPr>
          <w:p w:rsidR="00307B19" w:rsidRPr="00DC4A5C" w:rsidRDefault="00307B19" w:rsidP="00DC4A5C">
            <w:pPr>
              <w:spacing w:after="0"/>
              <w:jc w:val="center"/>
              <w:rPr>
                <w:sz w:val="18"/>
                <w:szCs w:val="20"/>
              </w:rPr>
            </w:pPr>
          </w:p>
        </w:tc>
      </w:tr>
    </w:tbl>
    <w:p w:rsidR="00BF7CE0" w:rsidRPr="00DC4A5C" w:rsidRDefault="00BF7CE0" w:rsidP="00DC4A5C">
      <w:pPr>
        <w:spacing w:after="0"/>
        <w:rPr>
          <w:b/>
          <w:bCs/>
          <w:color w:val="000000"/>
          <w:sz w:val="18"/>
          <w:szCs w:val="20"/>
        </w:rPr>
      </w:pPr>
      <w:r w:rsidRPr="00DC4A5C">
        <w:rPr>
          <w:rFonts w:ascii="Times New Roman" w:eastAsia="Times New Roman" w:hAnsi="Times New Roman" w:cs="Times New Roman"/>
          <w:bCs/>
          <w:color w:val="000000"/>
          <w:sz w:val="24"/>
          <w:szCs w:val="25"/>
          <w:lang w:eastAsia="sk-SK"/>
        </w:rPr>
        <w:t>Vyhodnotenie vecných pripomienok je uvedené v tabuľkovej časti.</w:t>
      </w:r>
    </w:p>
    <w:p w:rsidR="00BF7CE0" w:rsidRPr="00DC4A5C" w:rsidRDefault="00BF7CE0" w:rsidP="00DC4A5C">
      <w:pPr>
        <w:pStyle w:val="Zkladntext"/>
        <w:widowControl/>
        <w:jc w:val="both"/>
        <w:rPr>
          <w:b w:val="0"/>
          <w:bCs w:val="0"/>
          <w:color w:val="000000"/>
          <w:sz w:val="18"/>
          <w:szCs w:val="20"/>
        </w:rPr>
      </w:pPr>
    </w:p>
    <w:tbl>
      <w:tblPr>
        <w:tblW w:w="0" w:type="auto"/>
        <w:tblLook w:val="0000" w:firstRow="0" w:lastRow="0" w:firstColumn="0" w:lastColumn="0" w:noHBand="0" w:noVBand="0"/>
      </w:tblPr>
      <w:tblGrid>
        <w:gridCol w:w="1809"/>
        <w:gridCol w:w="3119"/>
      </w:tblGrid>
      <w:tr w:rsidR="00BF7CE0" w:rsidRPr="00DC4A5C" w:rsidTr="00943EB2">
        <w:trPr>
          <w:cantSplit/>
        </w:trPr>
        <w:tc>
          <w:tcPr>
            <w:tcW w:w="4928" w:type="dxa"/>
            <w:gridSpan w:val="2"/>
            <w:tcBorders>
              <w:top w:val="nil"/>
              <w:left w:val="nil"/>
              <w:bottom w:val="nil"/>
              <w:right w:val="nil"/>
            </w:tcBorders>
          </w:tcPr>
          <w:p w:rsidR="00BF7CE0" w:rsidRPr="00DC4A5C" w:rsidRDefault="00BF7CE0" w:rsidP="00DC4A5C">
            <w:pPr>
              <w:pStyle w:val="Zkladntext"/>
              <w:widowControl/>
              <w:jc w:val="both"/>
              <w:rPr>
                <w:b w:val="0"/>
                <w:color w:val="000000"/>
                <w:sz w:val="24"/>
                <w:szCs w:val="25"/>
              </w:rPr>
            </w:pPr>
            <w:r w:rsidRPr="00DC4A5C">
              <w:rPr>
                <w:b w:val="0"/>
                <w:color w:val="000000"/>
                <w:sz w:val="24"/>
                <w:szCs w:val="25"/>
              </w:rPr>
              <w:t>Vysvetlivky  k použitým skratkám v tabuľke:</w:t>
            </w:r>
          </w:p>
        </w:tc>
      </w:tr>
      <w:tr w:rsidR="00BF7CE0" w:rsidRPr="00DC4A5C" w:rsidTr="00943EB2">
        <w:trPr>
          <w:cantSplit/>
        </w:trPr>
        <w:tc>
          <w:tcPr>
            <w:tcW w:w="1809" w:type="dxa"/>
            <w:tcBorders>
              <w:top w:val="nil"/>
              <w:left w:val="nil"/>
              <w:bottom w:val="nil"/>
              <w:right w:val="nil"/>
            </w:tcBorders>
          </w:tcPr>
          <w:p w:rsidR="00BF7CE0" w:rsidRPr="00DC4A5C" w:rsidRDefault="00BF7CE0" w:rsidP="00DC4A5C">
            <w:pPr>
              <w:pStyle w:val="Zkladntext"/>
              <w:widowControl/>
              <w:jc w:val="both"/>
              <w:rPr>
                <w:b w:val="0"/>
                <w:color w:val="000000"/>
                <w:sz w:val="24"/>
                <w:szCs w:val="25"/>
              </w:rPr>
            </w:pPr>
            <w:r w:rsidRPr="00DC4A5C">
              <w:rPr>
                <w:b w:val="0"/>
                <w:color w:val="000000"/>
                <w:sz w:val="24"/>
                <w:szCs w:val="25"/>
              </w:rPr>
              <w:t>O – obyčajná</w:t>
            </w:r>
          </w:p>
        </w:tc>
        <w:tc>
          <w:tcPr>
            <w:tcW w:w="3119" w:type="dxa"/>
            <w:tcBorders>
              <w:top w:val="nil"/>
              <w:left w:val="nil"/>
              <w:bottom w:val="nil"/>
              <w:right w:val="nil"/>
            </w:tcBorders>
          </w:tcPr>
          <w:p w:rsidR="00BF7CE0" w:rsidRPr="00DC4A5C" w:rsidRDefault="00BF7CE0" w:rsidP="00DC4A5C">
            <w:pPr>
              <w:pStyle w:val="Zkladntext"/>
              <w:widowControl/>
              <w:jc w:val="both"/>
              <w:rPr>
                <w:b w:val="0"/>
                <w:color w:val="000000"/>
                <w:sz w:val="24"/>
                <w:szCs w:val="25"/>
              </w:rPr>
            </w:pPr>
            <w:r w:rsidRPr="00DC4A5C">
              <w:rPr>
                <w:b w:val="0"/>
                <w:color w:val="000000"/>
                <w:sz w:val="24"/>
                <w:szCs w:val="25"/>
              </w:rPr>
              <w:t>A – akceptovaná</w:t>
            </w:r>
          </w:p>
        </w:tc>
      </w:tr>
      <w:tr w:rsidR="00BF7CE0" w:rsidRPr="00DC4A5C" w:rsidTr="00943EB2">
        <w:trPr>
          <w:cantSplit/>
        </w:trPr>
        <w:tc>
          <w:tcPr>
            <w:tcW w:w="1809" w:type="dxa"/>
            <w:tcBorders>
              <w:top w:val="nil"/>
              <w:left w:val="nil"/>
              <w:bottom w:val="nil"/>
              <w:right w:val="nil"/>
            </w:tcBorders>
          </w:tcPr>
          <w:p w:rsidR="00BF7CE0" w:rsidRPr="00DC4A5C" w:rsidRDefault="00BF7CE0" w:rsidP="00DC4A5C">
            <w:pPr>
              <w:pStyle w:val="Zkladntext"/>
              <w:widowControl/>
              <w:jc w:val="both"/>
              <w:rPr>
                <w:b w:val="0"/>
                <w:color w:val="000000"/>
                <w:sz w:val="24"/>
                <w:szCs w:val="25"/>
              </w:rPr>
            </w:pPr>
            <w:r w:rsidRPr="00DC4A5C">
              <w:rPr>
                <w:b w:val="0"/>
                <w:color w:val="000000"/>
                <w:sz w:val="24"/>
                <w:szCs w:val="25"/>
              </w:rPr>
              <w:t>Z – zásadná</w:t>
            </w:r>
          </w:p>
        </w:tc>
        <w:tc>
          <w:tcPr>
            <w:tcW w:w="3119" w:type="dxa"/>
            <w:tcBorders>
              <w:top w:val="nil"/>
              <w:left w:val="nil"/>
              <w:bottom w:val="nil"/>
              <w:right w:val="nil"/>
            </w:tcBorders>
          </w:tcPr>
          <w:p w:rsidR="00BF7CE0" w:rsidRPr="00DC4A5C" w:rsidRDefault="00BF7CE0" w:rsidP="00DC4A5C">
            <w:pPr>
              <w:pStyle w:val="Zkladntext"/>
              <w:widowControl/>
              <w:jc w:val="both"/>
              <w:rPr>
                <w:b w:val="0"/>
                <w:color w:val="000000"/>
                <w:sz w:val="24"/>
                <w:szCs w:val="25"/>
              </w:rPr>
            </w:pPr>
            <w:r w:rsidRPr="00DC4A5C">
              <w:rPr>
                <w:b w:val="0"/>
                <w:color w:val="000000"/>
                <w:sz w:val="24"/>
                <w:szCs w:val="25"/>
              </w:rPr>
              <w:t>N – neakceptovaná</w:t>
            </w:r>
          </w:p>
        </w:tc>
      </w:tr>
      <w:tr w:rsidR="00BF7CE0" w:rsidRPr="00DC4A5C" w:rsidTr="00943EB2">
        <w:trPr>
          <w:cantSplit/>
        </w:trPr>
        <w:tc>
          <w:tcPr>
            <w:tcW w:w="1809" w:type="dxa"/>
            <w:tcBorders>
              <w:top w:val="nil"/>
              <w:left w:val="nil"/>
              <w:bottom w:val="nil"/>
              <w:right w:val="nil"/>
            </w:tcBorders>
          </w:tcPr>
          <w:p w:rsidR="00BF7CE0" w:rsidRPr="00DC4A5C" w:rsidRDefault="00BF7CE0" w:rsidP="00DC4A5C">
            <w:pPr>
              <w:pStyle w:val="Zkladntext"/>
              <w:widowControl/>
              <w:jc w:val="both"/>
              <w:rPr>
                <w:b w:val="0"/>
                <w:color w:val="000000"/>
                <w:sz w:val="24"/>
                <w:szCs w:val="25"/>
              </w:rPr>
            </w:pPr>
          </w:p>
        </w:tc>
        <w:tc>
          <w:tcPr>
            <w:tcW w:w="3119" w:type="dxa"/>
            <w:tcBorders>
              <w:top w:val="nil"/>
              <w:left w:val="nil"/>
              <w:bottom w:val="nil"/>
              <w:right w:val="nil"/>
            </w:tcBorders>
          </w:tcPr>
          <w:p w:rsidR="00BF7CE0" w:rsidRPr="00DC4A5C" w:rsidRDefault="00BF7CE0" w:rsidP="00DC4A5C">
            <w:pPr>
              <w:pStyle w:val="Zkladntext"/>
              <w:widowControl/>
              <w:jc w:val="both"/>
              <w:rPr>
                <w:b w:val="0"/>
                <w:color w:val="000000"/>
                <w:sz w:val="24"/>
                <w:szCs w:val="25"/>
              </w:rPr>
            </w:pPr>
            <w:r w:rsidRPr="00DC4A5C">
              <w:rPr>
                <w:b w:val="0"/>
                <w:color w:val="000000"/>
                <w:sz w:val="24"/>
                <w:szCs w:val="25"/>
              </w:rPr>
              <w:t>ČA – čiastočne akceptovaná</w:t>
            </w:r>
          </w:p>
        </w:tc>
      </w:tr>
    </w:tbl>
    <w:p w:rsidR="00E85710" w:rsidRPr="00DC4A5C" w:rsidRDefault="00E85710" w:rsidP="00DC4A5C">
      <w:pPr>
        <w:spacing w:after="0"/>
        <w:rPr>
          <w:sz w:val="20"/>
        </w:rPr>
      </w:pPr>
      <w:r w:rsidRPr="00DC4A5C">
        <w:rPr>
          <w:sz w:val="20"/>
        </w:rPr>
        <w:br w:type="page"/>
      </w:r>
    </w:p>
    <w:tbl>
      <w:tblPr>
        <w:tblW w:w="507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863"/>
        <w:gridCol w:w="6444"/>
        <w:gridCol w:w="606"/>
        <w:gridCol w:w="705"/>
        <w:gridCol w:w="3841"/>
      </w:tblGrid>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Subjekt</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Pripomienka</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Typ</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proofErr w:type="spellStart"/>
            <w:r w:rsidRPr="00DC4A5C">
              <w:rPr>
                <w:rFonts w:ascii="Times" w:hAnsi="Times" w:cs="Times"/>
                <w:b/>
                <w:bCs/>
                <w:sz w:val="24"/>
                <w:szCs w:val="25"/>
              </w:rPr>
              <w:t>Vyh</w:t>
            </w:r>
            <w:proofErr w:type="spellEnd"/>
            <w:r w:rsidRPr="00DC4A5C">
              <w:rPr>
                <w:rFonts w:ascii="Times" w:hAnsi="Times" w:cs="Times"/>
                <w:b/>
                <w:bCs/>
                <w:sz w:val="24"/>
                <w:szCs w:val="25"/>
              </w:rPr>
              <w:t>.</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Spôsob vyhodnotenia</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AZZZ 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k predloženému návrhu bez pripomienok</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GPSR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Bez pripomienok.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proofErr w:type="spellStart"/>
            <w:r w:rsidRPr="00DC4A5C">
              <w:rPr>
                <w:rFonts w:ascii="Times" w:hAnsi="Times" w:cs="Times"/>
                <w:b/>
                <w:bCs/>
                <w:sz w:val="24"/>
                <w:szCs w:val="25"/>
              </w:rPr>
              <w:t>MDaVSR</w:t>
            </w:r>
            <w:proofErr w:type="spellEnd"/>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vlastnému materiálu, Opatrenie B.3. Podpora cestovného ruchu v okrese Bardejov Predpokladané zdroje financovania: PRV, IROP, MK SR, VÚC, vlastné zdroje Z toho výška z RP: 340 tis. Eur Cieľom opatrenia je podporiť aktivity zamerané na budovanie infraštruktúry cestovného ruchu a služieb v súlade so stratégiou pre rozvoj cestovného ruchu v okrese s dôrazom na: - využitie potenciálu Bardejovských kúpeľov, historického centra okresného mesta a ich okolia ako celoročného výletného miesta cestovného ruchu so zameraním na rozvoj poznávacieho a pobytového cestovného ruchu s vytvorením komplexných a doplnkových služieb cestovného ruchu využívaných celoročne, identifikáciu možností zvýšenia záujmu o vidiecky turizmus, - rozvoj a dostupnosť zimnej turistiky a uskutočňovania zimných športov v lyžiarskych strediskách okresu, zabezpečenie vytvorenia celoročných podmienok využívania prírodného prostredia a okolia lyžiarskych stredísk, - poznávanie kultúrneho dedičstva a histórie, tradícií založených na zážitku, najmä využitie špecifických zdrojov územia (drevené chrámy, minerálne pramene, </w:t>
            </w:r>
            <w:proofErr w:type="spellStart"/>
            <w:r w:rsidRPr="00DC4A5C">
              <w:rPr>
                <w:rFonts w:ascii="Times" w:hAnsi="Times" w:cs="Times"/>
                <w:sz w:val="24"/>
                <w:szCs w:val="25"/>
              </w:rPr>
              <w:t>pútnictvo</w:t>
            </w:r>
            <w:proofErr w:type="spellEnd"/>
            <w:r w:rsidRPr="00DC4A5C">
              <w:rPr>
                <w:rFonts w:ascii="Times" w:hAnsi="Times" w:cs="Times"/>
                <w:sz w:val="24"/>
                <w:szCs w:val="25"/>
              </w:rPr>
              <w:t xml:space="preserve">, kultúrne pamiatky...,), - budovanie regionálnej značky, marketing, propagáciu územia okresu ako destinácie CR a posilnenie oficiálneho manažmentu - manažment územia a koordinácia subjektov. Pôjde predovšetkým o podporu aktivít zameraných na: - zvýšenie atraktivity územia okresu prostredníctvom marketingových aktivít, - budovanie a doplnenie infraštruktúry cestovného ruchu, - zlepšenie dostupnosti bodov záujmu cestovného ruchu (turistické chodníky, </w:t>
            </w:r>
            <w:proofErr w:type="spellStart"/>
            <w:r w:rsidRPr="00DC4A5C">
              <w:rPr>
                <w:rFonts w:ascii="Times" w:hAnsi="Times" w:cs="Times"/>
                <w:sz w:val="24"/>
                <w:szCs w:val="25"/>
              </w:rPr>
              <w:t>cyklochodníky</w:t>
            </w:r>
            <w:proofErr w:type="spellEnd"/>
            <w:r w:rsidRPr="00DC4A5C">
              <w:rPr>
                <w:rFonts w:ascii="Times" w:hAnsi="Times" w:cs="Times"/>
                <w:sz w:val="24"/>
                <w:szCs w:val="25"/>
              </w:rPr>
              <w:t xml:space="preserve">, náučné </w:t>
            </w:r>
            <w:r w:rsidRPr="00DC4A5C">
              <w:rPr>
                <w:rFonts w:ascii="Times" w:hAnsi="Times" w:cs="Times"/>
                <w:sz w:val="24"/>
                <w:szCs w:val="25"/>
              </w:rPr>
              <w:lastRenderedPageBreak/>
              <w:t xml:space="preserve">chodníky a pod.), - zlepšenie stavebno-technického stavu objektov CR, objektov s kultúrnou a historickou hodnotou, kultúrnych pamiatok a pod., - v dôsledku realizácie projektu sa predpokladá so zavedením 3 a viac nových služieb v okrese. Odporúčame: Odporúčame, aby plnenie úloh: Opatrenie B. 3 vyplývajúce z AP okresu Bardejov bolo realizované v koordinácii s lokálnou DMO - oblastnou organizáciou cestovného ruchu, resp. KOCR Severovýchod Slovenska. V časti o rozvoji zlepšovaní infraštruktúry absentuje zmienka o </w:t>
            </w:r>
            <w:proofErr w:type="spellStart"/>
            <w:r w:rsidRPr="00DC4A5C">
              <w:rPr>
                <w:rFonts w:ascii="Times" w:hAnsi="Times" w:cs="Times"/>
                <w:sz w:val="24"/>
                <w:szCs w:val="25"/>
              </w:rPr>
              <w:t>cyklodoprave</w:t>
            </w:r>
            <w:proofErr w:type="spellEnd"/>
            <w:r w:rsidRPr="00DC4A5C">
              <w:rPr>
                <w:rFonts w:ascii="Times" w:hAnsi="Times" w:cs="Times"/>
                <w:sz w:val="24"/>
                <w:szCs w:val="25"/>
              </w:rPr>
              <w:t xml:space="preserve"> v meste Bardejov s ďalším napojením na regionálne a nadnárodné cyklotrasy (mimo mesto), ktoré majú silný rozvojový potenciál s regionálnym presahom na cezhraničný turizmus medzi SR a PL.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proofErr w:type="spellStart"/>
            <w:r w:rsidRPr="00DC4A5C">
              <w:rPr>
                <w:rFonts w:ascii="Times" w:hAnsi="Times" w:cs="Times"/>
                <w:b/>
                <w:bCs/>
                <w:sz w:val="24"/>
                <w:szCs w:val="25"/>
              </w:rPr>
              <w:lastRenderedPageBreak/>
              <w:t>MDaVSR</w:t>
            </w:r>
            <w:proofErr w:type="spellEnd"/>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vlastnému materiálu, str. 37, bod G. 6. „Riešiť modernizáciu cestnej infraštruktúry kraja a v rámci nej dopravné napojenie okresu na sieť štátnych ciest I. triedy a diaľnic cestami nižších kategórií /zrýchlenie a realizácia komplexnej modernizácie cesty č. I/77 / úsek Spišská Bela – St. Ľubovňa - Bardejov – Svidník na základe výsledkov štúdie realizovateľnosti v rozsahu finančných možností rezortu.“ V súčasnosti ešte stále prebieha verejné obstarávanie (vyhlásené 28. 8. 2017) na spracovateľa štúdie realizovateľnosti stavby I/67, I/66, I/77 Rožňava - Bardejovské Kúpele. S ohľadom na znenie úlohy je možné konštatovať, že úloha má len deklaratórny charakter a jej plnenie je podmienené „finančnými možnosťami rezortu“. Vzhľadom na rozpočet SSC uvádzame, že finančné krytie na realizáciu modernizácie cesty I/77 nie je zabezpečené. V tejto súvislosti pripomíname, že na splnenie úlohy je potrebné zaviazať MF SR, aby vyčlenilo dodatočné finančné prostriedky na realizáciu modernizácie cesty č. I/77 úsek Spišská Belá – St. Ľubovňa – Bardejov – Svidník v </w:t>
            </w:r>
            <w:r w:rsidRPr="00DC4A5C">
              <w:rPr>
                <w:rFonts w:ascii="Times" w:hAnsi="Times" w:cs="Times"/>
                <w:sz w:val="24"/>
                <w:szCs w:val="25"/>
              </w:rPr>
              <w:lastRenderedPageBreak/>
              <w:t>rozsahu, aký určí štúdia realizovateľnosti – v prípade, ak bude táto štúdia odporúčaná.</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Z</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Proces prípravnej fázy projektu , t. j. zhotovenie štúdie realizovateľnosti a zhotovenie projektovej dokumentácie pre realizáciu stavby je časovo náročný proces. V tejto súvislosti je potrebné zaviazať príslušne ministerstvo /MF SR/, aby vyčlenilo dodatočné finančné prostriedky na realizáciu modernizácie cesty č. I/77 úsek Spišská Belá – St. Ľubovňa – Bardejov – Svidník v rozsahu, aký určí štúdia realizovateľnosti. Akčný plán okresu Bardejov je pripravený na obdobie rokov 2018-2022 a jeho implementácia tak bude čiastočne prebiehať aj v novom programovom období 2020+, v rámci ktorého sa predpokladá aj s </w:t>
            </w:r>
            <w:r w:rsidRPr="00DC4A5C">
              <w:rPr>
                <w:rFonts w:ascii="Times" w:hAnsi="Times" w:cs="Times"/>
                <w:sz w:val="24"/>
                <w:szCs w:val="25"/>
              </w:rPr>
              <w:lastRenderedPageBreak/>
              <w:t>novými finančnými prostriedkami vyčlenenými pre nové operačné programy.</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proofErr w:type="spellStart"/>
            <w:r w:rsidRPr="00DC4A5C">
              <w:rPr>
                <w:rFonts w:ascii="Times" w:hAnsi="Times" w:cs="Times"/>
                <w:b/>
                <w:bCs/>
                <w:sz w:val="24"/>
                <w:szCs w:val="25"/>
              </w:rPr>
              <w:lastRenderedPageBreak/>
              <w:t>MDaVSR</w:t>
            </w:r>
            <w:proofErr w:type="spellEnd"/>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vlastnému materiálu, str. 4 Cesta II/575 je uvedená nesprávne, má byť II/545.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proofErr w:type="spellStart"/>
            <w:r w:rsidRPr="00DC4A5C">
              <w:rPr>
                <w:rFonts w:ascii="Times" w:hAnsi="Times" w:cs="Times"/>
                <w:b/>
                <w:bCs/>
                <w:sz w:val="24"/>
                <w:szCs w:val="25"/>
              </w:rPr>
              <w:t>MDaVSR</w:t>
            </w:r>
            <w:proofErr w:type="spellEnd"/>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Všeobecne k vlastnému materiálu V celom texte dokumentu v spojitosti s pozemnými komunikáciami nahradiť slová „napájať“ slovami „pripájať“.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MFSR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Upozorňujeme, že v návrhu uznesenia vlády nie sú v prílohe č. 1 uvedené konkrétne údaje za prijímateľov.</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MFSR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V analýze vplyvov na rozpočet verejnej správy je potrebné v jednotlivých tabuľkách uviesť rozčlenenie výdavkov na roky 2019 až 2022 osobitne podľa jednotlivých rokov v súlade s Jednotnou metodikou na posudzovanie vybraných vplyvov. V tabuľke č. 1 je potrebné v riadku „Výdavky verejnej správy celkom“ v roku 2018 uviesť celkovú sumu výdavkov, t. j. 1 753 000 eur. Zároveň v časti týkajúcej sa financovania zabezpečeného v rozpočte je potrebné uviesť len kapitolu Všeobecná pokladničná správa, keďže uvedené finančné prostriedky sú zabezpečené v rámci tejto kapitoly štátneho rozpočtu.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Čerpanie regionálneho príspevku je podmienené každoročným schválením ročných priorít vládou SR, od ktorých sa bude odvíjať výška regionálneho príspevku na príslušne roky.</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MFSR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V návrhu uznesenia vlády v bode B.4. je potrebné v texte úlohy slová „z rezervy vlády Slovenskej republiky“ nahradiť slovami „zo zdrojov kapitoly Všeobecná pokladničná správa“. Uvedené finančné prostriedky sa navrhujú uvoľniť zo zdrojov kapitoly Všeobecná pokladničná správa a nie z rezervy vlády (v zmysle zákona o rozpočtových pravidlách verejnej správy o použití prostriedkov rozpočtovej rezervy vlády rozhoduje vláda na návrh ministra financií).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MFSR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Vo vlastnom materiáli v časti C. v opatrení C.2. je potrebné v tabuľke doplniť v rámci predpokladaných zdrojov financovania príslušný operačný program, keďže sa predpokladá aj použitie finančných prostriedkov z európskych štrukturálnych a investičných fondov. V časti D. v opatrení D.1. je potrebné v tabuľke vypustiť z predpokladaných zdrojov financovania OPĽZ, použitie finančných prostriedkov z európskych štrukturálnych a investičných fondov sa nepredpokladá. V časti E. v opatreniach E.1., E.3. a E.4. je potrebné v tabuľkách doplniť v rámci predpokladaných zdrojov financovania regionálny príspevok, keďže sa predpokladá aj využitie tejto formy financovania. V tabuľke č. 13 Prehľad výdavkov podľa prioritných oblastí a opatrení Akčného plánu NRO Bardejov je potrebné v riadku B.2. zosúladiť sumu výšky EŠIF (6 718 000 eur) so sumou uvedenou v tabuľke k opatreniu B.2. (5 718 000 eur) a v riadku E.3. je potrebné zosúladiť sumu celkového rozpočtu (10 706 556 eur) so sumou uvedenou v tabuľke k opatreniu E.3. (10 708 556 eur).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MHSR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analýze vplyvov na podnikateľské prostredie Odporúčame predkladateľovi vzhľadom na identifikovaný pozitívny vplyv materiálu na podnikateľské prostredie, konkretizovať očakávané vplyvy (aj vplyvy inovácií) v rámci doložky vybraných vplyvov v časti 10. Poznámka. Odôvodnenie: Postup podľa Jednotnej metodiky.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MHSR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analýze vplyvov na podnikateľské prostredie V bode 3.1 odporúčame vyčísliť počet dotknutých subjektov, ktorých sa predložený akčný plán týka. V bode 3.2 odporúčame do analýzy vplyvov na podnikateľské prostredie doplniť informácie o vyhodnotení konzultácií v rozsahu podľa Jednotnej metodiky na posudzovanie vybraných vplyvov. Potrebné je definovať rozsah, </w:t>
            </w:r>
            <w:r w:rsidRPr="00DC4A5C">
              <w:rPr>
                <w:rFonts w:ascii="Times" w:hAnsi="Times" w:cs="Times"/>
                <w:sz w:val="24"/>
                <w:szCs w:val="25"/>
              </w:rPr>
              <w:lastRenderedPageBreak/>
              <w:t xml:space="preserve">obsah a formu konzultácií, ich ciele, zvažované alternatívne riešenia a spôsob ich zapracovania do materiálu. V bode 3.3 odporúčame minimálne opisne uviesť skutočnosti do časti 3.3.1 Priame náklady a skutočnosti z tabuľky na strane 33 kapitoly VII. Integrácia už existujúcich rezortných programov, resp. prierezových programov a návrh na odstránenie prekážok na ich využívanie zohľadniť v časti 3.3.3 Administratívne náklady analýzy vplyvov na podnikateľské prostredie. Odôvodnenie: Postup podľa Jednotnej metodiky.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Boli doplnené informácie ohľadom konzultácii a počte oslovených subjektov. V súčasnosti nie je možné kvantifikovať počet dotknutých subjektov, ktorých sa predložený akčný plán týka. To bude závisieť od počtu </w:t>
            </w:r>
            <w:r w:rsidRPr="00DC4A5C">
              <w:rPr>
                <w:rFonts w:ascii="Times" w:hAnsi="Times" w:cs="Times"/>
                <w:sz w:val="24"/>
                <w:szCs w:val="25"/>
              </w:rPr>
              <w:lastRenderedPageBreak/>
              <w:t>podaných žiadostí o regionálny príspevok.</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MHSR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doložke vybraných vplyvov K legislatívnemu procesu Žiadame predložiť materiál na Záverečné posúdenie Stálej pracovnej Komisie LRV na posudzovanie vybraných vplyvov po skončení a vyhodnotení MPK. Odôvodnenie: Podľa bodu 7.1. Jednotnej metodiky na posudzovanie vybraných vplyvov: „predbežné pripomienkové konanie sa vykonáva pred MPK v prípade materiálov legislatívneho charakteru aj nelegislatívneho charakteru, pričom do PPK sa predkladajú všetky materiály legislatívneho charakteru a nelegislatívneho charakteru, v ktorých predkladateľ identifikoval niektorý z vybraných vplyvov. Predkladateľ zasiela materiál na PPK elektronicky na adresu dolozka@mhsr.sk.“ Keďže predkladateľ predložil materiál do medzirezortného pripomienkového konania pred ukončením predbežného pripomienkového konania, porušil legislatívny proces podľa Jednotnej metodiky na posudzovanie vybraných vplyvov. Preto je potrebné, aby bol materiál predložený na záverečné posúdenie vybraných vplyvov.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Z</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Po novele zákona č. 336/2015 Z. z. o podpore najmenej rozvinutých okresov a o zmene a doplnení niektorých zákonov v znení neskorších predpisov, ktorá nadobudla účinnosť dňa 01.04.2018 bola kreovaná Rada pre rozvoj najmenej rozvinutých okresov, ktorá v zmysle § 5 ods. 3 zákona prerokúva návrh akčného plánu a prijíma k nemu stanovisko. Rada pre rozvoj najmenej rozvinutých okresov zasadala dňa 18.06.2018, kedy návrh akčného plánu prerokovala. S cieľom splniť zákonnú lehotu na schválenie Akčného plánu rozvoja okresu Bardejov vládou SR v zmysle vyššie uvedeného zákona a dodržať plánovaný termín výjazdového rokovania vlády SR dňa 4.7.2018 bol materiál "Návrh Akčného plánu rozvoja okresu </w:t>
            </w:r>
            <w:r w:rsidRPr="00DC4A5C">
              <w:rPr>
                <w:rFonts w:ascii="Times" w:hAnsi="Times" w:cs="Times"/>
                <w:sz w:val="24"/>
                <w:szCs w:val="25"/>
              </w:rPr>
              <w:lastRenderedPageBreak/>
              <w:t>Bardejov a návrh na uvoľnenie finančných prostriedkov zo zdrojov kapitoly Všeobecná pokladničná správa“ zaslaný dňa 19.06.2018 na predbežné pripomienkové konanie a dňa 20.06.2018 na medzirezortné pripomienkové konanie a nie je možné dodržať postup podľa Jednotnej metodiky na posudzovanie vybraných vplyvov.</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MHSR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návrhu uznesenia vlády SR Žiadame predkladateľa doplniť prílohu č. 1 návrhu uznesenia vlády SR. Odôvodnenie: Bod B.4 návrhu uznesenia vlády SR ukladá úlohu MF SR poskytnúť dotáciu z rezervy vlády SR v sume 1 000 000 eur podľa prílohy č. 1 uznesenia. V prílohe č.1 nie sú uvedené žiadne aktivity/projekty v rámci predloženého dokumentu.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Z</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MHSR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vlastnému materiálu Na str. 45 navrhujeme upraviť tabuľku prílohy Zoznam podporených aktivít z regionálneho príspevku nekonkretizovaním žiadnych očakávaných projektov. Odôvodnenie: Vzhľadom k skutočnosti, že konkrétne žiadosti a ich podpora formou príspevku budú riešené až po schválení Akčného plánu rozvoja v rámci Ročných priorít. Takto formulovaný návrh vytvára rámec projektov ktoré sa očakáva podporiť, čo nepovažujeme za správny postup.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MKSR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časti I. Analýza hospodárskeho, sociálneho a environmentálneho stavu okresu Bardejov odporúčame: 1. V časti Vzdelávacia, sociálna, zdravotnícka , kultúrno-spoločenská a športová infraštruktúra na str. 16 slová „Múzeum ľudovej architektúry v Bardejovských Kúpeľoch“ nahradiť slovami </w:t>
            </w:r>
            <w:r w:rsidRPr="00DC4A5C">
              <w:rPr>
                <w:rFonts w:ascii="Times" w:hAnsi="Times" w:cs="Times"/>
                <w:sz w:val="24"/>
                <w:szCs w:val="25"/>
              </w:rPr>
              <w:lastRenderedPageBreak/>
              <w:t>„Skanzen – Múzeum ľudovej architektúry“. Odôvodnenie: Z textu vyznieva, že ide o názov právnickej osoby. V skutočnosti je to iba expozícia. Jej presný názov je „Skanzen – Múzeum ľudovej architektúry“. Túto expozíciu nachádzajúcu sa v Bardejovských kúpeľoch spravuje Šarišské múzeum v Bardejove. Právnickou osobou je Šarišské múzeum v Bardejove, ktoré je zapísané v Registri múzeí a galérií SR vedenom MK SR ( č.: RM 46/98). Jeho zriaďovateľom je Prešovský samosprávny kraj. 2. V časti infraštruktúra časti kultúrno-spoločenský život, (rovnako v časti cestovný ruch) na str. 16 dole absentuje podrobné zhodnotenie stavu kultúrnej infraštruktúry (národné kultúrne pamiatky, múzeá, galérie, knižnice, kultúrno-osvetové zariadenia, divadlá, kiná a pod.). odporúčame uviesť najvýznamnejšie historické pamiatky okresu, ktoré sú cieľom kultúrneho turizmu. Uvedené informácie sú veľmi všeobecné. Analýza nemapuje ani kolektívy a jednotlivcov pôsobiacich v oblasti kultúrno-osvetovej činnosti (napr. folklórne skupiny a súbory, ľudové hudby, divadelné súbory, atď.) ani výrobcov ľudovo-umeleckej výroby či špecifikáciu regionálnej remeselnej výroby, ako predpokladov k budovaniu a posilňovaniu regionálnej identity, potenciálu k vidieckemu turizmu či rozvoju kreatívneho priemyslu.</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MKSR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K časti IV. Strategický cieľ, návrhy opatrení a úloh na zabezpečenie realizácie a plnenia Akčného plánu, časový harmonogram, spôsoby a zdroje financovania odporúčame zvážiť znenie opatrenia G.2 z dôvodu, že v súčasnosti je do projektu v rámci okresu Bardejov zapojený jeden hrad (Zborovský hrad).</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MKSR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časti IV. Strategický cieľ, návrhy opatrení a úloh na zabezpečenie realizácie a plnenia Akčného plánu, časový harmonogram, spôsoby a zdroje financovania odporúčame, aby </w:t>
            </w:r>
            <w:r w:rsidRPr="00DC4A5C">
              <w:rPr>
                <w:rFonts w:ascii="Times" w:hAnsi="Times" w:cs="Times"/>
                <w:sz w:val="24"/>
                <w:szCs w:val="25"/>
              </w:rPr>
              <w:lastRenderedPageBreak/>
              <w:t>bolo opatrenie D. 4 doplnené o Fond na podporu umenia a Fond na podporu kultúry národnostných menšín.</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MKSR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K IV. časti Strategický cieľ, návrhy opatrení a úloh na zabezpečenie realizácie a plnenia Akčného plánu, časový harmonogram, spôsoby a zdroje financovania odporúčame, aby bol do opatrenia B.3 doplnený Fond na podporu umenia a Fond na podporu kultúry národnostných menšín. Fond na podporu umenia je nezávislá verejnoprávna inštitúcia zabezpečujúca podporu umeleckých aktivít, kultúry a kreatívneho priemyslu. Hlavným poslaním fondu je poskytovanie finančných prostriedkov najmä na tvorbu, šírenie a prezentáciu umeleckých diel; podporu medzinárodnej spolupráce; na vzdelávacie programy v oblasti umenia, kultúry a kreatívneho priemyslu; na štipendiá pre fyzické osoby, ktoré sa tvorivo, či výskumne podieľajú na rozvoji umenia a kultúry. Fond na podporu kultúry národnostných menšín je nezávislá verejnoprávna inštitúcia, ktorej poslaním je podporovať a stimulovať kultúru národnostných menšín v oblasti kultúrnych a vedeckých aktivít národnostných menšín, najmä vytváraním podporných mechanizmov pre tvorbu a šírenie kultúrnych a vedeckých hodnôt.</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MKSR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IV. časti Strategický cieľ, návrhy opatrení a úloh na zabezpečenie realizácie a plnenia Akčného plánu, časový harmonogram, spôsoby a zdroje financovania: 1. V bode B Prioritná oblasť - rozvoj regionálnej ekonomiky a inovácii v opatrení B.3 (str. 27, tabuľka) – V prvom riadku tabuľky (Predpokladané zdroje financovania) žiadam vypustiť Ministerstvo kultúry Slovenskej republiky zo zoznamu subjektov. 2. V bode D Prioritná oblasť - budovanie infraštruktúry, zvýšenie kvality a dostupnosti služieb v opatrení D. 4 (str. 33, tabuľka) – V </w:t>
            </w:r>
            <w:r w:rsidRPr="00DC4A5C">
              <w:rPr>
                <w:rFonts w:ascii="Times" w:hAnsi="Times" w:cs="Times"/>
                <w:sz w:val="24"/>
                <w:szCs w:val="25"/>
              </w:rPr>
              <w:lastRenderedPageBreak/>
              <w:t xml:space="preserve">prvom riadku tabuľky (Predpokladané zdroje financovania) žiadam vypustiť Ministerstvo kultúry Slovenskej republiky zo zoznamu subjektov. Odôvodnenie: Ministerstvo kultúry Slovenskej republiky má vybudovaný dotačný program „Obnovme si svoj dom“, ktorý sa zameriava na podporu projektov záchrany, obnovy a reštaurovania národných kultúrnych pamiatok (ďalej len „NKP“) zapísaných v Ústrednom zozname pamiatkového fondu; projektov obnovy a reštaurovania NKP zapísaných v Ústrednom zozname pamiatkového fondu, ktoré sa súčasne nachádzajú v lokalitách zapísaných v Zozname svetového kultúrneho dedičstva UNESCO; aktivít kultúrnej politiky a edičnej činnosti v oblasti ochrany pamiatkového fondu; na obnovu hradov a inej </w:t>
            </w:r>
            <w:proofErr w:type="spellStart"/>
            <w:r w:rsidRPr="00DC4A5C">
              <w:rPr>
                <w:rFonts w:ascii="Times" w:hAnsi="Times" w:cs="Times"/>
                <w:sz w:val="24"/>
                <w:szCs w:val="25"/>
              </w:rPr>
              <w:t>torzálnej</w:t>
            </w:r>
            <w:proofErr w:type="spellEnd"/>
            <w:r w:rsidRPr="00DC4A5C">
              <w:rPr>
                <w:rFonts w:ascii="Times" w:hAnsi="Times" w:cs="Times"/>
                <w:sz w:val="24"/>
                <w:szCs w:val="25"/>
              </w:rPr>
              <w:t xml:space="preserve"> architektúry zapísaných v Ústrednom zozname pamiatkového fondu, spracovanie </w:t>
            </w:r>
            <w:proofErr w:type="spellStart"/>
            <w:r w:rsidRPr="00DC4A5C">
              <w:rPr>
                <w:rFonts w:ascii="Times" w:hAnsi="Times" w:cs="Times"/>
                <w:sz w:val="24"/>
                <w:szCs w:val="25"/>
              </w:rPr>
              <w:t>pasportov</w:t>
            </w:r>
            <w:proofErr w:type="spellEnd"/>
            <w:r w:rsidRPr="00DC4A5C">
              <w:rPr>
                <w:rFonts w:ascii="Times" w:hAnsi="Times" w:cs="Times"/>
                <w:sz w:val="24"/>
                <w:szCs w:val="25"/>
              </w:rPr>
              <w:t xml:space="preserve"> obnovy historických parkov a na zabezpečenie obnovy a reštaurovania hrobov a náhrobkov významných osobností spoločenského a kultúrneho života a na údržbu areálu národnej kultúrnej pamiatky Národný cintorín v Martine; na modernizáciu a komplexnú rekonštrukciu NKP zaradených do Zoznamu NKP s prioritou ochrany a obnovy. Na poskytnutie dotácie nie je žiaden právny nárok. Poskytnutie dotácie je podmienené kvalitou predloženého projektu, ktorý hodnotí odborná komisia, pričom v hodnotiacich kritériách je zvýhodnený projekt na základe jeho </w:t>
            </w:r>
            <w:proofErr w:type="spellStart"/>
            <w:r w:rsidRPr="00DC4A5C">
              <w:rPr>
                <w:rFonts w:ascii="Times" w:hAnsi="Times" w:cs="Times"/>
                <w:sz w:val="24"/>
                <w:szCs w:val="25"/>
              </w:rPr>
              <w:t>priorizácie</w:t>
            </w:r>
            <w:proofErr w:type="spellEnd"/>
            <w:r w:rsidRPr="00DC4A5C">
              <w:rPr>
                <w:rFonts w:ascii="Times" w:hAnsi="Times" w:cs="Times"/>
                <w:sz w:val="24"/>
                <w:szCs w:val="25"/>
              </w:rPr>
              <w:t xml:space="preserve"> vo vzťahu k lokalizovaniu objektu v niektorom zo znevýhodnených okresoch podľa zákona č. 336/2015 Z. z. o podpore najmenej rozvinutých okresov a o zmene a doplnení niektorých zákonov v znení neskorších prepisov.</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Z</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V prípade využitia financovania prostredníctvom dotácie v zmysle zákona č. 434/2010 Z. z. o poskytovaní dotácií v pôsobnosti Ministerstva kultúry Slovenskej sa predmet/obsah podpory bude odvíjať od konkrétnych podmienok pre podporu, definovaných v uvedenom zákone.</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MPRVSR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 doložka vybraných vplyvov – bod 2. Definícia problému – predposlednú vetu žiadame upraviť nasledovne: „Akčný plán </w:t>
            </w:r>
            <w:r w:rsidRPr="00DC4A5C">
              <w:rPr>
                <w:rFonts w:ascii="Times" w:hAnsi="Times" w:cs="Times"/>
                <w:sz w:val="24"/>
                <w:szCs w:val="25"/>
              </w:rPr>
              <w:lastRenderedPageBreak/>
              <w:t>obsahuje odporúčania pre monitorovacie výbory pre programy spolufinancované z Európskych štrukturálnych a investičných fondov vo vzťahu k poskytovaniu pomoci pre najmenej rozvinuté okresy“</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MPRVSR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k celému materiálu: Ak je predpokladaný zdroj financovania EŠIF z viacerých OP, prosíme o definovanie koľko je predpokladaných finančných zdrojov z IROP.</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V súčasnosti nie je možné definovať predpokladanú výšku finančných zdrojov z IROP z dôvodov prebiehajúcich a neukončených výziev a z dôvodu presahu Akčného plánu po roku 2020.</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MPRVSR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 k vlastnému materiálu, Opatrenie B.1. „Podpora konkurencieschopnosti malých a stredných podnikov so zameraním na tvorbu a udržanie pracovných miest alebo s cieľom zabezpečiť udržateľný rast podniku a inovatívny prístup“. V návrhu Akčného plánu rozvoja okresu Bardejov sa ako predpokladaný zdroj financovania EŠIF uvádza OP </w:t>
            </w:r>
            <w:proofErr w:type="spellStart"/>
            <w:r w:rsidRPr="00DC4A5C">
              <w:rPr>
                <w:rFonts w:ascii="Times" w:hAnsi="Times" w:cs="Times"/>
                <w:sz w:val="24"/>
                <w:szCs w:val="25"/>
              </w:rPr>
              <w:t>VaI</w:t>
            </w:r>
            <w:proofErr w:type="spellEnd"/>
            <w:r w:rsidRPr="00DC4A5C">
              <w:rPr>
                <w:rFonts w:ascii="Times" w:hAnsi="Times" w:cs="Times"/>
                <w:sz w:val="24"/>
                <w:szCs w:val="25"/>
              </w:rPr>
              <w:t xml:space="preserve"> a IROP spolu v predpokladanej výške 14,092 mil. eur (EÚ zdroj). V rámci vyhlásenej výzvy na podporu kultúrneho a kreatívneho priemyslu bolo k 22. júnu 2018 predložených 6 žiadostí o NFP vo výške 1 059 709 eur (COV) s miestom realizácie v okrese Bardejov. Na základe tejto skutočnosti nie je zo strany RO/SO pre IROP možné naplnenie financovania uvedeného opatrenia akčného plánu. Z uvedeného dôvodu navrhujeme zvážiť úpravu sumy vo výške 14,092 mil. eur v tejto časti materiálu.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Akčný plán okresu Bardejov je pripravený na obdobie rokov 2018-2022 a jeho implementácia tak bude čiastočne prebiehať aj v novom programovom období 2020+, v rámci ktorého sa predpokladá aj s novými finančnými prostriedkami vyčlenenými pre ekvivalentné operačné programy. Vo vlastnom materiáli do predpokladaných zdrojov financovania boli doplnené slová „resp. ich ekvivalenty v rámci programového obdobia 2020+.</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MPRVSR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 k vlastnému materiálu, strana 27, Opatrenie B.3. „Podpora cestovného ruchu v okrese Bardejov“. V návrhu Akčného plánu rozvoja okresu Bardejov sa ako predpokladaný zdroj financovania EŠIF uvádza PRV a IROP spolu v predpokladanej výške 9,706 mil. eur (EÚ zdroj). V rámci vyhlásenej výzvy na zvýšenie </w:t>
            </w:r>
            <w:r w:rsidRPr="00DC4A5C">
              <w:rPr>
                <w:rFonts w:ascii="Times" w:hAnsi="Times" w:cs="Times"/>
                <w:sz w:val="24"/>
                <w:szCs w:val="25"/>
              </w:rPr>
              <w:lastRenderedPageBreak/>
              <w:t>atraktivity a prepravnej kapacity nemotorovej dopravy (predovšetkým cyklistickej dopravy) na celkovom počte prepravených osôb bola k 22. júnu 2018 predložená a schválená 1 žiadosť o poskytnutie NFP (schválené COV 671 563,32 eur) s miestom realizácie v okrese Bardejov. V rámci územia RIÚS Prešovského kraja bola alokácia stanovená vo výzve už vyčerpaná. Na základe tejto skutočnosti nie je zo strany RO/SO pre IROP možné naplnenie financovania uvedeného opatrenia akčného plánu. Z uvedeného dôvodu navrhujeme zvážiť úpravu sumy vo výške 9,706 mil. eur v tejto časti materiálu.</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Akčný plán okresu Bardejov je pripravený na obdobie rokov 2018-2022 a jeho implementácia tak bude čiastočne prebiehať aj v novom programovom období 2020+, v rámci </w:t>
            </w:r>
            <w:r w:rsidRPr="00DC4A5C">
              <w:rPr>
                <w:rFonts w:ascii="Times" w:hAnsi="Times" w:cs="Times"/>
                <w:sz w:val="24"/>
                <w:szCs w:val="25"/>
              </w:rPr>
              <w:lastRenderedPageBreak/>
              <w:t>ktorého sa predpokladá aj s novými finančnými prostriedkami vyčlenenými pre ekvivalentné operačné programy. Vo vlastnom materiáli do predpokladaných zdrojov financovania boli doplnené slová „resp. ich ekvivalenty v rámci programového obdobia 2020+".</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MPRVSR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vlastný materiál – bod H. „Zdroje financovania Akčného plánu“, str. 38 – prvú vetu navrhujeme upraviť nasledovne: „Z celkovej odhadovanej finančnej investície v rokoch 2018-2022 vo výške cca. 168,3 miliónov EUR sa predpokladá krytie z verejných zdrojov (EŠIF + štátny rozpočet) vo výške 60,2 milióna EUR, pričom celková výška regionálneho príspevku bude 3 765 tis. EUR.“</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Z celkovej odhadovanej finančnej investície v rokoch 2018 – 2022 vo výške cca. 169 miliónov eur sa predpokladá krytie z verejných zdrojov z programov spolufinancovaných z EŠIF vo výške 60,2 milióna eur a celková výška regionálneho príspevku bude 3 765 tis. EUR.</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MPRVSR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 vlastný materiál – tabuľka č. 13. „Prehľad výdavkov podľa prioritných oblastí a opatrení NRO Bardejov“, str. 38 – znenie stĺpca „Výška EŠIF v EUR“ navrhujeme upraviť na „Výška verejných zdrojov z programov spolufinancovaných z EŠIF v EUR“ Zdôvodnenie: máme za to, že predmetné sumy sa týkajú verejných zdrojov, </w:t>
            </w:r>
            <w:proofErr w:type="spellStart"/>
            <w:r w:rsidRPr="00DC4A5C">
              <w:rPr>
                <w:rFonts w:ascii="Times" w:hAnsi="Times" w:cs="Times"/>
                <w:sz w:val="24"/>
                <w:szCs w:val="25"/>
              </w:rPr>
              <w:t>t.j</w:t>
            </w:r>
            <w:proofErr w:type="spellEnd"/>
            <w:r w:rsidRPr="00DC4A5C">
              <w:rPr>
                <w:rFonts w:ascii="Times" w:hAnsi="Times" w:cs="Times"/>
                <w:sz w:val="24"/>
                <w:szCs w:val="25"/>
              </w:rPr>
              <w:t xml:space="preserve">. súčtu financií EÚ a SR, a nielen EŠIF (EÚ).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MPRVSR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 vlastný materiál – v tab. na str. 26 znenie 4. riadku v prvom stĺpci žiadame upraviť nasledovne: „Z toho orientačne programy spolufinancované z EŠIF“. Uvedená pripomienka sa týka aj ostatných relevantných tabuliek v materiáli. Zdôvodnenie: máme </w:t>
            </w:r>
            <w:r w:rsidRPr="00DC4A5C">
              <w:rPr>
                <w:rFonts w:ascii="Times" w:hAnsi="Times" w:cs="Times"/>
                <w:sz w:val="24"/>
                <w:szCs w:val="25"/>
              </w:rPr>
              <w:lastRenderedPageBreak/>
              <w:t>za to, že ide o verejné zdroje, ktoré zahŕňajú zdroje EÚ + SR. Zdroje EŠIF predstavujú len zdroje EÚ.</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MPRVSR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vlastný materiál – opatrenie E.1 „Zníženie energetickej náročnosti“, str. 33-34 - z uvedenej tabuľky žiadame vypustiť PRV ako predpokladaný zdroj financovania z dôvodu vyčerpania alokácie na predmetný typ investícií. Zdôvodnenie: vyplýva z pripomienky.</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Z</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Akčný plán okresu Bardejov je spracovaný na obdobie rokov 2018-2022 a jeho implementácia tak bude čiastočne prebiehať aj v novom programovom období 2020+, v rámci ktorého sa predpokladá aj s novými finančnými prostriedkami vyčlenenými pre ekvivalentné operačné programy. Vo vlastnom materiáli do predpokladaných zdrojov financovania boli doplnené slová „resp. ich ekvivalenty v rámci programového obdobia 2020+".</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MPSVRSR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navrhujeme doplniť nové opatrenie C.4. v znení: „Opatrenie C.4. Implementácia Národných projektov ÚPSVaR s cieľom aktivizácie a adaptácie dostupnej pracovnej sily Národné projekty ÚPSVaR budú v okrese Bardejov zamerané predovšetkým na zlepšenie postavenia uchádzačov o zamestnanie (</w:t>
            </w:r>
            <w:proofErr w:type="spellStart"/>
            <w:r w:rsidRPr="00DC4A5C">
              <w:rPr>
                <w:rFonts w:ascii="Times" w:hAnsi="Times" w:cs="Times"/>
                <w:sz w:val="24"/>
                <w:szCs w:val="25"/>
              </w:rPr>
              <w:t>UoZ</w:t>
            </w:r>
            <w:proofErr w:type="spellEnd"/>
            <w:r w:rsidRPr="00DC4A5C">
              <w:rPr>
                <w:rFonts w:ascii="Times" w:hAnsi="Times" w:cs="Times"/>
                <w:sz w:val="24"/>
                <w:szCs w:val="25"/>
              </w:rPr>
              <w:t xml:space="preserve">) na trhu práce, zvýšenie </w:t>
            </w:r>
            <w:proofErr w:type="spellStart"/>
            <w:r w:rsidRPr="00DC4A5C">
              <w:rPr>
                <w:rFonts w:ascii="Times" w:hAnsi="Times" w:cs="Times"/>
                <w:sz w:val="24"/>
                <w:szCs w:val="25"/>
              </w:rPr>
              <w:t>zamestnateľnosti</w:t>
            </w:r>
            <w:proofErr w:type="spellEnd"/>
            <w:r w:rsidRPr="00DC4A5C">
              <w:rPr>
                <w:rFonts w:ascii="Times" w:hAnsi="Times" w:cs="Times"/>
                <w:sz w:val="24"/>
                <w:szCs w:val="25"/>
              </w:rPr>
              <w:t xml:space="preserve"> a zamestnanosti </w:t>
            </w:r>
            <w:proofErr w:type="spellStart"/>
            <w:r w:rsidRPr="00DC4A5C">
              <w:rPr>
                <w:rFonts w:ascii="Times" w:hAnsi="Times" w:cs="Times"/>
                <w:sz w:val="24"/>
                <w:szCs w:val="25"/>
              </w:rPr>
              <w:t>UoZ</w:t>
            </w:r>
            <w:proofErr w:type="spellEnd"/>
            <w:r w:rsidRPr="00DC4A5C">
              <w:rPr>
                <w:rFonts w:ascii="Times" w:hAnsi="Times" w:cs="Times"/>
                <w:sz w:val="24"/>
                <w:szCs w:val="25"/>
              </w:rPr>
              <w:t xml:space="preserve"> a znevýhodnených </w:t>
            </w:r>
            <w:proofErr w:type="spellStart"/>
            <w:r w:rsidRPr="00DC4A5C">
              <w:rPr>
                <w:rFonts w:ascii="Times" w:hAnsi="Times" w:cs="Times"/>
                <w:sz w:val="24"/>
                <w:szCs w:val="25"/>
              </w:rPr>
              <w:t>UoZ</w:t>
            </w:r>
            <w:proofErr w:type="spellEnd"/>
            <w:r w:rsidRPr="00DC4A5C">
              <w:rPr>
                <w:rFonts w:ascii="Times" w:hAnsi="Times" w:cs="Times"/>
                <w:sz w:val="24"/>
                <w:szCs w:val="25"/>
              </w:rPr>
              <w:t xml:space="preserve">.“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Národné projekty ÚPSVaR predstavujú nástroj, nie opatrenie. Informácia o zlepšovaní postavenia </w:t>
            </w:r>
            <w:proofErr w:type="spellStart"/>
            <w:r w:rsidRPr="00DC4A5C">
              <w:rPr>
                <w:rFonts w:ascii="Times" w:hAnsi="Times" w:cs="Times"/>
                <w:sz w:val="24"/>
                <w:szCs w:val="25"/>
              </w:rPr>
              <w:t>UoZ</w:t>
            </w:r>
            <w:proofErr w:type="spellEnd"/>
            <w:r w:rsidRPr="00DC4A5C">
              <w:rPr>
                <w:rFonts w:ascii="Times" w:hAnsi="Times" w:cs="Times"/>
                <w:sz w:val="24"/>
                <w:szCs w:val="25"/>
              </w:rPr>
              <w:t xml:space="preserve"> bola doplnená do relevantných opatrení C.2 a C.3.</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MPSVRSR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Časť C. Prioritná oblasť – vzdelávanie a adaptácia pracovnej sily na potreby trhu opatrenie C.3. Podpora sociálnej ekonomiky a lokálnej zamestnanosti pre adaptáciu nízko kvalifikovanej pracovnej sily (str. 30) - v tabuľke žiadame „ÚPSVaR“ presunúť z predpokladaných zdrojoch financovania medzi partnerov Odôvodnenie: Správne je uvedený ako zdroj financovania Operačný program Ľudské zdroje. Ústredie práce, sociálnych vecí </w:t>
            </w:r>
            <w:r w:rsidRPr="00DC4A5C">
              <w:rPr>
                <w:rFonts w:ascii="Times" w:hAnsi="Times" w:cs="Times"/>
                <w:sz w:val="24"/>
                <w:szCs w:val="25"/>
              </w:rPr>
              <w:lastRenderedPageBreak/>
              <w:t xml:space="preserve">a rodiny vypracúva a realizuje celoštátne projekty na zlepšenie situácie na trhu práce, ktoré financuje o. i. z Operačného programu Ľudské zdroje.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MPSVRSR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Časť G. Podporné systémové opatrenia na realizáciu Akčného plánu na úrovni ústrednej štátnej správy (str. 37) - systémové opatrenie bod G.2 „Zvýšiť alokácie do programu Obnovy hradov nezamestnanými z dôvodu zvýšenia počtu zapojených subjektov a ich aktivity.“ žiadame vypustiť. Odôvodnenie: Národný projekt Zapojenie nezamestnaných do obnovy kultúrneho dedičstva – 2, ktorý realizuje Ústredie práce, sociálnych vecí a rodiny je schválený aj s výškou finančných prostriedkov a nie je možné ich navyšovať. V tejto forme ako je dnes sa bude realizovať až do roku 2021. - navrhujeme doplniť opatrenie bod G.2 v znení: „V rámci dotačného programu zameraného na obnovu národných kultúrnych pamiatok podporiť obnovu národných kultúrnych pamiatok nachádzajúcich sa v najmenej rozvinutom okrese Bardejov.“ Odôvodnenie: Ministerstvo kultúry Slovenskej republiky má vybudovaný dotačný program „Obnovme si svoj dom“. V rámci uvedeného programu je možné podporiť prioritne aj obnovu národných kultúrnych pamiatok v najmenej rozvinutých okresoch.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MPSVRSR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K vlastnému materiálu V materiáli odporúčame nahradiť slovné spojenie „sociálne zariadenia“ slovným spojením „zariadenia sociálnych služieb“ Odôvodnenie: Zosúladenie terminológie v súlade so zákonom č. 448/2008 Z. z. o sociálnych službách.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MPSVRSR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V časti D. Prioritná oblasť - budovanie infraštruktúry, zvýšenie kvality a dostupnosti služieb v opatrení D.3. Podpora budovania integrovaných zdravotníckych a sociálnych zariadení (str. 32) - odrážku </w:t>
            </w:r>
            <w:proofErr w:type="spellStart"/>
            <w:r w:rsidRPr="00DC4A5C">
              <w:rPr>
                <w:rFonts w:ascii="Times" w:hAnsi="Times" w:cs="Times"/>
                <w:sz w:val="24"/>
                <w:szCs w:val="25"/>
              </w:rPr>
              <w:t>iv.</w:t>
            </w:r>
            <w:proofErr w:type="spellEnd"/>
            <w:r w:rsidRPr="00DC4A5C">
              <w:rPr>
                <w:rFonts w:ascii="Times" w:hAnsi="Times" w:cs="Times"/>
                <w:sz w:val="24"/>
                <w:szCs w:val="25"/>
              </w:rPr>
              <w:t xml:space="preserve"> odporúčame preformulovať nasledovne: „</w:t>
            </w:r>
            <w:proofErr w:type="spellStart"/>
            <w:r w:rsidRPr="00DC4A5C">
              <w:rPr>
                <w:rFonts w:ascii="Times" w:hAnsi="Times" w:cs="Times"/>
                <w:sz w:val="24"/>
                <w:szCs w:val="25"/>
              </w:rPr>
              <w:t>iv.</w:t>
            </w:r>
            <w:proofErr w:type="spellEnd"/>
            <w:r w:rsidRPr="00DC4A5C">
              <w:rPr>
                <w:rFonts w:ascii="Times" w:hAnsi="Times" w:cs="Times"/>
                <w:sz w:val="24"/>
                <w:szCs w:val="25"/>
              </w:rPr>
              <w:t xml:space="preserve"> </w:t>
            </w:r>
            <w:r w:rsidRPr="00DC4A5C">
              <w:rPr>
                <w:rFonts w:ascii="Times" w:hAnsi="Times" w:cs="Times"/>
                <w:sz w:val="24"/>
                <w:szCs w:val="25"/>
              </w:rPr>
              <w:lastRenderedPageBreak/>
              <w:t xml:space="preserve">rekonštrukcia, rozširovanie a modernizácia vhodných stavebných objektov pre vytvorenie podmienok na poskytovanie a zabezpečenie komunitnej starostlivosti v súlade s princípmi </w:t>
            </w:r>
            <w:proofErr w:type="spellStart"/>
            <w:r w:rsidRPr="00DC4A5C">
              <w:rPr>
                <w:rFonts w:ascii="Times" w:hAnsi="Times" w:cs="Times"/>
                <w:sz w:val="24"/>
                <w:szCs w:val="25"/>
              </w:rPr>
              <w:t>deinštitucionalizácie</w:t>
            </w:r>
            <w:proofErr w:type="spellEnd"/>
            <w:r w:rsidRPr="00DC4A5C">
              <w:rPr>
                <w:rFonts w:ascii="Times" w:hAnsi="Times" w:cs="Times"/>
                <w:sz w:val="24"/>
                <w:szCs w:val="25"/>
              </w:rPr>
              <w:t xml:space="preserve"> ( napr. domovy sociálnych služieb, zariadenia pre seniorov a pod.); Odôvodnenie: Zosúladenie terminológie v súlade so zákonom č. 448/2008 Z. z. o sociálnych službách. - v odrážke v. odporúčame nahradiť slovné spojenie „pre poskytovanie podporovaného bývania“ slovným spojením „pre poskytovanie sociálnej služby v zariadení podporovaného bývania“; Odôvodnenie: Zosúladenie terminológie v súlade so zákonom č. 448/2008 Z. z. o sociálnych službách. - v odrážke v. žiadame nahradiť slovné spojenie „domovov sociálnych služieb“ textom „domovov sociálnych služieb s týždennou formou poskytovanej sociálnej služby“; Odôvodnenie: Sociálnu službu v domove sociálnych služieb nie je možné poskytovať ako celoročnú pobytovú sociálnu službu. - v odrážke v. odporúčame konkretizovať v uvedenom texte „zariadení a ďalších aj inovatívnych typov pobytových služieb na komunitnej úrovni“ jednotlivé druhy sociálnych služieb, na ktoré sa opatrenie bude vzťahovať; - v uvedenom texte „Predpokladá sa so zavedením dvoch a viac nových služieb a s rozšírením kapacít v realizovaných zariadeniach.“ odporúčame uviesť o zavedenie akých druhov nových sociálnych služieb pôjde a rovnako konkretizovať, akých druhov sociálnych služieb sa bude týkať rozširovanie kapacít existujúcich zariadení sociálnych služieb. Odôvodnenie: Legislatívne sú pre jednotlivé druhy sociálnych služieb nastavené rozličné podmienky vzťahujúce sa na maximálnu registrovanú kapacitu v jednom objekte zariadenia (zariadenie pre seniorov, domov sociálnych služieb, </w:t>
            </w:r>
            <w:r w:rsidRPr="00DC4A5C">
              <w:rPr>
                <w:rFonts w:ascii="Times" w:hAnsi="Times" w:cs="Times"/>
                <w:sz w:val="24"/>
                <w:szCs w:val="25"/>
              </w:rPr>
              <w:lastRenderedPageBreak/>
              <w:t xml:space="preserve">špecializované zariadenie), možnú formu poskytovania (nie je možné poskytovať sociálnu službu v domove sociálnych služieb celoročnou pobytovou formou).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Akčný plán sa bude realizovať prostredníctvom každoročne vládou SR schválených ročných priorít, v rámci ktorých sa uvedú konkrétne druhy </w:t>
            </w:r>
            <w:r w:rsidRPr="00DC4A5C">
              <w:rPr>
                <w:rFonts w:ascii="Times" w:hAnsi="Times" w:cs="Times"/>
                <w:sz w:val="24"/>
                <w:szCs w:val="25"/>
              </w:rPr>
              <w:lastRenderedPageBreak/>
              <w:t>nových predmetných sociálnych služieb a rovnako sa konkretizujú druhy sociálnych služieb, ktorých sa bude rozširovanie kapacít týkať.</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proofErr w:type="spellStart"/>
            <w:r w:rsidRPr="00DC4A5C">
              <w:rPr>
                <w:rFonts w:ascii="Times" w:hAnsi="Times" w:cs="Times"/>
                <w:b/>
                <w:bCs/>
                <w:sz w:val="24"/>
                <w:szCs w:val="25"/>
              </w:rPr>
              <w:lastRenderedPageBreak/>
              <w:t>MŠVVaŠSR</w:t>
            </w:r>
            <w:proofErr w:type="spellEnd"/>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"Opatrenie C.2 Podpora stredoškolských centier prípravy a adaptácie na budúce povolanie, vytvorenie podmienok pre adaptáciu pracovnej sily podľa požiadaviek na trhu práce; str. 28" - opatrenie nedostatočne reflektuje problematiku nedostatočného rozvoja nových a pre trh v okrese potrebných odborov vzdelávania na stredných školách (stredné odborné školy majú v sieti zaradené študijné a učebné odbory, z ktorých mnohé nekorešpondujú s reálnou potrebou trhu. Potrebný je obuvnícky a kožiarsky odbor, odbor </w:t>
            </w:r>
            <w:proofErr w:type="spellStart"/>
            <w:r w:rsidRPr="00DC4A5C">
              <w:rPr>
                <w:rFonts w:ascii="Times" w:hAnsi="Times" w:cs="Times"/>
                <w:sz w:val="24"/>
                <w:szCs w:val="25"/>
              </w:rPr>
              <w:t>mechatronik</w:t>
            </w:r>
            <w:proofErr w:type="spellEnd"/>
            <w:r w:rsidRPr="00DC4A5C">
              <w:rPr>
                <w:rFonts w:ascii="Times" w:hAnsi="Times" w:cs="Times"/>
                <w:sz w:val="24"/>
                <w:szCs w:val="25"/>
              </w:rPr>
              <w:t xml:space="preserve"> - strojárskej výroby a </w:t>
            </w:r>
            <w:proofErr w:type="spellStart"/>
            <w:r w:rsidRPr="00DC4A5C">
              <w:rPr>
                <w:rFonts w:ascii="Times" w:hAnsi="Times" w:cs="Times"/>
                <w:sz w:val="24"/>
                <w:szCs w:val="25"/>
              </w:rPr>
              <w:t>mechatronik</w:t>
            </w:r>
            <w:proofErr w:type="spellEnd"/>
            <w:r w:rsidRPr="00DC4A5C">
              <w:rPr>
                <w:rFonts w:ascii="Times" w:hAnsi="Times" w:cs="Times"/>
                <w:sz w:val="24"/>
                <w:szCs w:val="25"/>
              </w:rPr>
              <w:t xml:space="preserve"> - poľnohospodárskej techniky. Riešením tejto situácie bude konsolidácia siete stredných škôl.)</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Berieme na vedomie.</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proofErr w:type="spellStart"/>
            <w:r w:rsidRPr="00DC4A5C">
              <w:rPr>
                <w:rFonts w:ascii="Times" w:hAnsi="Times" w:cs="Times"/>
                <w:b/>
                <w:bCs/>
                <w:sz w:val="24"/>
                <w:szCs w:val="25"/>
              </w:rPr>
              <w:t>MŠVVaŠSR</w:t>
            </w:r>
            <w:proofErr w:type="spellEnd"/>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Tabuľka prehľadu systémových opatrení; str. 22 - odporúčame uviesť celý názov Opatrenia C.2 ako je uvedený aj na strane 28 nasledovne: "Podpora stredoškolských centier prípravy a adaptácie na budúce povolanie, vytvorenie podmienok pre adaptáciu pracovnej sily podľa požiadaviek na trhu práce". Kompletný názov zahŕňa okrem témy stredoškolského vzdelávania aj tému celoživotného vzdelávania (vzťahuje sa na problematiku nedostatku </w:t>
            </w:r>
            <w:proofErr w:type="spellStart"/>
            <w:r w:rsidRPr="00DC4A5C">
              <w:rPr>
                <w:rFonts w:ascii="Times" w:hAnsi="Times" w:cs="Times"/>
                <w:sz w:val="24"/>
                <w:szCs w:val="25"/>
              </w:rPr>
              <w:t>kvalif</w:t>
            </w:r>
            <w:proofErr w:type="spellEnd"/>
            <w:r w:rsidRPr="00DC4A5C">
              <w:rPr>
                <w:rFonts w:ascii="Times" w:hAnsi="Times" w:cs="Times"/>
                <w:sz w:val="24"/>
                <w:szCs w:val="25"/>
              </w:rPr>
              <w:t>. prac. sily), o ktorom Opatrenie C.2 taktiež pojednáva.</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proofErr w:type="spellStart"/>
            <w:r w:rsidRPr="00DC4A5C">
              <w:rPr>
                <w:rFonts w:ascii="Times" w:hAnsi="Times" w:cs="Times"/>
                <w:b/>
                <w:bCs/>
                <w:sz w:val="24"/>
                <w:szCs w:val="25"/>
              </w:rPr>
              <w:t>MŠVVaŠSR</w:t>
            </w:r>
            <w:proofErr w:type="spellEnd"/>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v opatrení C.1. Podpora </w:t>
            </w:r>
            <w:proofErr w:type="spellStart"/>
            <w:r w:rsidRPr="00DC4A5C">
              <w:rPr>
                <w:rFonts w:ascii="Times" w:hAnsi="Times" w:cs="Times"/>
                <w:sz w:val="24"/>
                <w:szCs w:val="25"/>
              </w:rPr>
              <w:t>predprimárneho</w:t>
            </w:r>
            <w:proofErr w:type="spellEnd"/>
            <w:r w:rsidRPr="00DC4A5C">
              <w:rPr>
                <w:rFonts w:ascii="Times" w:hAnsi="Times" w:cs="Times"/>
                <w:sz w:val="24"/>
                <w:szCs w:val="25"/>
              </w:rPr>
              <w:t xml:space="preserve"> a primárneho vzdelávania - žiadame o presnejšie uvedenie jednotlivých podporených aktivít, ktoré sa týkajú ministerstva školstva, keďže zo všeobecných názvov nie je zrejmé, či legislatíva umožňuje ich financovanie.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N</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Akčný plán sa bude realizovať prostredníctvom každoročne vládou SR schválených ročných priorít, v rámci ktorých sa uvedú konkrétne aktivity týkajúce sa napr. aj MŠVVaŠ SR.</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D.3 Podpora budovania integrovaných zdravotníckych a sociálnych zariadení Opatrenie má byť financované aj z OP ĽZ. Nie je zrejmé čo sa myslí pod „vytvorenie podmienok pre doplnkové vzdelávacie aktivity pre mládež“ a z ktorej prioritnej osi sa očakáva financovanie. Vzhľadom na nejasne definovanú aktivitu, nie je možné určiť, či bude jej financovanie možné z PO5 OP ĽZ. Zvyšné aktivity sú investičného charakteru, avšak podpora kultúrno-spoločenských zariadení a športových zariadení nie sú oprávnenými aktivitami v rámci PO6 OP ĽZ a tak ich financovanie nebude možné cez PO6 OP ĽZ.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Berieme na vedomie. Akčný plán okresu Bardejov je pripravený na obdobie rokov 2018-2022 a jeho implementácia tak bude čiastočne prebiehať aj v novom programovom období 2020+, v rámci ktorého sa predpokladá aj s novými finančnými prostriedkami vyčlenenými pre ekvivalentné operačné programy. Vo vlastnom materiáli do predpokladaných zdrojov financovania boli doplnené slová „resp. ich ekvivalenty v rámci programového obdobia 2020+“.</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Opatrenie C.1 Podpora </w:t>
            </w:r>
            <w:proofErr w:type="spellStart"/>
            <w:r w:rsidRPr="00DC4A5C">
              <w:rPr>
                <w:rFonts w:ascii="Times" w:hAnsi="Times" w:cs="Times"/>
                <w:sz w:val="24"/>
                <w:szCs w:val="25"/>
              </w:rPr>
              <w:t>predprimárneho</w:t>
            </w:r>
            <w:proofErr w:type="spellEnd"/>
            <w:r w:rsidRPr="00DC4A5C">
              <w:rPr>
                <w:rFonts w:ascii="Times" w:hAnsi="Times" w:cs="Times"/>
                <w:sz w:val="24"/>
                <w:szCs w:val="25"/>
              </w:rPr>
              <w:t xml:space="preserve"> a primárneho vzdelávania Opatrenie má byť financované aj z OP ĽZ avšak pre intervencie PO6 z OP ĽZ na podporu </w:t>
            </w:r>
            <w:proofErr w:type="spellStart"/>
            <w:r w:rsidRPr="00DC4A5C">
              <w:rPr>
                <w:rFonts w:ascii="Times" w:hAnsi="Times" w:cs="Times"/>
                <w:sz w:val="24"/>
                <w:szCs w:val="25"/>
              </w:rPr>
              <w:t>predprimárneho</w:t>
            </w:r>
            <w:proofErr w:type="spellEnd"/>
            <w:r w:rsidRPr="00DC4A5C">
              <w:rPr>
                <w:rFonts w:ascii="Times" w:hAnsi="Times" w:cs="Times"/>
                <w:sz w:val="24"/>
                <w:szCs w:val="25"/>
              </w:rPr>
              <w:t xml:space="preserve"> vzdelávania a pre intervencie PO5 primárneho vzdelávania sú oprávnené len obce s prítomnosťou MRK uvedené v Atlase RK 2013 a to sú nasledovné obce z okresu Bardejov: </w:t>
            </w:r>
            <w:r w:rsidRPr="00DC4A5C">
              <w:rPr>
                <w:rFonts w:ascii="Times" w:hAnsi="Times" w:cs="Times"/>
                <w:sz w:val="24"/>
                <w:szCs w:val="25"/>
              </w:rPr>
              <w:sym w:font="Symbol" w:char="F0D8"/>
            </w:r>
            <w:r w:rsidRPr="00DC4A5C">
              <w:rPr>
                <w:rFonts w:ascii="Times" w:hAnsi="Times" w:cs="Times"/>
                <w:sz w:val="24"/>
                <w:szCs w:val="25"/>
              </w:rPr>
              <w:t xml:space="preserve"> Andrejová </w:t>
            </w:r>
            <w:r w:rsidRPr="00DC4A5C">
              <w:rPr>
                <w:rFonts w:ascii="Times" w:hAnsi="Times" w:cs="Times"/>
                <w:sz w:val="24"/>
                <w:szCs w:val="25"/>
              </w:rPr>
              <w:sym w:font="Symbol" w:char="F0D8"/>
            </w:r>
            <w:r w:rsidRPr="00DC4A5C">
              <w:rPr>
                <w:rFonts w:ascii="Times" w:hAnsi="Times" w:cs="Times"/>
                <w:sz w:val="24"/>
                <w:szCs w:val="25"/>
              </w:rPr>
              <w:t xml:space="preserve"> Bardejov </w:t>
            </w:r>
            <w:r w:rsidRPr="00DC4A5C">
              <w:rPr>
                <w:rFonts w:ascii="Times" w:hAnsi="Times" w:cs="Times"/>
                <w:sz w:val="24"/>
                <w:szCs w:val="25"/>
              </w:rPr>
              <w:sym w:font="Symbol" w:char="F0D8"/>
            </w:r>
            <w:r w:rsidRPr="00DC4A5C">
              <w:rPr>
                <w:rFonts w:ascii="Times" w:hAnsi="Times" w:cs="Times"/>
                <w:sz w:val="24"/>
                <w:szCs w:val="25"/>
              </w:rPr>
              <w:t xml:space="preserve"> Becherov </w:t>
            </w:r>
            <w:r w:rsidRPr="00DC4A5C">
              <w:rPr>
                <w:rFonts w:ascii="Times" w:hAnsi="Times" w:cs="Times"/>
                <w:sz w:val="24"/>
                <w:szCs w:val="25"/>
              </w:rPr>
              <w:sym w:font="Symbol" w:char="F0D8"/>
            </w:r>
            <w:r w:rsidRPr="00DC4A5C">
              <w:rPr>
                <w:rFonts w:ascii="Times" w:hAnsi="Times" w:cs="Times"/>
                <w:sz w:val="24"/>
                <w:szCs w:val="25"/>
              </w:rPr>
              <w:t xml:space="preserve"> Cigeľka </w:t>
            </w:r>
            <w:r w:rsidRPr="00DC4A5C">
              <w:rPr>
                <w:rFonts w:ascii="Times" w:hAnsi="Times" w:cs="Times"/>
                <w:sz w:val="24"/>
                <w:szCs w:val="25"/>
              </w:rPr>
              <w:sym w:font="Symbol" w:char="F0D8"/>
            </w:r>
            <w:r w:rsidRPr="00DC4A5C">
              <w:rPr>
                <w:rFonts w:ascii="Times" w:hAnsi="Times" w:cs="Times"/>
                <w:sz w:val="24"/>
                <w:szCs w:val="25"/>
              </w:rPr>
              <w:t xml:space="preserve"> Frička </w:t>
            </w:r>
            <w:r w:rsidRPr="00DC4A5C">
              <w:rPr>
                <w:rFonts w:ascii="Times" w:hAnsi="Times" w:cs="Times"/>
                <w:sz w:val="24"/>
                <w:szCs w:val="25"/>
              </w:rPr>
              <w:sym w:font="Symbol" w:char="F0D8"/>
            </w:r>
            <w:r w:rsidRPr="00DC4A5C">
              <w:rPr>
                <w:rFonts w:ascii="Times" w:hAnsi="Times" w:cs="Times"/>
                <w:sz w:val="24"/>
                <w:szCs w:val="25"/>
              </w:rPr>
              <w:t xml:space="preserve"> Gerlachov </w:t>
            </w:r>
            <w:r w:rsidRPr="00DC4A5C">
              <w:rPr>
                <w:rFonts w:ascii="Times" w:hAnsi="Times" w:cs="Times"/>
                <w:sz w:val="24"/>
                <w:szCs w:val="25"/>
              </w:rPr>
              <w:sym w:font="Symbol" w:char="F0D8"/>
            </w:r>
            <w:r w:rsidRPr="00DC4A5C">
              <w:rPr>
                <w:rFonts w:ascii="Times" w:hAnsi="Times" w:cs="Times"/>
                <w:sz w:val="24"/>
                <w:szCs w:val="25"/>
              </w:rPr>
              <w:t xml:space="preserve"> Hrabské </w:t>
            </w:r>
            <w:r w:rsidRPr="00DC4A5C">
              <w:rPr>
                <w:rFonts w:ascii="Times" w:hAnsi="Times" w:cs="Times"/>
                <w:sz w:val="24"/>
                <w:szCs w:val="25"/>
              </w:rPr>
              <w:sym w:font="Symbol" w:char="F0D8"/>
            </w:r>
            <w:r w:rsidRPr="00DC4A5C">
              <w:rPr>
                <w:rFonts w:ascii="Times" w:hAnsi="Times" w:cs="Times"/>
                <w:sz w:val="24"/>
                <w:szCs w:val="25"/>
              </w:rPr>
              <w:t xml:space="preserve"> Kurima </w:t>
            </w:r>
            <w:r w:rsidRPr="00DC4A5C">
              <w:rPr>
                <w:rFonts w:ascii="Times" w:hAnsi="Times" w:cs="Times"/>
                <w:sz w:val="24"/>
                <w:szCs w:val="25"/>
              </w:rPr>
              <w:sym w:font="Symbol" w:char="F0D8"/>
            </w:r>
            <w:r w:rsidRPr="00DC4A5C">
              <w:rPr>
                <w:rFonts w:ascii="Times" w:hAnsi="Times" w:cs="Times"/>
                <w:sz w:val="24"/>
                <w:szCs w:val="25"/>
              </w:rPr>
              <w:t xml:space="preserve"> Kurov </w:t>
            </w:r>
            <w:r w:rsidRPr="00DC4A5C">
              <w:rPr>
                <w:rFonts w:ascii="Times" w:hAnsi="Times" w:cs="Times"/>
                <w:sz w:val="24"/>
                <w:szCs w:val="25"/>
              </w:rPr>
              <w:sym w:font="Symbol" w:char="F0D8"/>
            </w:r>
            <w:r w:rsidRPr="00DC4A5C">
              <w:rPr>
                <w:rFonts w:ascii="Times" w:hAnsi="Times" w:cs="Times"/>
                <w:sz w:val="24"/>
                <w:szCs w:val="25"/>
              </w:rPr>
              <w:t xml:space="preserve"> Lascov </w:t>
            </w:r>
            <w:r w:rsidRPr="00DC4A5C">
              <w:rPr>
                <w:rFonts w:ascii="Times" w:hAnsi="Times" w:cs="Times"/>
                <w:sz w:val="24"/>
                <w:szCs w:val="25"/>
              </w:rPr>
              <w:sym w:font="Symbol" w:char="F0D8"/>
            </w:r>
            <w:r w:rsidRPr="00DC4A5C">
              <w:rPr>
                <w:rFonts w:ascii="Times" w:hAnsi="Times" w:cs="Times"/>
                <w:sz w:val="24"/>
                <w:szCs w:val="25"/>
              </w:rPr>
              <w:t xml:space="preserve"> Lenartov </w:t>
            </w:r>
            <w:r w:rsidRPr="00DC4A5C">
              <w:rPr>
                <w:rFonts w:ascii="Times" w:hAnsi="Times" w:cs="Times"/>
                <w:sz w:val="24"/>
                <w:szCs w:val="25"/>
              </w:rPr>
              <w:sym w:font="Symbol" w:char="F0D8"/>
            </w:r>
            <w:r w:rsidRPr="00DC4A5C">
              <w:rPr>
                <w:rFonts w:ascii="Times" w:hAnsi="Times" w:cs="Times"/>
                <w:sz w:val="24"/>
                <w:szCs w:val="25"/>
              </w:rPr>
              <w:t xml:space="preserve"> Lukov </w:t>
            </w:r>
            <w:r w:rsidRPr="00DC4A5C">
              <w:rPr>
                <w:rFonts w:ascii="Times" w:hAnsi="Times" w:cs="Times"/>
                <w:sz w:val="24"/>
                <w:szCs w:val="25"/>
              </w:rPr>
              <w:sym w:font="Symbol" w:char="F0D8"/>
            </w:r>
            <w:r w:rsidRPr="00DC4A5C">
              <w:rPr>
                <w:rFonts w:ascii="Times" w:hAnsi="Times" w:cs="Times"/>
                <w:sz w:val="24"/>
                <w:szCs w:val="25"/>
              </w:rPr>
              <w:t xml:space="preserve"> Malcov </w:t>
            </w:r>
            <w:r w:rsidRPr="00DC4A5C">
              <w:rPr>
                <w:rFonts w:ascii="Times" w:hAnsi="Times" w:cs="Times"/>
                <w:sz w:val="24"/>
                <w:szCs w:val="25"/>
              </w:rPr>
              <w:sym w:font="Symbol" w:char="F0D8"/>
            </w:r>
            <w:r w:rsidRPr="00DC4A5C">
              <w:rPr>
                <w:rFonts w:ascii="Times" w:hAnsi="Times" w:cs="Times"/>
                <w:sz w:val="24"/>
                <w:szCs w:val="25"/>
              </w:rPr>
              <w:t xml:space="preserve"> Marhaň </w:t>
            </w:r>
            <w:r w:rsidRPr="00DC4A5C">
              <w:rPr>
                <w:rFonts w:ascii="Times" w:hAnsi="Times" w:cs="Times"/>
                <w:sz w:val="24"/>
                <w:szCs w:val="25"/>
              </w:rPr>
              <w:sym w:font="Symbol" w:char="F0D8"/>
            </w:r>
            <w:r w:rsidRPr="00DC4A5C">
              <w:rPr>
                <w:rFonts w:ascii="Times" w:hAnsi="Times" w:cs="Times"/>
                <w:sz w:val="24"/>
                <w:szCs w:val="25"/>
              </w:rPr>
              <w:t xml:space="preserve"> Nižný Tvarožec </w:t>
            </w:r>
            <w:r w:rsidRPr="00DC4A5C">
              <w:rPr>
                <w:rFonts w:ascii="Times" w:hAnsi="Times" w:cs="Times"/>
                <w:sz w:val="24"/>
                <w:szCs w:val="25"/>
              </w:rPr>
              <w:sym w:font="Symbol" w:char="F0D8"/>
            </w:r>
            <w:r w:rsidRPr="00DC4A5C">
              <w:rPr>
                <w:rFonts w:ascii="Times" w:hAnsi="Times" w:cs="Times"/>
                <w:sz w:val="24"/>
                <w:szCs w:val="25"/>
              </w:rPr>
              <w:t xml:space="preserve"> Ortuťová </w:t>
            </w:r>
            <w:r w:rsidRPr="00DC4A5C">
              <w:rPr>
                <w:rFonts w:ascii="Times" w:hAnsi="Times" w:cs="Times"/>
                <w:sz w:val="24"/>
                <w:szCs w:val="25"/>
              </w:rPr>
              <w:sym w:font="Symbol" w:char="F0D8"/>
            </w:r>
            <w:r w:rsidRPr="00DC4A5C">
              <w:rPr>
                <w:rFonts w:ascii="Times" w:hAnsi="Times" w:cs="Times"/>
                <w:sz w:val="24"/>
                <w:szCs w:val="25"/>
              </w:rPr>
              <w:t xml:space="preserve"> Petrová </w:t>
            </w:r>
            <w:r w:rsidRPr="00DC4A5C">
              <w:rPr>
                <w:rFonts w:ascii="Times" w:hAnsi="Times" w:cs="Times"/>
                <w:sz w:val="24"/>
                <w:szCs w:val="25"/>
              </w:rPr>
              <w:sym w:font="Symbol" w:char="F0D8"/>
            </w:r>
            <w:r w:rsidRPr="00DC4A5C">
              <w:rPr>
                <w:rFonts w:ascii="Times" w:hAnsi="Times" w:cs="Times"/>
                <w:sz w:val="24"/>
                <w:szCs w:val="25"/>
              </w:rPr>
              <w:t xml:space="preserve"> Raslavice </w:t>
            </w:r>
            <w:r w:rsidRPr="00DC4A5C">
              <w:rPr>
                <w:rFonts w:ascii="Times" w:hAnsi="Times" w:cs="Times"/>
                <w:sz w:val="24"/>
                <w:szCs w:val="25"/>
              </w:rPr>
              <w:sym w:font="Symbol" w:char="F0D8"/>
            </w:r>
            <w:r w:rsidRPr="00DC4A5C">
              <w:rPr>
                <w:rFonts w:ascii="Times" w:hAnsi="Times" w:cs="Times"/>
                <w:sz w:val="24"/>
                <w:szCs w:val="25"/>
              </w:rPr>
              <w:t xml:space="preserve"> Rokytov </w:t>
            </w:r>
            <w:r w:rsidRPr="00DC4A5C">
              <w:rPr>
                <w:rFonts w:ascii="Times" w:hAnsi="Times" w:cs="Times"/>
                <w:sz w:val="24"/>
                <w:szCs w:val="25"/>
              </w:rPr>
              <w:sym w:font="Symbol" w:char="F0D8"/>
            </w:r>
            <w:r w:rsidRPr="00DC4A5C">
              <w:rPr>
                <w:rFonts w:ascii="Times" w:hAnsi="Times" w:cs="Times"/>
                <w:sz w:val="24"/>
                <w:szCs w:val="25"/>
              </w:rPr>
              <w:t xml:space="preserve"> Snakov </w:t>
            </w:r>
            <w:r w:rsidRPr="00DC4A5C">
              <w:rPr>
                <w:rFonts w:ascii="Times" w:hAnsi="Times" w:cs="Times"/>
                <w:sz w:val="24"/>
                <w:szCs w:val="25"/>
              </w:rPr>
              <w:sym w:font="Symbol" w:char="F0D8"/>
            </w:r>
            <w:r w:rsidRPr="00DC4A5C">
              <w:rPr>
                <w:rFonts w:ascii="Times" w:hAnsi="Times" w:cs="Times"/>
                <w:sz w:val="24"/>
                <w:szCs w:val="25"/>
              </w:rPr>
              <w:t xml:space="preserve"> Sveržov </w:t>
            </w:r>
            <w:r w:rsidRPr="00DC4A5C">
              <w:rPr>
                <w:rFonts w:ascii="Times" w:hAnsi="Times" w:cs="Times"/>
                <w:sz w:val="24"/>
                <w:szCs w:val="25"/>
              </w:rPr>
              <w:sym w:font="Symbol" w:char="F0D8"/>
            </w:r>
            <w:r w:rsidRPr="00DC4A5C">
              <w:rPr>
                <w:rFonts w:ascii="Times" w:hAnsi="Times" w:cs="Times"/>
                <w:sz w:val="24"/>
                <w:szCs w:val="25"/>
              </w:rPr>
              <w:t xml:space="preserve"> Šarišské Čierne </w:t>
            </w:r>
            <w:r w:rsidRPr="00DC4A5C">
              <w:rPr>
                <w:rFonts w:ascii="Times" w:hAnsi="Times" w:cs="Times"/>
                <w:sz w:val="24"/>
                <w:szCs w:val="25"/>
              </w:rPr>
              <w:sym w:font="Symbol" w:char="F0D8"/>
            </w:r>
            <w:r w:rsidRPr="00DC4A5C">
              <w:rPr>
                <w:rFonts w:ascii="Times" w:hAnsi="Times" w:cs="Times"/>
                <w:sz w:val="24"/>
                <w:szCs w:val="25"/>
              </w:rPr>
              <w:t xml:space="preserve"> Šašová </w:t>
            </w:r>
            <w:r w:rsidRPr="00DC4A5C">
              <w:rPr>
                <w:rFonts w:ascii="Times" w:hAnsi="Times" w:cs="Times"/>
                <w:sz w:val="24"/>
                <w:szCs w:val="25"/>
              </w:rPr>
              <w:sym w:font="Symbol" w:char="F0D8"/>
            </w:r>
            <w:r w:rsidRPr="00DC4A5C">
              <w:rPr>
                <w:rFonts w:ascii="Times" w:hAnsi="Times" w:cs="Times"/>
                <w:sz w:val="24"/>
                <w:szCs w:val="25"/>
              </w:rPr>
              <w:t xml:space="preserve"> Varadka </w:t>
            </w:r>
            <w:r w:rsidRPr="00DC4A5C">
              <w:rPr>
                <w:rFonts w:ascii="Times" w:hAnsi="Times" w:cs="Times"/>
                <w:sz w:val="24"/>
                <w:szCs w:val="25"/>
              </w:rPr>
              <w:sym w:font="Symbol" w:char="F0D8"/>
            </w:r>
            <w:r w:rsidRPr="00DC4A5C">
              <w:rPr>
                <w:rFonts w:ascii="Times" w:hAnsi="Times" w:cs="Times"/>
                <w:sz w:val="24"/>
                <w:szCs w:val="25"/>
              </w:rPr>
              <w:t xml:space="preserve"> Zborov Na podporu </w:t>
            </w:r>
            <w:proofErr w:type="spellStart"/>
            <w:r w:rsidRPr="00DC4A5C">
              <w:rPr>
                <w:rFonts w:ascii="Times" w:hAnsi="Times" w:cs="Times"/>
                <w:sz w:val="24"/>
                <w:szCs w:val="25"/>
              </w:rPr>
              <w:t>predprimárneho</w:t>
            </w:r>
            <w:proofErr w:type="spellEnd"/>
            <w:r w:rsidRPr="00DC4A5C">
              <w:rPr>
                <w:rFonts w:ascii="Times" w:hAnsi="Times" w:cs="Times"/>
                <w:sz w:val="24"/>
                <w:szCs w:val="25"/>
              </w:rPr>
              <w:t xml:space="preserve"> vzdelávania v rámci PO5 (národný projekt) sú oprávnené iba nasledovné obce: </w:t>
            </w:r>
            <w:r w:rsidRPr="00DC4A5C">
              <w:rPr>
                <w:rFonts w:ascii="Times" w:hAnsi="Times" w:cs="Times"/>
                <w:sz w:val="24"/>
                <w:szCs w:val="25"/>
              </w:rPr>
              <w:sym w:font="Symbol" w:char="F0D8"/>
            </w:r>
            <w:r w:rsidRPr="00DC4A5C">
              <w:rPr>
                <w:rFonts w:ascii="Times" w:hAnsi="Times" w:cs="Times"/>
                <w:sz w:val="24"/>
                <w:szCs w:val="25"/>
              </w:rPr>
              <w:t xml:space="preserve"> Bardejov </w:t>
            </w:r>
            <w:r w:rsidRPr="00DC4A5C">
              <w:rPr>
                <w:rFonts w:ascii="Times" w:hAnsi="Times" w:cs="Times"/>
                <w:sz w:val="24"/>
                <w:szCs w:val="25"/>
              </w:rPr>
              <w:sym w:font="Symbol" w:char="F0D8"/>
            </w:r>
            <w:r w:rsidRPr="00DC4A5C">
              <w:rPr>
                <w:rFonts w:ascii="Times" w:hAnsi="Times" w:cs="Times"/>
                <w:sz w:val="24"/>
                <w:szCs w:val="25"/>
              </w:rPr>
              <w:t xml:space="preserve"> Lenártov </w:t>
            </w:r>
            <w:r w:rsidRPr="00DC4A5C">
              <w:rPr>
                <w:rFonts w:ascii="Times" w:hAnsi="Times" w:cs="Times"/>
                <w:sz w:val="24"/>
                <w:szCs w:val="25"/>
              </w:rPr>
              <w:sym w:font="Symbol" w:char="F0D8"/>
            </w:r>
            <w:r w:rsidRPr="00DC4A5C">
              <w:rPr>
                <w:rFonts w:ascii="Times" w:hAnsi="Times" w:cs="Times"/>
                <w:sz w:val="24"/>
                <w:szCs w:val="25"/>
              </w:rPr>
              <w:t xml:space="preserve"> Marhaň </w:t>
            </w:r>
            <w:r w:rsidRPr="00DC4A5C">
              <w:rPr>
                <w:rFonts w:ascii="Times" w:hAnsi="Times" w:cs="Times"/>
                <w:sz w:val="24"/>
                <w:szCs w:val="25"/>
              </w:rPr>
              <w:sym w:font="Symbol" w:char="F0D8"/>
            </w:r>
            <w:r w:rsidRPr="00DC4A5C">
              <w:rPr>
                <w:rFonts w:ascii="Times" w:hAnsi="Times" w:cs="Times"/>
                <w:sz w:val="24"/>
                <w:szCs w:val="25"/>
              </w:rPr>
              <w:t xml:space="preserve"> Petrová </w:t>
            </w:r>
            <w:r w:rsidRPr="00DC4A5C">
              <w:rPr>
                <w:rFonts w:ascii="Times" w:hAnsi="Times" w:cs="Times"/>
                <w:sz w:val="24"/>
                <w:szCs w:val="25"/>
              </w:rPr>
              <w:sym w:font="Symbol" w:char="F0D8"/>
            </w:r>
            <w:r w:rsidRPr="00DC4A5C">
              <w:rPr>
                <w:rFonts w:ascii="Times" w:hAnsi="Times" w:cs="Times"/>
                <w:sz w:val="24"/>
                <w:szCs w:val="25"/>
              </w:rPr>
              <w:t xml:space="preserve"> Raslavice </w:t>
            </w:r>
            <w:r w:rsidRPr="00DC4A5C">
              <w:rPr>
                <w:rFonts w:ascii="Times" w:hAnsi="Times" w:cs="Times"/>
                <w:sz w:val="24"/>
                <w:szCs w:val="25"/>
              </w:rPr>
              <w:sym w:font="Symbol" w:char="F0D8"/>
            </w:r>
            <w:r w:rsidRPr="00DC4A5C">
              <w:rPr>
                <w:rFonts w:ascii="Times" w:hAnsi="Times" w:cs="Times"/>
                <w:sz w:val="24"/>
                <w:szCs w:val="25"/>
              </w:rPr>
              <w:t xml:space="preserve"> Zborov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Berieme na vedomie.</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Spoločná pripomienka pre: C.3 Podpora sociálnej ekonomiky a lokálnej zamestnanosti pre adaptáciu nízko kvalifikovanej pracovnej sily D.1 Dopravná infraštruktúra okresu podporujúca </w:t>
            </w:r>
            <w:r w:rsidRPr="00DC4A5C">
              <w:rPr>
                <w:rFonts w:ascii="Times" w:hAnsi="Times" w:cs="Times"/>
                <w:sz w:val="24"/>
                <w:szCs w:val="25"/>
              </w:rPr>
              <w:lastRenderedPageBreak/>
              <w:t xml:space="preserve">ekonomický rozvoj okresu a mobilitu pracovnej sily D.2 Podpora nájomného bývania, príprava územia pre bytovú výstavbu a podpora výstavby nájomných bytov nižšieho štandardu E.3 Podpora triedenia a zhodnocovania odpadov Opatrenia majú byť financované aj z OP ĽZ, poukazujeme však na to, že pre intervencie PO6 sú oprávnenými žiadateľmi iba obce s prítomnosťou MRK uvedené v Atlase RK 2013 (obce, ktoré uvedené vyššie v bode C.1).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Berieme na vedomie.</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MVSR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Tabuľka č.13 Poskytnutie regionálneho príspevku pre okres Bardejov 1. Spoločné stanovisko pre opatrenia C.1, D.2 a E.3: v uvedených opatreniach je uvedené financovanie z EŠIF, avšak nie je zrejmé z ktorej prioritnej osi, ktorého operačného programu. Rovnako je uvedené, že budú vytvorené pracovné miesta. Ak sa predpokladá financovanie z PO5 a PO6 OP ĽZ, nie je možné stanovené výšky financovania podpory garantovať (nie je zrejmé ako boli vypočítané, na aké aktivity, nie je zrejmé koľko z toho by bolo v rámci PO5 a koľko PO6). 2. V opatrení C.3 je uvedené financovanie z EŠIF vo výške 6.407.900 EUR na vytvorenie 62 pracovných miest. Z materiálu nie je zrejmé, či tieto pracovné miesta majú byť vytvorené iba v rámci PO6 OP ĽZ, alebo aj cez iné prioritné osi OP ĽZ resp. z iných operačných programov. V prípade financovania iba z PO6 OP ĽZ, môžu žiadatelia žiadať o finančnú podporu 30.000 EUR na jedno vytvorené pracovné miesto v ekvivalente plného pracovného úväzku (8 hodinový pracovný čas), </w:t>
            </w:r>
            <w:proofErr w:type="spellStart"/>
            <w:r w:rsidRPr="00DC4A5C">
              <w:rPr>
                <w:rFonts w:ascii="Times" w:hAnsi="Times" w:cs="Times"/>
                <w:sz w:val="24"/>
                <w:szCs w:val="25"/>
              </w:rPr>
              <w:t>t,j</w:t>
            </w:r>
            <w:proofErr w:type="spellEnd"/>
            <w:r w:rsidRPr="00DC4A5C">
              <w:rPr>
                <w:rFonts w:ascii="Times" w:hAnsi="Times" w:cs="Times"/>
                <w:sz w:val="24"/>
                <w:szCs w:val="25"/>
              </w:rPr>
              <w:t xml:space="preserve">, ak by mali byť všetky pracovné miesta vytvorené cez P ĽZ je možné počítať s maximálnou finančnou podporou 1.860.000 EUR a nie 6.407.900 EUR 3. V opatrení D.1 je uvedené nulové financovanie z EŠIF, avšak v textovej časti na </w:t>
            </w:r>
            <w:r w:rsidRPr="00DC4A5C">
              <w:rPr>
                <w:rFonts w:ascii="Times" w:hAnsi="Times" w:cs="Times"/>
                <w:sz w:val="24"/>
                <w:szCs w:val="25"/>
              </w:rPr>
              <w:lastRenderedPageBreak/>
              <w:t xml:space="preserve">str. 30 je uvedené, že opatrenie bude financované z OP ĽZ – nutné zosúladiť v materiáli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Berieme na vedomie. Akčný plán okresu Bardejov je pripravený na obdobie rokov 2018-2022 a jeho implementácia tak bude čiastočne prebiehať aj v novom programovom období 2020+, v rámci ktorého sa predpokladá aj s novými finančnými prostriedkami vyčlenenými nové pre ekvivalentné operačné programy. Vo vlastnom materiáli do predpokladaných zdrojov financovania boli doplnené slová „resp. ich ekvivalenty v rámci programového obdobia 2020+“.</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MZSR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V časti Vzdelávacia, sociálna, zdravotnícka, kultúrno-spoločenská a športová infraštruktúra, na str. 16, druhý ods. za spojenie: „medzi oprávnené spádové oblasti v samospráve pre umiestnenie CIZS patria ......“ doplniť text: „mesto Bardejov“.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MZSR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V časti Opatrenie D.3. Podpora budovania integrovaných zdravotníckych a sociálnych zariadení, na str. 32 v tabuľke v riadku za textom „Z toho orientačne EŠIF:“ vypustiť sumu „2 140 tis. eur“ a nahradiť novou sumou: „2 800 tis. eur“. Z dôvodu, že pre projekty realizované v 1. etape CIZS je stanovená maximálna výška príspevku z EŠIF v objeme 700 tis. eur na projekt, čo na štyri oprávnené obce činí sumu 2 800 tis. Eur.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proofErr w:type="spellStart"/>
            <w:r w:rsidRPr="00DC4A5C">
              <w:rPr>
                <w:rFonts w:ascii="Times" w:hAnsi="Times" w:cs="Times"/>
                <w:b/>
                <w:bCs/>
                <w:sz w:val="24"/>
                <w:szCs w:val="25"/>
              </w:rPr>
              <w:t>MZVaEZSR</w:t>
            </w:r>
            <w:proofErr w:type="spellEnd"/>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Bez pripomienok</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MŽPSR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1. Časť E. Prioritná oblasť - starostlivosti o životné prostredie, opatrenie E.2. Výstavba vodárenskej infraštruktúry, žiadame vypustiť ako predpokladaný zdroj financovania „OP KŽP“. Odôvodnenie: Zdroje OP KŽP na podporu uvedenej aktivity už nie sú k dispozícii, keďže boli </w:t>
            </w:r>
            <w:proofErr w:type="spellStart"/>
            <w:r w:rsidRPr="00DC4A5C">
              <w:rPr>
                <w:rFonts w:ascii="Times" w:hAnsi="Times" w:cs="Times"/>
                <w:sz w:val="24"/>
                <w:szCs w:val="25"/>
              </w:rPr>
              <w:t>zazmluvnené</w:t>
            </w:r>
            <w:proofErr w:type="spellEnd"/>
            <w:r w:rsidRPr="00DC4A5C">
              <w:rPr>
                <w:rFonts w:ascii="Times" w:hAnsi="Times" w:cs="Times"/>
                <w:sz w:val="24"/>
                <w:szCs w:val="25"/>
              </w:rPr>
              <w:t xml:space="preserve"> a sú čerpané na projekty schválené v 1. výzve zameranej na podporu budovania verejnej kanalizácie, čistiarní odpadových vôd a verejných vodovodov (v jednej ryhe s kanalizáciou) v aglomeráciách nad 2000 ekvivalentných obyvateľov v zmysle záväzkov SR voči EÚ. Výstavba verejných vodovodov, budovanie verejných kanalizácií a čistiarní odpadových vôd v obciach do 1 000 obyvateľov je v programovom období 2014 – 2020 oprávnená na podporu v rámci Programu rozvoja vidieka. Pre obce nad 1000 obyvateľov s výnimkou obcí, ktoré sú súčasťou aglomerácií podporovaných v rámci OP KŽP, môže byť podpora poskytnutá z Integrovaného </w:t>
            </w:r>
            <w:r w:rsidRPr="00DC4A5C">
              <w:rPr>
                <w:rFonts w:ascii="Times" w:hAnsi="Times" w:cs="Times"/>
                <w:sz w:val="24"/>
                <w:szCs w:val="25"/>
              </w:rPr>
              <w:lastRenderedPageBreak/>
              <w:t xml:space="preserve">regionálneho operačného programu. Okrem uvedených zdrojov financovania z EŠIF je možné získať dotáciu z Environmentálneho fondu, ktorý je zameraný aj na podporu činností v oblasti ochrany a využívania vôd pre najmenej rozvinuté okresy.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Z</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Berieme na vedomie. Akčný plán okresu Bardejov je pripravený na obdobie rokov 2018-2022 a jeho implementácia tak bude čiastočne prebiehať aj v novom programovom období 2020+, v rámci ktorého sa predpokladá aj s novými finančnými prostriedkami vyčlenenými pre ekvivalentné operačné programy. Vo vlastnom materiáli do predpokladaných zdrojov financovania boli doplnené slová „resp. ich ekvivalenty v rámci programového obdobia 2020+“.</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MŽPSR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1. Upozorňujem na ustanovenie § 4 ods. 1 zákona č. 24/2006 Z. z. o posudzovaní vplyvov na životné prostredie a o zmene a doplnení niektorých zákonov v znení neskorších predpisov (ďalej len zákon): Predmetom posudzovania vplyvov strategických dokumentov je strategický dokument pripravovaný pre oblasť poľnohospodárstva, lesníctva, rybárstva, priemyslu, energetiky, dopravy, odpadového hospodárstva, vodného hospodárstva, telekomunikácií, cestovného ruchu, územného plánovania alebo využívania územia, regionálneho rozvoja a životného prostredia, ako aj strategický dokument spolufinancovaný Európskou úniou, ktoré majú pravdepodobne významný vplyv na životné prostredie a zároveň vytvárajú rámec na schválenie niektorej z navrhovaných činností uvedených v prílohe č. 8 okrem strategických dokumentov, ktoré určujú využívanie malých území na miestnej úrovni. Za predpokladu, že prípravu predložených akčných plánov vyžaduje všeobecne záväzný právny predpis, rozhodnutie alebo uznesenie orgánu, pre ktorý sa pripravuje na schválenie (§ 3 písm. d) zákona), predložené akčné plány spĺňajú definíciu „predmetu posudzovania vplyvov“ a ako také majú byť pred ich schválením posudzované podľa druhej časti zákona.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N</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Akčný plán rozvoja okresu Bardejov, nie je strategickým dokumentom s celoštátnym dosahom. Akčný plán nebude mať významný dopad na životné prostredie.</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MŽPSR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2. Str. 34-36 - v rámci textov k opatreniam E.1 až E.4 žiadame doplniť text: „V prípade využitia financovania zo zdrojov podpory z Environmentálneho fondu pri realizácii vyššie uvedených aktivít sa predmet/obsah podpory bude odvíjať od konkrétnych </w:t>
            </w:r>
            <w:r w:rsidRPr="00DC4A5C">
              <w:rPr>
                <w:rFonts w:ascii="Times" w:hAnsi="Times" w:cs="Times"/>
                <w:sz w:val="24"/>
                <w:szCs w:val="25"/>
              </w:rPr>
              <w:lastRenderedPageBreak/>
              <w:t xml:space="preserve">podmienok pre podporu, definovaných zákonom č. 587/2004 Z. z. o Environmentálnom fonde a o zmene a doplnení niektorých zákonov v znení neskorších predpisov a Špecifikácie činností podpory z Environmentálneho fondu pre relevantné činnosti, ktorá sa zverejňuje vždy do 30.6. v roku predchádzajúcom roku, pre ktorý je určená.“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Z</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MŽPSR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2. Upozorňujeme na skutočnosť, že v legislatíve v oblasti odpadového hospodárstva nie je zavedený pojem „biomasa“, ktorý uvádzate v Prílohe: Zoznam podporených aktivít z regionálneho príspevku, v prioritnej oblasti E. Starostlivosť o životné prostredie, opatrení E3. Podpora triedenia a zhodnocovania odpadov, aktivite E3.3 Spracovanie biomasy v obci Raslavice, ale iba pojem „odpad“, ktorý sa zaraďuje do jednotlivých katalógových čísiel v súlade s vyhláškou MŽP SR č. 365/2015 Z. z., ktorou sa ustanovuje Katalóg odpadov v znení vyhlášky MŽP SR č. 320/2017 Z. z. Zároveň upozorňujeme, že podľa § 1 ods. 2 písm. a) sa zákon o odpadoch nevzťahuje na hnoj, slamu alebo iný prírodný poľnohospodársky materiál alebo lesnícky materiál, ktorý nevykazuje nebezpečné vlastnosti a používa sa v poľnohospodárstve, lesníctve v súlade s osobitným predpisom (zákon č. 326/2005 Z. z. o lesoch v znení neskorších predpisov) alebo na získanie energie z tohto materiálu procesmi alebo spôsobmi, ktoré nepoškodzujú životné prostredie ani neohrozujú zdravie ľudí.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MŽPSR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3. Navrhujeme konkretizovať pojem „spracovanie“ v súvislosti s problematikou odpadov, nakoľko podľa § 3 ods. 11 zákona o odpadoch je spracovanie odpadu činnosť zhodnocovania alebo zneškodňovania odpadu vrátane prípravy odpadu pred zhodnocovaním alebo zneškodňovaním, ak v tomto zákone nie je </w:t>
            </w:r>
            <w:r w:rsidRPr="00DC4A5C">
              <w:rPr>
                <w:rFonts w:ascii="Times" w:hAnsi="Times" w:cs="Times"/>
                <w:sz w:val="24"/>
                <w:szCs w:val="25"/>
              </w:rPr>
              <w:lastRenderedPageBreak/>
              <w:t xml:space="preserve">ustanovené inak. Zároveň upozorňujeme na záväznosť uplatňovania hierarchie odpadového hospodárstva, ktorá je ustanovená v § 6 ods. 1 zákona o odpadoch.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lastRenderedPageBreak/>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lastRenderedPageBreak/>
              <w:t>MŽPSR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3. Str. 37 – opatrenie G.5: Nakoľko sú prostriedky EF verejnými prostriedkami sú príjemcovia podpory viazaní postupovať v súlade so zákonom o verejnom obstarávaní. Z pohľadu EF je preto neprípustné obmedzovanie hospodárskej súťaže pri výbere dodávateľov prác/služieb/tovarov v súvislosti s realizáciou projektov. Uvádzaná možnosť tu napriek návrhu opatrenia čiastočne existuje (realizácia prostredníctvom obecných podnikov), avšak v medziach vyššie uvedeného, </w:t>
            </w:r>
            <w:proofErr w:type="spellStart"/>
            <w:r w:rsidRPr="00DC4A5C">
              <w:rPr>
                <w:rFonts w:ascii="Times" w:hAnsi="Times" w:cs="Times"/>
                <w:sz w:val="24"/>
                <w:szCs w:val="25"/>
              </w:rPr>
              <w:t>t.j</w:t>
            </w:r>
            <w:proofErr w:type="spellEnd"/>
            <w:r w:rsidRPr="00DC4A5C">
              <w:rPr>
                <w:rFonts w:ascii="Times" w:hAnsi="Times" w:cs="Times"/>
                <w:sz w:val="24"/>
                <w:szCs w:val="25"/>
              </w:rPr>
              <w:t xml:space="preserve">. na základe transparentného výberu dodávateľa v súlade so zákonom o VO. Vzhľadom na uvedené žiadame toto opatrenie z AP odstrániť.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Z</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MŽPSR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bookmarkStart w:id="0" w:name="_GoBack"/>
            <w:bookmarkEnd w:id="0"/>
            <w:r w:rsidRPr="00DC4A5C">
              <w:rPr>
                <w:rFonts w:ascii="Times" w:hAnsi="Times" w:cs="Times"/>
                <w:sz w:val="24"/>
                <w:szCs w:val="25"/>
              </w:rPr>
              <w:t xml:space="preserve">4. Str. 42 – štvrtý riadok tabuľky s úlohou pre ministra ŽP s kódom C.26 – uvádzaná úloha nenadväzuje na prioritné oblasti a opatrenia uvádzané v AP. Nakoľko je k nej uvedený aj termín, navrhujeme ju v samotnom dokumente vôbec neuvádzať, nakoľko nie je čo </w:t>
            </w:r>
            <w:proofErr w:type="spellStart"/>
            <w:r w:rsidRPr="00DC4A5C">
              <w:rPr>
                <w:rFonts w:ascii="Times" w:hAnsi="Times" w:cs="Times"/>
                <w:sz w:val="24"/>
                <w:szCs w:val="25"/>
              </w:rPr>
              <w:t>odpočtovať</w:t>
            </w:r>
            <w:proofErr w:type="spellEnd"/>
            <w:r w:rsidRPr="00DC4A5C">
              <w:rPr>
                <w:rFonts w:ascii="Times" w:hAnsi="Times" w:cs="Times"/>
                <w:sz w:val="24"/>
                <w:szCs w:val="25"/>
              </w:rPr>
              <w:t xml:space="preserve"> vo vzťahu k obsahu AP.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Z</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ČA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Jedná sa o úlohy uložené uzneseniami vlády Slovenskej republiky, ktoré platia všeobecne pre všetky akčné plány, nie iba pre okres Bardejov. Úprava časti týkajúcej sa integrácie prierezových programov bude predmetom rokovania Rady pre rozvoj najmenej rozvinutých okresov. </w:t>
            </w: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MŽPSR</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 xml:space="preserve">4. Žiadame upraviť: Zákon č. 79/2015 </w:t>
            </w:r>
            <w:proofErr w:type="spellStart"/>
            <w:r w:rsidRPr="00DC4A5C">
              <w:rPr>
                <w:rFonts w:ascii="Times" w:hAnsi="Times" w:cs="Times"/>
                <w:sz w:val="24"/>
                <w:szCs w:val="25"/>
              </w:rPr>
              <w:t>Z.z</w:t>
            </w:r>
            <w:proofErr w:type="spellEnd"/>
            <w:r w:rsidRPr="00DC4A5C">
              <w:rPr>
                <w:rFonts w:ascii="Times" w:hAnsi="Times" w:cs="Times"/>
                <w:sz w:val="24"/>
                <w:szCs w:val="25"/>
              </w:rPr>
              <w:t xml:space="preserve">. o odpadoch a o zmene a doplnení... – nepozná pojem „separácia“ ale „triedenie“. </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r w:rsidR="00307B19" w:rsidRPr="00DC4A5C" w:rsidTr="00F57A3E">
        <w:trPr>
          <w:divId w:val="1167094702"/>
          <w:jc w:val="center"/>
        </w:trPr>
        <w:tc>
          <w:tcPr>
            <w:tcW w:w="69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b/>
                <w:bCs/>
                <w:sz w:val="24"/>
                <w:szCs w:val="25"/>
              </w:rPr>
            </w:pPr>
            <w:r w:rsidRPr="00DC4A5C">
              <w:rPr>
                <w:rFonts w:ascii="Times" w:hAnsi="Times" w:cs="Times"/>
                <w:b/>
                <w:bCs/>
                <w:sz w:val="24"/>
                <w:szCs w:val="25"/>
              </w:rPr>
              <w:t>NBS</w:t>
            </w:r>
          </w:p>
        </w:tc>
        <w:tc>
          <w:tcPr>
            <w:tcW w:w="2394"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rPr>
                <w:rFonts w:ascii="Times" w:hAnsi="Times" w:cs="Times"/>
                <w:sz w:val="24"/>
                <w:szCs w:val="25"/>
              </w:rPr>
            </w:pPr>
            <w:r w:rsidRPr="00DC4A5C">
              <w:rPr>
                <w:rFonts w:ascii="Times" w:hAnsi="Times" w:cs="Times"/>
                <w:sz w:val="24"/>
                <w:szCs w:val="25"/>
              </w:rPr>
              <w:t>Bez pripomienok.</w:t>
            </w:r>
          </w:p>
        </w:tc>
        <w:tc>
          <w:tcPr>
            <w:tcW w:w="225"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O</w:t>
            </w:r>
          </w:p>
        </w:tc>
        <w:tc>
          <w:tcPr>
            <w:tcW w:w="262"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r w:rsidRPr="00DC4A5C">
              <w:rPr>
                <w:rFonts w:ascii="Times" w:hAnsi="Times" w:cs="Times"/>
                <w:sz w:val="24"/>
                <w:szCs w:val="25"/>
              </w:rPr>
              <w:t>A</w:t>
            </w:r>
          </w:p>
        </w:tc>
        <w:tc>
          <w:tcPr>
            <w:tcW w:w="1427" w:type="pct"/>
            <w:tcBorders>
              <w:top w:val="outset" w:sz="6" w:space="0" w:color="000000"/>
              <w:left w:val="outset" w:sz="6" w:space="0" w:color="000000"/>
              <w:bottom w:val="outset" w:sz="6" w:space="0" w:color="000000"/>
              <w:right w:val="outset" w:sz="6" w:space="0" w:color="000000"/>
            </w:tcBorders>
            <w:vAlign w:val="center"/>
            <w:hideMark/>
          </w:tcPr>
          <w:p w:rsidR="00307B19" w:rsidRPr="00DC4A5C" w:rsidRDefault="00307B19" w:rsidP="00DC4A5C">
            <w:pPr>
              <w:spacing w:after="0"/>
              <w:jc w:val="center"/>
              <w:rPr>
                <w:rFonts w:ascii="Times" w:hAnsi="Times" w:cs="Times"/>
                <w:sz w:val="24"/>
                <w:szCs w:val="25"/>
              </w:rPr>
            </w:pPr>
          </w:p>
        </w:tc>
      </w:tr>
    </w:tbl>
    <w:p w:rsidR="00154A91" w:rsidRPr="00DC4A5C" w:rsidRDefault="00154A91" w:rsidP="00DC4A5C">
      <w:pPr>
        <w:spacing w:after="0"/>
        <w:rPr>
          <w:sz w:val="20"/>
        </w:rPr>
      </w:pPr>
    </w:p>
    <w:sectPr w:rsidR="00154A91" w:rsidRPr="00DC4A5C" w:rsidSect="00F57A3E">
      <w:footerReference w:type="default" r:id="rId7"/>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E7D" w:rsidRDefault="00F41E7D" w:rsidP="000A67D5">
      <w:pPr>
        <w:spacing w:after="0" w:line="240" w:lineRule="auto"/>
      </w:pPr>
      <w:r>
        <w:separator/>
      </w:r>
    </w:p>
  </w:endnote>
  <w:endnote w:type="continuationSeparator" w:id="0">
    <w:p w:rsidR="00F41E7D" w:rsidRDefault="00F41E7D"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117932"/>
      <w:docPartObj>
        <w:docPartGallery w:val="Page Numbers (Bottom of Page)"/>
        <w:docPartUnique/>
      </w:docPartObj>
    </w:sdtPr>
    <w:sdtEndPr/>
    <w:sdtContent>
      <w:p w:rsidR="00DC4A5C" w:rsidRDefault="00DC4A5C">
        <w:pPr>
          <w:pStyle w:val="Pta"/>
          <w:jc w:val="right"/>
        </w:pPr>
        <w:r>
          <w:fldChar w:fldCharType="begin"/>
        </w:r>
        <w:r>
          <w:instrText>PAGE   \* MERGEFORMAT</w:instrText>
        </w:r>
        <w:r>
          <w:fldChar w:fldCharType="separate"/>
        </w:r>
        <w:r w:rsidR="00F57A3E">
          <w:rPr>
            <w:noProof/>
          </w:rPr>
          <w:t>24</w:t>
        </w:r>
        <w:r>
          <w:fldChar w:fldCharType="end"/>
        </w:r>
      </w:p>
    </w:sdtContent>
  </w:sdt>
  <w:p w:rsidR="00DC4A5C" w:rsidRDefault="00DC4A5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E7D" w:rsidRDefault="00F41E7D" w:rsidP="000A67D5">
      <w:pPr>
        <w:spacing w:after="0" w:line="240" w:lineRule="auto"/>
      </w:pPr>
      <w:r>
        <w:separator/>
      </w:r>
    </w:p>
  </w:footnote>
  <w:footnote w:type="continuationSeparator" w:id="0">
    <w:p w:rsidR="00F41E7D" w:rsidRDefault="00F41E7D"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07B19"/>
    <w:rsid w:val="00310A55"/>
    <w:rsid w:val="00322014"/>
    <w:rsid w:val="0039526D"/>
    <w:rsid w:val="003B435B"/>
    <w:rsid w:val="003D101C"/>
    <w:rsid w:val="003D5E45"/>
    <w:rsid w:val="003E4226"/>
    <w:rsid w:val="004075B2"/>
    <w:rsid w:val="00436C44"/>
    <w:rsid w:val="00474A9D"/>
    <w:rsid w:val="00532574"/>
    <w:rsid w:val="0059081C"/>
    <w:rsid w:val="00591AFB"/>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31DD"/>
    <w:rsid w:val="009F7218"/>
    <w:rsid w:val="00A251BF"/>
    <w:rsid w:val="00A54A16"/>
    <w:rsid w:val="00A9408B"/>
    <w:rsid w:val="00B721A5"/>
    <w:rsid w:val="00B76589"/>
    <w:rsid w:val="00B8767E"/>
    <w:rsid w:val="00BD1FAB"/>
    <w:rsid w:val="00BE7302"/>
    <w:rsid w:val="00BF7CE0"/>
    <w:rsid w:val="00CA44D2"/>
    <w:rsid w:val="00CE47A6"/>
    <w:rsid w:val="00CF3D59"/>
    <w:rsid w:val="00D261C9"/>
    <w:rsid w:val="00D85172"/>
    <w:rsid w:val="00D969AC"/>
    <w:rsid w:val="00DC4A5C"/>
    <w:rsid w:val="00DF7085"/>
    <w:rsid w:val="00E85710"/>
    <w:rsid w:val="00EB772A"/>
    <w:rsid w:val="00EF1425"/>
    <w:rsid w:val="00F26A4A"/>
    <w:rsid w:val="00F41E7D"/>
    <w:rsid w:val="00F57A3E"/>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68144">
      <w:bodyDiv w:val="1"/>
      <w:marLeft w:val="0"/>
      <w:marRight w:val="0"/>
      <w:marTop w:val="0"/>
      <w:marBottom w:val="0"/>
      <w:divBdr>
        <w:top w:val="none" w:sz="0" w:space="0" w:color="auto"/>
        <w:left w:val="none" w:sz="0" w:space="0" w:color="auto"/>
        <w:bottom w:val="none" w:sz="0" w:space="0" w:color="auto"/>
        <w:right w:val="none" w:sz="0" w:space="0" w:color="auto"/>
      </w:divBdr>
    </w:div>
    <w:div w:id="321130919">
      <w:bodyDiv w:val="1"/>
      <w:marLeft w:val="0"/>
      <w:marRight w:val="0"/>
      <w:marTop w:val="0"/>
      <w:marBottom w:val="0"/>
      <w:divBdr>
        <w:top w:val="none" w:sz="0" w:space="0" w:color="auto"/>
        <w:left w:val="none" w:sz="0" w:space="0" w:color="auto"/>
        <w:bottom w:val="none" w:sz="0" w:space="0" w:color="auto"/>
        <w:right w:val="none" w:sz="0" w:space="0" w:color="auto"/>
      </w:divBdr>
    </w:div>
    <w:div w:id="1167094702">
      <w:bodyDiv w:val="1"/>
      <w:marLeft w:val="0"/>
      <w:marRight w:val="0"/>
      <w:marTop w:val="0"/>
      <w:marBottom w:val="0"/>
      <w:divBdr>
        <w:top w:val="none" w:sz="0" w:space="0" w:color="auto"/>
        <w:left w:val="none" w:sz="0" w:space="0" w:color="auto"/>
        <w:bottom w:val="none" w:sz="0" w:space="0" w:color="auto"/>
        <w:right w:val="none" w:sz="0" w:space="0" w:color="auto"/>
      </w:divBdr>
    </w:div>
    <w:div w:id="1200120403">
      <w:bodyDiv w:val="1"/>
      <w:marLeft w:val="0"/>
      <w:marRight w:val="0"/>
      <w:marTop w:val="0"/>
      <w:marBottom w:val="0"/>
      <w:divBdr>
        <w:top w:val="none" w:sz="0" w:space="0" w:color="auto"/>
        <w:left w:val="none" w:sz="0" w:space="0" w:color="auto"/>
        <w:bottom w:val="none" w:sz="0" w:space="0" w:color="auto"/>
        <w:right w:val="none" w:sz="0" w:space="0" w:color="auto"/>
      </w:divBdr>
    </w:div>
    <w:div w:id="1291548649">
      <w:bodyDiv w:val="1"/>
      <w:marLeft w:val="0"/>
      <w:marRight w:val="0"/>
      <w:marTop w:val="0"/>
      <w:marBottom w:val="0"/>
      <w:divBdr>
        <w:top w:val="none" w:sz="0" w:space="0" w:color="auto"/>
        <w:left w:val="none" w:sz="0" w:space="0" w:color="auto"/>
        <w:bottom w:val="none" w:sz="0" w:space="0" w:color="auto"/>
        <w:right w:val="none" w:sz="0" w:space="0" w:color="auto"/>
      </w:divBdr>
    </w:div>
    <w:div w:id="1472551651">
      <w:bodyDiv w:val="1"/>
      <w:marLeft w:val="0"/>
      <w:marRight w:val="0"/>
      <w:marTop w:val="0"/>
      <w:marBottom w:val="0"/>
      <w:divBdr>
        <w:top w:val="none" w:sz="0" w:space="0" w:color="auto"/>
        <w:left w:val="none" w:sz="0" w:space="0" w:color="auto"/>
        <w:bottom w:val="none" w:sz="0" w:space="0" w:color="auto"/>
        <w:right w:val="none" w:sz="0" w:space="0" w:color="auto"/>
      </w:divBdr>
    </w:div>
    <w:div w:id="1751391607">
      <w:bodyDiv w:val="1"/>
      <w:marLeft w:val="0"/>
      <w:marRight w:val="0"/>
      <w:marTop w:val="0"/>
      <w:marBottom w:val="0"/>
      <w:divBdr>
        <w:top w:val="none" w:sz="0" w:space="0" w:color="auto"/>
        <w:left w:val="none" w:sz="0" w:space="0" w:color="auto"/>
        <w:bottom w:val="none" w:sz="0" w:space="0" w:color="auto"/>
        <w:right w:val="none" w:sz="0" w:space="0" w:color="auto"/>
      </w:divBdr>
    </w:div>
    <w:div w:id="20975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29.6.2018 11:26:28"/>
    <f:field ref="objchangedby" par="" text="Administrator, System"/>
    <f:field ref="objmodifiedat" par="" text="29.6.2018 11:26:34"/>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https://ovdmasv601/sites/DMS/_layouts/15/DocIdRedir.aspx?ID=WKX3UHSAJ2R6-2-853411</Url>
      <Description>WKX3UHSAJ2R6-2-853411</Description>
    </_dlc_DocIdUrl>
    <_dlc_DocId xmlns="e60a29af-d413-48d4-bd90-fe9d2a897e4b">WKX3UHSAJ2R6-2-853411</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949A694-EA3B-439A-ACEA-EE12721AE918}"/>
</file>

<file path=customXml/itemProps3.xml><?xml version="1.0" encoding="utf-8"?>
<ds:datastoreItem xmlns:ds="http://schemas.openxmlformats.org/officeDocument/2006/customXml" ds:itemID="{D6D59D6D-DFC1-404A-8637-98000AA29916}"/>
</file>

<file path=customXml/itemProps4.xml><?xml version="1.0" encoding="utf-8"?>
<ds:datastoreItem xmlns:ds="http://schemas.openxmlformats.org/officeDocument/2006/customXml" ds:itemID="{61C88A01-3C30-49F3-9911-64185FC52891}"/>
</file>

<file path=customXml/itemProps5.xml><?xml version="1.0" encoding="utf-8"?>
<ds:datastoreItem xmlns:ds="http://schemas.openxmlformats.org/officeDocument/2006/customXml" ds:itemID="{FEC42463-2AE9-4F33-AA90-ED0ED600DFAF}"/>
</file>

<file path=docProps/app.xml><?xml version="1.0" encoding="utf-8"?>
<Properties xmlns="http://schemas.openxmlformats.org/officeDocument/2006/extended-properties" xmlns:vt="http://schemas.openxmlformats.org/officeDocument/2006/docPropsVTypes">
  <Template>Normal.dotm</Template>
  <TotalTime>0</TotalTime>
  <Pages>24</Pages>
  <Words>6532</Words>
  <Characters>37234</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2018-06-29T09:35:00Z</dcterms:created>
  <dcterms:modified xsi:type="dcterms:W3CDTF">2018-07-02T09:44:00Z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Nelegislatívna oblasť</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RNDr. Jana Kolesárová</vt:lpwstr>
  </property>
  <property fmtid="{D5CDD505-2E9C-101B-9397-08002B2CF9AE}" pid="11" name="FSC#SKEDITIONSLOVLEX@103.510:zodppredkladatel">
    <vt:lpwstr>Ing. Igor Federič</vt:lpwstr>
  </property>
  <property fmtid="{D5CDD505-2E9C-101B-9397-08002B2CF9AE}" pid="12" name="FSC#SKEDITIONSLOVLEX@103.510:dalsipredkladatel">
    <vt:lpwstr/>
  </property>
  <property fmtid="{D5CDD505-2E9C-101B-9397-08002B2CF9AE}" pid="13" name="FSC#SKEDITIONSLOVLEX@103.510:nazovpredpis">
    <vt:lpwstr> Návrh Akčného plánu rozvoja okresu Bardejov a návrh na uvoľnenie finančných prostriedkov zo zdrojov kapitoly Všeobecná pokladničná správa </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Úrad vlády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zákon č. 336/2015 Z. z. o podpore_x000d_
najmenej rozvinutých okresov a o zmene_x000d_
a doplnení niektorých zákonov v znení neskorších predpisov</vt:lpwstr>
  </property>
  <property fmtid="{D5CDD505-2E9C-101B-9397-08002B2CF9AE}" pid="22" name="FSC#SKEDITIONSLOVLEX@103.510:plnynazovpredpis">
    <vt:lpwstr> Návrh Akčného plánu rozvoja okresu Bardejov a návrh na uvoľnenie finančných prostriedkov zo zdrojov kapitoly Všeobecná pokladničná správa </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7922-22398/2018/SRR</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LP/2018/408</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
  </property>
  <property fmtid="{D5CDD505-2E9C-101B-9397-08002B2CF9AE}" pid="56" name="FSC#SKEDITIONSLOVLEX@103.510:AttrStrListDocPropGestorSpolupRezorty">
    <vt:lpwstr/>
  </property>
  <property fmtid="{D5CDD505-2E9C-101B-9397-08002B2CF9AE}" pid="57" name="FSC#SKEDITIONSLOVLEX@103.510:AttrDateDocPropZaciatokPKK">
    <vt:lpwstr>21. 6. 2018</vt:lpwstr>
  </property>
  <property fmtid="{D5CDD505-2E9C-101B-9397-08002B2CF9AE}" pid="58" name="FSC#SKEDITIONSLOVLEX@103.510:AttrDateDocPropUkonceniePKK">
    <vt:lpwstr/>
  </property>
  <property fmtid="{D5CDD505-2E9C-101B-9397-08002B2CF9AE}" pid="59" name="FSC#SKEDITIONSLOVLEX@103.510:AttrStrDocPropVplyvRozpocetVS">
    <vt:lpwstr>Pozitívne_x000d_
Negatívne</vt:lpwstr>
  </property>
  <property fmtid="{D5CDD505-2E9C-101B-9397-08002B2CF9AE}" pid="60" name="FSC#SKEDITIONSLOVLEX@103.510:AttrStrDocPropVplyvPodnikatelskeProstr">
    <vt:lpwstr>Pozitívne</vt:lpwstr>
  </property>
  <property fmtid="{D5CDD505-2E9C-101B-9397-08002B2CF9AE}" pid="61" name="FSC#SKEDITIONSLOVLEX@103.510:AttrStrDocPropVplyvSocialny">
    <vt:lpwstr>Pozitívne</vt:lpwstr>
  </property>
  <property fmtid="{D5CDD505-2E9C-101B-9397-08002B2CF9AE}" pid="62" name="FSC#SKEDITIONSLOVLEX@103.510:AttrStrDocPropVplyvNaZivotProstr">
    <vt:lpwstr>Pozitívne_x000d_
Negatívne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Predkladaný materiál bude mať pozitívne aj negatívne vplyvy na rozpočet verejnej správy. Prípadné výdavky súvisiace s vypracovaním Akčného plánu a jeho monitorovaním, činnosťou Rady pre rozvoj okresu Bardejov, poskytovaním podpory, ako aj investičnej pomo</vt:lpwstr>
  </property>
  <property fmtid="{D5CDD505-2E9C-101B-9397-08002B2CF9AE}" pid="65" name="FSC#SKEDITIONSLOVLEX@103.510:AttrStrListDocPropAltRiesenia">
    <vt:lpwstr>Alternatívne riešenia neboli zvažované.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podpredseda vlády pre investície a informatizáciu_x000d_
podpredsedníčka vlády a ministerka pôdohospodárstva a rozvoja vidieka podpredseda vlády a minister financií_x000d_
podpredseda vlády a minister životného prostredia _x000d_
ministerka vnútra _x000d_
minister dopravy a výst</vt:lpwstr>
  </property>
  <property fmtid="{D5CDD505-2E9C-101B-9397-08002B2CF9AE}" pid="136" name="FSC#SKEDITIONSLOVLEX@103.510:AttrStrListDocPropUznesenieNaVedomie">
    <vt:lpwstr>členovia vlády _x000d_
prednosta okresného úradu Bardejov</vt:lpwstr>
  </property>
  <property fmtid="{D5CDD505-2E9C-101B-9397-08002B2CF9AE}" pid="137" name="FSC#SKEDITIONSLOVLEX@103.510:funkciaPred">
    <vt:lpwstr>hlavný štátny radca</vt:lpwstr>
  </property>
  <property fmtid="{D5CDD505-2E9C-101B-9397-08002B2CF9AE}" pid="138" name="FSC#SKEDITIONSLOVLEX@103.510:funkciaPredAkuzativ">
    <vt:lpwstr>hlavného štátneho radcu</vt:lpwstr>
  </property>
  <property fmtid="{D5CDD505-2E9C-101B-9397-08002B2CF9AE}" pid="139" name="FSC#SKEDITIONSLOVLEX@103.510:funkciaPredDativ">
    <vt:lpwstr>hlavnému štátnemu radcovi</vt:lpwstr>
  </property>
  <property fmtid="{D5CDD505-2E9C-101B-9397-08002B2CF9AE}" pid="140" name="FSC#SKEDITIONSLOVLEX@103.510:funkciaZodpPred">
    <vt:lpwstr>vedúci Úradu vlády Slovenskej republiky</vt:lpwstr>
  </property>
  <property fmtid="{D5CDD505-2E9C-101B-9397-08002B2CF9AE}" pid="141" name="FSC#SKEDITIONSLOVLEX@103.510:funkciaZodpPredAkuzativ">
    <vt:lpwstr>vedúcemu Úradu vlády Slovenskej republiky</vt:lpwstr>
  </property>
  <property fmtid="{D5CDD505-2E9C-101B-9397-08002B2CF9AE}" pid="142" name="FSC#SKEDITIONSLOVLEX@103.510:funkciaZodpPredDativ">
    <vt:lpwstr>vedúceho Úradu vlády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Ing. Igor Federič_x000d_
vedúci Úradu vlády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&lt;p&gt;Okres Bardejov bol 20. októbra 2017 v&amp;nbsp;súlade so zákonom č. 336/2015 Z. z. o&amp;nbsp;podpore najmenej rozvinutých okresov a&amp;nbsp;o&amp;nbsp;zmene a&amp;nbsp;doplnení niektorých zákonov v&amp;nbsp;znení zákona&lt;br /&gt;č. 378/2016 Z. z. zaradený Ústredím práce, sociál</vt:lpwstr>
  </property>
  <property fmtid="{D5CDD505-2E9C-101B-9397-08002B2CF9AE}" pid="149" name="FSC#COOSYSTEM@1.1:Container">
    <vt:lpwstr>COO.2145.1000.3.2801689</vt:lpwstr>
  </property>
  <property fmtid="{D5CDD505-2E9C-101B-9397-08002B2CF9AE}" pid="150" name="FSC#FSCFOLIO@1.1001:docpropproject">
    <vt:lpwstr/>
  </property>
  <property fmtid="{D5CDD505-2E9C-101B-9397-08002B2CF9AE}" pid="151" name="FSC#SKEDITIONSLOVLEX@103.510:aktualnyrok">
    <vt:lpwstr>2018</vt:lpwstr>
  </property>
  <property fmtid="{D5CDD505-2E9C-101B-9397-08002B2CF9AE}" pid="152" name="FSC#SKEDITIONSLOVLEX@103.510:vytvorenedna">
    <vt:lpwstr>29. 6. 2018</vt:lpwstr>
  </property>
  <property fmtid="{D5CDD505-2E9C-101B-9397-08002B2CF9AE}" pid="153" name="ContentTypeId">
    <vt:lpwstr>0x0101006C0C8C3C1E3DCC44BECE3792677AD011</vt:lpwstr>
  </property>
  <property fmtid="{D5CDD505-2E9C-101B-9397-08002B2CF9AE}" pid="154" name="_dlc_DocIdItemGuid">
    <vt:lpwstr>6f382ba5-3aaa-4a27-91ef-08be9508f464</vt:lpwstr>
  </property>
</Properties>
</file>