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152D5" w:rsidRPr="00B30F61" w14:paraId="4D92A73A" w14:textId="77777777" w:rsidTr="002A1D27">
        <w:trPr>
          <w:trHeight w:val="566"/>
        </w:trPr>
        <w:tc>
          <w:tcPr>
            <w:tcW w:w="9062" w:type="dxa"/>
            <w:shd w:val="clear" w:color="auto" w:fill="D9D9D9"/>
            <w:vAlign w:val="center"/>
            <w:hideMark/>
          </w:tcPr>
          <w:p w14:paraId="2099F682" w14:textId="77777777" w:rsidR="007152D5" w:rsidRPr="00B30F61" w:rsidRDefault="007152D5" w:rsidP="002A1D27">
            <w:pPr>
              <w:jc w:val="center"/>
            </w:pPr>
            <w:r w:rsidRPr="00B30F61">
              <w:rPr>
                <w:b/>
                <w:sz w:val="28"/>
              </w:rPr>
              <w:t>Analýza vplyvov na životné prostredie</w:t>
            </w:r>
          </w:p>
        </w:tc>
      </w:tr>
      <w:tr w:rsidR="007152D5" w:rsidRPr="00B30F61" w14:paraId="4FD982E5" w14:textId="77777777" w:rsidTr="002A1D27">
        <w:trPr>
          <w:trHeight w:val="688"/>
        </w:trPr>
        <w:tc>
          <w:tcPr>
            <w:tcW w:w="9062" w:type="dxa"/>
            <w:shd w:val="clear" w:color="auto" w:fill="D9D9D9"/>
            <w:vAlign w:val="center"/>
            <w:hideMark/>
          </w:tcPr>
          <w:p w14:paraId="0E263949" w14:textId="77777777" w:rsidR="007152D5" w:rsidRPr="00B30F61" w:rsidRDefault="007152D5" w:rsidP="002A1D27">
            <w:pPr>
              <w:jc w:val="both"/>
              <w:rPr>
                <w:i/>
              </w:rPr>
            </w:pPr>
            <w:r w:rsidRPr="00B30F61">
              <w:rPr>
                <w:i/>
              </w:rPr>
              <w:t>V prípade, že je predkladaný materiál posudzovaný podľa Zákona č. 24/2006 Z. z. o posudzovaní vplyvov na životné prostredie a o zmene a doplnení niektorých zákonov (EIA/SEA), tak nie je nutné vypĺňať túto analýzu. Proces EIA/SEA nahrádza Analýzu vplyvov na životné prostredie podľa Jednotnej metodiky na posudzovanie vybraných vplyvov. Túto informáciu je potrebné uviesť v Doložke vybraných vplyvov a v Poznámkach uviesť odkaz na proces. Pred predložením do PPK je však nutné mať Záverečné stanovisko z EIA/SEA procesu.</w:t>
            </w:r>
          </w:p>
          <w:p w14:paraId="6B70577F" w14:textId="77777777" w:rsidR="007152D5" w:rsidRPr="00B30F61" w:rsidRDefault="007152D5" w:rsidP="002A1D27">
            <w:pPr>
              <w:rPr>
                <w:i/>
              </w:rPr>
            </w:pPr>
          </w:p>
        </w:tc>
      </w:tr>
      <w:tr w:rsidR="007152D5" w:rsidRPr="00B30F61" w14:paraId="4122AC44" w14:textId="77777777" w:rsidTr="002A1D27">
        <w:trPr>
          <w:trHeight w:val="688"/>
        </w:trPr>
        <w:tc>
          <w:tcPr>
            <w:tcW w:w="9062" w:type="dxa"/>
            <w:shd w:val="clear" w:color="auto" w:fill="D9D9D9"/>
            <w:vAlign w:val="center"/>
            <w:hideMark/>
          </w:tcPr>
          <w:p w14:paraId="667F6A6C" w14:textId="77777777" w:rsidR="007152D5" w:rsidRPr="00B30F61" w:rsidRDefault="007152D5" w:rsidP="002A1D27">
            <w:pPr>
              <w:jc w:val="both"/>
              <w:rPr>
                <w:i/>
              </w:rPr>
            </w:pPr>
            <w:r w:rsidRPr="00B30F61">
              <w:rPr>
                <w:b/>
              </w:rPr>
              <w:t>5.1 Ktoré zložky životného prostredia (najmä klimatickú zmenu, ovzdušie, voda, horniny, pôda, organizmy) budú predkladaným materiálom ovplyvnené, a aký bude ich vplyv?</w:t>
            </w:r>
          </w:p>
        </w:tc>
      </w:tr>
      <w:tr w:rsidR="007152D5" w:rsidRPr="00B30F61" w14:paraId="523894CC" w14:textId="77777777" w:rsidTr="002A1D27">
        <w:trPr>
          <w:trHeight w:val="558"/>
        </w:trPr>
        <w:tc>
          <w:tcPr>
            <w:tcW w:w="9062" w:type="dxa"/>
          </w:tcPr>
          <w:p w14:paraId="6A379048" w14:textId="77777777" w:rsidR="007152D5" w:rsidRPr="00B30F61" w:rsidRDefault="007152D5" w:rsidP="002A1D27">
            <w:pPr>
              <w:jc w:val="both"/>
              <w:rPr>
                <w:i/>
              </w:rPr>
            </w:pPr>
            <w:r w:rsidRPr="00B30F61">
              <w:rPr>
                <w:i/>
              </w:rPr>
              <w:t>(Typ, veľkosť a rozsah vplyvu. Popíšte základné vplyvy na jednotlivé zložky životného prostredia)</w:t>
            </w:r>
          </w:p>
          <w:p w14:paraId="70A7035A" w14:textId="77777777" w:rsidR="007152D5" w:rsidRPr="00B30F61" w:rsidRDefault="007152D5" w:rsidP="002A1D27">
            <w:pPr>
              <w:jc w:val="both"/>
            </w:pPr>
          </w:p>
        </w:tc>
      </w:tr>
      <w:tr w:rsidR="007152D5" w:rsidRPr="00B30F61" w14:paraId="57619E77" w14:textId="77777777" w:rsidTr="002A1D27">
        <w:trPr>
          <w:trHeight w:val="995"/>
        </w:trPr>
        <w:tc>
          <w:tcPr>
            <w:tcW w:w="9062" w:type="dxa"/>
          </w:tcPr>
          <w:p w14:paraId="48B3D3CF" w14:textId="4044D05F" w:rsidR="007B5361" w:rsidRDefault="007B5361" w:rsidP="007B5361">
            <w:pPr>
              <w:jc w:val="both"/>
            </w:pPr>
            <w:r w:rsidRPr="00B30F61">
              <w:t>5.1.1 Vplyvy na ovzdušie (</w:t>
            </w:r>
            <w:r w:rsidRPr="00B30F61">
              <w:rPr>
                <w:i/>
              </w:rPr>
              <w:t>množstvo očakávaných navýšených alebo ušetrených emisií ovzdušie znečisťujúcich látok)</w:t>
            </w:r>
            <w:r w:rsidRPr="00B30F61">
              <w:t>:</w:t>
            </w:r>
          </w:p>
          <w:p w14:paraId="30EE3698" w14:textId="77777777" w:rsidR="00BE1E5C" w:rsidRDefault="00BE1E5C" w:rsidP="007B5361">
            <w:pPr>
              <w:jc w:val="both"/>
            </w:pPr>
          </w:p>
          <w:p w14:paraId="5F4E0DFE" w14:textId="77777777" w:rsidR="00DC4CE3" w:rsidRDefault="00DC4CE3" w:rsidP="00DC4CE3">
            <w:pPr>
              <w:jc w:val="both"/>
            </w:pPr>
            <w:r>
              <w:t>Predpokladá sa pozitívny vplyv na kvalitu ovzdušia. V nadväznosti na opatrenia zamerané na znižovanie emisií zo zdrojov znečisťovania ovzdušia možno očakávať ďalší pokles emisií a koncentrácií oxidov dusíka (</w:t>
            </w:r>
            <w:proofErr w:type="spellStart"/>
            <w:r>
              <w:t>NO</w:t>
            </w:r>
            <w:r w:rsidRPr="00202BF8">
              <w:rPr>
                <w:vertAlign w:val="subscript"/>
              </w:rPr>
              <w:t>x</w:t>
            </w:r>
            <w:proofErr w:type="spellEnd"/>
            <w:r>
              <w:t>), ako aj tuhých znečisťujúcich látok PM</w:t>
            </w:r>
            <w:r w:rsidRPr="005B454F">
              <w:rPr>
                <w:vertAlign w:val="subscript"/>
              </w:rPr>
              <w:t>10</w:t>
            </w:r>
            <w:r>
              <w:t xml:space="preserve"> a PM</w:t>
            </w:r>
            <w:r w:rsidRPr="005B454F">
              <w:rPr>
                <w:vertAlign w:val="subscript"/>
              </w:rPr>
              <w:t>2,5</w:t>
            </w:r>
            <w:r>
              <w:t>, predovšetkým v oblastiach ovplyvnených veľkými priemyselnými zdrojmi, energetickými prevádzkami</w:t>
            </w:r>
            <w:r w:rsidRPr="00202BF8">
              <w:t>, ako aj lokálnymi zdrojmi vykurovania v budovách a rodinných domoch</w:t>
            </w:r>
            <w:r>
              <w:t>. Očakávané zníženie emisií oxidu siričitého (SO</w:t>
            </w:r>
            <w:r w:rsidRPr="00202BF8">
              <w:rPr>
                <w:vertAlign w:val="subscript"/>
              </w:rPr>
              <w:t>2</w:t>
            </w:r>
            <w:r>
              <w:t>) prispeje zároveň k obmedzeniu tvorby sekundárnych aerosólov, čím sa zníži hlavne koncentrácia jemných prachových častíc PM</w:t>
            </w:r>
            <w:r w:rsidRPr="005B454F">
              <w:rPr>
                <w:vertAlign w:val="subscript"/>
              </w:rPr>
              <w:t>2,5</w:t>
            </w:r>
            <w:r>
              <w:t xml:space="preserve">. </w:t>
            </w:r>
          </w:p>
          <w:p w14:paraId="507BC5BB" w14:textId="77777777" w:rsidR="00DC4CE3" w:rsidRDefault="00DC4CE3" w:rsidP="00DC4CE3">
            <w:pPr>
              <w:jc w:val="both"/>
            </w:pPr>
          </w:p>
          <w:p w14:paraId="375D6576" w14:textId="076DE850" w:rsidR="00DC4CE3" w:rsidRDefault="00DC4CE3" w:rsidP="00DC4CE3">
            <w:pPr>
              <w:jc w:val="both"/>
            </w:pPr>
            <w:r w:rsidRPr="009A1926">
              <w:t>Presné vyčíslenie rozsahu vplyvu na kvalitu ovzdušia v súčasnosti nie je možné, keďže bude závisieť od miery realizácie jednotlivých opatrení. Na základe dostupných projekcií však možno očakávať pozitívny vplyv v podobe postupného znižovania emisií znečisťujúcich látok a následného zlepšovania kvality ovzdušia.</w:t>
            </w:r>
            <w:r>
              <w:t xml:space="preserve"> V tabuľke nižšie sú uvedené projekcie očakávaného</w:t>
            </w:r>
            <w:r w:rsidR="00AB6002">
              <w:t xml:space="preserve"> </w:t>
            </w:r>
            <w:r>
              <w:t>vývoja</w:t>
            </w:r>
            <w:r w:rsidR="00AB6002">
              <w:t xml:space="preserve"> </w:t>
            </w:r>
            <w:r>
              <w:t>emisií pre roky 2020 a 2030 vypracované Slovenským hydrometeorologickým ústavom.</w:t>
            </w:r>
          </w:p>
          <w:p w14:paraId="150A2122" w14:textId="77777777" w:rsidR="00DC4CE3" w:rsidRDefault="00DC4CE3" w:rsidP="00DC4CE3">
            <w:pPr>
              <w:jc w:val="both"/>
            </w:pPr>
          </w:p>
          <w:tbl>
            <w:tblPr>
              <w:tblW w:w="878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774"/>
              <w:gridCol w:w="888"/>
              <w:gridCol w:w="888"/>
              <w:gridCol w:w="888"/>
              <w:gridCol w:w="1182"/>
              <w:gridCol w:w="1182"/>
            </w:tblGrid>
            <w:tr w:rsidR="00DC4CE3" w14:paraId="0EDE01A2" w14:textId="77777777" w:rsidTr="005B454F">
              <w:trPr>
                <w:trHeight w:val="290"/>
              </w:trPr>
              <w:tc>
                <w:tcPr>
                  <w:tcW w:w="19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A5D0D8" w14:textId="77777777" w:rsidR="00DC4CE3" w:rsidRDefault="00DC4CE3" w:rsidP="00DC4CE3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Znečisťujúca látka</w:t>
                  </w:r>
                </w:p>
              </w:tc>
              <w:tc>
                <w:tcPr>
                  <w:tcW w:w="6802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49D0DA" w14:textId="6BB5C5A7" w:rsidR="00DC4CE3" w:rsidRDefault="00DC4CE3" w:rsidP="00DC4CE3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Celkové emisie SR </w:t>
                  </w:r>
                  <w:r w:rsidR="00915523">
                    <w:rPr>
                      <w:rFonts w:ascii="Aptos Narrow" w:hAnsi="Aptos Narrow"/>
                      <w:color w:val="000000"/>
                      <w:sz w:val="22"/>
                      <w:szCs w:val="22"/>
                      <w:lang w:val="en-US"/>
                    </w:rPr>
                    <w:t>[</w:t>
                  </w:r>
                  <w:proofErr w:type="spellStart"/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kt</w:t>
                  </w:r>
                  <w:proofErr w:type="spellEnd"/>
                  <w:r w:rsidR="00915523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]</w:t>
                  </w:r>
                </w:p>
              </w:tc>
            </w:tr>
            <w:tr w:rsidR="00DC4CE3" w14:paraId="2AE19E87" w14:textId="77777777" w:rsidTr="005B454F">
              <w:trPr>
                <w:trHeight w:val="580"/>
              </w:trPr>
              <w:tc>
                <w:tcPr>
                  <w:tcW w:w="19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14D6F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7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5349442" w14:textId="77777777" w:rsidR="00DC4CE3" w:rsidRDefault="00DC4CE3" w:rsidP="00DC4CE3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Východiskový rok 2005</w:t>
                  </w:r>
                </w:p>
              </w:tc>
              <w:tc>
                <w:tcPr>
                  <w:tcW w:w="266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28886A" w14:textId="77777777" w:rsidR="00DC4CE3" w:rsidRDefault="00DC4CE3" w:rsidP="00DC4CE3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Projekcie emisií na roky </w:t>
                  </w:r>
                </w:p>
              </w:tc>
              <w:tc>
                <w:tcPr>
                  <w:tcW w:w="11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705F537" w14:textId="77777777" w:rsidR="00DC4CE3" w:rsidRDefault="00DC4CE3" w:rsidP="00DC4CE3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Cieľ na rok 2020</w:t>
                  </w:r>
                </w:p>
              </w:tc>
              <w:tc>
                <w:tcPr>
                  <w:tcW w:w="11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9D2D59" w14:textId="77777777" w:rsidR="00DC4CE3" w:rsidRDefault="00DC4CE3" w:rsidP="00DC4CE3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Cieľ na rok 2030</w:t>
                  </w:r>
                </w:p>
              </w:tc>
            </w:tr>
            <w:tr w:rsidR="00DC4CE3" w14:paraId="5BF7D4D8" w14:textId="77777777" w:rsidTr="005B454F">
              <w:trPr>
                <w:trHeight w:val="290"/>
              </w:trPr>
              <w:tc>
                <w:tcPr>
                  <w:tcW w:w="19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B69CD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7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B669F42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F89340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35C3DC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A79EF2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2030</w:t>
                  </w:r>
                </w:p>
              </w:tc>
              <w:tc>
                <w:tcPr>
                  <w:tcW w:w="11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898374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84D54E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C4CE3" w14:paraId="3E77DE11" w14:textId="77777777" w:rsidTr="005B454F">
              <w:trPr>
                <w:trHeight w:val="290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AD558F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NO</w:t>
                  </w:r>
                  <w:r w:rsidRPr="00202BF8">
                    <w:rPr>
                      <w:rFonts w:ascii="Aptos Narrow" w:hAnsi="Aptos Narrow"/>
                      <w:color w:val="000000"/>
                      <w:sz w:val="22"/>
                      <w:szCs w:val="22"/>
                      <w:vertAlign w:val="subscript"/>
                    </w:rPr>
                    <w:t>X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B828CB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103,301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019F0D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61,999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3FB579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60,777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21D7A0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60,675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59C18E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661,120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6359C6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51,650</w:t>
                  </w:r>
                </w:p>
              </w:tc>
            </w:tr>
            <w:tr w:rsidR="00DC4CE3" w14:paraId="7176116C" w14:textId="77777777" w:rsidTr="005B454F">
              <w:trPr>
                <w:trHeight w:val="290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8F038D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NMVOC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87F5BD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151,167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EB325E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87,269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F830C4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81,833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73A944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76,34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317C47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123,956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79A32F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102,793</w:t>
                  </w:r>
                </w:p>
              </w:tc>
            </w:tr>
            <w:tr w:rsidR="00DC4CE3" w14:paraId="21E1E77B" w14:textId="77777777" w:rsidTr="005B454F">
              <w:trPr>
                <w:trHeight w:val="290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8743C9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SO</w:t>
                  </w:r>
                  <w:r w:rsidRPr="005B454F">
                    <w:rPr>
                      <w:rFonts w:ascii="Aptos Narrow" w:hAnsi="Aptos Narrow"/>
                      <w:color w:val="000000"/>
                      <w:sz w:val="22"/>
                      <w:szCs w:val="22"/>
                      <w:vertAlign w:val="subscript"/>
                    </w:rPr>
                    <w:t>2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40510F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86,003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727A85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22,273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D34ADB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20,199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EBAE37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19,873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875B14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36,982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BE0C11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15,480</w:t>
                  </w:r>
                </w:p>
              </w:tc>
            </w:tr>
            <w:tr w:rsidR="00DC4CE3" w14:paraId="196A2E98" w14:textId="77777777" w:rsidTr="005B454F">
              <w:trPr>
                <w:trHeight w:val="290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7A2489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NH</w:t>
                  </w:r>
                  <w:r w:rsidRPr="005B454F">
                    <w:rPr>
                      <w:rFonts w:ascii="Aptos Narrow" w:hAnsi="Aptos Narrow"/>
                      <w:color w:val="000000"/>
                      <w:sz w:val="22"/>
                      <w:szCs w:val="22"/>
                      <w:vertAlign w:val="subscript"/>
                    </w:rPr>
                    <w:t>3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D88737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37,939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C8351A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25,296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AA0468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25,180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77DB14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25,406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1C6B2E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32,248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48802E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26,557</w:t>
                  </w:r>
                </w:p>
              </w:tc>
            </w:tr>
            <w:tr w:rsidR="00DC4CE3" w14:paraId="09A62A01" w14:textId="77777777" w:rsidTr="005B454F">
              <w:trPr>
                <w:trHeight w:val="290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8A3472" w14:textId="77777777" w:rsidR="00DC4CE3" w:rsidRDefault="00DC4CE3" w:rsidP="00DC4CE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PM</w:t>
                  </w:r>
                  <w:r w:rsidRPr="005B454F">
                    <w:rPr>
                      <w:rFonts w:ascii="Aptos Narrow" w:hAnsi="Aptos Narrow"/>
                      <w:color w:val="000000"/>
                      <w:sz w:val="22"/>
                      <w:szCs w:val="22"/>
                      <w:vertAlign w:val="subscript"/>
                    </w:rPr>
                    <w:t>2,5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0AA7DE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34,345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D6E12A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17,233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88E936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16,073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67BE77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15,050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02D330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21,980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6CD14D" w14:textId="77777777" w:rsidR="00DC4CE3" w:rsidRDefault="00DC4CE3" w:rsidP="00DC4CE3">
                  <w:pPr>
                    <w:jc w:val="right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17,515</w:t>
                  </w:r>
                </w:p>
              </w:tc>
            </w:tr>
          </w:tbl>
          <w:p w14:paraId="6019C32E" w14:textId="4448E177" w:rsidR="007B5361" w:rsidRPr="00B30F61" w:rsidRDefault="007B5361" w:rsidP="00867757">
            <w:pPr>
              <w:jc w:val="both"/>
            </w:pPr>
          </w:p>
        </w:tc>
      </w:tr>
      <w:tr w:rsidR="004008A9" w:rsidRPr="00B30F61" w14:paraId="4C48A07C" w14:textId="77777777" w:rsidTr="002A1D27">
        <w:trPr>
          <w:trHeight w:val="995"/>
        </w:trPr>
        <w:tc>
          <w:tcPr>
            <w:tcW w:w="9062" w:type="dxa"/>
          </w:tcPr>
          <w:p w14:paraId="34051E00" w14:textId="22AB9AA3" w:rsidR="0089437E" w:rsidRDefault="0089437E" w:rsidP="000D00BF">
            <w:pPr>
              <w:jc w:val="both"/>
            </w:pPr>
          </w:p>
          <w:p w14:paraId="0C44F3C6" w14:textId="1C40F6BB" w:rsidR="0089437E" w:rsidRPr="00B30F61" w:rsidRDefault="0089437E" w:rsidP="007B5361">
            <w:pPr>
              <w:jc w:val="both"/>
            </w:pPr>
          </w:p>
        </w:tc>
      </w:tr>
      <w:tr w:rsidR="007152D5" w:rsidRPr="00B30F61" w14:paraId="06E60E69" w14:textId="77777777" w:rsidTr="002A1D27">
        <w:trPr>
          <w:trHeight w:val="995"/>
        </w:trPr>
        <w:tc>
          <w:tcPr>
            <w:tcW w:w="9062" w:type="dxa"/>
          </w:tcPr>
          <w:p w14:paraId="57092481" w14:textId="3609B6AF" w:rsidR="007152D5" w:rsidRPr="00B30F61" w:rsidRDefault="007152D5" w:rsidP="000D00BF">
            <w:pPr>
              <w:jc w:val="both"/>
            </w:pPr>
            <w:r w:rsidRPr="00B30F61">
              <w:t>5.1.2 Vplyvy na vodu vrátane odpadových vôd (</w:t>
            </w:r>
            <w:r w:rsidRPr="00B30F61">
              <w:rPr>
                <w:i/>
              </w:rPr>
              <w:t>množstvo pitnej a úžitkovej vody, akým spôsobom a odkiaľ budú vodné zdroje získavané, množstvo a spôsob likvidácie/nakladania s odpadovými vodami a pod.):</w:t>
            </w:r>
          </w:p>
          <w:p w14:paraId="14CA4A93" w14:textId="2DB227AD" w:rsidR="007152D5" w:rsidRPr="00B30F61" w:rsidRDefault="007152D5" w:rsidP="002A1D27">
            <w:pPr>
              <w:ind w:left="284"/>
              <w:jc w:val="both"/>
            </w:pPr>
          </w:p>
          <w:p w14:paraId="2F9B977C" w14:textId="5BB5C070" w:rsidR="007152D5" w:rsidRDefault="000D00BF" w:rsidP="005D413F">
            <w:pPr>
              <w:jc w:val="both"/>
              <w:rPr>
                <w:bCs/>
              </w:rPr>
            </w:pPr>
            <w:r w:rsidRPr="000D00BF">
              <w:rPr>
                <w:bCs/>
              </w:rPr>
              <w:lastRenderedPageBreak/>
              <w:t xml:space="preserve">Pozitívny vplyv na vodu – </w:t>
            </w:r>
            <w:r w:rsidR="004B42A5">
              <w:rPr>
                <w:bCs/>
              </w:rPr>
              <w:t xml:space="preserve">návrh zákona upravuje </w:t>
            </w:r>
            <w:proofErr w:type="spellStart"/>
            <w:r w:rsidRPr="000D00BF">
              <w:rPr>
                <w:bCs/>
              </w:rPr>
              <w:t>reporting</w:t>
            </w:r>
            <w:proofErr w:type="spellEnd"/>
            <w:r w:rsidRPr="000D00BF">
              <w:rPr>
                <w:bCs/>
              </w:rPr>
              <w:t xml:space="preserve"> objemu spotreby vody</w:t>
            </w:r>
            <w:r w:rsidR="001A5613">
              <w:rPr>
                <w:bCs/>
              </w:rPr>
              <w:t xml:space="preserve"> v</w:t>
            </w:r>
            <w:r w:rsidRPr="000D00BF">
              <w:rPr>
                <w:bCs/>
              </w:rPr>
              <w:t xml:space="preserve"> dátových </w:t>
            </w:r>
            <w:r w:rsidR="00BE1E5C" w:rsidRPr="000D00BF">
              <w:rPr>
                <w:bCs/>
              </w:rPr>
              <w:t>centr</w:t>
            </w:r>
            <w:r w:rsidR="00BE1E5C">
              <w:rPr>
                <w:bCs/>
              </w:rPr>
              <w:t>ách</w:t>
            </w:r>
            <w:r w:rsidR="00971837">
              <w:rPr>
                <w:bCs/>
              </w:rPr>
              <w:t xml:space="preserve"> prinesie vhodnú dátovú základňu pre budúce možné opatrenia, či plány.</w:t>
            </w:r>
            <w:r w:rsidRPr="000D00BF">
              <w:rPr>
                <w:bCs/>
              </w:rPr>
              <w:t xml:space="preserve"> Znížen</w:t>
            </w:r>
            <w:r w:rsidR="00971837">
              <w:rPr>
                <w:bCs/>
              </w:rPr>
              <w:t>ie</w:t>
            </w:r>
            <w:r w:rsidRPr="000D00BF">
              <w:rPr>
                <w:bCs/>
              </w:rPr>
              <w:t xml:space="preserve"> spotreby elektriny alebo tepla</w:t>
            </w:r>
            <w:r w:rsidR="00971837">
              <w:rPr>
                <w:bCs/>
              </w:rPr>
              <w:t xml:space="preserve"> zvyčajne vedie</w:t>
            </w:r>
            <w:r w:rsidRPr="000D00BF">
              <w:rPr>
                <w:bCs/>
              </w:rPr>
              <w:t xml:space="preserve"> aj k zníženiu potreby chladiacej vody</w:t>
            </w:r>
            <w:r w:rsidR="00971837">
              <w:rPr>
                <w:bCs/>
              </w:rPr>
              <w:t>.</w:t>
            </w:r>
          </w:p>
          <w:p w14:paraId="41B5D860" w14:textId="1542EE45" w:rsidR="005D413F" w:rsidRDefault="005D413F" w:rsidP="005D413F">
            <w:pPr>
              <w:jc w:val="both"/>
              <w:rPr>
                <w:bCs/>
              </w:rPr>
            </w:pPr>
          </w:p>
          <w:p w14:paraId="7F0F3EB8" w14:textId="77777777" w:rsidR="000D00BF" w:rsidRPr="00B30F61" w:rsidRDefault="000D00BF" w:rsidP="00BE1E5C">
            <w:pPr>
              <w:jc w:val="both"/>
              <w:rPr>
                <w:b/>
                <w:bCs/>
              </w:rPr>
            </w:pPr>
          </w:p>
        </w:tc>
      </w:tr>
      <w:tr w:rsidR="007152D5" w:rsidRPr="00B30F61" w14:paraId="0B1305F0" w14:textId="77777777" w:rsidTr="002A1D27">
        <w:trPr>
          <w:trHeight w:val="995"/>
        </w:trPr>
        <w:tc>
          <w:tcPr>
            <w:tcW w:w="9062" w:type="dxa"/>
          </w:tcPr>
          <w:p w14:paraId="42C38578" w14:textId="77777777" w:rsidR="007152D5" w:rsidRPr="00B30F61" w:rsidRDefault="007152D5" w:rsidP="000D00BF">
            <w:pPr>
              <w:jc w:val="both"/>
            </w:pPr>
            <w:r w:rsidRPr="00B30F61">
              <w:lastRenderedPageBreak/>
              <w:t>5.1.3  Vplyvy na pôdu a horninové prostredie:</w:t>
            </w:r>
          </w:p>
          <w:p w14:paraId="61E436B1" w14:textId="77777777" w:rsidR="007152D5" w:rsidRPr="00B30F61" w:rsidRDefault="007152D5" w:rsidP="002A1D27">
            <w:pPr>
              <w:ind w:left="284"/>
              <w:jc w:val="both"/>
              <w:rPr>
                <w:b/>
                <w:bCs/>
              </w:rPr>
            </w:pPr>
            <w:r w:rsidRPr="00B30F61">
              <w:rPr>
                <w:b/>
                <w:bCs/>
              </w:rPr>
              <w:t>Nie</w:t>
            </w:r>
          </w:p>
        </w:tc>
      </w:tr>
      <w:tr w:rsidR="007152D5" w:rsidRPr="00B30F61" w14:paraId="62C4E777" w14:textId="77777777" w:rsidTr="002A1D27">
        <w:trPr>
          <w:trHeight w:val="995"/>
        </w:trPr>
        <w:tc>
          <w:tcPr>
            <w:tcW w:w="9062" w:type="dxa"/>
          </w:tcPr>
          <w:p w14:paraId="73D76F4C" w14:textId="77777777" w:rsidR="007152D5" w:rsidRPr="00B30F61" w:rsidRDefault="007152D5" w:rsidP="000D00BF">
            <w:pPr>
              <w:jc w:val="both"/>
            </w:pPr>
            <w:r w:rsidRPr="00B30F61">
              <w:t>5.1.4  Vplyvy na organizmy:</w:t>
            </w:r>
          </w:p>
          <w:p w14:paraId="2AD5AFC5" w14:textId="77777777" w:rsidR="007152D5" w:rsidRPr="00B30F61" w:rsidRDefault="007152D5" w:rsidP="002A1D27">
            <w:pPr>
              <w:ind w:left="284"/>
              <w:jc w:val="both"/>
              <w:rPr>
                <w:b/>
                <w:bCs/>
              </w:rPr>
            </w:pPr>
            <w:r w:rsidRPr="00B30F61">
              <w:rPr>
                <w:b/>
                <w:bCs/>
              </w:rPr>
              <w:t>Nie</w:t>
            </w:r>
          </w:p>
        </w:tc>
      </w:tr>
      <w:tr w:rsidR="007152D5" w:rsidRPr="00B30F61" w14:paraId="79EB39BA" w14:textId="77777777" w:rsidTr="002A1D27">
        <w:trPr>
          <w:trHeight w:val="995"/>
        </w:trPr>
        <w:tc>
          <w:tcPr>
            <w:tcW w:w="9062" w:type="dxa"/>
          </w:tcPr>
          <w:p w14:paraId="36F0A456" w14:textId="77777777" w:rsidR="007152D5" w:rsidRPr="00B30F61" w:rsidRDefault="007152D5" w:rsidP="000D00BF">
            <w:pPr>
              <w:jc w:val="both"/>
            </w:pPr>
            <w:r w:rsidRPr="00B30F61">
              <w:t>5.1.5  Vplyvy na odpady (</w:t>
            </w:r>
            <w:r w:rsidRPr="00B30F61">
              <w:rPr>
                <w:i/>
              </w:rPr>
              <w:t>koľko akého druhu odpadu bude prijatím a realizovaním predkladaného materiálu produkované, ako s ním bude nakladané a ako prispeje materiál k rozvoju a posilneniu obehovej ekonomiky</w:t>
            </w:r>
            <w:r w:rsidRPr="00B30F61">
              <w:t>):</w:t>
            </w:r>
          </w:p>
          <w:p w14:paraId="5DB62D28" w14:textId="77777777" w:rsidR="005D413F" w:rsidRDefault="005D413F" w:rsidP="005D413F">
            <w:pPr>
              <w:jc w:val="both"/>
              <w:rPr>
                <w:bCs/>
              </w:rPr>
            </w:pPr>
          </w:p>
          <w:p w14:paraId="48DD447E" w14:textId="15A31F09" w:rsidR="007152D5" w:rsidRDefault="000D00BF" w:rsidP="005D413F">
            <w:pPr>
              <w:jc w:val="both"/>
              <w:rPr>
                <w:bCs/>
              </w:rPr>
            </w:pPr>
            <w:r w:rsidRPr="000D00BF">
              <w:rPr>
                <w:bCs/>
              </w:rPr>
              <w:t>Znížením spotreby elektriny alebo tepla dôjde aj k</w:t>
            </w:r>
            <w:r w:rsidR="008A7942">
              <w:rPr>
                <w:bCs/>
              </w:rPr>
              <w:t> predpokladanému</w:t>
            </w:r>
            <w:r w:rsidRPr="000D00BF">
              <w:rPr>
                <w:bCs/>
              </w:rPr>
              <w:t> zníženiu produkcie odpadov z</w:t>
            </w:r>
            <w:r w:rsidR="008A7942">
              <w:rPr>
                <w:bCs/>
              </w:rPr>
              <w:t> </w:t>
            </w:r>
            <w:r w:rsidRPr="000D00BF">
              <w:rPr>
                <w:bCs/>
              </w:rPr>
              <w:t>energetiky</w:t>
            </w:r>
            <w:r w:rsidR="008A7942">
              <w:rPr>
                <w:bCs/>
              </w:rPr>
              <w:t xml:space="preserve"> na základe nižšej potreby</w:t>
            </w:r>
            <w:r w:rsidRPr="000D00BF">
              <w:rPr>
                <w:bCs/>
              </w:rPr>
              <w:t>.</w:t>
            </w:r>
          </w:p>
          <w:p w14:paraId="5858C133" w14:textId="77777777" w:rsidR="005D413F" w:rsidRDefault="005D413F" w:rsidP="005D413F">
            <w:pPr>
              <w:jc w:val="both"/>
              <w:rPr>
                <w:bCs/>
              </w:rPr>
            </w:pPr>
          </w:p>
          <w:p w14:paraId="3E42A6E2" w14:textId="2DEA567E" w:rsidR="005D413F" w:rsidRDefault="005D413F" w:rsidP="005D413F">
            <w:pPr>
              <w:jc w:val="both"/>
              <w:rPr>
                <w:bCs/>
              </w:rPr>
            </w:pPr>
          </w:p>
          <w:p w14:paraId="5E3F523C" w14:textId="77777777" w:rsidR="005D413F" w:rsidRDefault="005D413F" w:rsidP="005D413F">
            <w:pPr>
              <w:jc w:val="both"/>
              <w:rPr>
                <w:bCs/>
              </w:rPr>
            </w:pPr>
          </w:p>
          <w:p w14:paraId="78120577" w14:textId="1204D86C" w:rsidR="005D413F" w:rsidRDefault="005D413F" w:rsidP="005D413F">
            <w:pPr>
              <w:jc w:val="both"/>
              <w:rPr>
                <w:bCs/>
              </w:rPr>
            </w:pPr>
          </w:p>
          <w:p w14:paraId="6B997A06" w14:textId="77777777" w:rsidR="002D1BBE" w:rsidRPr="00B30F61" w:rsidRDefault="002D1BBE" w:rsidP="000D00BF">
            <w:pPr>
              <w:ind w:left="284"/>
              <w:jc w:val="both"/>
              <w:rPr>
                <w:b/>
                <w:bCs/>
              </w:rPr>
            </w:pPr>
          </w:p>
        </w:tc>
      </w:tr>
      <w:tr w:rsidR="007152D5" w:rsidRPr="00B30F61" w14:paraId="74387DCB" w14:textId="77777777" w:rsidTr="002A1D27">
        <w:trPr>
          <w:trHeight w:val="404"/>
        </w:trPr>
        <w:tc>
          <w:tcPr>
            <w:tcW w:w="9062" w:type="dxa"/>
            <w:shd w:val="clear" w:color="auto" w:fill="D9D9D9"/>
            <w:vAlign w:val="center"/>
            <w:hideMark/>
          </w:tcPr>
          <w:p w14:paraId="50129705" w14:textId="77777777" w:rsidR="007152D5" w:rsidRPr="00B30F61" w:rsidRDefault="007152D5" w:rsidP="002A1D27">
            <w:pPr>
              <w:rPr>
                <w:b/>
              </w:rPr>
            </w:pPr>
            <w:r w:rsidRPr="00B30F61">
              <w:rPr>
                <w:b/>
              </w:rPr>
              <w:t xml:space="preserve">5.2 Bude mať predkladaný materiál vplyv na chránené územia a ak áno, aký? </w:t>
            </w:r>
          </w:p>
        </w:tc>
      </w:tr>
      <w:tr w:rsidR="007152D5" w:rsidRPr="00B30F61" w14:paraId="0B01C6E0" w14:textId="77777777" w:rsidTr="002A1D27">
        <w:trPr>
          <w:trHeight w:val="987"/>
        </w:trPr>
        <w:tc>
          <w:tcPr>
            <w:tcW w:w="9062" w:type="dxa"/>
          </w:tcPr>
          <w:p w14:paraId="363ED2ED" w14:textId="77777777" w:rsidR="007152D5" w:rsidRPr="00B30F61" w:rsidRDefault="007152D5" w:rsidP="002A1D27">
            <w:pPr>
              <w:jc w:val="both"/>
              <w:rPr>
                <w:i/>
              </w:rPr>
            </w:pPr>
            <w:r w:rsidRPr="00B30F61">
              <w:rPr>
                <w:i/>
              </w:rPr>
              <w:t>Popíšte typ, veľkosť a rozsah vplyvu. Popíšte na ktoré chránené územia môže mať predkladaný materiál vplyvy (Natura 2000, národné parky, CHKO a pod.) Do ktorých stupňov ochrany bude prekladaný materiál zasahovať.</w:t>
            </w:r>
          </w:p>
          <w:p w14:paraId="232EA371" w14:textId="77777777" w:rsidR="007152D5" w:rsidRPr="00B30F61" w:rsidRDefault="007152D5" w:rsidP="002A1D27">
            <w:pPr>
              <w:jc w:val="both"/>
              <w:rPr>
                <w:b/>
                <w:bCs/>
              </w:rPr>
            </w:pPr>
            <w:r w:rsidRPr="00B30F61">
              <w:rPr>
                <w:b/>
                <w:bCs/>
              </w:rPr>
              <w:t>Nie</w:t>
            </w:r>
          </w:p>
          <w:p w14:paraId="4F40FB9E" w14:textId="77777777" w:rsidR="007152D5" w:rsidRPr="00B30F61" w:rsidRDefault="007152D5" w:rsidP="002A1D27">
            <w:pPr>
              <w:jc w:val="both"/>
            </w:pPr>
          </w:p>
        </w:tc>
      </w:tr>
      <w:tr w:rsidR="007152D5" w:rsidRPr="00B30F61" w14:paraId="074A7F80" w14:textId="77777777" w:rsidTr="002A1D27">
        <w:trPr>
          <w:trHeight w:val="698"/>
        </w:trPr>
        <w:tc>
          <w:tcPr>
            <w:tcW w:w="9062" w:type="dxa"/>
            <w:shd w:val="clear" w:color="auto" w:fill="D9D9D9"/>
            <w:vAlign w:val="center"/>
          </w:tcPr>
          <w:p w14:paraId="5E37371F" w14:textId="77777777" w:rsidR="007152D5" w:rsidRPr="00B30F61" w:rsidRDefault="007152D5" w:rsidP="002A1D27">
            <w:pPr>
              <w:jc w:val="both"/>
              <w:rPr>
                <w:b/>
              </w:rPr>
            </w:pPr>
            <w:r w:rsidRPr="00B30F61">
              <w:rPr>
                <w:b/>
              </w:rPr>
              <w:t xml:space="preserve">5.3 Bude mať predkladaný materiál vplyv na zmenu klímy a ak áno, aký? (typ, veľkosť a rozsah vplyvu). </w:t>
            </w:r>
          </w:p>
        </w:tc>
      </w:tr>
      <w:tr w:rsidR="007B5361" w:rsidRPr="00B30F61" w14:paraId="28BF067E" w14:textId="77777777" w:rsidTr="005D46B7">
        <w:trPr>
          <w:trHeight w:val="698"/>
        </w:trPr>
        <w:tc>
          <w:tcPr>
            <w:tcW w:w="9062" w:type="dxa"/>
          </w:tcPr>
          <w:p w14:paraId="0EA398D3" w14:textId="77777777" w:rsidR="004B42A5" w:rsidRDefault="004B42A5" w:rsidP="004B42A5">
            <w:pPr>
              <w:jc w:val="both"/>
            </w:pPr>
            <w:r>
              <w:t xml:space="preserve">Návrh zákona stanovuje 6 cieľov energetickej efektívnosti, ktoré sú uvedené v Integrovanom národnom energetickom a klimatickom pláne (NECP). Preto celkové vplyvy na životné prostredie sú totožné s vplyvmi uvedenými v NECP. Návrh zákona zavádza konkrétne opatrenia v oblasti strategického plánovania v energetickej efektívnosti zamerané prierezovo na zásadu prvoradosti energetickej efektívnosti. </w:t>
            </w:r>
          </w:p>
          <w:p w14:paraId="352A91D9" w14:textId="77777777" w:rsidR="004B42A5" w:rsidRDefault="004B42A5" w:rsidP="004B42A5">
            <w:pPr>
              <w:jc w:val="both"/>
            </w:pPr>
          </w:p>
          <w:p w14:paraId="3D29F857" w14:textId="3906FE70" w:rsidR="004B42A5" w:rsidRDefault="004B42A5" w:rsidP="004B42A5">
            <w:pPr>
              <w:jc w:val="both"/>
            </w:pPr>
            <w:r>
              <w:t>V rámci konkrétnych opatrení návrh zákona rozširuje požiadavku na výkon energetického auditu o opatrenia z energetického auditu pre podniky so spotrebou nad 10TJ. To</w:t>
            </w:r>
            <w:r w:rsidR="00FE400A">
              <w:t>to opatrenie prinesie viac energetických auditov a tým sa predpokladá aj dosiahnutie vyšších úspor energie</w:t>
            </w:r>
            <w:r>
              <w:t>. Návrh zákona</w:t>
            </w:r>
            <w:r w:rsidR="00FE400A">
              <w:t xml:space="preserve"> taktiež</w:t>
            </w:r>
            <w:r>
              <w:t xml:space="preserve"> stavuje požiadavky na znižovanie energetickej spotreby verejného sektora a zavedenie energetického manažéra, resp. manažmentu, ako opatrenia na plnenie daného cieľa stanoveného v NECP. </w:t>
            </w:r>
            <w:r w:rsidR="00FE400A">
              <w:t xml:space="preserve">Významne sa rozširujú požiadavky na monitorovanie a reportovanie, čo umožní v budúcnosti vypracovanie presnejších analýz. </w:t>
            </w:r>
          </w:p>
          <w:p w14:paraId="22F6B98B" w14:textId="77777777" w:rsidR="007B5361" w:rsidRDefault="007B5361" w:rsidP="007B5361">
            <w:pPr>
              <w:jc w:val="both"/>
              <w:rPr>
                <w:iCs/>
              </w:rPr>
            </w:pPr>
          </w:p>
          <w:p w14:paraId="6E38D4B9" w14:textId="77777777" w:rsidR="007B5361" w:rsidRDefault="007B5361" w:rsidP="007B5361">
            <w:pPr>
              <w:jc w:val="both"/>
              <w:rPr>
                <w:iCs/>
              </w:rPr>
            </w:pPr>
            <w:r w:rsidRPr="00F7045B">
              <w:rPr>
                <w:b/>
                <w:bCs/>
                <w:iCs/>
                <w:u w:val="single"/>
              </w:rPr>
              <w:t>Pre cieľ zníženia konečnej energetickej spotreby a primárnej energetickej spotreby, ktorého ekvivalentom je cieľ zníženia emisií o 55% v porovnaní s rokom 1990, je však potrebné brať do úvahy všetky opatrenia uvedené v NECP.</w:t>
            </w:r>
            <w:r>
              <w:rPr>
                <w:iCs/>
              </w:rPr>
              <w:t xml:space="preserve"> </w:t>
            </w:r>
            <w:r w:rsidRPr="00F7045B">
              <w:rPr>
                <w:iCs/>
              </w:rPr>
              <w:t xml:space="preserve">Na základe výsledkov modelovania scenárov pre Národný energetický a klimatický plán by mohlo Slovensko v </w:t>
            </w:r>
            <w:r w:rsidRPr="00F7045B">
              <w:rPr>
                <w:iCs/>
              </w:rPr>
              <w:lastRenderedPageBreak/>
              <w:t>dekarbonizačnom scenári dosiahnuť emisnú redukciu 64,3 % do roku 2030, v porovnaní s rokom 1990 bez započítania prirodzených záchytov (LULUCF). Vývoj emisií skleníkových plynov v scenári zníženia o 64,3 % do roku 2030 je znázornený na grafe 39 nižšie. Celoeurópsky cieľ zníženia emisií o 55 % do roku 2030 by Slovensko podľa tohto scenára splnilo (šedá čiara).</w:t>
            </w:r>
          </w:p>
          <w:p w14:paraId="1545A523" w14:textId="77777777" w:rsidR="007B5361" w:rsidRDefault="007B5361" w:rsidP="007B5361">
            <w:pPr>
              <w:jc w:val="both"/>
              <w:rPr>
                <w:iCs/>
              </w:rPr>
            </w:pPr>
            <w:r w:rsidRPr="00F7045B">
              <w:rPr>
                <w:iCs/>
                <w:noProof/>
              </w:rPr>
              <w:drawing>
                <wp:inline distT="0" distB="0" distL="0" distR="0" wp14:anchorId="1FEF9618" wp14:editId="455DD62F">
                  <wp:extent cx="5619750" cy="3870392"/>
                  <wp:effectExtent l="0" t="0" r="0" b="0"/>
                  <wp:docPr id="39893529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935293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36" cy="387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CE0CB" w14:textId="77777777" w:rsidR="007B5361" w:rsidRDefault="007B5361" w:rsidP="007B5361">
            <w:pPr>
              <w:jc w:val="both"/>
              <w:rPr>
                <w:iCs/>
              </w:rPr>
            </w:pPr>
            <w:r w:rsidRPr="00F7045B">
              <w:rPr>
                <w:iCs/>
              </w:rPr>
              <w:t>Dosiahnutie krátkodobého záväzného cieľa redukcie emisií o 55 % do roku 2030 by bolo možné najmä vďaka elektrifikácii košických železiarní. Ďalšími dôležitými opatreniami sú nástup elektromobilov, zatepľovanie budov, či elektrifikácia naprieč sektormi. Zatvorenie uhoľných elektrární v Novákoch a Vojanoch a spustenie ďalšieho bloku jadrovej elektrárne v Mochovciach už prispelo k čistému energetickému mixu. Zásadným je ešte zavedenie systému obchodovania s emisnými kvótami od roku 2027 v sektore budov a dopravy (ETS2) s predpokladanou cenou v roku 2030 okolo 59 eur za tonu70. Najdôležitejšie opatrenia v dekarbonizačnom scenári v rokoch 2020 – 2030</w:t>
            </w:r>
            <w:r>
              <w:rPr>
                <w:iCs/>
              </w:rPr>
              <w:t xml:space="preserve"> sú</w:t>
            </w:r>
            <w:r w:rsidRPr="00F7045B">
              <w:rPr>
                <w:iCs/>
              </w:rPr>
              <w:t xml:space="preserve">: </w:t>
            </w:r>
          </w:p>
          <w:p w14:paraId="53A8A49C" w14:textId="77777777" w:rsidR="007B5361" w:rsidRDefault="007B5361" w:rsidP="007B5361">
            <w:pPr>
              <w:jc w:val="both"/>
              <w:rPr>
                <w:iCs/>
              </w:rPr>
            </w:pPr>
          </w:p>
          <w:p w14:paraId="07BFDED9" w14:textId="66A46991" w:rsidR="007B5361" w:rsidRDefault="007B5361" w:rsidP="007B5361">
            <w:pPr>
              <w:jc w:val="both"/>
              <w:rPr>
                <w:iCs/>
              </w:rPr>
            </w:pPr>
            <w:r w:rsidRPr="00E037A2">
              <w:rPr>
                <w:b/>
                <w:bCs/>
                <w:iCs/>
                <w:u w:val="single"/>
              </w:rPr>
              <w:t xml:space="preserve">V sektore </w:t>
            </w:r>
            <w:proofErr w:type="spellStart"/>
            <w:r w:rsidRPr="00E037A2">
              <w:rPr>
                <w:b/>
                <w:bCs/>
                <w:iCs/>
                <w:u w:val="single"/>
              </w:rPr>
              <w:t>dopray</w:t>
            </w:r>
            <w:r>
              <w:rPr>
                <w:b/>
                <w:bCs/>
                <w:iCs/>
                <w:u w:val="single"/>
              </w:rPr>
              <w:t>y</w:t>
            </w:r>
            <w:proofErr w:type="spellEnd"/>
            <w:r w:rsidRPr="00F7045B">
              <w:rPr>
                <w:iCs/>
              </w:rPr>
              <w:t xml:space="preserve"> sú dekarbonizačné opatrenia zamerané najmä na podporu rozvoju </w:t>
            </w:r>
            <w:proofErr w:type="spellStart"/>
            <w:r w:rsidRPr="00F7045B">
              <w:rPr>
                <w:iCs/>
              </w:rPr>
              <w:t>elektromobility</w:t>
            </w:r>
            <w:proofErr w:type="spellEnd"/>
            <w:r w:rsidRPr="00F7045B">
              <w:rPr>
                <w:iCs/>
              </w:rPr>
              <w:t xml:space="preserve">: </w:t>
            </w:r>
            <w:r w:rsidRPr="00F7045B">
              <w:rPr>
                <w:iCs/>
              </w:rPr>
              <w:sym w:font="Symbol" w:char="F0B7"/>
            </w:r>
            <w:r w:rsidRPr="00F7045B">
              <w:rPr>
                <w:iCs/>
              </w:rPr>
              <w:t xml:space="preserve"> zavedenie systému obchodovania s emisnými kvótami v sektore dopravy ETS2</w:t>
            </w:r>
            <w:r>
              <w:rPr>
                <w:iCs/>
              </w:rPr>
              <w:t xml:space="preserve"> - </w:t>
            </w:r>
            <w:r w:rsidRPr="00F7045B">
              <w:rPr>
                <w:iCs/>
              </w:rPr>
              <w:t xml:space="preserve">podpora nabíjacej infraštruktúry, čo prinesie aj postupné navyšovanie dojazdu elektromobilov spojené s ich vyšším ročným nájazdom </w:t>
            </w:r>
            <w:r w:rsidRPr="00F7045B">
              <w:rPr>
                <w:iCs/>
              </w:rPr>
              <w:sym w:font="Symbol" w:char="F0B7"/>
            </w:r>
            <w:r w:rsidRPr="00F7045B">
              <w:rPr>
                <w:iCs/>
              </w:rPr>
              <w:t xml:space="preserve"> zavedenie priamej podpory nákupu vozidiel v roku 2025 (vo výške 20 % z ceny vozidla, celkovo vo výške 81,6 mil. eur71 v priebehu piatich rokov) </w:t>
            </w:r>
            <w:r w:rsidRPr="00F7045B">
              <w:rPr>
                <w:iCs/>
              </w:rPr>
              <w:sym w:font="Symbol" w:char="F0B7"/>
            </w:r>
            <w:r w:rsidRPr="00F7045B">
              <w:rPr>
                <w:iCs/>
              </w:rPr>
              <w:t xml:space="preserve"> podpora prechodu na nový typ vozidla, ktorá vyplýva z aplikácie opatrení v Akčnom pláne pre rozvoj </w:t>
            </w:r>
            <w:proofErr w:type="spellStart"/>
            <w:r w:rsidRPr="00F7045B">
              <w:rPr>
                <w:iCs/>
              </w:rPr>
              <w:t>elektromobility</w:t>
            </w:r>
            <w:proofErr w:type="spellEnd"/>
            <w:r w:rsidRPr="00F7045B">
              <w:rPr>
                <w:iCs/>
              </w:rPr>
              <w:t xml:space="preserve"> (napr. podpora v oblasti daní, či </w:t>
            </w:r>
            <w:r w:rsidR="00BE1E5C" w:rsidRPr="00F7045B">
              <w:rPr>
                <w:iCs/>
              </w:rPr>
              <w:t>užívateľské</w:t>
            </w:r>
            <w:r w:rsidRPr="00F7045B">
              <w:rPr>
                <w:iCs/>
              </w:rPr>
              <w:t xml:space="preserve"> výhody pre zelené EČV) Tieto opatrenia by mohli prispieť k nárastu počtu elektrických vozidiel na približne 195 tisíc.</w:t>
            </w:r>
            <w:r>
              <w:rPr>
                <w:iCs/>
              </w:rPr>
              <w:t xml:space="preserve"> </w:t>
            </w:r>
            <w:r w:rsidRPr="006F7FE7">
              <w:rPr>
                <w:iCs/>
              </w:rPr>
              <w:t xml:space="preserve">V roku 2019 bolo v sektore dopravy vyprodukovaných približne 8,1 </w:t>
            </w:r>
            <w:proofErr w:type="spellStart"/>
            <w:r w:rsidRPr="006F7FE7">
              <w:rPr>
                <w:iCs/>
              </w:rPr>
              <w:t>Mt</w:t>
            </w:r>
            <w:proofErr w:type="spellEnd"/>
            <w:r w:rsidRPr="006F7FE7">
              <w:rPr>
                <w:iCs/>
              </w:rPr>
              <w:t xml:space="preserve"> CO2 ekvivalentov76, čo zodpovedá 20,4 % všetkých emisií skleníkových plynov SR. Výrazná väčšina emisií pochádza z cestnej dopravy (93,9 %), menšia časť pochádza z potrubnej prepravy zemného plynu (4,9 %) a železničnej dopravy (1,1 %). Vnútroštátna letecká a lodná doprava sa na emisiách podieľajú v miere menšej ako 0,1 %. Emisie z medzinárodnej leteckej a lodnej dopravy sa v rámci národných cieľov </w:t>
            </w:r>
            <w:r w:rsidRPr="006F7FE7">
              <w:rPr>
                <w:iCs/>
              </w:rPr>
              <w:lastRenderedPageBreak/>
              <w:t>nezapočítavajú. Emisie z cestnej dopravy majú z dlhodobého hľadiska rastúci trend. Je to spôsobené najmä zvyšovaním počtu osobných, ale aj úžitkových vozidiel, s ktorým rastie aj ich využitie a spotreba palív. Tento vplyv mierne znižuje zvyšovanie podielu bio zložky v nafte a benzíne a tiež zlepšovanie energetickej efektívnosti vozidiel (nižšia spotreba palív).</w:t>
            </w:r>
            <w:r>
              <w:rPr>
                <w:iCs/>
              </w:rPr>
              <w:t xml:space="preserve"> </w:t>
            </w:r>
            <w:r w:rsidRPr="006F7FE7">
              <w:rPr>
                <w:iCs/>
              </w:rPr>
              <w:t xml:space="preserve">Za účelom zníženia emisií skleníkových plynov v doprave boli v minulosti schválené emisné štandardy pre osobné automobily, ľahké a ťažké úžitkové vozidlá (nariadenia EÚ 2019/631 a 2019/1242) a prišlo tiež k miernemu navýšeniu podielu bio zložky v palivách (v porovnaní s rokom 2019). Tieto opatrenia boli pre účely tohto dokumentu modelované v scenári WEM. V modelovom scenári WAM boli aplikované sprísnené emisné štandardy na základe revízie uvedených nariadení - pre nové osobné a ľahké úžitkové vozidlá (2023/851) a ťažké úžitkové vozidlá a autobusy (2023/0042)77. V scenári bol tiež navýšený podiel bio zložky v palivách vrátane vyššieho podielu pokročilých palív (na základe prílohy IX, časť a) k smernici o obnoviteľných zdrojoch (2018/2001)). Dôležitým opatrením je tiež zavedenie systému obchodovania s kvótami v oblasti budov a dopravy (ETS2) od roku 2027. Tieto opatrenia boli súčasťou balíčka Fit </w:t>
            </w:r>
            <w:proofErr w:type="spellStart"/>
            <w:r w:rsidRPr="006F7FE7">
              <w:rPr>
                <w:iCs/>
              </w:rPr>
              <w:t>for</w:t>
            </w:r>
            <w:proofErr w:type="spellEnd"/>
            <w:r w:rsidRPr="006F7FE7">
              <w:rPr>
                <w:iCs/>
              </w:rPr>
              <w:t xml:space="preserve"> 55 predloženého v roku 2021, pričom viaceré z nich sú v súčasnosti už platné.</w:t>
            </w:r>
            <w:r>
              <w:rPr>
                <w:iCs/>
              </w:rPr>
              <w:t xml:space="preserve"> </w:t>
            </w:r>
            <w:r w:rsidRPr="006F7FE7">
              <w:rPr>
                <w:iCs/>
              </w:rPr>
              <w:t xml:space="preserve">Dosiahnutie emisných štandardov v oblasti priemerných emisií vozového parku je možné výrazným zvýšením podielu vozidiel na batériový elektrický pohon alebo vodíkových elektrických vozidiel. V strednodobom horizonte čiastočne k ich dosahovaniu napomáhajú aj vozidlá s tzv. </w:t>
            </w:r>
            <w:proofErr w:type="spellStart"/>
            <w:r w:rsidRPr="006F7FE7">
              <w:rPr>
                <w:iCs/>
              </w:rPr>
              <w:t>plug</w:t>
            </w:r>
            <w:proofErr w:type="spellEnd"/>
            <w:r w:rsidRPr="006F7FE7">
              <w:rPr>
                <w:iCs/>
              </w:rPr>
              <w:t xml:space="preserve">-in hybridným pohonom a primiešavanie biopalív do palivových zmesí. Ku koncu roka 2023 sa podľa evidencie PZ SR nachádzalo vo vozovom parku SR celkovo 9 631 ks osobných a 638 ks ľahkých úžitkových vozidiel na batériový elektrický pohon. V súčasnosti PZ SR tiež eviduje 5 701 ks osobných vozidiel s </w:t>
            </w:r>
            <w:proofErr w:type="spellStart"/>
            <w:r w:rsidRPr="006F7FE7">
              <w:rPr>
                <w:iCs/>
              </w:rPr>
              <w:t>plug</w:t>
            </w:r>
            <w:proofErr w:type="spellEnd"/>
            <w:r w:rsidRPr="006F7FE7">
              <w:rPr>
                <w:iCs/>
              </w:rPr>
              <w:t xml:space="preserve">-in hybridným pohonom78. Zvyšovanie počtu vozidiel s batériovým elektrickým pohonom má byť podporené najmä prostredníctvom implementácie Akčného plánu pre rozvoj </w:t>
            </w:r>
            <w:proofErr w:type="spellStart"/>
            <w:r w:rsidRPr="006F7FE7">
              <w:rPr>
                <w:iCs/>
              </w:rPr>
              <w:t>elektromobility</w:t>
            </w:r>
            <w:proofErr w:type="spellEnd"/>
            <w:r w:rsidRPr="006F7FE7">
              <w:rPr>
                <w:iCs/>
              </w:rPr>
              <w:t xml:space="preserve">, ktorý pozostáva z finančných, legislatívnych a iných opatrení. Tieto opatrenia cielia najmä na prvotné zvýšenie počtu vozidiel, ktoré, na základe skúseností z iných krajín, zvyšujú ochotu prechodu na vozidlo s alternatívnym pohonom (tzv. substitučnú elasticitu). V súvislosti s uvedeným sú v scenári WAM aplikované nasledovné opatrenia: postupné navyšovanie dojazdu vozidiel s batériovým elektrickým pohonom spojené s vyšším ročným nájazdom zavedenie priamej podpory nákupu vozidiel v roku 2025 (vo výške 20 % z ceny vozidla, celkovo vo výške 81,6 mil. eur79 pre celý vozový park) podpora prechodu na nový typ vozidla, ktorá vyplýva z aplikácie opatrení v Akčnom pláne rozvoja </w:t>
            </w:r>
            <w:proofErr w:type="spellStart"/>
            <w:r w:rsidRPr="006F7FE7">
              <w:rPr>
                <w:iCs/>
              </w:rPr>
              <w:t>elektromobility</w:t>
            </w:r>
            <w:proofErr w:type="spellEnd"/>
            <w:r w:rsidRPr="006F7FE7">
              <w:rPr>
                <w:iCs/>
              </w:rPr>
              <w:t xml:space="preserve"> (napr. prostredníctvom znižovania behaviorálneho efektu kratšieho dojazdu vozidla v dôsledku lepšej dostupnosti nabíjania)</w:t>
            </w:r>
            <w:r>
              <w:rPr>
                <w:iCs/>
              </w:rPr>
              <w:t xml:space="preserve">. </w:t>
            </w:r>
            <w:r w:rsidRPr="006F7FE7">
              <w:rPr>
                <w:iCs/>
              </w:rPr>
              <w:t xml:space="preserve">Výsledkom kombinácie opatrení a očakávaného vývoja cien vzrastie v scenári WAM počet osobných vozidiel na batériový elektrický pohon na približne 192 tis. kusov. Zásadne sa tiež navýšia počty autobusov a úžitkových vozidiel s batériovým elektrickým pohonom. Navýši sa tiež počet vozidiel s </w:t>
            </w:r>
            <w:proofErr w:type="spellStart"/>
            <w:r w:rsidRPr="006F7FE7">
              <w:rPr>
                <w:iCs/>
              </w:rPr>
              <w:t>plug</w:t>
            </w:r>
            <w:proofErr w:type="spellEnd"/>
            <w:r w:rsidRPr="006F7FE7">
              <w:rPr>
                <w:iCs/>
              </w:rPr>
              <w:t>-in hybridným pohonom</w:t>
            </w:r>
            <w:r>
              <w:rPr>
                <w:iCs/>
              </w:rPr>
              <w:t xml:space="preserve">. </w:t>
            </w:r>
            <w:r w:rsidRPr="006F7FE7">
              <w:rPr>
                <w:iCs/>
              </w:rPr>
              <w:t>Mierne zníženie emisií môžeme očakávať v potrubnej preprave z dôvodu znižovania využívania zemného plynu, pričom po roku 2030 sa bude tento trend výrazne posilňovať. V leteckej doprave sa znižovanie emisií dá očakávať až po roku 2030, kedy sa začnú do palivovej zmesi výraznejšie zamiešavať syntetické palivá a biopalivá. Železničná doprava v modeli nebola modelovaná, do roku 2030 sa však neočakáva výraznejšia elektrifikácia tratí, na ktorých sa používajú naftové rušne.</w:t>
            </w:r>
            <w:r>
              <w:rPr>
                <w:iCs/>
              </w:rPr>
              <w:t xml:space="preserve"> </w:t>
            </w:r>
            <w:r w:rsidRPr="006F7FE7">
              <w:rPr>
                <w:iCs/>
              </w:rPr>
              <w:t xml:space="preserve">V scenári WEM stúpnu do roku 2030 emisie skleníkových plynov z cestnej dopravy o približne 6,4 % v porovnaní s rokom 2019. Po roku 2030 by malo prichádzať k postupnému znižovaniu, ktoré budú spôsobené navyšovaním podielu batériových elektrických vozidiel. V scenári WAM začnú od roku 2025 emisie klesať, pričom do roku 2030 klesnú o približne 14,8 % oproti roku 2019. Je to dôsledkom vyššieho počtu elektrických vozidiel (vrátane menšieho počtu vozidiel na vodíkový elektrický pohon). K zníženiu emisií pomôže aj rast podielu biopalív v konečnej energetickej spotrebe z 5,5 na 9,7 %, ktorý je zapríčinený zvyšovaním podielu bio zložky v </w:t>
            </w:r>
            <w:r w:rsidRPr="006F7FE7">
              <w:rPr>
                <w:iCs/>
              </w:rPr>
              <w:lastRenderedPageBreak/>
              <w:t>nafte a benzíne. Vďaka navýšeniu podielu elektrickej energie a biomasy v palivovom mixe sa podarí znížiť emisie z cestnej dopravy aj napriek pokračujúcemu rastu počtu vozidiel. V scenári WAM v roku 2030 budú v porovnaní s rokom 2005 vyššie len o približne 9,6 %.</w:t>
            </w:r>
          </w:p>
          <w:p w14:paraId="66D4ED11" w14:textId="77777777" w:rsidR="007B5361" w:rsidRDefault="007B5361" w:rsidP="007B5361">
            <w:pPr>
              <w:jc w:val="both"/>
              <w:rPr>
                <w:iCs/>
              </w:rPr>
            </w:pPr>
            <w:r w:rsidRPr="004008A9">
              <w:rPr>
                <w:iCs/>
                <w:noProof/>
              </w:rPr>
              <w:drawing>
                <wp:inline distT="0" distB="0" distL="0" distR="0" wp14:anchorId="3BEE9D25" wp14:editId="4C0F66A3">
                  <wp:extent cx="5619750" cy="2635806"/>
                  <wp:effectExtent l="0" t="0" r="0" b="0"/>
                  <wp:docPr id="8606414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6414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917" cy="263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9794E6" w14:textId="77777777" w:rsidR="007B5361" w:rsidRDefault="007B5361" w:rsidP="007B5361">
            <w:pPr>
              <w:jc w:val="both"/>
              <w:rPr>
                <w:iCs/>
              </w:rPr>
            </w:pPr>
          </w:p>
          <w:p w14:paraId="7F37E85C" w14:textId="77777777" w:rsidR="007B5361" w:rsidRDefault="007B5361" w:rsidP="007B5361">
            <w:pPr>
              <w:jc w:val="both"/>
            </w:pPr>
            <w:r w:rsidRPr="00F7045B">
              <w:rPr>
                <w:b/>
                <w:bCs/>
                <w:iCs/>
                <w:u w:val="single"/>
              </w:rPr>
              <w:t>V sektore priemyslu</w:t>
            </w:r>
            <w:r w:rsidRPr="00F7045B">
              <w:rPr>
                <w:iCs/>
              </w:rPr>
              <w:t xml:space="preserve"> sú opatrenia zamerané najmä na odklon od fosílnych palív a elektrifikáciu priemyslu pri zachovaní výrobných kapacít </w:t>
            </w:r>
            <w:r w:rsidRPr="00F7045B">
              <w:rPr>
                <w:iCs/>
              </w:rPr>
              <w:sym w:font="Symbol" w:char="F0B7"/>
            </w:r>
            <w:r w:rsidRPr="00F7045B">
              <w:rPr>
                <w:iCs/>
              </w:rPr>
              <w:t xml:space="preserve"> výmena dvoch vysokých pecí v košickej železiarni spojená s ukončením výroby koksu </w:t>
            </w:r>
            <w:r w:rsidRPr="00F7045B">
              <w:rPr>
                <w:iCs/>
              </w:rPr>
              <w:sym w:font="Symbol" w:char="F0B7"/>
            </w:r>
            <w:r w:rsidRPr="00F7045B">
              <w:rPr>
                <w:iCs/>
              </w:rPr>
              <w:t xml:space="preserve"> náhrada uhlia a ropných produktov za zemný plyn alebo elektrinu </w:t>
            </w:r>
            <w:r w:rsidRPr="00F7045B">
              <w:rPr>
                <w:iCs/>
              </w:rPr>
              <w:sym w:font="Symbol" w:char="F0B7"/>
            </w:r>
            <w:r w:rsidRPr="00F7045B">
              <w:rPr>
                <w:iCs/>
              </w:rPr>
              <w:t xml:space="preserve"> náhrada </w:t>
            </w:r>
            <w:proofErr w:type="spellStart"/>
            <w:r w:rsidRPr="00F7045B">
              <w:rPr>
                <w:iCs/>
              </w:rPr>
              <w:t>petrolkoksu</w:t>
            </w:r>
            <w:proofErr w:type="spellEnd"/>
            <w:r w:rsidRPr="00F7045B">
              <w:rPr>
                <w:iCs/>
              </w:rPr>
              <w:t xml:space="preserve"> za tuhé alternatívne palivá (TAP) vo výrobe cementu </w:t>
            </w:r>
            <w:r w:rsidRPr="00F7045B">
              <w:rPr>
                <w:iCs/>
              </w:rPr>
              <w:sym w:font="Symbol" w:char="F0B7"/>
            </w:r>
            <w:r w:rsidRPr="00F7045B">
              <w:rPr>
                <w:iCs/>
              </w:rPr>
              <w:t xml:space="preserve"> postupné zníženie podielu bezodplatných emisných kvót </w:t>
            </w:r>
            <w:r w:rsidRPr="00F7045B">
              <w:rPr>
                <w:iCs/>
              </w:rPr>
              <w:sym w:font="Symbol" w:char="F0B7"/>
            </w:r>
            <w:r w:rsidRPr="00F7045B">
              <w:rPr>
                <w:iCs/>
              </w:rPr>
              <w:t xml:space="preserve"> podpora vysoko účinnej kombinovanej výroby elektriny a tepla v priemysle</w:t>
            </w:r>
            <w:r>
              <w:t xml:space="preserve">. </w:t>
            </w:r>
            <w:r w:rsidRPr="00F7045B">
              <w:t>Základný mechanizmus, ktorý výrazne ovplyvňuje investície v priemysle, je cena emisných kvót (ETS) a podiel bezodplatných kvót pre jednotlivé časti priemyslu. Cena kvót sa v závislosti od scenára v neskorších rokoch líši – v scenári WAM rastie cena výraznejšie. V scenári WEM sa podiel bezodplatných emisných kvót v roku 2030 zníži z 50 na 25 % (pričom do roku 2040 klesne na 0 %), v scenári WAM bezodplatné kvóty poskytované nie sú.</w:t>
            </w:r>
            <w:r>
              <w:t xml:space="preserve"> </w:t>
            </w:r>
            <w:r w:rsidRPr="00F7045B">
              <w:t>Za účelom znižovania emisií boli ohlásené schémy pre priemysel financované z Modernizačného fondu a Plánu obnovy a odolnosti. Na základe ich zverejnených výsledkov boli v scenári WAM modelované investície v jednotlivých priemyselných odvetviach – pričom najvyššie investície boli uskutočnené v oceliarskom, chemickom a stavebnom priemysle. Emisie skleníkových plynov v priemysle sa do roku 2030 v scenári WEM znížia o 3,1 % oproti roku 2019. K tomuto zníženiu prispejú najmä zmeny v chemickom a petrochemickom priemysle, postupné zavádzanie tuhých alternatívnych palív vo výrobe cementu a v menšej miere tiež investície do kotlov na biomasu v papierenskom priemysle. V scenári WAM príde najmä dôsledkom výmeny vysokých pecí za elektrické oblúkové pece oproti roku 2019 k zníženiu množstva vyprodukovaných emisií o 39,7 %. K zníženiu výraznejšie prispejú aj stavebný a chemický a petrochemický priemysel. Veľká časť týchto úspor bude zabezpečená najmä prostredníctvom investícií z Plánu obnovy a odolnosti a Modernizačného fondu. Z dôvodu predpokladaného výraznejšieho rastu ceny kvóty ETS však bude prebiehať výraznejšia dekarbonizácia ostatných odvetví (okrem oceliarskeho priemyslu) najmä po roku 2030.</w:t>
            </w:r>
          </w:p>
          <w:p w14:paraId="1EDA0317" w14:textId="77777777" w:rsidR="007B5361" w:rsidRDefault="007B5361" w:rsidP="007B5361">
            <w:pPr>
              <w:jc w:val="both"/>
            </w:pPr>
          </w:p>
          <w:p w14:paraId="2CB551F6" w14:textId="77777777" w:rsidR="007B5361" w:rsidRDefault="007B5361" w:rsidP="007B5361">
            <w:pPr>
              <w:jc w:val="both"/>
            </w:pPr>
            <w:r w:rsidRPr="004008A9">
              <w:rPr>
                <w:noProof/>
              </w:rPr>
              <w:lastRenderedPageBreak/>
              <w:drawing>
                <wp:inline distT="0" distB="0" distL="0" distR="0" wp14:anchorId="05E15F06" wp14:editId="32071A8F">
                  <wp:extent cx="5629275" cy="2348634"/>
                  <wp:effectExtent l="0" t="0" r="0" b="0"/>
                  <wp:docPr id="829094360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09436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3324" cy="2350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62495" w14:textId="77777777" w:rsidR="007B5361" w:rsidRDefault="007B5361" w:rsidP="007B5361">
            <w:pPr>
              <w:jc w:val="both"/>
              <w:rPr>
                <w:b/>
                <w:bCs/>
                <w:u w:val="single"/>
              </w:rPr>
            </w:pPr>
          </w:p>
          <w:p w14:paraId="43863647" w14:textId="77777777" w:rsidR="007B5361" w:rsidRDefault="007B5361" w:rsidP="007B5361">
            <w:pPr>
              <w:jc w:val="both"/>
              <w:rPr>
                <w:b/>
                <w:bCs/>
                <w:u w:val="single"/>
              </w:rPr>
            </w:pPr>
            <w:r w:rsidRPr="004008A9">
              <w:rPr>
                <w:b/>
                <w:bCs/>
                <w:noProof/>
                <w:u w:val="single"/>
              </w:rPr>
              <w:drawing>
                <wp:inline distT="0" distB="0" distL="0" distR="0" wp14:anchorId="5592AE53" wp14:editId="77367FD7">
                  <wp:extent cx="5638800" cy="3189850"/>
                  <wp:effectExtent l="0" t="0" r="0" b="0"/>
                  <wp:docPr id="124183430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83430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2281" cy="3191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D2CF2" w14:textId="77777777" w:rsidR="007B5361" w:rsidRDefault="007B5361" w:rsidP="007B5361">
            <w:pPr>
              <w:jc w:val="both"/>
              <w:rPr>
                <w:b/>
                <w:bCs/>
                <w:u w:val="single"/>
              </w:rPr>
            </w:pPr>
          </w:p>
          <w:p w14:paraId="5611E9A6" w14:textId="77777777" w:rsidR="007B5361" w:rsidRDefault="007B5361" w:rsidP="007B5361">
            <w:pPr>
              <w:jc w:val="both"/>
            </w:pPr>
            <w:r w:rsidRPr="00F7045B">
              <w:rPr>
                <w:b/>
                <w:bCs/>
                <w:u w:val="single"/>
              </w:rPr>
              <w:t>V</w:t>
            </w:r>
            <w:r>
              <w:rPr>
                <w:b/>
                <w:bCs/>
                <w:u w:val="single"/>
              </w:rPr>
              <w:t xml:space="preserve"> </w:t>
            </w:r>
            <w:r w:rsidRPr="00F7045B">
              <w:rPr>
                <w:b/>
                <w:bCs/>
                <w:u w:val="single"/>
              </w:rPr>
              <w:t>sektore budov</w:t>
            </w:r>
            <w:r w:rsidRPr="00F7045B">
              <w:t xml:space="preserve"> sa opatrenia zameriavajú hlavne na zlepšovanie tepelno-technických vlastností a elektrifikáciu vykurovania </w:t>
            </w:r>
            <w:r w:rsidRPr="00F7045B">
              <w:sym w:font="Symbol" w:char="F0B7"/>
            </w:r>
            <w:r w:rsidRPr="00F7045B">
              <w:t xml:space="preserve"> zavedenie systému obchodovania s emisnými kvótami v sektore budov ETS2 </w:t>
            </w:r>
            <w:r w:rsidRPr="00F7045B">
              <w:sym w:font="Symbol" w:char="F0B7"/>
            </w:r>
            <w:r w:rsidRPr="00F7045B">
              <w:t xml:space="preserve"> zavedenie vyšších nárokov na energetickú efektívnosť pre novostavby a rekonštruované budovy, ktoré zodpovedajú uplatneniu prísnejších noriem a zavedeniu energetických tried </w:t>
            </w:r>
            <w:r w:rsidRPr="00F7045B">
              <w:sym w:font="Symbol" w:char="F0B7"/>
            </w:r>
            <w:r w:rsidRPr="00F7045B">
              <w:t xml:space="preserve"> podpora investícií do zlepšovania tepelno-technických vlastností budov </w:t>
            </w:r>
            <w:r w:rsidRPr="00F7045B">
              <w:sym w:font="Symbol" w:char="F0B7"/>
            </w:r>
            <w:r w:rsidRPr="00F7045B">
              <w:t xml:space="preserve"> podpora efektívnejších technológií vo vykurovaní a ohreve vody (napr. tepelné čerpadlá a solárnych ohrievače vody) spojená so znižovaním podielu tuhých fosílnych palív </w:t>
            </w:r>
            <w:r w:rsidRPr="00F7045B">
              <w:sym w:font="Symbol" w:char="F0B7"/>
            </w:r>
            <w:r w:rsidRPr="00F7045B">
              <w:t xml:space="preserve"> podpora investícií do nových technológií</w:t>
            </w:r>
            <w:r>
              <w:t>.</w:t>
            </w:r>
          </w:p>
          <w:p w14:paraId="083D65D1" w14:textId="77777777" w:rsidR="007B5361" w:rsidRDefault="007B5361" w:rsidP="007B5361">
            <w:pPr>
              <w:jc w:val="both"/>
            </w:pPr>
            <w:r w:rsidRPr="004008A9">
              <w:rPr>
                <w:noProof/>
              </w:rPr>
              <w:lastRenderedPageBreak/>
              <w:drawing>
                <wp:inline distT="0" distB="0" distL="0" distR="0" wp14:anchorId="00D34535" wp14:editId="4412BD86">
                  <wp:extent cx="5657850" cy="2636214"/>
                  <wp:effectExtent l="0" t="0" r="0" b="0"/>
                  <wp:docPr id="1648603098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60309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0982" cy="263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77B49B" w14:textId="77777777" w:rsidR="007B5361" w:rsidRDefault="007B5361" w:rsidP="007B5361">
            <w:pPr>
              <w:jc w:val="both"/>
            </w:pPr>
          </w:p>
          <w:p w14:paraId="29586232" w14:textId="03A7134D" w:rsidR="007B5361" w:rsidRDefault="007B5361" w:rsidP="007B5361">
            <w:pPr>
              <w:jc w:val="both"/>
            </w:pPr>
            <w:r w:rsidRPr="00E037A2">
              <w:rPr>
                <w:b/>
                <w:bCs/>
                <w:u w:val="single"/>
              </w:rPr>
              <w:t>V sektore domácnosti</w:t>
            </w:r>
            <w:r w:rsidRPr="00E037A2">
              <w:t xml:space="preserve"> predstavovali skleníkové plyny z domácností </w:t>
            </w:r>
            <w:r>
              <w:t>v</w:t>
            </w:r>
            <w:r w:rsidRPr="00E037A2">
              <w:t xml:space="preserve"> roku 2019 približne 7 % celkových skleníkových plynov SR. Najväčšia časť týchto emisií pochádzala z vykurovania, v menšej miere tiež z ohrevu vody a varenia. Na tieto činnosti sa prevažne využíval zemný plyn a biomasa, v menšej miere tuhé palivá. Emisie z využívania elektrickej energie a tepla z centrálneho zásobovania sa v sektore domácností nezapočítavajú.</w:t>
            </w:r>
            <w:r>
              <w:t xml:space="preserve"> </w:t>
            </w:r>
            <w:r w:rsidRPr="00E037A2">
              <w:t>Vzhľadom na to, že väčšina emisií v domácnostiach pochádza z vykurovania, je v strednodobom horizonte dekarbonizácia úzko spojená so zvyšovaním energetickej efektívnosti budov. Energetická efektívnosť vo vykurovaní má dva rozmery – znižovanie miery tepelných únikov a zlepšovanie efektívnosti výhrevných zariadení. Úniky možno znížiť vyššou mierou zateplenia, prípadne výmenou okien. Pomôcť tiež môže elektrifikácia zariadení na ohrev vody a varenie. Povinnosti v oblasti dekarbonizácie vykurovania a výroby energie v budovách musia zohľadniť nové požiadavky uvedené v smerniciach EÚ č. 2023/2413, 2023/1791 a 2024/1275. V oboch modelovaných scenároch sa pod vplyvom klimatickej zmeny očakáva vyššie zastúpenie klimatizácií na úkor vykurovania. Keďže klimatizácie fungujú na princípe tepelných čerpadiel a na svoju prevádzku využívajú elektrickú energiu, ich emisie sú nulové. To znamená, že vedľajším efektom vplyvu klimatickej zmeny v tejto oblasti bude aj mierne zníženie emisií. Medzi kľúčové legislatívne prostriedky patrí zavedenie Sociálno-klimatického fondu (2023/955), ktorého cieľom je podpora zraniteľných domácností prostredníctvom priamej podpory príjmu a podpory investícií na zvýšenie energetickej efektívnosti budov. Zavedenie systému obchodovania s emisnými kvótami (ETS2) od roku 2027 bude finančne motivovať prechod na efektívnejšie technológie. Pri obnove budov a výstavbe nových budov budú platiť prísnejšie požiadavky na energetickú hospodárnosť budov podľa smernice (EÚ) 2024/1275 o energetickej hospodárnosti budov (prepracované znenie). Dopady týchto opatrení sú zapracované v scenári WAM. Ďalšie hlavné opatrenia modelované v scenári WAM pre sektor domácností sú uvedené v kapitole 3.1.1 Emisie skleníkových plynov a odstraňovanie.</w:t>
            </w:r>
            <w:r>
              <w:t xml:space="preserve"> </w:t>
            </w:r>
            <w:r w:rsidRPr="00E037A2">
              <w:t xml:space="preserve">V scenári WEM sa do roku 2030 očakáva výrazné zníženie spotreby tuhých fosílnych palív (-76,8 %) a mierny nárast využívania zemného plynu (2,5 %). Do roku 2030 budú tieto dva protichodné trendy stabilizovať emisie skleníkových plynov a udržia ich na približne rovnakej úrovni ako v roku 2019. Z dôvodu vyššieho dopytu, spôsobeného rastom životnej úrovne, sa emisie z ohrevu vody navýšia o 16 %. Dopyt po vykurovaní zostane na podobnej úrovni – efekt nižšej základnej úrovne roka 2019 bude pokrytý investíciami do energetickej efektívnosti. V scenári WAM sa očakáva výrazné zníženie množstva emisií (-20,3 %). Toto zníženie bude zapríčinené najmä výraznými úsporami vo vykurovaní. Z dôvodu investícií do zateplenia a efektívnejších </w:t>
            </w:r>
            <w:r w:rsidRPr="00E037A2">
              <w:lastRenderedPageBreak/>
              <w:t>zariadení, klesne dopyt po vykurovaní o 16,6 %. Príde k zníženiu spotreby zemného plynu (-17,6 %) a tuhých palív (-88,7 %), naopak, rásť bude podiel využívania tepelných čerpadiel.</w:t>
            </w:r>
          </w:p>
          <w:p w14:paraId="3EBBE15F" w14:textId="77777777" w:rsidR="007B5361" w:rsidRDefault="007B5361" w:rsidP="007B5361">
            <w:pPr>
              <w:jc w:val="both"/>
            </w:pPr>
          </w:p>
          <w:p w14:paraId="48C1BEBF" w14:textId="77777777" w:rsidR="007B5361" w:rsidRDefault="007B5361" w:rsidP="007B5361">
            <w:pPr>
              <w:jc w:val="both"/>
            </w:pPr>
            <w:r w:rsidRPr="004008A9">
              <w:rPr>
                <w:noProof/>
              </w:rPr>
              <w:drawing>
                <wp:inline distT="0" distB="0" distL="0" distR="0" wp14:anchorId="1DFD8B29" wp14:editId="22D05BCB">
                  <wp:extent cx="5581650" cy="2571177"/>
                  <wp:effectExtent l="0" t="0" r="0" b="635"/>
                  <wp:docPr id="205262820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62820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5558" cy="257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BF78EE" w14:textId="77777777" w:rsidR="007B5361" w:rsidRDefault="007B5361" w:rsidP="007B5361">
            <w:pPr>
              <w:jc w:val="both"/>
              <w:rPr>
                <w:b/>
                <w:bCs/>
                <w:u w:val="single"/>
              </w:rPr>
            </w:pPr>
            <w:r w:rsidRPr="004008A9">
              <w:rPr>
                <w:b/>
                <w:bCs/>
                <w:noProof/>
                <w:u w:val="single"/>
              </w:rPr>
              <w:drawing>
                <wp:inline distT="0" distB="0" distL="0" distR="0" wp14:anchorId="2E5E418E" wp14:editId="7105B103">
                  <wp:extent cx="5619750" cy="2834653"/>
                  <wp:effectExtent l="0" t="0" r="0" b="3810"/>
                  <wp:docPr id="126520803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2080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067" cy="2836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F309C" w14:textId="77777777" w:rsidR="007B5361" w:rsidRDefault="007B5361" w:rsidP="007B5361">
            <w:pPr>
              <w:jc w:val="both"/>
              <w:rPr>
                <w:b/>
                <w:bCs/>
                <w:u w:val="single"/>
              </w:rPr>
            </w:pPr>
          </w:p>
          <w:p w14:paraId="0F48849A" w14:textId="3B9C24C0" w:rsidR="007B5361" w:rsidRDefault="007B5361" w:rsidP="007B5361">
            <w:pPr>
              <w:jc w:val="both"/>
            </w:pPr>
            <w:r w:rsidRPr="006F7FE7">
              <w:rPr>
                <w:b/>
                <w:bCs/>
                <w:u w:val="single"/>
              </w:rPr>
              <w:t>V sektore služieb</w:t>
            </w:r>
            <w:r w:rsidRPr="006F7FE7">
              <w:t xml:space="preserve"> </w:t>
            </w:r>
            <w:r>
              <w:t xml:space="preserve">bolo v </w:t>
            </w:r>
            <w:r w:rsidRPr="006F7FE7">
              <w:t xml:space="preserve">roku 2019 bolo vypustených 1 500 </w:t>
            </w:r>
            <w:proofErr w:type="spellStart"/>
            <w:r w:rsidRPr="006F7FE7">
              <w:t>kt</w:t>
            </w:r>
            <w:proofErr w:type="spellEnd"/>
            <w:r w:rsidRPr="006F7FE7">
              <w:t xml:space="preserve"> CO2 ekv82., čo zodpovedá 3,8 % všetkých emisií skleníkových plynov SR. Emisie v tomto sektore pochádzajú z vykurovania a ohrevu vody. Najviac využívaným palivom pri týchto činnostiach je zemný plyn (43,1 %), nasledovaný elektrickou energiou (30,9 %) a tuhými fosílnymi palivami (13,2 %). Výrazne menší podiel majú ropné produkty a energetické využitie komunálneho odpadu. Emisie z využívania elektrickej energie a tepla z centrálneho zásobovania sa v tomto sektore nezapočítavajú.</w:t>
            </w:r>
            <w:r>
              <w:t xml:space="preserve"> </w:t>
            </w:r>
            <w:r w:rsidRPr="006F7FE7">
              <w:t xml:space="preserve">Emisie skleníkových plynov v sektore služieb vznikajú pri spaľovaní fosílnych palív za účelom vykurovania a ohrevu vody. Z toho dôvodu existuje najmä v strednodobom horizonte výrazné prepojenie medzi dekarbonizáciou a zlepšovaním energetickej efektívnosti budov. S ohľadom na trend zvyšovania teplôt sa očakáva vyšší podiel klimatizácie na úkor vykurovania. Nakoľko klimatizácie fungujú na princípe tepelných čerpadiel (a využívajú elektrickú energiu), emisie skleníkových plynov v tomto sektore by dôsledkom tejto zmeny mali klesať. Efekt znižovania dopytu po vykurovaní môže byť mierne znížený dôsledkom očakávaného zvyšovania podlahovej plochy budov v sektore, spojeného so zvyšovaním podielu sektora na hrubom domácom produkte krajiny. Dopyt po </w:t>
            </w:r>
            <w:r w:rsidRPr="006F7FE7">
              <w:lastRenderedPageBreak/>
              <w:t xml:space="preserve">vykurovaní a ohreve vody ovplyvňujú najmä dva hlavné faktory – efektívnosť používaných výhrevných zariadení a miera tepelných únikov, ktorá sa znižuje najmä prostredníctvom zateplenia, prípadne výmeny okien. Kombinácia opatrení v oboch týchto oblastiach môže priniesť zásadné zníženie konečnej energetickej spotreby a tým viesť k znižovaniu emisií skleníkových plynov. Dôležitým opatrením v tejto oblasti je najmä zavedenie systému obchodovania s emisnými kvótami v tejto oblasti (ETS2), ktoré môže finančne motivovať prechod na menej uhlíkovo náročné technológie. Kľúčovou európskou legislatívou pre zlepšovanie energetickej efektívnosti je najmä smernica </w:t>
            </w:r>
            <w:r w:rsidR="00AE693A" w:rsidRPr="00AE693A">
              <w:t>(EÚ) 2023/1791</w:t>
            </w:r>
            <w:r w:rsidRPr="006F7FE7">
              <w:t>, ktorá vyžaduje zníženie spotreby energie v EÚ do roku 2030 o 11,7 % a smernica o energetickej hospodárnosti budov (2024/1275). Dopady týchto noriem sú zapracované v scenári WAM.</w:t>
            </w:r>
            <w:r>
              <w:t xml:space="preserve"> </w:t>
            </w:r>
            <w:r w:rsidRPr="006F7FE7">
              <w:t xml:space="preserve">Emisie skleníkových plynov v sektore služieb sa do roku 2030 v scenári WEM znížia o 9,3 %. Je to spôsobené najmä výrazným poklesom spotreby tuhých fosílnych palív (o 62,2 %), ktoré sú nahradené najmä zemným plynom (o 20,8 %) a elektrickou energiou (o 6,1 %). Podiel elektrickej energie sa zvyšuje najmä vďaka postupnému nárastu využitia tepelných čerpadiel. Celková spotreba palív vo vykurovaní narastie o 2,5 % a v ohreve vody o 4,7 %, čo je spôsobené najmä nízkou základnou úrovňou pre rok 2019, ktorý patril medzi teplejšie. </w:t>
            </w:r>
          </w:p>
          <w:p w14:paraId="6C13B6B3" w14:textId="77777777" w:rsidR="007B5361" w:rsidRDefault="007B5361" w:rsidP="007B5361">
            <w:pPr>
              <w:jc w:val="both"/>
            </w:pPr>
            <w:r w:rsidRPr="004008A9">
              <w:rPr>
                <w:noProof/>
              </w:rPr>
              <w:drawing>
                <wp:inline distT="0" distB="0" distL="0" distR="0" wp14:anchorId="0264A46C" wp14:editId="6A047F1A">
                  <wp:extent cx="5610225" cy="2744508"/>
                  <wp:effectExtent l="0" t="0" r="0" b="0"/>
                  <wp:docPr id="2004639935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63993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26" cy="2745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54D80E" w14:textId="77777777" w:rsidR="007B5361" w:rsidRDefault="007B5361" w:rsidP="007B5361">
            <w:pPr>
              <w:jc w:val="both"/>
            </w:pPr>
          </w:p>
          <w:p w14:paraId="10F161A3" w14:textId="77777777" w:rsidR="007B5361" w:rsidRDefault="007B5361" w:rsidP="007B5361">
            <w:pPr>
              <w:jc w:val="both"/>
            </w:pPr>
            <w:r w:rsidRPr="006F7FE7">
              <w:t>V scenári WAM je pokles emisií výraznejší (o 18,7 %) najmä z dôvodu vyššieho podielu zateplených budov a dodatočných investícií do zariadení s nižšou spotrebou palív. Spotreba zemného plynu stúpne výrazne menej (o 8,4 %) ako v scenári WEM a spotreba elektrickej energie klesne o 15,1 %. Celková spotreba palív vo vykurovaní klesne o 5,4 % a v ohreve vody o 20,5 %.</w:t>
            </w:r>
            <w:r>
              <w:t xml:space="preserve"> </w:t>
            </w:r>
            <w:r w:rsidRPr="006F7FE7">
              <w:t xml:space="preserve">Po roku 2030 scenár WAM modeluje najmä zvyšovanie cien emisných kvót ETS2. Z dôvodu rastu cien fosílnych palív následne prichádza k zvyšovaniu podielu efektívnejších technológií (najmä tepelných čerpadiel a solárneho ohrevu vody) a ústupu tuhých fosílnych palív, ale aj zemného plynu. Od roku 2035 scenár WAM predpokladá zvyšovanie podielu </w:t>
            </w:r>
            <w:proofErr w:type="spellStart"/>
            <w:r w:rsidRPr="006F7FE7">
              <w:t>bezemisných</w:t>
            </w:r>
            <w:proofErr w:type="spellEnd"/>
            <w:r w:rsidRPr="006F7FE7">
              <w:t xml:space="preserve"> plynov v potrubnej plynovej zmesi, pričom v roku 2050 by mal byť zemný plyn takmer úplne nahradený zmesou vodíka, bioplynu a syntetických plynov. Dôležitý efekt tiež bude mať sprísnenie a posilnenie opatrení zameraných na energetickú efektívnosť ako napr. vyššia podpora investícií do efektívnejších zariadení a zatepľovania budov, ktorá súvisí s uplatňovaním prísnejších podmienok stanovených v prepracovanom znení smernice o energetickej hospodárnosti budov (2024/1275).</w:t>
            </w:r>
          </w:p>
          <w:p w14:paraId="173B67CF" w14:textId="77777777" w:rsidR="007B5361" w:rsidRDefault="007B5361" w:rsidP="007B5361">
            <w:pPr>
              <w:jc w:val="both"/>
            </w:pPr>
            <w:r w:rsidRPr="00E037A2">
              <w:rPr>
                <w:b/>
                <w:bCs/>
                <w:u w:val="single"/>
              </w:rPr>
              <w:t>Vo výrobe elektriny a tepla</w:t>
            </w:r>
            <w:r w:rsidRPr="00F7045B">
              <w:t xml:space="preserve"> sú opatrenia zamerané hlavne na prechod od uhlia k menej emisne náročným zdrojom a navyšovanie OZE </w:t>
            </w:r>
            <w:r w:rsidRPr="00F7045B">
              <w:sym w:font="Symbol" w:char="F0B7"/>
            </w:r>
            <w:r w:rsidRPr="00F7045B">
              <w:t xml:space="preserve"> čistejšia výroba elektriny vďaka spusteniu tretieho a štvrtého bloku jadrovej elektrárne v Mochovciach </w:t>
            </w:r>
            <w:r w:rsidRPr="00F7045B">
              <w:sym w:font="Symbol" w:char="F0B7"/>
            </w:r>
            <w:r w:rsidRPr="00F7045B">
              <w:t xml:space="preserve"> ukončenie prevádzky výroby </w:t>
            </w:r>
            <w:r w:rsidRPr="00F7045B">
              <w:lastRenderedPageBreak/>
              <w:t xml:space="preserve">elektriny a tepla z uhlia v Novákoch a Vojanoch </w:t>
            </w:r>
            <w:r w:rsidRPr="00F7045B">
              <w:sym w:font="Symbol" w:char="F0B7"/>
            </w:r>
            <w:r w:rsidRPr="00F7045B">
              <w:t xml:space="preserve"> podpora inštalácie OZE (vietor a slnko) </w:t>
            </w:r>
            <w:r w:rsidRPr="00F7045B">
              <w:sym w:font="Symbol" w:char="F0B7"/>
            </w:r>
            <w:r w:rsidRPr="00F7045B">
              <w:t xml:space="preserve"> nahradenie tuhých fosílnych palív za zemný plyn v teplárenstve </w:t>
            </w:r>
            <w:r w:rsidRPr="00F7045B">
              <w:sym w:font="Symbol" w:char="F0B7"/>
            </w:r>
            <w:r w:rsidRPr="00F7045B">
              <w:t xml:space="preserve"> podpora OZE vrátane geotermálnej energie vo výrobe tepla </w:t>
            </w:r>
            <w:r w:rsidRPr="00F7045B">
              <w:sym w:font="Symbol" w:char="F0B7"/>
            </w:r>
            <w:r w:rsidRPr="00F7045B">
              <w:t xml:space="preserve"> podpora účinných systémov CZT s významným podielom OZE Očakáva sa navýšenie spotreby elektrickej energie o 17 % v roku 2030 oproti roku 2019. Vďaka zlepšeniu energetickej efektívnosti budov bude potrebné vyrábať približne o 2,6 % menej tepla.</w:t>
            </w:r>
          </w:p>
          <w:p w14:paraId="5D0A2F83" w14:textId="77777777" w:rsidR="007B5361" w:rsidRDefault="007B5361" w:rsidP="007B5361">
            <w:pPr>
              <w:jc w:val="both"/>
            </w:pPr>
            <w:r w:rsidRPr="004008A9">
              <w:rPr>
                <w:noProof/>
              </w:rPr>
              <w:drawing>
                <wp:inline distT="0" distB="0" distL="0" distR="0" wp14:anchorId="498CE74E" wp14:editId="3D928A88">
                  <wp:extent cx="5638800" cy="2440248"/>
                  <wp:effectExtent l="0" t="0" r="0" b="0"/>
                  <wp:docPr id="1351975958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9759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039" cy="244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A7CB4" w14:textId="7510302E" w:rsidR="007B5361" w:rsidRPr="00B30F61" w:rsidRDefault="007B5361" w:rsidP="007B5361">
            <w:pPr>
              <w:jc w:val="both"/>
              <w:rPr>
                <w:iCs/>
              </w:rPr>
            </w:pPr>
          </w:p>
        </w:tc>
      </w:tr>
      <w:tr w:rsidR="007B5361" w:rsidRPr="00B30F61" w14:paraId="2AA8FFC7" w14:textId="77777777" w:rsidTr="002A1D27">
        <w:trPr>
          <w:trHeight w:val="698"/>
        </w:trPr>
        <w:tc>
          <w:tcPr>
            <w:tcW w:w="9062" w:type="dxa"/>
            <w:shd w:val="clear" w:color="auto" w:fill="D9D9D9"/>
            <w:vAlign w:val="center"/>
          </w:tcPr>
          <w:p w14:paraId="4368E86A" w14:textId="77777777" w:rsidR="007B5361" w:rsidRPr="00B30F61" w:rsidRDefault="007B5361" w:rsidP="007B5361">
            <w:pPr>
              <w:jc w:val="both"/>
              <w:rPr>
                <w:b/>
              </w:rPr>
            </w:pPr>
            <w:r w:rsidRPr="00B30F61">
              <w:rPr>
                <w:b/>
              </w:rPr>
              <w:lastRenderedPageBreak/>
              <w:t>5.4 Bude mať predkladaný materiál vplyvy na životné prostredie presahujúce štátne hranice? (ktoré zložky a ako budú najviac ovplyvnené)?</w:t>
            </w:r>
          </w:p>
        </w:tc>
      </w:tr>
      <w:tr w:rsidR="007B5361" w:rsidRPr="00B30F61" w14:paraId="0CEBAB45" w14:textId="77777777" w:rsidTr="002A1D27">
        <w:trPr>
          <w:trHeight w:val="969"/>
        </w:trPr>
        <w:tc>
          <w:tcPr>
            <w:tcW w:w="9062" w:type="dxa"/>
          </w:tcPr>
          <w:p w14:paraId="306943E5" w14:textId="77777777" w:rsidR="007B5361" w:rsidRPr="00B30F61" w:rsidRDefault="007B5361" w:rsidP="007B5361">
            <w:pPr>
              <w:jc w:val="both"/>
              <w:rPr>
                <w:i/>
              </w:rPr>
            </w:pPr>
            <w:r w:rsidRPr="00B30F61">
              <w:rPr>
                <w:i/>
              </w:rPr>
              <w:t xml:space="preserve">Popíšte typ, veľkosť a rozsah cezhraničných vplyvov. </w:t>
            </w:r>
          </w:p>
          <w:p w14:paraId="515E706C" w14:textId="77777777" w:rsidR="007B5361" w:rsidRPr="00B30F61" w:rsidRDefault="007B5361" w:rsidP="007B5361">
            <w:pPr>
              <w:jc w:val="both"/>
              <w:rPr>
                <w:iCs/>
              </w:rPr>
            </w:pPr>
          </w:p>
          <w:p w14:paraId="2F0BBCF9" w14:textId="703AA0EE" w:rsidR="007B5361" w:rsidRPr="00B30F61" w:rsidRDefault="007B5361" w:rsidP="007B5361">
            <w:pPr>
              <w:jc w:val="both"/>
              <w:rPr>
                <w:iCs/>
              </w:rPr>
            </w:pPr>
            <w:r w:rsidRPr="00B30F61">
              <w:rPr>
                <w:iCs/>
              </w:rPr>
              <w:t xml:space="preserve">Áno. Ide o iniciatívu Európskej komisie a týka sa všetkých členských štátov Európskej únie. Smernica </w:t>
            </w:r>
            <w:r w:rsidR="00AE693A" w:rsidRPr="00AE693A">
              <w:rPr>
                <w:iCs/>
              </w:rPr>
              <w:t>(EÚ) 2023/1791</w:t>
            </w:r>
            <w:r>
              <w:rPr>
                <w:iCs/>
              </w:rPr>
              <w:t>podporuje znižovanie spotreby energie naprieč celým spektrom národného hospodárstva, čo významným spôsobom prispeje k znižovaniu emisií skleníkových plynov a znižovaniu spalín z fosílnych palív</w:t>
            </w:r>
            <w:r w:rsidRPr="00B30F61">
              <w:rPr>
                <w:iCs/>
              </w:rPr>
              <w:t>.</w:t>
            </w:r>
          </w:p>
          <w:p w14:paraId="705D58D9" w14:textId="77777777" w:rsidR="007B5361" w:rsidRPr="00B30F61" w:rsidRDefault="007B5361" w:rsidP="007B5361">
            <w:pPr>
              <w:jc w:val="both"/>
              <w:rPr>
                <w:iCs/>
              </w:rPr>
            </w:pPr>
          </w:p>
          <w:p w14:paraId="4826661B" w14:textId="77777777" w:rsidR="007B5361" w:rsidRPr="00B30F61" w:rsidRDefault="007B5361" w:rsidP="007B5361">
            <w:pPr>
              <w:jc w:val="both"/>
              <w:rPr>
                <w:iCs/>
              </w:rPr>
            </w:pPr>
            <w:r w:rsidRPr="00B30F61">
              <w:rPr>
                <w:iCs/>
              </w:rPr>
              <w:t>Očakávajú sa pozitívne súvisiace vplyvy na životné prostredie presahujúce štátne hranice najmä na znižovanie emisií skleníkových plynov a na zlepšenie kvality ovzdušia vplyvom zníženia využívania fosílnych palív. Vplyvy sú hodnotené na úrovni EÚ pričom  nie je možné spoľahlivo odhadnúť cezhraničné vplyvy.</w:t>
            </w:r>
          </w:p>
          <w:p w14:paraId="0427FB98" w14:textId="77777777" w:rsidR="007B5361" w:rsidRPr="00B30F61" w:rsidRDefault="007B5361" w:rsidP="007B5361">
            <w:pPr>
              <w:jc w:val="both"/>
              <w:rPr>
                <w:b/>
              </w:rPr>
            </w:pPr>
          </w:p>
        </w:tc>
      </w:tr>
      <w:tr w:rsidR="007B5361" w:rsidRPr="00B30F61" w14:paraId="18B9E357" w14:textId="77777777" w:rsidTr="002A1D27">
        <w:trPr>
          <w:trHeight w:val="713"/>
        </w:trPr>
        <w:tc>
          <w:tcPr>
            <w:tcW w:w="9062" w:type="dxa"/>
            <w:shd w:val="clear" w:color="auto" w:fill="D9D9D9"/>
            <w:vAlign w:val="center"/>
          </w:tcPr>
          <w:p w14:paraId="4816409F" w14:textId="77777777" w:rsidR="007B5361" w:rsidRPr="00B30F61" w:rsidRDefault="007B5361" w:rsidP="007B5361">
            <w:pPr>
              <w:jc w:val="both"/>
              <w:rPr>
                <w:b/>
              </w:rPr>
            </w:pPr>
            <w:r w:rsidRPr="00B30F61">
              <w:rPr>
                <w:b/>
              </w:rPr>
              <w:t>5.5 Aké opatrenia budú prijaté na zmiernenie negatívneho vplyvu na životné prostredie?</w:t>
            </w:r>
          </w:p>
        </w:tc>
      </w:tr>
      <w:tr w:rsidR="007B5361" w:rsidRPr="00B30F61" w14:paraId="02E4FDE0" w14:textId="77777777" w:rsidTr="002A1D27">
        <w:trPr>
          <w:trHeight w:val="979"/>
        </w:trPr>
        <w:tc>
          <w:tcPr>
            <w:tcW w:w="9062" w:type="dxa"/>
            <w:shd w:val="clear" w:color="auto" w:fill="FFFFFF"/>
          </w:tcPr>
          <w:p w14:paraId="2E533056" w14:textId="77777777" w:rsidR="007B5361" w:rsidRPr="00B30F61" w:rsidRDefault="007B5361" w:rsidP="007B5361">
            <w:pPr>
              <w:jc w:val="both"/>
            </w:pPr>
            <w:r w:rsidRPr="00B30F61">
              <w:rPr>
                <w:i/>
              </w:rPr>
              <w:t xml:space="preserve">Uveďte konkrétne všetky kompenzačné opatrenia, ktoré budú prijaté na zmiernenie uvádzaných vplyvov. </w:t>
            </w:r>
          </w:p>
          <w:p w14:paraId="487221C4" w14:textId="77777777" w:rsidR="007B5361" w:rsidRPr="00B30F61" w:rsidRDefault="007B5361" w:rsidP="007B5361">
            <w:pPr>
              <w:jc w:val="both"/>
            </w:pPr>
          </w:p>
          <w:p w14:paraId="0579F888" w14:textId="77777777" w:rsidR="007B5361" w:rsidRDefault="007B5361" w:rsidP="007B5361">
            <w:pPr>
              <w:jc w:val="both"/>
            </w:pPr>
            <w:r>
              <w:t>Nemá negatívne vplyvy na životné prostredie.</w:t>
            </w:r>
          </w:p>
          <w:p w14:paraId="5D8643D4" w14:textId="52FF5FCD" w:rsidR="007B5361" w:rsidRPr="00B30F61" w:rsidRDefault="007B5361" w:rsidP="007B5361">
            <w:pPr>
              <w:jc w:val="both"/>
            </w:pPr>
          </w:p>
        </w:tc>
      </w:tr>
    </w:tbl>
    <w:p w14:paraId="25EC3665" w14:textId="77777777" w:rsidR="007152D5" w:rsidRPr="00B30F61" w:rsidRDefault="007152D5" w:rsidP="007152D5">
      <w:pPr>
        <w:jc w:val="center"/>
        <w:rPr>
          <w:b/>
          <w:bCs/>
          <w:sz w:val="28"/>
          <w:szCs w:val="28"/>
        </w:rPr>
      </w:pPr>
    </w:p>
    <w:p w14:paraId="71EF8720" w14:textId="77777777" w:rsidR="0042099F" w:rsidRDefault="0042099F"/>
    <w:sectPr w:rsidR="00420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2D5"/>
    <w:rsid w:val="00006FFC"/>
    <w:rsid w:val="0006470D"/>
    <w:rsid w:val="00074D26"/>
    <w:rsid w:val="000D00BF"/>
    <w:rsid w:val="000D0857"/>
    <w:rsid w:val="001A5613"/>
    <w:rsid w:val="002335FF"/>
    <w:rsid w:val="002D1BBE"/>
    <w:rsid w:val="002E60C4"/>
    <w:rsid w:val="003328F0"/>
    <w:rsid w:val="003B0852"/>
    <w:rsid w:val="004008A9"/>
    <w:rsid w:val="004072B1"/>
    <w:rsid w:val="0042099F"/>
    <w:rsid w:val="004874A5"/>
    <w:rsid w:val="004A67DE"/>
    <w:rsid w:val="004B093B"/>
    <w:rsid w:val="004B42A5"/>
    <w:rsid w:val="004D4500"/>
    <w:rsid w:val="005926E6"/>
    <w:rsid w:val="005D413F"/>
    <w:rsid w:val="00602305"/>
    <w:rsid w:val="00612C93"/>
    <w:rsid w:val="006A21C4"/>
    <w:rsid w:val="006F7FE7"/>
    <w:rsid w:val="00705F2E"/>
    <w:rsid w:val="007152D5"/>
    <w:rsid w:val="00776D88"/>
    <w:rsid w:val="007977B5"/>
    <w:rsid w:val="007B5361"/>
    <w:rsid w:val="00867757"/>
    <w:rsid w:val="0089437E"/>
    <w:rsid w:val="008A374D"/>
    <w:rsid w:val="008A7942"/>
    <w:rsid w:val="008E367D"/>
    <w:rsid w:val="00915523"/>
    <w:rsid w:val="009413D9"/>
    <w:rsid w:val="00971837"/>
    <w:rsid w:val="009A1926"/>
    <w:rsid w:val="00AB6002"/>
    <w:rsid w:val="00AE693A"/>
    <w:rsid w:val="00BB3CE2"/>
    <w:rsid w:val="00BE1E5C"/>
    <w:rsid w:val="00C06D6C"/>
    <w:rsid w:val="00C24FC0"/>
    <w:rsid w:val="00CA3C33"/>
    <w:rsid w:val="00CD3F39"/>
    <w:rsid w:val="00CF7709"/>
    <w:rsid w:val="00D002C1"/>
    <w:rsid w:val="00D06EEB"/>
    <w:rsid w:val="00D2741D"/>
    <w:rsid w:val="00D60A9D"/>
    <w:rsid w:val="00D62688"/>
    <w:rsid w:val="00DC4CE3"/>
    <w:rsid w:val="00DF774D"/>
    <w:rsid w:val="00E037A2"/>
    <w:rsid w:val="00EF6B6D"/>
    <w:rsid w:val="00F605DA"/>
    <w:rsid w:val="00F7045B"/>
    <w:rsid w:val="00F90B56"/>
    <w:rsid w:val="00FE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4D30"/>
  <w15:chartTrackingRefBased/>
  <w15:docId w15:val="{72E7239D-FC85-4729-8C66-BCFEFF07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vzia">
    <w:name w:val="Revision"/>
    <w:hidden/>
    <w:uiPriority w:val="99"/>
    <w:semiHidden/>
    <w:rsid w:val="000D0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3494</Words>
  <Characters>19922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hospodárstva Slovenskej republiky</Company>
  <LinksUpToDate>false</LinksUpToDate>
  <CharactersWithSpaces>23370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Svedlarova Gabriela</cp:lastModifiedBy>
  <cp:revision>3</cp:revision>
  <dcterms:created xsi:type="dcterms:W3CDTF">2026-08-07T07:48:00Z</dcterms:created>
  <dcterms:modified xsi:type="dcterms:W3CDTF">2026-08-11T10:35:00Z</dcterms:modified>
</cp:coreProperties>
</file>