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50D5" w:rsidRPr="00E02CF2" w:rsidRDefault="004950D5" w:rsidP="004950D5">
      <w:pPr>
        <w:jc w:val="center"/>
        <w:rPr>
          <w:rFonts w:cs="Times New Roman"/>
          <w:b/>
          <w:caps/>
          <w:spacing w:val="30"/>
        </w:rPr>
      </w:pPr>
      <w:r w:rsidRPr="00E02CF2">
        <w:rPr>
          <w:rFonts w:cs="Times New Roman"/>
          <w:b/>
          <w:caps/>
          <w:spacing w:val="30"/>
        </w:rPr>
        <w:t>Predkladacia správa</w:t>
      </w:r>
    </w:p>
    <w:p w:rsidR="004950D5" w:rsidRDefault="004950D5" w:rsidP="004950D5">
      <w:pPr>
        <w:rPr>
          <w:rFonts w:cs="Times New Roman"/>
        </w:rPr>
      </w:pPr>
    </w:p>
    <w:p w:rsidR="004950D5" w:rsidRDefault="004950D5" w:rsidP="004950D5">
      <w:pPr>
        <w:rPr>
          <w:rFonts w:cs="Times New Roman"/>
        </w:rPr>
      </w:pPr>
    </w:p>
    <w:p w:rsidR="004950D5" w:rsidRDefault="004950D5" w:rsidP="004950D5">
      <w:pPr>
        <w:ind w:firstLine="708"/>
        <w:rPr>
          <w:rFonts w:cs="Times New Roman"/>
        </w:rPr>
      </w:pPr>
      <w:r w:rsidRPr="00CA7A99">
        <w:rPr>
          <w:rFonts w:cs="Times New Roman"/>
        </w:rPr>
        <w:t xml:space="preserve">Ministerstvo spravodlivosti Slovenskej republiky predkladá na </w:t>
      </w:r>
      <w:r w:rsidR="00457564">
        <w:rPr>
          <w:rFonts w:cs="Times New Roman"/>
        </w:rPr>
        <w:t>rokovanie Legislatívnej rady vlády Slovenskej republiky</w:t>
      </w:r>
      <w:r w:rsidRPr="00CA7A99">
        <w:rPr>
          <w:rFonts w:cs="Times New Roman"/>
        </w:rPr>
        <w:t xml:space="preserve"> návrh zákona, ktorým sa mení a dopĺňa zákon č. 30</w:t>
      </w:r>
      <w:r w:rsidR="00A43589">
        <w:rPr>
          <w:rFonts w:cs="Times New Roman"/>
        </w:rPr>
        <w:t>1</w:t>
      </w:r>
      <w:r w:rsidRPr="00CA7A99">
        <w:rPr>
          <w:rFonts w:cs="Times New Roman"/>
        </w:rPr>
        <w:t xml:space="preserve">/2005 Z. z. Trestný </w:t>
      </w:r>
      <w:r w:rsidR="00A43589">
        <w:rPr>
          <w:rFonts w:cs="Times New Roman"/>
        </w:rPr>
        <w:t>poriadok</w:t>
      </w:r>
      <w:r w:rsidRPr="00CA7A99">
        <w:rPr>
          <w:rFonts w:cs="Times New Roman"/>
        </w:rPr>
        <w:t xml:space="preserve"> a ktorým sa menia a dopĺňajú niektoré zákony (ďalej len „návrh zákona“).</w:t>
      </w:r>
    </w:p>
    <w:p w:rsidR="004950D5" w:rsidRDefault="004950D5" w:rsidP="004950D5">
      <w:pPr>
        <w:ind w:firstLine="0"/>
        <w:rPr>
          <w:rFonts w:cs="Times New Roman"/>
        </w:rPr>
      </w:pPr>
    </w:p>
    <w:p w:rsidR="00A43589" w:rsidRPr="00A43589" w:rsidRDefault="00A43589" w:rsidP="00A43589">
      <w:pPr>
        <w:ind w:firstLine="708"/>
        <w:rPr>
          <w:rFonts w:eastAsia="Times New Roman" w:cs="Times New Roman"/>
          <w:szCs w:val="24"/>
          <w:lang w:val="sk" w:eastAsia="sk-SK"/>
        </w:rPr>
      </w:pPr>
      <w:r w:rsidRPr="00A43589">
        <w:rPr>
          <w:rFonts w:eastAsia="Times New Roman" w:cs="Times New Roman"/>
          <w:szCs w:val="24"/>
          <w:lang w:val="sk" w:eastAsia="sk-SK"/>
        </w:rPr>
        <w:t>Cieľom návrhu zákona je realizácia Programového vyhlásenia vlády Slovenskej republiky na roky 2023 až 2027 „Lepšie, pokojnejšie a bezpečnejšie žiť“ v časti „Trestná politika štátu“. V programovom vyhlásení sa vláda zaviazala k presadeniu právnej úpravy zameranej na modernizáciu a humanizáciu inštitútov trestného práva so zameraním na zavádzanie prvkov restoratívnej justície a harmonizáciu s európskymi trestnoprávnymi štandardami. Zámerom návrhu zákona je úprava a zefektívnenie nástrojov restoratívnej justície najmä v prípravnom konaní v nadväznosti na už prijaté zmeny zákona Trestného zákona v znení neskorších predpisov.</w:t>
      </w:r>
    </w:p>
    <w:p w:rsidR="00A43589" w:rsidRDefault="00A43589" w:rsidP="00457564">
      <w:pPr>
        <w:rPr>
          <w:szCs w:val="24"/>
          <w:lang w:eastAsia="sk-SK"/>
        </w:rPr>
      </w:pPr>
    </w:p>
    <w:p w:rsidR="00457564" w:rsidRDefault="00457564" w:rsidP="00457564">
      <w:pPr>
        <w:rPr>
          <w:szCs w:val="24"/>
        </w:rPr>
      </w:pPr>
      <w:r>
        <w:rPr>
          <w:szCs w:val="24"/>
          <w:lang w:eastAsia="sk-SK"/>
        </w:rPr>
        <w:t xml:space="preserve">Cieľom návrhu zákona je transpozícia </w:t>
      </w:r>
      <w:r>
        <w:rPr>
          <w:i/>
          <w:szCs w:val="24"/>
          <w:lang w:eastAsia="sk-SK"/>
        </w:rPr>
        <w:t>Smernice</w:t>
      </w:r>
      <w:r w:rsidRPr="005B40F4">
        <w:rPr>
          <w:i/>
          <w:szCs w:val="24"/>
          <w:lang w:eastAsia="sk-SK"/>
        </w:rPr>
        <w:t xml:space="preserve"> Európskeho parlamentu a Rady (EÚ) 2024/1203 z 11. apríla 2024 o ochrane životného prostredia prostredníctvom trestného práva, ktorou sa nahrádzajú smernice 2008/99/ES a 2009/123/ES</w:t>
      </w:r>
      <w:r>
        <w:rPr>
          <w:i/>
          <w:szCs w:val="24"/>
          <w:lang w:eastAsia="sk-SK"/>
        </w:rPr>
        <w:t xml:space="preserve"> </w:t>
      </w:r>
      <w:r w:rsidRPr="00E763DB">
        <w:rPr>
          <w:i/>
        </w:rPr>
        <w:t>(</w:t>
      </w:r>
      <w:r w:rsidRPr="00872B6D">
        <w:rPr>
          <w:i/>
        </w:rPr>
        <w:t>Ú. v. EÚ L, 2024/1203, 30.4.2024</w:t>
      </w:r>
      <w:r>
        <w:t xml:space="preserve">) </w:t>
      </w:r>
      <w:r>
        <w:rPr>
          <w:i/>
          <w:szCs w:val="24"/>
          <w:lang w:eastAsia="sk-SK"/>
        </w:rPr>
        <w:t xml:space="preserve">  </w:t>
      </w:r>
      <w:r>
        <w:rPr>
          <w:szCs w:val="24"/>
          <w:lang w:eastAsia="sk-SK"/>
        </w:rPr>
        <w:t xml:space="preserve">(ďalej len ako „smernica (EÚ) 2024/1203“) a </w:t>
      </w:r>
      <w:r w:rsidRPr="002B382B">
        <w:rPr>
          <w:i/>
          <w:szCs w:val="24"/>
        </w:rPr>
        <w:t>Smernice Európskeho parlamentu a Rady (EÚ) 2024/1712 z 13. júna 2024, ktorou sa mení smernica 2011/36/EÚ o prevencii obchodovania s ľuďmi a boji proti nemu a o ochrane obetí obchodovania</w:t>
      </w:r>
      <w:r>
        <w:rPr>
          <w:szCs w:val="24"/>
        </w:rPr>
        <w:t xml:space="preserve"> (</w:t>
      </w:r>
      <w:r w:rsidRPr="00001490">
        <w:rPr>
          <w:szCs w:val="24"/>
        </w:rPr>
        <w:t>Ú. v. EÚ L, 2024/1712, 24.6.2024</w:t>
      </w:r>
      <w:r>
        <w:rPr>
          <w:szCs w:val="24"/>
        </w:rPr>
        <w:t>)</w:t>
      </w:r>
      <w:r w:rsidRPr="00646E37">
        <w:rPr>
          <w:szCs w:val="24"/>
        </w:rPr>
        <w:t xml:space="preserve"> (ďalej len „smernica </w:t>
      </w:r>
      <w:r w:rsidRPr="000D579D">
        <w:rPr>
          <w:szCs w:val="24"/>
        </w:rPr>
        <w:t>(EÚ) 2024/1712</w:t>
      </w:r>
      <w:r w:rsidRPr="00646E37">
        <w:rPr>
          <w:szCs w:val="24"/>
        </w:rPr>
        <w:t>“)</w:t>
      </w:r>
      <w:r>
        <w:rPr>
          <w:szCs w:val="24"/>
        </w:rPr>
        <w:t>.</w:t>
      </w:r>
    </w:p>
    <w:p w:rsidR="00457564" w:rsidRDefault="00457564" w:rsidP="00457564">
      <w:pPr>
        <w:rPr>
          <w:szCs w:val="24"/>
        </w:rPr>
      </w:pPr>
    </w:p>
    <w:p w:rsidR="00A43589" w:rsidRPr="00A43589" w:rsidRDefault="00A43589" w:rsidP="00A43589">
      <w:pPr>
        <w:ind w:firstLine="708"/>
        <w:rPr>
          <w:rFonts w:eastAsia="Times New Roman" w:cs="Times New Roman"/>
          <w:szCs w:val="24"/>
          <w:lang w:val="sk" w:eastAsia="sk-SK"/>
        </w:rPr>
      </w:pPr>
      <w:r w:rsidRPr="00A43589">
        <w:rPr>
          <w:rFonts w:eastAsia="Times New Roman" w:cs="Times New Roman"/>
          <w:szCs w:val="24"/>
          <w:lang w:val="sk" w:eastAsia="sk-SK"/>
        </w:rPr>
        <w:t>Ďalším cieľom návrhu zákona v časti týkajúcej sa Trestného poriadku je upraviť a doplniť úpravu týkajúcu sa práv podozrivého v trestnom konaní v súlade s právom Európskej únie. Konkrétne sa Trestný poriadok zosúlaďuje s týmito európskymi právnymi nástrojmi:</w:t>
      </w:r>
    </w:p>
    <w:p w:rsidR="00A43589" w:rsidRPr="00A43589" w:rsidRDefault="00A43589" w:rsidP="00A43589">
      <w:pPr>
        <w:ind w:firstLine="0"/>
        <w:rPr>
          <w:rFonts w:eastAsia="Times New Roman" w:cs="Times New Roman"/>
          <w:szCs w:val="24"/>
          <w:lang w:val="sk" w:eastAsia="sk-SK"/>
        </w:rPr>
      </w:pPr>
      <w:r w:rsidRPr="00A43589">
        <w:rPr>
          <w:rFonts w:eastAsia="Times New Roman" w:cs="Times New Roman"/>
          <w:szCs w:val="24"/>
          <w:lang w:val="sk" w:eastAsia="sk-SK"/>
        </w:rPr>
        <w:t>• smernica Európskeho parlamentu a Rady 2010/64/EÚ z  20. októbra 2010 o práve na tlmočenie a preklad v trestnom konaní (ďalej len „smernica o práve na tlmočenie a preklad v trestnom konaní“),</w:t>
      </w:r>
    </w:p>
    <w:p w:rsidR="00A43589" w:rsidRPr="00A43589" w:rsidRDefault="00A43589" w:rsidP="00A43589">
      <w:pPr>
        <w:ind w:firstLine="0"/>
        <w:rPr>
          <w:rFonts w:eastAsia="Times New Roman" w:cs="Times New Roman"/>
          <w:szCs w:val="24"/>
          <w:lang w:val="sk" w:eastAsia="sk-SK"/>
        </w:rPr>
      </w:pPr>
      <w:r w:rsidRPr="00A43589">
        <w:rPr>
          <w:rFonts w:eastAsia="Times New Roman" w:cs="Times New Roman"/>
          <w:szCs w:val="24"/>
          <w:lang w:val="sk" w:eastAsia="sk-SK"/>
        </w:rPr>
        <w:t>• smernica Európskeho parlamentu a Rady 2012/13/EÚ z  22. mája 2012 o práve na informácie v trestnom konaní (ďalej len „smernica o práve na informácie v trestnom konaní“),</w:t>
      </w:r>
    </w:p>
    <w:p w:rsidR="00A43589" w:rsidRPr="00A43589" w:rsidRDefault="00A43589" w:rsidP="00A43589">
      <w:pPr>
        <w:ind w:firstLine="0"/>
        <w:rPr>
          <w:rFonts w:eastAsia="Times New Roman" w:cs="Times New Roman"/>
          <w:szCs w:val="24"/>
          <w:lang w:val="sk" w:eastAsia="sk-SK"/>
        </w:rPr>
      </w:pPr>
      <w:r w:rsidRPr="00A43589">
        <w:rPr>
          <w:rFonts w:eastAsia="Times New Roman" w:cs="Times New Roman"/>
          <w:szCs w:val="24"/>
          <w:lang w:val="sk" w:eastAsia="sk-SK"/>
        </w:rPr>
        <w:t>• smernica Európskeho parlamentu a Rady 2013/48/EÚ z  22. októbra 2013 o práve na prístup k obhajcovi v trestnom konaní a v konaní o európskom zatykači a o práve na informovanie tretej osoby po pozbavení osobnej slobody a na komunikáciu s tretími osobami a s konzulárnymi úradmi po pozbavení osobnej slobody (ďalej len „smernica o práve na prístup k obhajcovi“),</w:t>
      </w:r>
    </w:p>
    <w:p w:rsidR="00A43589" w:rsidRPr="00A43589" w:rsidRDefault="00A43589" w:rsidP="00A43589">
      <w:pPr>
        <w:ind w:firstLine="0"/>
        <w:rPr>
          <w:rFonts w:eastAsia="Times New Roman" w:cs="Times New Roman"/>
          <w:szCs w:val="24"/>
          <w:lang w:val="sk" w:eastAsia="sk-SK"/>
        </w:rPr>
      </w:pPr>
      <w:r w:rsidRPr="00A43589">
        <w:rPr>
          <w:rFonts w:eastAsia="Times New Roman" w:cs="Times New Roman"/>
          <w:szCs w:val="24"/>
          <w:lang w:val="sk" w:eastAsia="sk-SK"/>
        </w:rPr>
        <w:t>• smernica Európskeho parlamentu a Rady (EÚ) 2016/343 z 9. marca 2016 o posilnení určitých aspektov prezumpcie neviny a práva byť prítomný na konaní pred súdom v trestnom konaní (ďalej len „smernica o určitých aspektoch prezumpcie neviny“),</w:t>
      </w:r>
    </w:p>
    <w:p w:rsidR="00A43589" w:rsidRPr="00A43589" w:rsidRDefault="00A43589" w:rsidP="00A43589">
      <w:pPr>
        <w:ind w:firstLine="0"/>
        <w:rPr>
          <w:rFonts w:eastAsia="Times New Roman" w:cs="Times New Roman"/>
          <w:szCs w:val="24"/>
          <w:lang w:val="sk" w:eastAsia="sk-SK"/>
        </w:rPr>
      </w:pPr>
      <w:r w:rsidRPr="00A43589">
        <w:rPr>
          <w:rFonts w:eastAsia="Times New Roman" w:cs="Times New Roman"/>
          <w:szCs w:val="24"/>
          <w:lang w:val="sk" w:eastAsia="sk-SK"/>
        </w:rPr>
        <w:t>• smernica Európskeho parlamentu a Rady (EÚ) 2016/800 z 11. mája 2016 o procesných zárukách pre deti, ktoré sú podozrivými alebo obvinenými osobami v trestnom konaní (ďalej len „smernica o procesných zárukách pre deti, ktoré sú podozrivými alebo obvinenými“),</w:t>
      </w:r>
    </w:p>
    <w:p w:rsidR="00A43589" w:rsidRPr="00A43589" w:rsidRDefault="00A43589" w:rsidP="00A43589">
      <w:pPr>
        <w:ind w:firstLine="0"/>
        <w:rPr>
          <w:rFonts w:eastAsia="Times New Roman" w:cs="Times New Roman"/>
          <w:szCs w:val="24"/>
          <w:lang w:val="sk" w:eastAsia="sk-SK"/>
        </w:rPr>
      </w:pPr>
      <w:r w:rsidRPr="00A43589">
        <w:rPr>
          <w:rFonts w:eastAsia="Times New Roman" w:cs="Times New Roman"/>
          <w:szCs w:val="24"/>
          <w:lang w:val="sk" w:eastAsia="sk-SK"/>
        </w:rPr>
        <w:t>• smernica Európskeho parlamentu a Rady (EÚ) 2016/1919 z 26. októbra 2016 o právnej pomoci pre podozrivé a obvinené osoby v trestnom konaní a pre vyžiadané osoby v konaní o európskom zatykači (ďalej len „smernica o právnej pomoci“).</w:t>
      </w:r>
    </w:p>
    <w:p w:rsidR="00A43589" w:rsidRPr="00A43589" w:rsidRDefault="00A43589" w:rsidP="00A43589">
      <w:pPr>
        <w:ind w:firstLine="708"/>
        <w:rPr>
          <w:rFonts w:eastAsia="Times New Roman" w:cs="Times New Roman"/>
          <w:szCs w:val="24"/>
          <w:lang w:val="sk" w:eastAsia="sk-SK"/>
        </w:rPr>
      </w:pPr>
    </w:p>
    <w:p w:rsidR="00A43589" w:rsidRPr="00A43589" w:rsidRDefault="00A43589" w:rsidP="00A43589">
      <w:pPr>
        <w:ind w:firstLine="708"/>
        <w:rPr>
          <w:rFonts w:eastAsia="Times New Roman" w:cs="Times New Roman"/>
          <w:szCs w:val="24"/>
          <w:lang w:val="sk" w:eastAsia="sk-SK"/>
        </w:rPr>
      </w:pPr>
      <w:r w:rsidRPr="00A43589">
        <w:rPr>
          <w:rFonts w:eastAsia="Times New Roman" w:cs="Times New Roman"/>
          <w:szCs w:val="24"/>
          <w:lang w:val="sk" w:eastAsia="sk-SK"/>
        </w:rPr>
        <w:t xml:space="preserve">Návrh zákona reaguje aj na konania o porušení povinností voči Slovenskej republike pre nesprávnu transpozíciu smernice o právnej pomoci INFR(2025)2212 a INFR(2023)2008 </w:t>
      </w:r>
      <w:r w:rsidRPr="00A43589">
        <w:rPr>
          <w:rFonts w:eastAsia="Times New Roman" w:cs="Times New Roman"/>
          <w:szCs w:val="24"/>
          <w:lang w:val="sk" w:eastAsia="sk-SK"/>
        </w:rPr>
        <w:lastRenderedPageBreak/>
        <w:t xml:space="preserve">pre nesprávnu transpozíciu smernice o prístupe k obhajcovi, v ktorom bola podaná dňa 2. 10. 2025 žaloba k Súdnemu dvoru EÚ (C-649/25). </w:t>
      </w:r>
    </w:p>
    <w:p w:rsidR="00A43589" w:rsidRDefault="00A43589" w:rsidP="00A43589">
      <w:pPr>
        <w:ind w:firstLine="708"/>
        <w:rPr>
          <w:rFonts w:eastAsia="Times New Roman" w:cs="Times New Roman"/>
          <w:szCs w:val="24"/>
          <w:lang w:val="sk" w:eastAsia="sk-SK"/>
        </w:rPr>
      </w:pPr>
    </w:p>
    <w:p w:rsidR="00A43589" w:rsidRPr="00A43589" w:rsidRDefault="00A43589" w:rsidP="00A43589">
      <w:pPr>
        <w:ind w:firstLine="708"/>
        <w:rPr>
          <w:szCs w:val="24"/>
        </w:rPr>
      </w:pPr>
      <w:r w:rsidRPr="00A43589">
        <w:rPr>
          <w:rFonts w:eastAsia="Times New Roman" w:cs="Times New Roman"/>
          <w:szCs w:val="24"/>
          <w:lang w:val="sk" w:eastAsia="sk-SK"/>
        </w:rPr>
        <w:t xml:space="preserve">Cieľom návrhu zákona je aj odstrániť niektoré aplikačné problémy právnej a zdravotníckej praxe v otázkach ochranného liečenia a detencie. </w:t>
      </w:r>
      <w:r w:rsidRPr="00A43589">
        <w:rPr>
          <w:szCs w:val="24"/>
        </w:rPr>
        <w:t>Súčasťou návrhu zákona je aj novelizácia zákonov č. 475/2005 Z. z. o výkone trestu odňatia slobody v znení neskorších predpisov a zákona č. 221/2006 Z. z. o výkone väzby v znení neskorších predpisov, kde dochádza k oprave chýb.</w:t>
      </w:r>
    </w:p>
    <w:p w:rsidR="00A43589" w:rsidRPr="00A43589" w:rsidRDefault="00A43589" w:rsidP="00A43589">
      <w:pPr>
        <w:ind w:firstLine="708"/>
        <w:rPr>
          <w:rFonts w:eastAsia="Times New Roman" w:cs="Times New Roman"/>
          <w:szCs w:val="24"/>
          <w:lang w:val="sk" w:eastAsia="sk-SK"/>
        </w:rPr>
      </w:pPr>
    </w:p>
    <w:p w:rsidR="00A43589" w:rsidRPr="00A43589" w:rsidRDefault="00A43589" w:rsidP="00A43589">
      <w:pPr>
        <w:ind w:firstLine="708"/>
        <w:rPr>
          <w:rFonts w:eastAsia="Times New Roman" w:cs="Times New Roman"/>
          <w:szCs w:val="24"/>
          <w:lang w:val="sk" w:eastAsia="sk-SK"/>
        </w:rPr>
      </w:pPr>
      <w:r w:rsidRPr="00A43589">
        <w:rPr>
          <w:rFonts w:eastAsia="Times New Roman" w:cs="Times New Roman"/>
          <w:szCs w:val="24"/>
          <w:lang w:val="sk" w:eastAsia="sk-SK"/>
        </w:rPr>
        <w:t xml:space="preserve">Návrh zákona reaguje aj na odporúčania Rady Európy (GRECO), Európskej komisie v </w:t>
      </w:r>
      <w:r w:rsidR="00660EA5" w:rsidRPr="00A43589">
        <w:rPr>
          <w:rFonts w:eastAsia="Times New Roman" w:cs="Times New Roman"/>
          <w:szCs w:val="24"/>
          <w:lang w:val="sk" w:eastAsia="sk-SK"/>
        </w:rPr>
        <w:t>Správe</w:t>
      </w:r>
      <w:r w:rsidRPr="00A43589">
        <w:rPr>
          <w:rFonts w:eastAsia="Times New Roman" w:cs="Times New Roman"/>
          <w:szCs w:val="24"/>
          <w:lang w:val="sk" w:eastAsia="sk-SK"/>
        </w:rPr>
        <w:t xml:space="preserve"> o právnom štáte a Súdnej rady ohľadom trestného činu </w:t>
      </w:r>
      <w:r w:rsidR="00660EA5" w:rsidRPr="00A43589">
        <w:rPr>
          <w:rFonts w:eastAsia="Times New Roman" w:cs="Times New Roman"/>
          <w:szCs w:val="24"/>
          <w:lang w:val="sk" w:eastAsia="sk-SK"/>
        </w:rPr>
        <w:t>ohýbania</w:t>
      </w:r>
      <w:r w:rsidRPr="00A43589">
        <w:rPr>
          <w:rFonts w:eastAsia="Times New Roman" w:cs="Times New Roman"/>
          <w:szCs w:val="24"/>
          <w:lang w:val="sk" w:eastAsia="sk-SK"/>
        </w:rPr>
        <w:t xml:space="preserve"> práva podľa § 326a Trestného zákona. Návrh zákona vypúšťa trestný čin ohýbania práva a súčasne mení doterajší režim vyslovovania nesúhlasu súdnej rady s trestným stíhaním sudcu pre tento na súhlas Súdnej rady s trestným stíhaním sudcu pre akýkoľvek trestný čin, ktorého sa mohol dopustiť svojou rozhodovacou činnosťou.</w:t>
      </w:r>
      <w:bookmarkStart w:id="0" w:name="_GoBack"/>
      <w:bookmarkEnd w:id="0"/>
    </w:p>
    <w:p w:rsidR="00A43589" w:rsidRDefault="00A43589" w:rsidP="00457564">
      <w:pPr>
        <w:rPr>
          <w:szCs w:val="24"/>
        </w:rPr>
      </w:pPr>
    </w:p>
    <w:p w:rsidR="00A43589" w:rsidRPr="00C82DD7" w:rsidRDefault="00A43589" w:rsidP="00A43589">
      <w:pPr>
        <w:ind w:firstLine="708"/>
        <w:rPr>
          <w:color w:val="000000"/>
          <w:szCs w:val="24"/>
        </w:rPr>
      </w:pPr>
      <w:r>
        <w:rPr>
          <w:color w:val="000000"/>
          <w:szCs w:val="24"/>
        </w:rPr>
        <w:t xml:space="preserve">Súčasťou návrhu zákona sú aj </w:t>
      </w:r>
      <w:r>
        <w:rPr>
          <w:color w:val="000000"/>
          <w:szCs w:val="24"/>
        </w:rPr>
        <w:t>vyvolané novelizácie súvisia</w:t>
      </w:r>
      <w:r>
        <w:rPr>
          <w:color w:val="000000"/>
          <w:szCs w:val="24"/>
        </w:rPr>
        <w:t>cich zákonov, a to z</w:t>
      </w:r>
      <w:r w:rsidRPr="00A43589">
        <w:rPr>
          <w:color w:val="000000"/>
          <w:szCs w:val="24"/>
        </w:rPr>
        <w:t>ákon</w:t>
      </w:r>
      <w:r>
        <w:rPr>
          <w:color w:val="000000"/>
          <w:szCs w:val="24"/>
        </w:rPr>
        <w:t>a</w:t>
      </w:r>
      <w:r w:rsidRPr="00A43589">
        <w:rPr>
          <w:color w:val="000000"/>
          <w:szCs w:val="24"/>
        </w:rPr>
        <w:t xml:space="preserve"> Slovenskej národnej rady</w:t>
      </w:r>
      <w:r>
        <w:rPr>
          <w:color w:val="000000"/>
          <w:szCs w:val="24"/>
        </w:rPr>
        <w:t xml:space="preserve"> č. 372/1990 Zb. o priestupkoch, </w:t>
      </w:r>
      <w:r>
        <w:rPr>
          <w:rFonts w:eastAsia="Calibri" w:cs="Times New Roman"/>
        </w:rPr>
        <w:t>z</w:t>
      </w:r>
      <w:r w:rsidRPr="00640366">
        <w:rPr>
          <w:rFonts w:eastAsia="Calibri" w:cs="Times New Roman"/>
        </w:rPr>
        <w:t>ákon</w:t>
      </w:r>
      <w:r>
        <w:rPr>
          <w:rFonts w:eastAsia="Calibri" w:cs="Times New Roman"/>
        </w:rPr>
        <w:t>a</w:t>
      </w:r>
      <w:r w:rsidRPr="00640366">
        <w:rPr>
          <w:rFonts w:eastAsia="Calibri" w:cs="Times New Roman"/>
        </w:rPr>
        <w:t xml:space="preserve"> č. 385/2000 Z. z. o sudcoch a prísediacich a o zmene a doplnení niektorých zákonov</w:t>
      </w:r>
      <w:r>
        <w:rPr>
          <w:rFonts w:eastAsia="Calibri" w:cs="Times New Roman"/>
        </w:rPr>
        <w:t>, z</w:t>
      </w:r>
      <w:r w:rsidRPr="00182A53">
        <w:rPr>
          <w:rFonts w:eastAsia="Calibri" w:cs="Times New Roman"/>
        </w:rPr>
        <w:t>ákon</w:t>
      </w:r>
      <w:r>
        <w:rPr>
          <w:rFonts w:eastAsia="Calibri" w:cs="Times New Roman"/>
        </w:rPr>
        <w:t>a</w:t>
      </w:r>
      <w:r w:rsidRPr="00182A53">
        <w:rPr>
          <w:rFonts w:eastAsia="Calibri" w:cs="Times New Roman"/>
        </w:rPr>
        <w:t xml:space="preserve"> č. 185/2002 Z. z. o Súdnej rade Slovenskej republiky a o zmene a doplnení niektorých zákonov</w:t>
      </w:r>
      <w:r>
        <w:rPr>
          <w:color w:val="000000"/>
          <w:szCs w:val="24"/>
        </w:rPr>
        <w:t xml:space="preserve">, </w:t>
      </w:r>
      <w:r>
        <w:rPr>
          <w:color w:val="000000"/>
          <w:szCs w:val="24"/>
        </w:rPr>
        <w:t>zákona č. 543/2002 Z.</w:t>
      </w:r>
      <w:r>
        <w:rPr>
          <w:color w:val="000000"/>
          <w:szCs w:val="24"/>
        </w:rPr>
        <w:t xml:space="preserve"> z. o ochrane prírody a krajiny</w:t>
      </w:r>
      <w:r>
        <w:rPr>
          <w:color w:val="000000"/>
          <w:szCs w:val="24"/>
        </w:rPr>
        <w:t xml:space="preserve">, zákona č. 587/2004 Z. z. o Environmentálnom fonde a o zmene a doplnení niektorých zákonov, zákona č. 15/2005 Z. z. </w:t>
      </w:r>
      <w:r w:rsidRPr="004B2C7E">
        <w:rPr>
          <w:color w:val="000000"/>
          <w:szCs w:val="24"/>
        </w:rPr>
        <w:t>o ochrane druhov voľne žijúcich živočíchov a voľne rastúcich rastlín reguláciou obchodu s nimi a o zmene a doplnení niektorých zákonov</w:t>
      </w:r>
      <w:r>
        <w:rPr>
          <w:color w:val="000000"/>
          <w:szCs w:val="24"/>
        </w:rPr>
        <w:t>,</w:t>
      </w:r>
      <w:r>
        <w:rPr>
          <w:color w:val="000000"/>
          <w:szCs w:val="24"/>
        </w:rPr>
        <w:t xml:space="preserve"> </w:t>
      </w:r>
      <w:r>
        <w:rPr>
          <w:rFonts w:eastAsia="Calibri" w:cs="Times New Roman"/>
        </w:rPr>
        <w:t>z</w:t>
      </w:r>
      <w:r w:rsidRPr="009118D2">
        <w:rPr>
          <w:rFonts w:eastAsia="Calibri" w:cs="Times New Roman"/>
        </w:rPr>
        <w:t>ákon</w:t>
      </w:r>
      <w:r>
        <w:rPr>
          <w:rFonts w:eastAsia="Calibri" w:cs="Times New Roman"/>
        </w:rPr>
        <w:t>a</w:t>
      </w:r>
      <w:r w:rsidRPr="009118D2">
        <w:rPr>
          <w:rFonts w:eastAsia="Calibri" w:cs="Times New Roman"/>
        </w:rPr>
        <w:t xml:space="preserve"> č. 528/2005 Z. z.</w:t>
      </w:r>
      <w:r>
        <w:rPr>
          <w:rFonts w:eastAsia="Calibri" w:cs="Times New Roman"/>
        </w:rPr>
        <w:t xml:space="preserve"> o výkone trestu povinnej práce,</w:t>
      </w:r>
      <w:r>
        <w:rPr>
          <w:color w:val="000000"/>
          <w:szCs w:val="24"/>
        </w:rPr>
        <w:t xml:space="preserve"> zákona </w:t>
      </w:r>
      <w:r>
        <w:rPr>
          <w:color w:val="000000"/>
          <w:szCs w:val="24"/>
        </w:rPr>
        <w:t>č. 274/2009 Z. z. o poľovníctve</w:t>
      </w:r>
      <w:r>
        <w:rPr>
          <w:color w:val="000000"/>
          <w:szCs w:val="24"/>
        </w:rPr>
        <w:t>, </w:t>
      </w:r>
      <w:r>
        <w:rPr>
          <w:color w:val="000000"/>
          <w:szCs w:val="24"/>
        </w:rPr>
        <w:t>z</w:t>
      </w:r>
      <w:r w:rsidRPr="00A43589">
        <w:rPr>
          <w:color w:val="000000"/>
          <w:szCs w:val="24"/>
        </w:rPr>
        <w:t>ákon</w:t>
      </w:r>
      <w:r>
        <w:rPr>
          <w:color w:val="000000"/>
          <w:szCs w:val="24"/>
        </w:rPr>
        <w:t>a</w:t>
      </w:r>
      <w:r w:rsidRPr="00A43589">
        <w:rPr>
          <w:color w:val="000000"/>
          <w:szCs w:val="24"/>
        </w:rPr>
        <w:t xml:space="preserve"> č. 154/2010 Z. z. o európskom zatýkacom rozkaze</w:t>
      </w:r>
      <w:r>
        <w:rPr>
          <w:color w:val="000000"/>
          <w:szCs w:val="24"/>
        </w:rPr>
        <w:t>,</w:t>
      </w:r>
      <w:r w:rsidRPr="00A43589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 xml:space="preserve">zákona č. 91/2016 Z. z. o trestnej zodpovednosti právnických osôb a o zmene a doplnení niektorých zákonov  a zákona č. 216/2018 Z. z. </w:t>
      </w:r>
      <w:r w:rsidRPr="0088003C">
        <w:rPr>
          <w:color w:val="000000"/>
          <w:szCs w:val="24"/>
        </w:rPr>
        <w:t>o rybárstve a o doplnení zákona č. 455/1991 Zb. o živnostenskom</w:t>
      </w:r>
      <w:r>
        <w:rPr>
          <w:color w:val="000000"/>
          <w:szCs w:val="24"/>
        </w:rPr>
        <w:t xml:space="preserve"> podnikaní (živnostenský zákon), </w:t>
      </w:r>
      <w:r>
        <w:rPr>
          <w:rFonts w:eastAsia="Calibri" w:cs="Times New Roman"/>
        </w:rPr>
        <w:t>z</w:t>
      </w:r>
      <w:r w:rsidRPr="00EC6475">
        <w:rPr>
          <w:rFonts w:eastAsia="Calibri" w:cs="Times New Roman"/>
        </w:rPr>
        <w:t>ákon</w:t>
      </w:r>
      <w:r>
        <w:rPr>
          <w:rFonts w:eastAsia="Calibri" w:cs="Times New Roman"/>
        </w:rPr>
        <w:t>a</w:t>
      </w:r>
      <w:r w:rsidRPr="00EC6475">
        <w:rPr>
          <w:rFonts w:eastAsia="Calibri" w:cs="Times New Roman"/>
        </w:rPr>
        <w:t xml:space="preserve"> č. 35/2019 Z. z. o finančnej správe a o zmene a doplnení niektorých zákonov</w:t>
      </w:r>
      <w:r>
        <w:rPr>
          <w:color w:val="000000"/>
          <w:szCs w:val="24"/>
        </w:rPr>
        <w:t xml:space="preserve">, </w:t>
      </w:r>
      <w:r>
        <w:rPr>
          <w:rFonts w:eastAsia="Times New Roman" w:cs="Times New Roman"/>
        </w:rPr>
        <w:t>z</w:t>
      </w:r>
      <w:r w:rsidRPr="008C796D">
        <w:rPr>
          <w:rFonts w:eastAsia="Times New Roman" w:cs="Times New Roman"/>
        </w:rPr>
        <w:t>ákon</w:t>
      </w:r>
      <w:r>
        <w:rPr>
          <w:rFonts w:eastAsia="Times New Roman" w:cs="Times New Roman"/>
        </w:rPr>
        <w:t>a</w:t>
      </w:r>
      <w:r w:rsidRPr="008C796D">
        <w:rPr>
          <w:rFonts w:eastAsia="Times New Roman" w:cs="Times New Roman"/>
        </w:rPr>
        <w:t xml:space="preserve"> č. </w:t>
      </w:r>
      <w:r>
        <w:rPr>
          <w:rFonts w:eastAsia="Times New Roman" w:cs="Times New Roman"/>
        </w:rPr>
        <w:t xml:space="preserve">231/2019 </w:t>
      </w:r>
      <w:r w:rsidRPr="008C796D">
        <w:rPr>
          <w:rFonts w:eastAsia="Times New Roman" w:cs="Times New Roman"/>
        </w:rPr>
        <w:t xml:space="preserve">Z. z. </w:t>
      </w:r>
      <w:r w:rsidRPr="006C51DC">
        <w:rPr>
          <w:rFonts w:eastAsia="Times New Roman" w:cs="Times New Roman"/>
        </w:rPr>
        <w:t>o výkone detencie a o zmene a doplnení niektorých zákonov</w:t>
      </w:r>
      <w:r>
        <w:rPr>
          <w:rFonts w:eastAsia="Times New Roman" w:cs="Times New Roman"/>
        </w:rPr>
        <w:t xml:space="preserve"> a</w:t>
      </w:r>
      <w:r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>z</w:t>
      </w:r>
      <w:r w:rsidRPr="008C796D">
        <w:rPr>
          <w:rFonts w:eastAsia="Times New Roman" w:cs="Times New Roman"/>
        </w:rPr>
        <w:t>ákon</w:t>
      </w:r>
      <w:r>
        <w:rPr>
          <w:rFonts w:eastAsia="Times New Roman" w:cs="Times New Roman"/>
        </w:rPr>
        <w:t>a</w:t>
      </w:r>
      <w:r w:rsidRPr="008C796D">
        <w:rPr>
          <w:rFonts w:eastAsia="Times New Roman" w:cs="Times New Roman"/>
        </w:rPr>
        <w:t xml:space="preserve"> č. 192/2023 Z. z. o registri trestov a o zmene a doplnení niektorých zákonov</w:t>
      </w:r>
      <w:r>
        <w:rPr>
          <w:rFonts w:eastAsia="Times New Roman" w:cs="Times New Roman"/>
        </w:rPr>
        <w:t>.</w:t>
      </w:r>
      <w:r w:rsidRPr="008C796D">
        <w:rPr>
          <w:rFonts w:eastAsia="Times New Roman" w:cs="Times New Roman"/>
        </w:rPr>
        <w:t xml:space="preserve"> </w:t>
      </w:r>
    </w:p>
    <w:p w:rsidR="00A43589" w:rsidRDefault="00A43589" w:rsidP="00457564">
      <w:pPr>
        <w:rPr>
          <w:szCs w:val="24"/>
        </w:rPr>
      </w:pPr>
    </w:p>
    <w:p w:rsidR="00F47573" w:rsidRDefault="00B1368D"/>
    <w:sectPr w:rsidR="00F47573" w:rsidSect="00EE4FFA">
      <w:footerReference w:type="default" r:id="rId7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368D" w:rsidRDefault="00B1368D">
      <w:r>
        <w:separator/>
      </w:r>
    </w:p>
  </w:endnote>
  <w:endnote w:type="continuationSeparator" w:id="0">
    <w:p w:rsidR="00B1368D" w:rsidRDefault="00B13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Times New Roman"/>
      </w:rPr>
      <w:id w:val="-1986232327"/>
      <w:docPartObj>
        <w:docPartGallery w:val="Page Numbers (Bottom of Page)"/>
        <w:docPartUnique/>
      </w:docPartObj>
    </w:sdtPr>
    <w:sdtEndPr/>
    <w:sdtContent>
      <w:p w:rsidR="00EE4FFA" w:rsidRPr="00EE4FFA" w:rsidRDefault="004950D5">
        <w:pPr>
          <w:pStyle w:val="Pta"/>
          <w:jc w:val="center"/>
          <w:rPr>
            <w:rFonts w:cs="Times New Roman"/>
          </w:rPr>
        </w:pPr>
        <w:r w:rsidRPr="00EE4FFA">
          <w:rPr>
            <w:rFonts w:cs="Times New Roman"/>
          </w:rPr>
          <w:fldChar w:fldCharType="begin"/>
        </w:r>
        <w:r w:rsidRPr="00EE4FFA">
          <w:rPr>
            <w:rFonts w:cs="Times New Roman"/>
          </w:rPr>
          <w:instrText>PAGE   \* MERGEFORMAT</w:instrText>
        </w:r>
        <w:r w:rsidRPr="00EE4FFA">
          <w:rPr>
            <w:rFonts w:cs="Times New Roman"/>
          </w:rPr>
          <w:fldChar w:fldCharType="separate"/>
        </w:r>
        <w:r w:rsidR="00660EA5">
          <w:rPr>
            <w:rFonts w:cs="Times New Roman"/>
            <w:noProof/>
          </w:rPr>
          <w:t>2</w:t>
        </w:r>
        <w:r w:rsidRPr="00EE4FFA">
          <w:rPr>
            <w:rFonts w:cs="Times New Roman"/>
          </w:rPr>
          <w:fldChar w:fldCharType="end"/>
        </w:r>
      </w:p>
    </w:sdtContent>
  </w:sdt>
  <w:p w:rsidR="00EE4FFA" w:rsidRPr="00EE4FFA" w:rsidRDefault="00B1368D">
    <w:pPr>
      <w:pStyle w:val="Pta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368D" w:rsidRDefault="00B1368D">
      <w:r>
        <w:separator/>
      </w:r>
    </w:p>
  </w:footnote>
  <w:footnote w:type="continuationSeparator" w:id="0">
    <w:p w:rsidR="00B1368D" w:rsidRDefault="00B136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480A4C"/>
    <w:multiLevelType w:val="hybridMultilevel"/>
    <w:tmpl w:val="7BA6F4B4"/>
    <w:lvl w:ilvl="0" w:tplc="041B001B">
      <w:start w:val="1"/>
      <w:numFmt w:val="lowerRoman"/>
      <w:lvlText w:val="%1."/>
      <w:lvlJc w:val="right"/>
      <w:pPr>
        <w:ind w:left="1428" w:hanging="360"/>
      </w:p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0D5"/>
    <w:rsid w:val="000463C1"/>
    <w:rsid w:val="001C5E8B"/>
    <w:rsid w:val="003040D0"/>
    <w:rsid w:val="00457564"/>
    <w:rsid w:val="004950D5"/>
    <w:rsid w:val="004D5267"/>
    <w:rsid w:val="00660EA5"/>
    <w:rsid w:val="006E3714"/>
    <w:rsid w:val="00A43589"/>
    <w:rsid w:val="00B1368D"/>
    <w:rsid w:val="00B66EF0"/>
    <w:rsid w:val="00DD2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D052D"/>
  <w15:chartTrackingRefBased/>
  <w15:docId w15:val="{853E75DA-9B9D-4058-8478-848B8C6D9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43589"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unhideWhenUsed/>
    <w:rsid w:val="004950D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950D5"/>
  </w:style>
  <w:style w:type="paragraph" w:styleId="Odsekzoznamu">
    <w:name w:val="List Paragraph"/>
    <w:basedOn w:val="Normlny"/>
    <w:uiPriority w:val="99"/>
    <w:qFormat/>
    <w:rsid w:val="004950D5"/>
    <w:pPr>
      <w:spacing w:after="160" w:line="256" w:lineRule="auto"/>
      <w:ind w:left="720" w:firstLine="0"/>
      <w:contextualSpacing/>
      <w:jc w:val="left"/>
    </w:pPr>
    <w:rPr>
      <w:rFonts w:ascii="Calibri" w:eastAsia="Calibri" w:hAnsi="Calibri" w:cs="Times New Roman"/>
    </w:rPr>
  </w:style>
  <w:style w:type="character" w:customStyle="1" w:styleId="spanr">
    <w:name w:val="span_r"/>
    <w:uiPriority w:val="99"/>
    <w:rsid w:val="004950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840</Words>
  <Characters>4792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LIPTÁK Martin</dc:creator>
  <cp:keywords/>
  <dc:description/>
  <cp:lastModifiedBy>RAGAN Michal</cp:lastModifiedBy>
  <cp:revision>4</cp:revision>
  <dcterms:created xsi:type="dcterms:W3CDTF">2026-06-12T12:09:00Z</dcterms:created>
  <dcterms:modified xsi:type="dcterms:W3CDTF">2026-08-05T09:09:00Z</dcterms:modified>
</cp:coreProperties>
</file>