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602EAF2F" w:rsidR="00054C41" w:rsidRPr="00DF352F" w:rsidRDefault="00054C41" w:rsidP="00054C41">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sidR="00DF352F">
        <w:rPr>
          <w:rFonts w:ascii="Times New Roman" w:eastAsia="Calibri" w:hAnsi="Times New Roman" w:cs="Times New Roman"/>
          <w:b/>
          <w:sz w:val="24"/>
          <w:szCs w:val="24"/>
        </w:rPr>
        <w:t xml:space="preserve"> </w:t>
      </w:r>
      <w:r w:rsidR="00DF352F">
        <w:rPr>
          <w:rFonts w:ascii="Times New Roman" w:eastAsia="Calibri" w:hAnsi="Times New Roman" w:cs="Times New Roman"/>
          <w:sz w:val="24"/>
          <w:szCs w:val="24"/>
        </w:rPr>
        <w:t>Návrh zákona o žalobách na ochranu kolektívnych záujmov spotrebiteľov</w:t>
      </w:r>
    </w:p>
    <w:p w14:paraId="77F96BF6" w14:textId="6FFF12A0"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DF352F">
        <w:rPr>
          <w:rFonts w:ascii="Times New Roman" w:eastAsia="Calibri" w:hAnsi="Times New Roman" w:cs="Times New Roman"/>
          <w:b/>
          <w:sz w:val="24"/>
          <w:szCs w:val="24"/>
        </w:rPr>
        <w:t xml:space="preserve"> </w:t>
      </w:r>
      <w:r w:rsidR="00DF352F" w:rsidRPr="00DF352F">
        <w:rPr>
          <w:rFonts w:ascii="Times New Roman" w:eastAsia="Calibri" w:hAnsi="Times New Roman" w:cs="Times New Roman"/>
          <w:sz w:val="24"/>
          <w:szCs w:val="24"/>
        </w:rPr>
        <w:t>Ministerstvo spravodlivosti SR</w:t>
      </w: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bookmarkStart w:id="0" w:name="_GoBack"/>
      <w:bookmarkEnd w:id="0"/>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EC3B8F" w:rsidRPr="00895898" w14:paraId="200C7519" w14:textId="77777777" w:rsidTr="00C427B3">
        <w:tc>
          <w:tcPr>
            <w:tcW w:w="3681" w:type="dxa"/>
            <w:vAlign w:val="center"/>
          </w:tcPr>
          <w:p w14:paraId="06A5A4C5" w14:textId="354F3BF3" w:rsidR="00EC3B8F" w:rsidRPr="00CC5670" w:rsidRDefault="00EC3B8F" w:rsidP="00EC3B8F">
            <w:pPr>
              <w:rPr>
                <w:rFonts w:ascii="Times New Roman" w:eastAsia="Calibri" w:hAnsi="Times New Roman" w:cs="Times New Roman"/>
                <w:b/>
                <w:bCs/>
                <w:i/>
                <w:sz w:val="20"/>
                <w:szCs w:val="20"/>
              </w:rPr>
            </w:pPr>
            <w:r>
              <w:rPr>
                <w:b/>
                <w:bCs/>
                <w:i/>
                <w:iCs/>
                <w:color w:val="000000"/>
                <w:sz w:val="20"/>
                <w:szCs w:val="20"/>
              </w:rPr>
              <w:t>TYP NÁKLADOV</w:t>
            </w:r>
          </w:p>
        </w:tc>
        <w:tc>
          <w:tcPr>
            <w:tcW w:w="2693" w:type="dxa"/>
            <w:shd w:val="clear" w:color="auto" w:fill="FFC000"/>
            <w:vAlign w:val="center"/>
          </w:tcPr>
          <w:p w14:paraId="1BAEDC68" w14:textId="277ABE1C" w:rsidR="00EC3B8F" w:rsidRPr="00CC5670" w:rsidRDefault="00EC3B8F" w:rsidP="00EC3B8F">
            <w:pPr>
              <w:jc w:val="center"/>
              <w:rPr>
                <w:rFonts w:ascii="Times New Roman" w:eastAsia="Calibri" w:hAnsi="Times New Roman" w:cs="Times New Roman"/>
                <w:i/>
                <w:sz w:val="20"/>
                <w:szCs w:val="20"/>
              </w:rPr>
            </w:pPr>
            <w:r>
              <w:rPr>
                <w:b/>
                <w:bCs/>
                <w:color w:val="000000"/>
                <w:sz w:val="20"/>
                <w:szCs w:val="20"/>
              </w:rPr>
              <w:t>Zvýšenie nákladov v € na PP</w:t>
            </w:r>
          </w:p>
        </w:tc>
        <w:tc>
          <w:tcPr>
            <w:tcW w:w="2693" w:type="dxa"/>
            <w:shd w:val="clear" w:color="auto" w:fill="92D050"/>
            <w:vAlign w:val="center"/>
          </w:tcPr>
          <w:p w14:paraId="1E4A3629" w14:textId="57ABCEC3" w:rsidR="00EC3B8F" w:rsidRPr="00CC5670" w:rsidRDefault="00EC3B8F" w:rsidP="00EC3B8F">
            <w:pPr>
              <w:jc w:val="center"/>
              <w:rPr>
                <w:rFonts w:ascii="Times New Roman" w:eastAsia="Calibri" w:hAnsi="Times New Roman" w:cs="Times New Roman"/>
                <w:b/>
                <w:bCs/>
                <w:color w:val="000000"/>
                <w:sz w:val="20"/>
                <w:szCs w:val="20"/>
              </w:rPr>
            </w:pPr>
            <w:r>
              <w:rPr>
                <w:b/>
                <w:bCs/>
                <w:color w:val="000000"/>
                <w:sz w:val="20"/>
                <w:szCs w:val="20"/>
              </w:rPr>
              <w:t>Zníženie nákladov v € na PP</w:t>
            </w:r>
          </w:p>
        </w:tc>
      </w:tr>
      <w:tr w:rsidR="00EC3B8F" w:rsidRPr="00895898" w14:paraId="40D2DDFC" w14:textId="77777777" w:rsidTr="00E3689F">
        <w:trPr>
          <w:trHeight w:val="227"/>
        </w:trPr>
        <w:tc>
          <w:tcPr>
            <w:tcW w:w="3681" w:type="dxa"/>
            <w:vAlign w:val="center"/>
          </w:tcPr>
          <w:p w14:paraId="18F50E63" w14:textId="1704EDA9" w:rsidR="00EC3B8F" w:rsidRPr="00030C8B" w:rsidRDefault="00EC3B8F" w:rsidP="00EC3B8F">
            <w:pPr>
              <w:rPr>
                <w:rFonts w:ascii="Times New Roman" w:eastAsia="Calibri" w:hAnsi="Times New Roman" w:cs="Times New Roman"/>
                <w:i/>
                <w:iCs/>
              </w:rPr>
            </w:pPr>
            <w:proofErr w:type="spellStart"/>
            <w:r>
              <w:rPr>
                <w:b/>
                <w:bCs/>
                <w:i/>
                <w:iCs/>
                <w:color w:val="000000"/>
                <w:sz w:val="20"/>
                <w:szCs w:val="20"/>
              </w:rPr>
              <w:t>A.Dane</w:t>
            </w:r>
            <w:proofErr w:type="spellEnd"/>
            <w:r>
              <w:rPr>
                <w:b/>
                <w:bCs/>
                <w:i/>
                <w:iCs/>
                <w:color w:val="000000"/>
                <w:sz w:val="20"/>
                <w:szCs w:val="20"/>
              </w:rPr>
              <w:t xml:space="preserve">, odvody, clá a poplatky, ktorých cieľom je znižovať negatívne </w:t>
            </w:r>
            <w:proofErr w:type="spellStart"/>
            <w:r>
              <w:rPr>
                <w:b/>
                <w:bCs/>
                <w:i/>
                <w:iCs/>
                <w:color w:val="000000"/>
                <w:sz w:val="20"/>
                <w:szCs w:val="20"/>
              </w:rPr>
              <w:t>externality</w:t>
            </w:r>
            <w:proofErr w:type="spellEnd"/>
          </w:p>
        </w:tc>
        <w:tc>
          <w:tcPr>
            <w:tcW w:w="2693" w:type="dxa"/>
            <w:shd w:val="clear" w:color="auto" w:fill="FFC000"/>
            <w:vAlign w:val="center"/>
          </w:tcPr>
          <w:p w14:paraId="0C359853" w14:textId="295CD5C9" w:rsidR="00EC3B8F" w:rsidRPr="00122CA7" w:rsidRDefault="00EC3B8F" w:rsidP="00EC3B8F">
            <w:pPr>
              <w:jc w:val="center"/>
              <w:rPr>
                <w:rFonts w:ascii="Times New Roman" w:eastAsia="Calibri" w:hAnsi="Times New Roman" w:cs="Times New Roman"/>
                <w:i/>
              </w:rPr>
            </w:pPr>
            <w:r>
              <w:rPr>
                <w:b/>
                <w:bCs/>
                <w:color w:val="000000"/>
                <w:sz w:val="20"/>
                <w:szCs w:val="20"/>
              </w:rPr>
              <w:t>0</w:t>
            </w:r>
          </w:p>
        </w:tc>
        <w:tc>
          <w:tcPr>
            <w:tcW w:w="2693" w:type="dxa"/>
            <w:shd w:val="clear" w:color="auto" w:fill="92D050"/>
            <w:vAlign w:val="center"/>
          </w:tcPr>
          <w:p w14:paraId="7F217001" w14:textId="440C94A7" w:rsidR="00EC3B8F" w:rsidRPr="00122CA7" w:rsidRDefault="00EC3B8F" w:rsidP="00EC3B8F">
            <w:pPr>
              <w:jc w:val="center"/>
              <w:rPr>
                <w:rFonts w:ascii="Times New Roman" w:eastAsia="Calibri" w:hAnsi="Times New Roman" w:cs="Times New Roman"/>
                <w:i/>
              </w:rPr>
            </w:pPr>
            <w:r>
              <w:rPr>
                <w:b/>
                <w:bCs/>
                <w:color w:val="000000"/>
                <w:sz w:val="20"/>
                <w:szCs w:val="20"/>
              </w:rPr>
              <w:t>0</w:t>
            </w:r>
          </w:p>
        </w:tc>
      </w:tr>
      <w:tr w:rsidR="00EC3B8F" w:rsidRPr="00895898" w14:paraId="2A3B7BD5" w14:textId="77777777" w:rsidTr="00E3689F">
        <w:tc>
          <w:tcPr>
            <w:tcW w:w="3681" w:type="dxa"/>
            <w:vAlign w:val="center"/>
          </w:tcPr>
          <w:p w14:paraId="749ADDB1" w14:textId="39A5E824" w:rsidR="00EC3B8F" w:rsidRPr="00030C8B" w:rsidRDefault="00EC3B8F" w:rsidP="00EC3B8F">
            <w:pPr>
              <w:rPr>
                <w:rFonts w:ascii="Times New Roman" w:eastAsia="Calibri" w:hAnsi="Times New Roman" w:cs="Times New Roman"/>
                <w:i/>
              </w:rPr>
            </w:pPr>
            <w:r>
              <w:rPr>
                <w:b/>
                <w:bCs/>
                <w:i/>
                <w:iCs/>
                <w:color w:val="000000"/>
                <w:sz w:val="20"/>
                <w:szCs w:val="20"/>
              </w:rPr>
              <w:t>B. Iné poplatky</w:t>
            </w:r>
          </w:p>
        </w:tc>
        <w:tc>
          <w:tcPr>
            <w:tcW w:w="2693" w:type="dxa"/>
            <w:shd w:val="clear" w:color="auto" w:fill="FFC000"/>
            <w:vAlign w:val="center"/>
          </w:tcPr>
          <w:p w14:paraId="7437C4A3" w14:textId="7D9576C8" w:rsidR="00EC3B8F" w:rsidRPr="00122CA7" w:rsidRDefault="00EC3B8F" w:rsidP="00EC3B8F">
            <w:pPr>
              <w:jc w:val="center"/>
              <w:rPr>
                <w:rFonts w:ascii="Times New Roman" w:eastAsia="Calibri" w:hAnsi="Times New Roman" w:cs="Times New Roman"/>
                <w:i/>
              </w:rPr>
            </w:pPr>
            <w:r>
              <w:rPr>
                <w:b/>
                <w:bCs/>
                <w:color w:val="000000"/>
                <w:sz w:val="20"/>
                <w:szCs w:val="20"/>
              </w:rPr>
              <w:t>0</w:t>
            </w:r>
          </w:p>
        </w:tc>
        <w:tc>
          <w:tcPr>
            <w:tcW w:w="2693" w:type="dxa"/>
            <w:shd w:val="clear" w:color="auto" w:fill="92D050"/>
            <w:vAlign w:val="center"/>
          </w:tcPr>
          <w:p w14:paraId="1A7F8C71" w14:textId="55C416AB" w:rsidR="00EC3B8F" w:rsidRPr="00122CA7" w:rsidRDefault="00EC3B8F" w:rsidP="00EC3B8F">
            <w:pPr>
              <w:jc w:val="center"/>
              <w:rPr>
                <w:rFonts w:ascii="Times New Roman" w:eastAsia="Calibri" w:hAnsi="Times New Roman" w:cs="Times New Roman"/>
                <w:i/>
              </w:rPr>
            </w:pPr>
            <w:r>
              <w:rPr>
                <w:b/>
                <w:bCs/>
                <w:color w:val="000000"/>
                <w:sz w:val="20"/>
                <w:szCs w:val="20"/>
              </w:rPr>
              <w:t>0</w:t>
            </w:r>
          </w:p>
        </w:tc>
      </w:tr>
      <w:tr w:rsidR="00EC3B8F" w:rsidRPr="00895898" w14:paraId="5890A2A1" w14:textId="77777777" w:rsidTr="00E3689F">
        <w:tc>
          <w:tcPr>
            <w:tcW w:w="3681" w:type="dxa"/>
            <w:vAlign w:val="center"/>
          </w:tcPr>
          <w:p w14:paraId="470A575F" w14:textId="36F56045" w:rsidR="00EC3B8F" w:rsidRPr="00030C8B" w:rsidRDefault="00EC3B8F" w:rsidP="00EC3B8F">
            <w:pPr>
              <w:rPr>
                <w:rFonts w:ascii="Times New Roman" w:eastAsia="Calibri" w:hAnsi="Times New Roman" w:cs="Times New Roman"/>
                <w:i/>
              </w:rPr>
            </w:pPr>
            <w:r>
              <w:rPr>
                <w:b/>
                <w:bCs/>
                <w:i/>
                <w:iCs/>
                <w:color w:val="000000"/>
                <w:sz w:val="20"/>
                <w:szCs w:val="20"/>
              </w:rPr>
              <w:t>C. Nepriame finančné náklady</w:t>
            </w:r>
          </w:p>
        </w:tc>
        <w:tc>
          <w:tcPr>
            <w:tcW w:w="2693" w:type="dxa"/>
            <w:shd w:val="clear" w:color="auto" w:fill="FFC000"/>
            <w:vAlign w:val="center"/>
          </w:tcPr>
          <w:p w14:paraId="72C6ABCE" w14:textId="4E30F4E6" w:rsidR="00EC3B8F" w:rsidRPr="00122CA7" w:rsidRDefault="00EC3B8F" w:rsidP="00EC3B8F">
            <w:pPr>
              <w:jc w:val="center"/>
              <w:rPr>
                <w:rFonts w:ascii="Times New Roman" w:eastAsia="Calibri" w:hAnsi="Times New Roman" w:cs="Times New Roman"/>
                <w:i/>
              </w:rPr>
            </w:pPr>
            <w:r>
              <w:rPr>
                <w:b/>
                <w:bCs/>
                <w:color w:val="000000"/>
                <w:sz w:val="20"/>
                <w:szCs w:val="20"/>
              </w:rPr>
              <w:t>0</w:t>
            </w:r>
          </w:p>
        </w:tc>
        <w:tc>
          <w:tcPr>
            <w:tcW w:w="2693" w:type="dxa"/>
            <w:shd w:val="clear" w:color="auto" w:fill="92D050"/>
            <w:vAlign w:val="center"/>
          </w:tcPr>
          <w:p w14:paraId="4AB9E4F0" w14:textId="15CEF667" w:rsidR="00EC3B8F" w:rsidRPr="00122CA7" w:rsidRDefault="00EC3B8F" w:rsidP="00EC3B8F">
            <w:pPr>
              <w:jc w:val="center"/>
              <w:rPr>
                <w:rFonts w:ascii="Times New Roman" w:eastAsia="Calibri" w:hAnsi="Times New Roman" w:cs="Times New Roman"/>
                <w:i/>
              </w:rPr>
            </w:pPr>
            <w:r>
              <w:rPr>
                <w:b/>
                <w:bCs/>
                <w:color w:val="000000"/>
                <w:sz w:val="20"/>
                <w:szCs w:val="20"/>
              </w:rPr>
              <w:t>0</w:t>
            </w:r>
          </w:p>
        </w:tc>
      </w:tr>
      <w:tr w:rsidR="00EC3B8F" w:rsidRPr="00895898" w14:paraId="1915EE9C" w14:textId="77777777" w:rsidTr="00E3689F">
        <w:tc>
          <w:tcPr>
            <w:tcW w:w="3681" w:type="dxa"/>
            <w:vAlign w:val="center"/>
          </w:tcPr>
          <w:p w14:paraId="3FBBD35B" w14:textId="15B06CF4" w:rsidR="00EC3B8F" w:rsidRPr="00030C8B" w:rsidRDefault="00EC3B8F" w:rsidP="00EC3B8F">
            <w:pPr>
              <w:rPr>
                <w:rFonts w:ascii="Times New Roman" w:eastAsia="Calibri" w:hAnsi="Times New Roman" w:cs="Times New Roman"/>
                <w:i/>
              </w:rPr>
            </w:pPr>
            <w:r>
              <w:rPr>
                <w:b/>
                <w:bCs/>
                <w:i/>
                <w:iCs/>
                <w:color w:val="000000"/>
                <w:sz w:val="20"/>
                <w:szCs w:val="20"/>
              </w:rPr>
              <w:t>D. Administratívne náklady</w:t>
            </w:r>
          </w:p>
        </w:tc>
        <w:tc>
          <w:tcPr>
            <w:tcW w:w="2693" w:type="dxa"/>
            <w:shd w:val="clear" w:color="auto" w:fill="FFC000"/>
            <w:vAlign w:val="center"/>
          </w:tcPr>
          <w:p w14:paraId="23A80DDF" w14:textId="296C3842" w:rsidR="00EC3B8F" w:rsidRPr="00122CA7" w:rsidRDefault="00EC3B8F" w:rsidP="00EC3B8F">
            <w:pPr>
              <w:jc w:val="center"/>
              <w:rPr>
                <w:rFonts w:ascii="Times New Roman" w:eastAsia="Calibri" w:hAnsi="Times New Roman" w:cs="Times New Roman"/>
                <w:b/>
                <w:i/>
              </w:rPr>
            </w:pPr>
            <w:r>
              <w:rPr>
                <w:b/>
                <w:bCs/>
                <w:color w:val="000000"/>
                <w:sz w:val="20"/>
                <w:szCs w:val="20"/>
              </w:rPr>
              <w:t>1 484</w:t>
            </w:r>
          </w:p>
        </w:tc>
        <w:tc>
          <w:tcPr>
            <w:tcW w:w="2693" w:type="dxa"/>
            <w:shd w:val="clear" w:color="auto" w:fill="92D050"/>
            <w:vAlign w:val="center"/>
          </w:tcPr>
          <w:p w14:paraId="0128E641" w14:textId="049C124F" w:rsidR="00EC3B8F" w:rsidRPr="00122CA7" w:rsidRDefault="00EC3B8F" w:rsidP="00EC3B8F">
            <w:pPr>
              <w:jc w:val="center"/>
              <w:rPr>
                <w:rFonts w:ascii="Times New Roman" w:eastAsia="Calibri" w:hAnsi="Times New Roman" w:cs="Times New Roman"/>
                <w:b/>
                <w:i/>
              </w:rPr>
            </w:pPr>
            <w:r>
              <w:rPr>
                <w:b/>
                <w:bCs/>
                <w:color w:val="000000"/>
                <w:sz w:val="20"/>
                <w:szCs w:val="20"/>
              </w:rPr>
              <w:t>0</w:t>
            </w:r>
          </w:p>
        </w:tc>
      </w:tr>
      <w:tr w:rsidR="00EC3B8F" w:rsidRPr="00895898" w14:paraId="784F8A51" w14:textId="77777777" w:rsidTr="00E3689F">
        <w:tc>
          <w:tcPr>
            <w:tcW w:w="3681" w:type="dxa"/>
            <w:vAlign w:val="center"/>
          </w:tcPr>
          <w:p w14:paraId="796F837A" w14:textId="5F75BB30" w:rsidR="00EC3B8F" w:rsidRPr="00030C8B" w:rsidRDefault="00EC3B8F" w:rsidP="00EC3B8F">
            <w:pPr>
              <w:rPr>
                <w:rFonts w:ascii="Times New Roman" w:eastAsia="Calibri" w:hAnsi="Times New Roman" w:cs="Times New Roman"/>
                <w:b/>
                <w:i/>
              </w:rPr>
            </w:pPr>
            <w:r>
              <w:rPr>
                <w:b/>
                <w:bCs/>
                <w:i/>
                <w:iCs/>
                <w:color w:val="000000"/>
                <w:sz w:val="20"/>
                <w:szCs w:val="20"/>
              </w:rPr>
              <w:t>Spolu = A+B+C+D</w:t>
            </w:r>
          </w:p>
        </w:tc>
        <w:tc>
          <w:tcPr>
            <w:tcW w:w="2693" w:type="dxa"/>
            <w:shd w:val="clear" w:color="auto" w:fill="FFC000"/>
            <w:vAlign w:val="center"/>
          </w:tcPr>
          <w:p w14:paraId="4613DC7D" w14:textId="509CAF27" w:rsidR="00EC3B8F" w:rsidRPr="00122CA7" w:rsidRDefault="00EC3B8F" w:rsidP="00EC3B8F">
            <w:pPr>
              <w:jc w:val="center"/>
              <w:rPr>
                <w:rFonts w:ascii="Times New Roman" w:eastAsia="Calibri" w:hAnsi="Times New Roman" w:cs="Times New Roman"/>
                <w:b/>
                <w:i/>
              </w:rPr>
            </w:pPr>
            <w:r>
              <w:rPr>
                <w:b/>
                <w:bCs/>
                <w:color w:val="000000"/>
                <w:sz w:val="20"/>
                <w:szCs w:val="20"/>
              </w:rPr>
              <w:t>1 484</w:t>
            </w:r>
          </w:p>
        </w:tc>
        <w:tc>
          <w:tcPr>
            <w:tcW w:w="2693" w:type="dxa"/>
            <w:shd w:val="clear" w:color="auto" w:fill="92D050"/>
            <w:vAlign w:val="center"/>
          </w:tcPr>
          <w:p w14:paraId="02FE7EB5" w14:textId="3F4B7D1B" w:rsidR="00EC3B8F" w:rsidRPr="00122CA7" w:rsidRDefault="00EC3B8F" w:rsidP="00EC3B8F">
            <w:pPr>
              <w:jc w:val="center"/>
              <w:rPr>
                <w:rFonts w:ascii="Times New Roman" w:eastAsia="Calibri" w:hAnsi="Times New Roman" w:cs="Times New Roman"/>
                <w:b/>
                <w:i/>
              </w:rPr>
            </w:pPr>
            <w:r>
              <w:rPr>
                <w:b/>
                <w:bCs/>
                <w:color w:val="000000"/>
                <w:sz w:val="20"/>
                <w:szCs w:val="20"/>
              </w:rPr>
              <w:t>0</w:t>
            </w:r>
          </w:p>
        </w:tc>
      </w:tr>
      <w:tr w:rsidR="00EC3B8F" w:rsidRPr="00895898" w14:paraId="4440B6DF" w14:textId="77777777" w:rsidTr="00E3689F">
        <w:tc>
          <w:tcPr>
            <w:tcW w:w="3681" w:type="dxa"/>
            <w:vAlign w:val="center"/>
          </w:tcPr>
          <w:p w14:paraId="1E7A37D9" w14:textId="24FCEF26" w:rsidR="00EC3B8F" w:rsidRPr="00030C8B" w:rsidRDefault="00EC3B8F" w:rsidP="00EC3B8F">
            <w:pPr>
              <w:rPr>
                <w:rFonts w:ascii="Times New Roman" w:eastAsia="Calibri" w:hAnsi="Times New Roman" w:cs="Times New Roman"/>
                <w:b/>
                <w:i/>
              </w:rPr>
            </w:pPr>
            <w:r>
              <w:rPr>
                <w:b/>
                <w:bCs/>
                <w:i/>
                <w:iCs/>
                <w:color w:val="000000"/>
                <w:sz w:val="20"/>
                <w:szCs w:val="20"/>
              </w:rPr>
              <w:t xml:space="preserve"> Z toho</w:t>
            </w:r>
          </w:p>
        </w:tc>
        <w:tc>
          <w:tcPr>
            <w:tcW w:w="2693" w:type="dxa"/>
            <w:shd w:val="clear" w:color="auto" w:fill="FFC000"/>
            <w:vAlign w:val="center"/>
          </w:tcPr>
          <w:p w14:paraId="51BD31F5" w14:textId="45E59BC6" w:rsidR="00EC3B8F" w:rsidRPr="00122CA7" w:rsidRDefault="00EC3B8F" w:rsidP="00EC3B8F">
            <w:pPr>
              <w:jc w:val="center"/>
              <w:rPr>
                <w:rFonts w:ascii="Times New Roman" w:eastAsia="Calibri" w:hAnsi="Times New Roman" w:cs="Times New Roman"/>
                <w:i/>
              </w:rPr>
            </w:pPr>
            <w:r>
              <w:rPr>
                <w:b/>
                <w:bCs/>
                <w:color w:val="000000"/>
                <w:sz w:val="20"/>
                <w:szCs w:val="20"/>
              </w:rPr>
              <w:t> </w:t>
            </w:r>
          </w:p>
        </w:tc>
        <w:tc>
          <w:tcPr>
            <w:tcW w:w="2693" w:type="dxa"/>
            <w:shd w:val="clear" w:color="auto" w:fill="92D050"/>
            <w:vAlign w:val="center"/>
          </w:tcPr>
          <w:p w14:paraId="623271B2" w14:textId="531BDAB8" w:rsidR="00EC3B8F" w:rsidRPr="00122CA7" w:rsidRDefault="00EC3B8F" w:rsidP="00EC3B8F">
            <w:pPr>
              <w:jc w:val="center"/>
              <w:rPr>
                <w:rFonts w:ascii="Times New Roman" w:eastAsia="Calibri" w:hAnsi="Times New Roman" w:cs="Times New Roman"/>
                <w:i/>
              </w:rPr>
            </w:pPr>
            <w:r>
              <w:rPr>
                <w:b/>
                <w:bCs/>
                <w:color w:val="000000"/>
                <w:sz w:val="20"/>
                <w:szCs w:val="20"/>
              </w:rPr>
              <w:t> </w:t>
            </w:r>
          </w:p>
        </w:tc>
      </w:tr>
      <w:tr w:rsidR="00EC3B8F" w:rsidRPr="00895898" w14:paraId="5592CF42" w14:textId="77777777" w:rsidTr="00E3689F">
        <w:tc>
          <w:tcPr>
            <w:tcW w:w="3681" w:type="dxa"/>
            <w:vAlign w:val="center"/>
          </w:tcPr>
          <w:p w14:paraId="01B4507F" w14:textId="72E48C42" w:rsidR="00EC3B8F" w:rsidRPr="00030C8B" w:rsidRDefault="00EC3B8F" w:rsidP="00EC3B8F">
            <w:pPr>
              <w:rPr>
                <w:rFonts w:ascii="Times New Roman" w:eastAsia="Calibri" w:hAnsi="Times New Roman" w:cs="Times New Roman"/>
                <w:i/>
              </w:rPr>
            </w:pPr>
            <w:r>
              <w:rPr>
                <w:b/>
                <w:bCs/>
                <w:i/>
                <w:iCs/>
                <w:color w:val="000000"/>
                <w:sz w:val="20"/>
                <w:szCs w:val="20"/>
              </w:rPr>
              <w:t xml:space="preserve">E. Vplyv na </w:t>
            </w:r>
            <w:proofErr w:type="spellStart"/>
            <w:r>
              <w:rPr>
                <w:b/>
                <w:bCs/>
                <w:i/>
                <w:iCs/>
                <w:color w:val="000000"/>
                <w:sz w:val="20"/>
                <w:szCs w:val="20"/>
              </w:rPr>
              <w:t>mikro</w:t>
            </w:r>
            <w:proofErr w:type="spellEnd"/>
            <w:r>
              <w:rPr>
                <w:b/>
                <w:bCs/>
                <w:i/>
                <w:iCs/>
                <w:color w:val="000000"/>
                <w:sz w:val="20"/>
                <w:szCs w:val="20"/>
              </w:rPr>
              <w:t xml:space="preserve">, malé a stredné </w:t>
            </w:r>
            <w:proofErr w:type="spellStart"/>
            <w:r>
              <w:rPr>
                <w:b/>
                <w:bCs/>
                <w:i/>
                <w:iCs/>
                <w:color w:val="000000"/>
                <w:sz w:val="20"/>
                <w:szCs w:val="20"/>
              </w:rPr>
              <w:t>podn</w:t>
            </w:r>
            <w:proofErr w:type="spellEnd"/>
            <w:r>
              <w:rPr>
                <w:b/>
                <w:bCs/>
                <w:i/>
                <w:iCs/>
                <w:color w:val="000000"/>
                <w:sz w:val="20"/>
                <w:szCs w:val="20"/>
              </w:rPr>
              <w:t>.</w:t>
            </w:r>
          </w:p>
        </w:tc>
        <w:tc>
          <w:tcPr>
            <w:tcW w:w="2693" w:type="dxa"/>
            <w:shd w:val="clear" w:color="auto" w:fill="FFC000"/>
            <w:vAlign w:val="center"/>
          </w:tcPr>
          <w:p w14:paraId="7D80D68C" w14:textId="38D1A716" w:rsidR="00EC3B8F" w:rsidRPr="00122CA7" w:rsidRDefault="00EC3B8F" w:rsidP="00EC3B8F">
            <w:pPr>
              <w:jc w:val="center"/>
              <w:rPr>
                <w:rFonts w:ascii="Times New Roman" w:eastAsia="Calibri" w:hAnsi="Times New Roman" w:cs="Times New Roman"/>
                <w:i/>
              </w:rPr>
            </w:pPr>
            <w:r>
              <w:rPr>
                <w:b/>
                <w:bCs/>
                <w:color w:val="000000"/>
                <w:sz w:val="20"/>
                <w:szCs w:val="20"/>
              </w:rPr>
              <w:t>0</w:t>
            </w:r>
          </w:p>
        </w:tc>
        <w:tc>
          <w:tcPr>
            <w:tcW w:w="2693" w:type="dxa"/>
            <w:shd w:val="clear" w:color="auto" w:fill="92D050"/>
            <w:vAlign w:val="center"/>
          </w:tcPr>
          <w:p w14:paraId="52B3C4D4" w14:textId="50E88A26" w:rsidR="00EC3B8F" w:rsidRPr="00122CA7" w:rsidRDefault="00EC3B8F" w:rsidP="00EC3B8F">
            <w:pPr>
              <w:jc w:val="center"/>
              <w:rPr>
                <w:rFonts w:ascii="Times New Roman" w:eastAsia="Calibri" w:hAnsi="Times New Roman" w:cs="Times New Roman"/>
                <w:i/>
              </w:rPr>
            </w:pPr>
            <w:r>
              <w:rPr>
                <w:b/>
                <w:bCs/>
                <w:color w:val="000000"/>
                <w:sz w:val="20"/>
                <w:szCs w:val="20"/>
              </w:rPr>
              <w:t>0</w:t>
            </w:r>
          </w:p>
        </w:tc>
      </w:tr>
      <w:tr w:rsidR="00EC3B8F" w:rsidRPr="00895898" w14:paraId="22C30EA7" w14:textId="77777777" w:rsidTr="00E3689F">
        <w:tc>
          <w:tcPr>
            <w:tcW w:w="3681" w:type="dxa"/>
            <w:vAlign w:val="center"/>
          </w:tcPr>
          <w:p w14:paraId="7C25F36F" w14:textId="5CE33A23" w:rsidR="00EC3B8F" w:rsidRPr="00030C8B" w:rsidRDefault="00EC3B8F" w:rsidP="00EC3B8F">
            <w:pPr>
              <w:rPr>
                <w:rFonts w:ascii="Times New Roman" w:eastAsia="Calibri" w:hAnsi="Times New Roman" w:cs="Times New Roman"/>
                <w:i/>
              </w:rPr>
            </w:pPr>
            <w:r>
              <w:rPr>
                <w:b/>
                <w:bCs/>
                <w:i/>
                <w:iCs/>
                <w:color w:val="000000"/>
                <w:sz w:val="20"/>
                <w:szCs w:val="20"/>
              </w:rPr>
              <w:t>F. Úplná harmonizácia práva EÚ</w:t>
            </w:r>
            <w:r>
              <w:rPr>
                <w:b/>
                <w:bCs/>
                <w:i/>
                <w:iCs/>
                <w:color w:val="000000"/>
                <w:sz w:val="20"/>
                <w:szCs w:val="20"/>
              </w:rPr>
              <w:br/>
            </w:r>
            <w:r>
              <w:rPr>
                <w:i/>
                <w:iCs/>
                <w:color w:val="000000"/>
                <w:sz w:val="16"/>
                <w:szCs w:val="16"/>
              </w:rPr>
              <w:t xml:space="preserve">(okrem daní, odvodov, ciel a poplatkov, ktorých cieľom je znižovať negatívne </w:t>
            </w:r>
            <w:proofErr w:type="spellStart"/>
            <w:r>
              <w:rPr>
                <w:i/>
                <w:iCs/>
                <w:color w:val="000000"/>
                <w:sz w:val="16"/>
                <w:szCs w:val="16"/>
              </w:rPr>
              <w:t>externality</w:t>
            </w:r>
            <w:proofErr w:type="spellEnd"/>
            <w:r>
              <w:rPr>
                <w:i/>
                <w:iCs/>
                <w:color w:val="000000"/>
                <w:sz w:val="16"/>
                <w:szCs w:val="16"/>
              </w:rPr>
              <w:t>)</w:t>
            </w:r>
          </w:p>
        </w:tc>
        <w:tc>
          <w:tcPr>
            <w:tcW w:w="2693" w:type="dxa"/>
            <w:shd w:val="clear" w:color="auto" w:fill="FFC000"/>
            <w:vAlign w:val="center"/>
          </w:tcPr>
          <w:p w14:paraId="56F8EF12" w14:textId="1825E840" w:rsidR="00EC3B8F" w:rsidRPr="00122CA7" w:rsidRDefault="00EC3B8F" w:rsidP="00EC3B8F">
            <w:pPr>
              <w:jc w:val="center"/>
              <w:rPr>
                <w:rFonts w:ascii="Times New Roman" w:eastAsia="Calibri" w:hAnsi="Times New Roman" w:cs="Times New Roman"/>
                <w:b/>
                <w:i/>
              </w:rPr>
            </w:pPr>
            <w:r>
              <w:rPr>
                <w:b/>
                <w:bCs/>
                <w:color w:val="000000"/>
                <w:sz w:val="20"/>
                <w:szCs w:val="20"/>
              </w:rPr>
              <w:t>1 484</w:t>
            </w:r>
          </w:p>
        </w:tc>
        <w:tc>
          <w:tcPr>
            <w:tcW w:w="2693" w:type="dxa"/>
            <w:shd w:val="clear" w:color="auto" w:fill="92D050"/>
            <w:vAlign w:val="center"/>
          </w:tcPr>
          <w:p w14:paraId="26F86839" w14:textId="4C6B0E2E" w:rsidR="00EC3B8F" w:rsidRPr="00122CA7" w:rsidRDefault="00EC3B8F" w:rsidP="00EC3B8F">
            <w:pPr>
              <w:jc w:val="center"/>
              <w:rPr>
                <w:rFonts w:ascii="Times New Roman" w:eastAsia="Calibri" w:hAnsi="Times New Roman" w:cs="Times New Roman"/>
                <w:b/>
                <w:i/>
              </w:rPr>
            </w:pPr>
            <w:r>
              <w:rPr>
                <w:b/>
                <w:bCs/>
                <w:color w:val="000000"/>
                <w:sz w:val="20"/>
                <w:szCs w:val="20"/>
              </w:rPr>
              <w:t>0</w:t>
            </w:r>
          </w:p>
        </w:tc>
      </w:tr>
      <w:tr w:rsidR="00054C41" w:rsidRPr="00895898" w14:paraId="51AAD86C" w14:textId="77777777" w:rsidTr="00142154">
        <w:tc>
          <w:tcPr>
            <w:tcW w:w="9067" w:type="dxa"/>
            <w:gridSpan w:val="3"/>
            <w:shd w:val="clear" w:color="auto" w:fill="auto"/>
          </w:tcPr>
          <w:p w14:paraId="3015DC22" w14:textId="77777777" w:rsidR="00054C41" w:rsidRPr="00CC5670" w:rsidRDefault="00054C41" w:rsidP="00142154">
            <w:pPr>
              <w:jc w:val="center"/>
              <w:rPr>
                <w:rFonts w:ascii="Times New Roman" w:eastAsia="Calibri" w:hAnsi="Times New Roman" w:cs="Times New Roman"/>
                <w:b/>
                <w:bCs/>
                <w:i/>
                <w:sz w:val="20"/>
                <w:szCs w:val="20"/>
              </w:rPr>
            </w:pPr>
          </w:p>
        </w:tc>
      </w:tr>
      <w:tr w:rsidR="00EC3B8F" w:rsidRPr="00895898" w14:paraId="0478A44B" w14:textId="77777777" w:rsidTr="00D566C6">
        <w:tc>
          <w:tcPr>
            <w:tcW w:w="3681" w:type="dxa"/>
            <w:vAlign w:val="center"/>
          </w:tcPr>
          <w:p w14:paraId="223D796F" w14:textId="5FC563F8" w:rsidR="00EC3B8F" w:rsidRPr="00CC5670" w:rsidRDefault="00EC3B8F" w:rsidP="00EC3B8F">
            <w:pPr>
              <w:rPr>
                <w:rFonts w:ascii="Times New Roman" w:eastAsia="Calibri" w:hAnsi="Times New Roman" w:cs="Times New Roman"/>
                <w:b/>
                <w:i/>
                <w:sz w:val="20"/>
                <w:szCs w:val="20"/>
              </w:rPr>
            </w:pPr>
            <w:r>
              <w:rPr>
                <w:i/>
                <w:iCs/>
                <w:color w:val="000000"/>
                <w:sz w:val="20"/>
                <w:szCs w:val="20"/>
              </w:rPr>
              <w:t>VÝPOČET PRAVIDLA 1in2out:</w:t>
            </w:r>
          </w:p>
        </w:tc>
        <w:tc>
          <w:tcPr>
            <w:tcW w:w="2693" w:type="dxa"/>
            <w:shd w:val="clear" w:color="auto" w:fill="FFC000"/>
            <w:vAlign w:val="center"/>
          </w:tcPr>
          <w:p w14:paraId="2B6854C4" w14:textId="33BF7EE6" w:rsidR="00EC3B8F" w:rsidRPr="00CC5670" w:rsidRDefault="00EC3B8F" w:rsidP="00EC3B8F">
            <w:pPr>
              <w:jc w:val="center"/>
              <w:rPr>
                <w:rFonts w:ascii="Times New Roman" w:eastAsia="Calibri" w:hAnsi="Times New Roman" w:cs="Times New Roman"/>
                <w:b/>
                <w:bCs/>
                <w:i/>
                <w:sz w:val="20"/>
                <w:szCs w:val="20"/>
              </w:rPr>
            </w:pPr>
            <w:r>
              <w:rPr>
                <w:color w:val="000000"/>
                <w:sz w:val="20"/>
                <w:szCs w:val="20"/>
              </w:rPr>
              <w:t>IN</w:t>
            </w:r>
          </w:p>
        </w:tc>
        <w:tc>
          <w:tcPr>
            <w:tcW w:w="2693" w:type="dxa"/>
            <w:shd w:val="clear" w:color="auto" w:fill="92D050"/>
            <w:vAlign w:val="center"/>
          </w:tcPr>
          <w:p w14:paraId="5C88BAF1" w14:textId="04FA2C22" w:rsidR="00EC3B8F" w:rsidRPr="00CC5670" w:rsidRDefault="00EC3B8F" w:rsidP="00EC3B8F">
            <w:pPr>
              <w:jc w:val="center"/>
              <w:rPr>
                <w:rFonts w:ascii="Times New Roman" w:eastAsia="Calibri" w:hAnsi="Times New Roman" w:cs="Times New Roman"/>
                <w:b/>
                <w:bCs/>
                <w:i/>
                <w:sz w:val="20"/>
                <w:szCs w:val="20"/>
              </w:rPr>
            </w:pPr>
            <w:r>
              <w:rPr>
                <w:color w:val="000000"/>
                <w:sz w:val="20"/>
                <w:szCs w:val="20"/>
              </w:rPr>
              <w:t>OUT</w:t>
            </w:r>
          </w:p>
        </w:tc>
      </w:tr>
      <w:tr w:rsidR="00EC3B8F" w:rsidRPr="00895898" w14:paraId="5011BAE2" w14:textId="77777777" w:rsidTr="00D566C6">
        <w:tc>
          <w:tcPr>
            <w:tcW w:w="3681" w:type="dxa"/>
            <w:vAlign w:val="center"/>
          </w:tcPr>
          <w:p w14:paraId="23438493" w14:textId="056B6DA5" w:rsidR="00EC3B8F" w:rsidRPr="00CC5670" w:rsidRDefault="00EC3B8F" w:rsidP="00EC3B8F">
            <w:pPr>
              <w:rPr>
                <w:rFonts w:ascii="Times New Roman" w:eastAsia="Calibri" w:hAnsi="Times New Roman" w:cs="Times New Roman"/>
                <w:b/>
                <w:i/>
                <w:sz w:val="20"/>
                <w:szCs w:val="20"/>
              </w:rPr>
            </w:pPr>
            <w:r>
              <w:rPr>
                <w:i/>
                <w:iCs/>
                <w:color w:val="000000"/>
                <w:sz w:val="20"/>
                <w:szCs w:val="20"/>
              </w:rPr>
              <w:t>G. Náklady okrem výnimiek = B+C+D-F</w:t>
            </w:r>
          </w:p>
        </w:tc>
        <w:tc>
          <w:tcPr>
            <w:tcW w:w="2693" w:type="dxa"/>
            <w:shd w:val="clear" w:color="auto" w:fill="FFC000"/>
            <w:vAlign w:val="center"/>
          </w:tcPr>
          <w:p w14:paraId="7041BF23" w14:textId="6BA6522B" w:rsidR="00EC3B8F" w:rsidRPr="00CC5670" w:rsidRDefault="00EC3B8F" w:rsidP="00EC3B8F">
            <w:pPr>
              <w:jc w:val="center"/>
              <w:rPr>
                <w:rFonts w:ascii="Times New Roman" w:eastAsia="Calibri" w:hAnsi="Times New Roman" w:cs="Times New Roman"/>
                <w:bCs/>
                <w:i/>
                <w:sz w:val="20"/>
                <w:szCs w:val="20"/>
              </w:rPr>
            </w:pPr>
            <w:r>
              <w:rPr>
                <w:b/>
                <w:bCs/>
                <w:color w:val="000000"/>
                <w:sz w:val="20"/>
                <w:szCs w:val="20"/>
              </w:rPr>
              <w:t>0</w:t>
            </w:r>
          </w:p>
        </w:tc>
        <w:tc>
          <w:tcPr>
            <w:tcW w:w="2693" w:type="dxa"/>
            <w:shd w:val="clear" w:color="auto" w:fill="92D050"/>
            <w:vAlign w:val="center"/>
          </w:tcPr>
          <w:p w14:paraId="254E8359" w14:textId="4EB626EB" w:rsidR="00EC3B8F" w:rsidRPr="00CC5670" w:rsidRDefault="00EC3B8F" w:rsidP="00EC3B8F">
            <w:pPr>
              <w:jc w:val="center"/>
              <w:rPr>
                <w:rFonts w:ascii="Times New Roman" w:eastAsia="Calibri" w:hAnsi="Times New Roman" w:cs="Times New Roman"/>
                <w:bCs/>
                <w:i/>
                <w:sz w:val="20"/>
                <w:szCs w:val="20"/>
              </w:rPr>
            </w:pPr>
            <w:r>
              <w:rPr>
                <w:b/>
                <w:bCs/>
                <w:color w:val="000000"/>
                <w:sz w:val="20"/>
                <w:szCs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422"/>
        <w:gridCol w:w="1032"/>
        <w:gridCol w:w="1129"/>
        <w:gridCol w:w="1433"/>
        <w:gridCol w:w="980"/>
        <w:gridCol w:w="1323"/>
        <w:gridCol w:w="974"/>
        <w:gridCol w:w="974"/>
        <w:gridCol w:w="982"/>
        <w:gridCol w:w="992"/>
        <w:gridCol w:w="1123"/>
      </w:tblGrid>
      <w:tr w:rsidR="00054C41" w:rsidRPr="00895898" w14:paraId="10CEFB11" w14:textId="77777777" w:rsidTr="00EC3B8F">
        <w:trPr>
          <w:trHeight w:val="1885"/>
        </w:trPr>
        <w:tc>
          <w:tcPr>
            <w:tcW w:w="497" w:type="dxa"/>
            <w:shd w:val="clear" w:color="auto" w:fill="BFBFBF"/>
            <w:vAlign w:val="center"/>
          </w:tcPr>
          <w:p w14:paraId="1FF42237"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CC5670">
              <w:rPr>
                <w:rFonts w:ascii="Times New Roman" w:eastAsia="Times New Roman" w:hAnsi="Times New Roman" w:cs="Times New Roman"/>
                <w:b/>
                <w:bCs/>
                <w:color w:val="000000"/>
                <w:sz w:val="20"/>
                <w:szCs w:val="20"/>
                <w:lang w:eastAsia="sk-SK"/>
              </w:rPr>
              <w:t>P.č</w:t>
            </w:r>
            <w:proofErr w:type="spellEnd"/>
            <w:r w:rsidRPr="00CC5670">
              <w:rPr>
                <w:rFonts w:ascii="Times New Roman" w:eastAsia="Times New Roman" w:hAnsi="Times New Roman" w:cs="Times New Roman"/>
                <w:b/>
                <w:bCs/>
                <w:color w:val="000000"/>
                <w:sz w:val="20"/>
                <w:szCs w:val="20"/>
                <w:lang w:eastAsia="sk-SK"/>
              </w:rPr>
              <w:t>.</w:t>
            </w:r>
          </w:p>
        </w:tc>
        <w:tc>
          <w:tcPr>
            <w:tcW w:w="3422" w:type="dxa"/>
            <w:shd w:val="clear" w:color="auto" w:fill="BFBFBF"/>
            <w:vAlign w:val="center"/>
            <w:hideMark/>
          </w:tcPr>
          <w:p w14:paraId="73D167A0"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32" w:type="dxa"/>
            <w:shd w:val="clear" w:color="auto" w:fill="BFBFBF"/>
          </w:tcPr>
          <w:p w14:paraId="4381688D"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Číslo normy</w:t>
            </w:r>
          </w:p>
          <w:p w14:paraId="21C1A8DE" w14:textId="77777777" w:rsidR="00054C41" w:rsidRPr="00CC5670"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CC5670">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 xml:space="preserve">Lokalizácia </w:t>
            </w:r>
            <w:r w:rsidRPr="00CC5670">
              <w:rPr>
                <w:rFonts w:ascii="Times New Roman" w:eastAsia="Times New Roman" w:hAnsi="Times New Roman" w:cs="Times New Roman"/>
                <w:bCs/>
                <w:color w:val="000000"/>
                <w:sz w:val="20"/>
                <w:szCs w:val="20"/>
                <w:lang w:eastAsia="sk-SK"/>
              </w:rPr>
              <w:t>(§, ods.)</w:t>
            </w:r>
          </w:p>
        </w:tc>
        <w:tc>
          <w:tcPr>
            <w:tcW w:w="1433" w:type="dxa"/>
            <w:shd w:val="clear" w:color="auto" w:fill="BFBFBF"/>
            <w:vAlign w:val="center"/>
          </w:tcPr>
          <w:p w14:paraId="24D9A18D"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Pôvod regulácie:</w:t>
            </w:r>
          </w:p>
          <w:p w14:paraId="4C175F7C" w14:textId="77777777" w:rsidR="00054C41" w:rsidRPr="00CC5670"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CC5670">
              <w:rPr>
                <w:rFonts w:ascii="Times New Roman" w:eastAsia="Times New Roman" w:hAnsi="Times New Roman" w:cs="Times New Roman"/>
                <w:color w:val="000000"/>
                <w:sz w:val="20"/>
                <w:szCs w:val="20"/>
                <w:lang w:eastAsia="sk-SK"/>
              </w:rPr>
              <w:t xml:space="preserve">SK/EÚ úplná </w:t>
            </w:r>
            <w:proofErr w:type="spellStart"/>
            <w:r w:rsidRPr="00CC5670">
              <w:rPr>
                <w:rFonts w:ascii="Times New Roman" w:eastAsia="Times New Roman" w:hAnsi="Times New Roman" w:cs="Times New Roman"/>
                <w:color w:val="000000"/>
                <w:sz w:val="20"/>
                <w:szCs w:val="20"/>
                <w:lang w:eastAsia="sk-SK"/>
              </w:rPr>
              <w:t>harm</w:t>
            </w:r>
            <w:proofErr w:type="spellEnd"/>
            <w:r w:rsidRPr="00CC5670">
              <w:rPr>
                <w:rFonts w:ascii="Times New Roman" w:eastAsia="Times New Roman" w:hAnsi="Times New Roman" w:cs="Times New Roman"/>
                <w:color w:val="000000"/>
                <w:sz w:val="20"/>
                <w:szCs w:val="20"/>
                <w:lang w:eastAsia="sk-SK"/>
              </w:rPr>
              <w:t xml:space="preserve">./EÚ </w:t>
            </w:r>
            <w:proofErr w:type="spellStart"/>
            <w:r w:rsidRPr="00CC5670">
              <w:rPr>
                <w:rFonts w:ascii="Times New Roman" w:eastAsia="Times New Roman" w:hAnsi="Times New Roman" w:cs="Times New Roman"/>
                <w:color w:val="000000"/>
                <w:sz w:val="20"/>
                <w:szCs w:val="20"/>
                <w:lang w:eastAsia="sk-SK"/>
              </w:rPr>
              <w:t>harm</w:t>
            </w:r>
            <w:proofErr w:type="spellEnd"/>
            <w:r w:rsidRPr="00CC5670">
              <w:rPr>
                <w:rFonts w:ascii="Times New Roman" w:eastAsia="Times New Roman" w:hAnsi="Times New Roman" w:cs="Times New Roman"/>
                <w:color w:val="000000"/>
                <w:sz w:val="20"/>
                <w:szCs w:val="20"/>
                <w:lang w:eastAsia="sk-SK"/>
              </w:rPr>
              <w:t>. s možnosťou voľby</w:t>
            </w:r>
          </w:p>
        </w:tc>
        <w:tc>
          <w:tcPr>
            <w:tcW w:w="980" w:type="dxa"/>
            <w:shd w:val="clear" w:color="auto" w:fill="BFBFBF"/>
            <w:vAlign w:val="center"/>
            <w:hideMark/>
          </w:tcPr>
          <w:p w14:paraId="37B6F9E7"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Účinnosť</w:t>
            </w:r>
          </w:p>
          <w:p w14:paraId="019DF54E"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regulácie</w:t>
            </w:r>
          </w:p>
          <w:p w14:paraId="23D85168" w14:textId="77777777" w:rsidR="00054C41" w:rsidRPr="00CC5670"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23" w:type="dxa"/>
            <w:shd w:val="clear" w:color="auto" w:fill="BFBFBF"/>
            <w:vAlign w:val="center"/>
          </w:tcPr>
          <w:p w14:paraId="3CB7D2BB"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 xml:space="preserve">Kategória </w:t>
            </w:r>
            <w:proofErr w:type="spellStart"/>
            <w:r w:rsidRPr="00CC5670">
              <w:rPr>
                <w:rFonts w:ascii="Times New Roman" w:eastAsia="Times New Roman" w:hAnsi="Times New Roman" w:cs="Times New Roman"/>
                <w:b/>
                <w:bCs/>
                <w:color w:val="000000"/>
                <w:sz w:val="20"/>
                <w:szCs w:val="20"/>
                <w:lang w:eastAsia="sk-SK"/>
              </w:rPr>
              <w:t>dotk</w:t>
            </w:r>
            <w:proofErr w:type="spellEnd"/>
            <w:r w:rsidRPr="00CC5670">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14:paraId="731C2E01"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Počet  subjektov v </w:t>
            </w:r>
            <w:proofErr w:type="spellStart"/>
            <w:r w:rsidRPr="00CC5670">
              <w:rPr>
                <w:rFonts w:ascii="Times New Roman" w:eastAsia="Times New Roman" w:hAnsi="Times New Roman" w:cs="Times New Roman"/>
                <w:b/>
                <w:bCs/>
                <w:color w:val="000000"/>
                <w:sz w:val="20"/>
                <w:szCs w:val="20"/>
                <w:lang w:eastAsia="sk-SK"/>
              </w:rPr>
              <w:t>dotk</w:t>
            </w:r>
            <w:proofErr w:type="spellEnd"/>
            <w:r w:rsidRPr="00CC5670">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14:paraId="1B1DCB42"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Počet subjektov MSP v </w:t>
            </w:r>
            <w:proofErr w:type="spellStart"/>
            <w:r w:rsidRPr="00CC5670">
              <w:rPr>
                <w:rFonts w:ascii="Times New Roman" w:eastAsia="Times New Roman" w:hAnsi="Times New Roman" w:cs="Times New Roman"/>
                <w:b/>
                <w:bCs/>
                <w:color w:val="000000"/>
                <w:sz w:val="20"/>
                <w:szCs w:val="20"/>
                <w:lang w:eastAsia="sk-SK"/>
              </w:rPr>
              <w:t>dotk</w:t>
            </w:r>
            <w:proofErr w:type="spellEnd"/>
            <w:r w:rsidRPr="00CC5670">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14:paraId="610B7638"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 xml:space="preserve">Vplyv na kategóriu </w:t>
            </w:r>
            <w:proofErr w:type="spellStart"/>
            <w:r w:rsidRPr="00CC5670">
              <w:rPr>
                <w:rFonts w:ascii="Times New Roman" w:eastAsia="Times New Roman" w:hAnsi="Times New Roman" w:cs="Times New Roman"/>
                <w:b/>
                <w:bCs/>
                <w:color w:val="000000"/>
                <w:sz w:val="20"/>
                <w:szCs w:val="20"/>
                <w:lang w:eastAsia="sk-SK"/>
              </w:rPr>
              <w:t>dotk</w:t>
            </w:r>
            <w:proofErr w:type="spellEnd"/>
            <w:r w:rsidRPr="00CC5670">
              <w:rPr>
                <w:rFonts w:ascii="Times New Roman" w:eastAsia="Times New Roman" w:hAnsi="Times New Roman" w:cs="Times New Roman"/>
                <w:b/>
                <w:bCs/>
                <w:color w:val="000000"/>
                <w:sz w:val="20"/>
                <w:szCs w:val="20"/>
                <w:lang w:eastAsia="sk-SK"/>
              </w:rPr>
              <w:t>. subjektov v €</w:t>
            </w:r>
          </w:p>
        </w:tc>
        <w:tc>
          <w:tcPr>
            <w:tcW w:w="1123" w:type="dxa"/>
            <w:shd w:val="clear" w:color="auto" w:fill="BFBFBF"/>
            <w:vAlign w:val="center"/>
          </w:tcPr>
          <w:p w14:paraId="4FBA7398"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CC5670">
              <w:rPr>
                <w:rFonts w:ascii="Times New Roman" w:eastAsia="Times New Roman" w:hAnsi="Times New Roman" w:cs="Times New Roman"/>
                <w:b/>
                <w:bCs/>
                <w:color w:val="000000"/>
                <w:sz w:val="20"/>
                <w:szCs w:val="20"/>
                <w:lang w:eastAsia="sk-SK"/>
              </w:rPr>
              <w:t>Druh vplyvu</w:t>
            </w:r>
          </w:p>
          <w:p w14:paraId="3EF161D7" w14:textId="77777777" w:rsidR="00054C41" w:rsidRPr="00CC5670"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CC5670">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CC5670">
              <w:rPr>
                <w:rFonts w:ascii="Times New Roman" w:eastAsia="Times New Roman" w:hAnsi="Times New Roman" w:cs="Times New Roman"/>
                <w:bCs/>
                <w:color w:val="000000"/>
                <w:sz w:val="20"/>
                <w:szCs w:val="20"/>
                <w:lang w:eastAsia="sk-SK"/>
              </w:rPr>
              <w:t>Out</w:t>
            </w:r>
            <w:proofErr w:type="spellEnd"/>
            <w:r w:rsidRPr="00CC5670">
              <w:rPr>
                <w:rFonts w:ascii="Times New Roman" w:eastAsia="Times New Roman" w:hAnsi="Times New Roman" w:cs="Times New Roman"/>
                <w:bCs/>
                <w:color w:val="000000"/>
                <w:sz w:val="20"/>
                <w:szCs w:val="20"/>
                <w:lang w:eastAsia="sk-SK"/>
              </w:rPr>
              <w:t xml:space="preserve"> (znižuje náklady</w:t>
            </w:r>
            <w:r w:rsidRPr="00CC5670">
              <w:rPr>
                <w:rFonts w:ascii="Times New Roman" w:eastAsia="Times New Roman" w:hAnsi="Times New Roman" w:cs="Times New Roman"/>
                <w:b/>
                <w:bCs/>
                <w:color w:val="000000"/>
                <w:sz w:val="20"/>
                <w:szCs w:val="20"/>
                <w:lang w:eastAsia="sk-SK"/>
              </w:rPr>
              <w:t>)</w:t>
            </w:r>
          </w:p>
          <w:p w14:paraId="288EFEBA" w14:textId="77777777" w:rsidR="00054C41" w:rsidRPr="00CC5670"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EC3B8F" w:rsidRPr="00516840" w14:paraId="11758B9A" w14:textId="77777777" w:rsidTr="00EC3B8F">
        <w:trPr>
          <w:trHeight w:val="612"/>
        </w:trPr>
        <w:tc>
          <w:tcPr>
            <w:tcW w:w="497" w:type="dxa"/>
            <w:vAlign w:val="center"/>
          </w:tcPr>
          <w:p w14:paraId="6F827851" w14:textId="45A4C25C" w:rsidR="00EC3B8F" w:rsidRPr="00122CA7" w:rsidRDefault="00EC3B8F" w:rsidP="00EC3B8F">
            <w:pPr>
              <w:spacing w:after="0" w:line="240" w:lineRule="auto"/>
              <w:rPr>
                <w:rFonts w:ascii="Arial" w:eastAsia="Times New Roman" w:hAnsi="Arial" w:cs="Arial"/>
                <w:sz w:val="20"/>
                <w:szCs w:val="20"/>
                <w:lang w:eastAsia="sk-SK"/>
              </w:rPr>
            </w:pPr>
            <w:r>
              <w:rPr>
                <w:color w:val="000000"/>
                <w:sz w:val="20"/>
                <w:szCs w:val="20"/>
              </w:rPr>
              <w:t>1</w:t>
            </w:r>
          </w:p>
        </w:tc>
        <w:tc>
          <w:tcPr>
            <w:tcW w:w="3422" w:type="dxa"/>
            <w:shd w:val="clear" w:color="auto" w:fill="auto"/>
            <w:vAlign w:val="center"/>
          </w:tcPr>
          <w:p w14:paraId="7B4E9DA7" w14:textId="779224C0"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právo uplatniť na súde námietku</w:t>
            </w:r>
          </w:p>
        </w:tc>
        <w:tc>
          <w:tcPr>
            <w:tcW w:w="1032" w:type="dxa"/>
            <w:vAlign w:val="center"/>
          </w:tcPr>
          <w:p w14:paraId="120314F8" w14:textId="4DA0C664"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n/a</w:t>
            </w:r>
          </w:p>
        </w:tc>
        <w:tc>
          <w:tcPr>
            <w:tcW w:w="1129" w:type="dxa"/>
            <w:shd w:val="clear" w:color="auto" w:fill="auto"/>
            <w:vAlign w:val="center"/>
          </w:tcPr>
          <w:p w14:paraId="1B4826F8" w14:textId="733E2FBC"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10 ods. 3</w:t>
            </w:r>
          </w:p>
        </w:tc>
        <w:tc>
          <w:tcPr>
            <w:tcW w:w="1433" w:type="dxa"/>
            <w:vAlign w:val="center"/>
          </w:tcPr>
          <w:p w14:paraId="3A0BA666" w14:textId="070F721F"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EÚ úplná harmonizácia</w:t>
            </w:r>
          </w:p>
        </w:tc>
        <w:tc>
          <w:tcPr>
            <w:tcW w:w="980" w:type="dxa"/>
            <w:shd w:val="clear" w:color="auto" w:fill="auto"/>
            <w:noWrap/>
            <w:vAlign w:val="center"/>
          </w:tcPr>
          <w:p w14:paraId="6BFB7AA2" w14:textId="03B6BF80"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25.06.23</w:t>
            </w:r>
          </w:p>
        </w:tc>
        <w:tc>
          <w:tcPr>
            <w:tcW w:w="1323" w:type="dxa"/>
            <w:vAlign w:val="center"/>
          </w:tcPr>
          <w:p w14:paraId="299C820D" w14:textId="076CBF57"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xml:space="preserve">žalovaný obchodník </w:t>
            </w:r>
          </w:p>
        </w:tc>
        <w:tc>
          <w:tcPr>
            <w:tcW w:w="974" w:type="dxa"/>
            <w:shd w:val="clear" w:color="auto" w:fill="auto"/>
            <w:noWrap/>
            <w:vAlign w:val="center"/>
          </w:tcPr>
          <w:p w14:paraId="74360775" w14:textId="65E20005"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xml:space="preserve">               100 </w:t>
            </w:r>
          </w:p>
        </w:tc>
        <w:tc>
          <w:tcPr>
            <w:tcW w:w="974" w:type="dxa"/>
            <w:shd w:val="clear" w:color="auto" w:fill="auto"/>
            <w:noWrap/>
            <w:vAlign w:val="center"/>
          </w:tcPr>
          <w:p w14:paraId="57C9126E" w14:textId="50046840"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 xml:space="preserve"> N </w:t>
            </w:r>
          </w:p>
        </w:tc>
        <w:tc>
          <w:tcPr>
            <w:tcW w:w="982" w:type="dxa"/>
            <w:shd w:val="clear" w:color="auto" w:fill="auto"/>
            <w:noWrap/>
            <w:vAlign w:val="center"/>
          </w:tcPr>
          <w:p w14:paraId="57D4FAC6" w14:textId="729FC002"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9</w:t>
            </w:r>
          </w:p>
        </w:tc>
        <w:tc>
          <w:tcPr>
            <w:tcW w:w="992" w:type="dxa"/>
            <w:shd w:val="clear" w:color="auto" w:fill="auto"/>
            <w:noWrap/>
            <w:vAlign w:val="center"/>
          </w:tcPr>
          <w:p w14:paraId="20A55E97" w14:textId="1744662D"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853</w:t>
            </w:r>
          </w:p>
        </w:tc>
        <w:tc>
          <w:tcPr>
            <w:tcW w:w="1123" w:type="dxa"/>
            <w:vAlign w:val="center"/>
          </w:tcPr>
          <w:p w14:paraId="032A8679" w14:textId="3676E01D"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In (zvyšuje náklady)</w:t>
            </w:r>
          </w:p>
        </w:tc>
      </w:tr>
      <w:tr w:rsidR="00EC3B8F" w:rsidRPr="00516840" w14:paraId="3E85FB6C" w14:textId="77777777" w:rsidTr="00EC3B8F">
        <w:trPr>
          <w:trHeight w:val="600"/>
        </w:trPr>
        <w:tc>
          <w:tcPr>
            <w:tcW w:w="497" w:type="dxa"/>
            <w:vAlign w:val="center"/>
          </w:tcPr>
          <w:p w14:paraId="65795CE6" w14:textId="2151A305" w:rsidR="00EC3B8F" w:rsidRPr="00122CA7" w:rsidRDefault="00EC3B8F" w:rsidP="00EC3B8F">
            <w:pPr>
              <w:spacing w:after="0" w:line="240" w:lineRule="auto"/>
              <w:rPr>
                <w:rFonts w:ascii="Arial" w:eastAsia="Times New Roman" w:hAnsi="Arial" w:cs="Arial"/>
                <w:sz w:val="20"/>
                <w:szCs w:val="20"/>
                <w:lang w:eastAsia="sk-SK"/>
              </w:rPr>
            </w:pPr>
            <w:r>
              <w:rPr>
                <w:color w:val="000000"/>
                <w:sz w:val="20"/>
                <w:szCs w:val="20"/>
              </w:rPr>
              <w:t>2</w:t>
            </w:r>
          </w:p>
        </w:tc>
        <w:tc>
          <w:tcPr>
            <w:tcW w:w="3422" w:type="dxa"/>
            <w:shd w:val="clear" w:color="auto" w:fill="auto"/>
            <w:vAlign w:val="center"/>
          </w:tcPr>
          <w:p w14:paraId="7BEDDF1C" w14:textId="7B1ABE4B"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sprístupnenie dôkazu</w:t>
            </w:r>
          </w:p>
        </w:tc>
        <w:tc>
          <w:tcPr>
            <w:tcW w:w="1032" w:type="dxa"/>
            <w:vAlign w:val="center"/>
          </w:tcPr>
          <w:p w14:paraId="6F95232A" w14:textId="317C4457"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n/a</w:t>
            </w:r>
          </w:p>
        </w:tc>
        <w:tc>
          <w:tcPr>
            <w:tcW w:w="1129" w:type="dxa"/>
            <w:shd w:val="clear" w:color="auto" w:fill="auto"/>
            <w:vAlign w:val="center"/>
          </w:tcPr>
          <w:p w14:paraId="4772F4F9" w14:textId="1DA9BCDC"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12 ods. 5</w:t>
            </w:r>
          </w:p>
        </w:tc>
        <w:tc>
          <w:tcPr>
            <w:tcW w:w="1433" w:type="dxa"/>
            <w:vAlign w:val="center"/>
          </w:tcPr>
          <w:p w14:paraId="202CD1E5" w14:textId="217066DB"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EÚ úplná harmonizácia</w:t>
            </w:r>
          </w:p>
        </w:tc>
        <w:tc>
          <w:tcPr>
            <w:tcW w:w="980" w:type="dxa"/>
            <w:shd w:val="clear" w:color="auto" w:fill="auto"/>
            <w:noWrap/>
            <w:vAlign w:val="center"/>
          </w:tcPr>
          <w:p w14:paraId="727D0512" w14:textId="1689C7EA"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25.06.23</w:t>
            </w:r>
          </w:p>
        </w:tc>
        <w:tc>
          <w:tcPr>
            <w:tcW w:w="1323" w:type="dxa"/>
            <w:vAlign w:val="center"/>
          </w:tcPr>
          <w:p w14:paraId="41387D4C" w14:textId="761CD48B"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obchodník</w:t>
            </w:r>
          </w:p>
        </w:tc>
        <w:tc>
          <w:tcPr>
            <w:tcW w:w="974" w:type="dxa"/>
            <w:shd w:val="clear" w:color="auto" w:fill="auto"/>
            <w:noWrap/>
            <w:vAlign w:val="center"/>
          </w:tcPr>
          <w:p w14:paraId="2F2BACE5" w14:textId="2B49F136"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xml:space="preserve">               100 </w:t>
            </w:r>
          </w:p>
        </w:tc>
        <w:tc>
          <w:tcPr>
            <w:tcW w:w="974" w:type="dxa"/>
            <w:shd w:val="clear" w:color="auto" w:fill="auto"/>
            <w:noWrap/>
            <w:vAlign w:val="center"/>
          </w:tcPr>
          <w:p w14:paraId="39949054" w14:textId="6B8D38F3"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 xml:space="preserve"> N </w:t>
            </w:r>
          </w:p>
        </w:tc>
        <w:tc>
          <w:tcPr>
            <w:tcW w:w="982" w:type="dxa"/>
            <w:shd w:val="clear" w:color="auto" w:fill="auto"/>
            <w:noWrap/>
            <w:vAlign w:val="center"/>
          </w:tcPr>
          <w:p w14:paraId="1371B6C4" w14:textId="491F9305"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4</w:t>
            </w:r>
          </w:p>
        </w:tc>
        <w:tc>
          <w:tcPr>
            <w:tcW w:w="992" w:type="dxa"/>
            <w:shd w:val="clear" w:color="auto" w:fill="auto"/>
            <w:noWrap/>
            <w:vAlign w:val="center"/>
          </w:tcPr>
          <w:p w14:paraId="0C7D454A" w14:textId="5BD00B2C"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426</w:t>
            </w:r>
          </w:p>
        </w:tc>
        <w:tc>
          <w:tcPr>
            <w:tcW w:w="1123" w:type="dxa"/>
            <w:vAlign w:val="center"/>
          </w:tcPr>
          <w:p w14:paraId="3CD7D152" w14:textId="3BE3CD80"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In (zvyšuje náklady)</w:t>
            </w:r>
          </w:p>
        </w:tc>
      </w:tr>
      <w:tr w:rsidR="00EC3B8F" w:rsidRPr="00516840" w14:paraId="0922CA33" w14:textId="77777777" w:rsidTr="00EC3B8F">
        <w:trPr>
          <w:trHeight w:val="600"/>
        </w:trPr>
        <w:tc>
          <w:tcPr>
            <w:tcW w:w="497" w:type="dxa"/>
            <w:vAlign w:val="center"/>
          </w:tcPr>
          <w:p w14:paraId="350B46C3" w14:textId="5CD16768" w:rsidR="00EC3B8F" w:rsidRPr="00122CA7" w:rsidRDefault="00EC3B8F" w:rsidP="00EC3B8F">
            <w:pPr>
              <w:spacing w:after="0" w:line="240" w:lineRule="auto"/>
              <w:rPr>
                <w:rFonts w:ascii="Arial" w:eastAsia="Times New Roman" w:hAnsi="Arial" w:cs="Arial"/>
                <w:sz w:val="20"/>
                <w:szCs w:val="20"/>
                <w:lang w:eastAsia="sk-SK"/>
              </w:rPr>
            </w:pPr>
            <w:r>
              <w:rPr>
                <w:color w:val="000000"/>
                <w:sz w:val="20"/>
                <w:szCs w:val="20"/>
              </w:rPr>
              <w:t>3</w:t>
            </w:r>
          </w:p>
        </w:tc>
        <w:tc>
          <w:tcPr>
            <w:tcW w:w="3422" w:type="dxa"/>
            <w:shd w:val="clear" w:color="auto" w:fill="auto"/>
            <w:vAlign w:val="center"/>
          </w:tcPr>
          <w:p w14:paraId="0CA6693B" w14:textId="029B1294"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zverejnenie rozsudku alebo opravného vyhlásenia</w:t>
            </w:r>
          </w:p>
        </w:tc>
        <w:tc>
          <w:tcPr>
            <w:tcW w:w="1032" w:type="dxa"/>
            <w:vAlign w:val="center"/>
          </w:tcPr>
          <w:p w14:paraId="671FAD5C" w14:textId="1C580280"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n/a</w:t>
            </w:r>
          </w:p>
        </w:tc>
        <w:tc>
          <w:tcPr>
            <w:tcW w:w="1129" w:type="dxa"/>
            <w:shd w:val="clear" w:color="auto" w:fill="auto"/>
            <w:vAlign w:val="center"/>
          </w:tcPr>
          <w:p w14:paraId="454A93B7" w14:textId="6A2812D6"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24 ods. 2</w:t>
            </w:r>
          </w:p>
        </w:tc>
        <w:tc>
          <w:tcPr>
            <w:tcW w:w="1433" w:type="dxa"/>
            <w:vAlign w:val="center"/>
          </w:tcPr>
          <w:p w14:paraId="59119F88" w14:textId="02CE9E87"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EÚ úplná harmonizácia</w:t>
            </w:r>
          </w:p>
        </w:tc>
        <w:tc>
          <w:tcPr>
            <w:tcW w:w="980" w:type="dxa"/>
            <w:shd w:val="clear" w:color="auto" w:fill="auto"/>
            <w:noWrap/>
            <w:vAlign w:val="center"/>
          </w:tcPr>
          <w:p w14:paraId="14220C43" w14:textId="7AF1FC7D"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25.06.23</w:t>
            </w:r>
          </w:p>
        </w:tc>
        <w:tc>
          <w:tcPr>
            <w:tcW w:w="1323" w:type="dxa"/>
            <w:vAlign w:val="center"/>
          </w:tcPr>
          <w:p w14:paraId="793D105F" w14:textId="5AC66E67"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obchodník</w:t>
            </w:r>
          </w:p>
        </w:tc>
        <w:tc>
          <w:tcPr>
            <w:tcW w:w="974" w:type="dxa"/>
            <w:shd w:val="clear" w:color="auto" w:fill="auto"/>
            <w:noWrap/>
            <w:vAlign w:val="center"/>
          </w:tcPr>
          <w:p w14:paraId="36AA08E5" w14:textId="02320ABE"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 xml:space="preserve">                 80 </w:t>
            </w:r>
          </w:p>
        </w:tc>
        <w:tc>
          <w:tcPr>
            <w:tcW w:w="974" w:type="dxa"/>
            <w:shd w:val="clear" w:color="auto" w:fill="auto"/>
            <w:noWrap/>
            <w:vAlign w:val="center"/>
          </w:tcPr>
          <w:p w14:paraId="342400C0" w14:textId="35713FE0"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 xml:space="preserve"> N </w:t>
            </w:r>
          </w:p>
        </w:tc>
        <w:tc>
          <w:tcPr>
            <w:tcW w:w="982" w:type="dxa"/>
            <w:shd w:val="clear" w:color="auto" w:fill="auto"/>
            <w:noWrap/>
            <w:vAlign w:val="center"/>
          </w:tcPr>
          <w:p w14:paraId="643D8B22" w14:textId="6F363D30"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3</w:t>
            </w:r>
          </w:p>
        </w:tc>
        <w:tc>
          <w:tcPr>
            <w:tcW w:w="992" w:type="dxa"/>
            <w:shd w:val="clear" w:color="auto" w:fill="auto"/>
            <w:noWrap/>
            <w:vAlign w:val="center"/>
          </w:tcPr>
          <w:p w14:paraId="280F78D6" w14:textId="4DB9B5D8" w:rsidR="00EC3B8F" w:rsidRPr="009C0A8B" w:rsidRDefault="00EC3B8F" w:rsidP="00EC3B8F">
            <w:pPr>
              <w:spacing w:after="0" w:line="240" w:lineRule="auto"/>
              <w:rPr>
                <w:rFonts w:ascii="Times New Roman" w:eastAsia="Times New Roman" w:hAnsi="Times New Roman" w:cs="Times New Roman"/>
                <w:color w:val="000000"/>
                <w:sz w:val="24"/>
                <w:szCs w:val="24"/>
                <w:lang w:eastAsia="sk-SK"/>
              </w:rPr>
            </w:pPr>
            <w:r>
              <w:rPr>
                <w:color w:val="000000"/>
                <w:sz w:val="20"/>
                <w:szCs w:val="20"/>
              </w:rPr>
              <w:t>205</w:t>
            </w:r>
          </w:p>
        </w:tc>
        <w:tc>
          <w:tcPr>
            <w:tcW w:w="1123" w:type="dxa"/>
            <w:vAlign w:val="center"/>
          </w:tcPr>
          <w:p w14:paraId="749B6947" w14:textId="60459AD7" w:rsidR="00EC3B8F" w:rsidRPr="009C0A8B" w:rsidRDefault="00EC3B8F" w:rsidP="00EC3B8F">
            <w:pPr>
              <w:spacing w:after="0" w:line="240" w:lineRule="auto"/>
              <w:rPr>
                <w:rFonts w:ascii="Times New Roman" w:eastAsia="Times New Roman" w:hAnsi="Times New Roman" w:cs="Times New Roman"/>
                <w:sz w:val="24"/>
                <w:szCs w:val="24"/>
                <w:lang w:eastAsia="sk-SK"/>
              </w:rPr>
            </w:pPr>
            <w:r>
              <w:rPr>
                <w:color w:val="000000"/>
                <w:sz w:val="20"/>
                <w:szCs w:val="20"/>
              </w:rPr>
              <w:t>In (zvyšuje náklady)</w:t>
            </w:r>
          </w:p>
        </w:tc>
      </w:tr>
    </w:tbl>
    <w:p w14:paraId="6E2FC1D4" w14:textId="77777777" w:rsidR="00054C41" w:rsidRPr="00516840"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CC5670" w:rsidRDefault="00054C41" w:rsidP="00054C41">
      <w:pPr>
        <w:jc w:val="both"/>
        <w:rPr>
          <w:rFonts w:ascii="Times New Roman" w:eastAsia="Calibri" w:hAnsi="Times New Roman" w:cs="Times New Roman"/>
          <w:bCs/>
          <w:i/>
          <w:iCs/>
          <w:color w:val="000000"/>
        </w:rPr>
      </w:pPr>
      <w:r w:rsidRPr="00CC5670">
        <w:rPr>
          <w:rFonts w:ascii="Times New Roman" w:eastAsia="Calibri" w:hAnsi="Times New Roman" w:cs="Times New Roman"/>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CC5670">
        <w:rPr>
          <w:rFonts w:ascii="Times New Roman" w:eastAsia="Calibri" w:hAnsi="Times New Roman" w:cs="Times New Roman"/>
          <w:bCs/>
          <w:i/>
          <w:iCs/>
          <w:color w:val="000000"/>
        </w:rPr>
        <w:t>link</w:t>
      </w:r>
      <w:proofErr w:type="spellEnd"/>
      <w:r w:rsidRPr="00CC5670">
        <w:rPr>
          <w:rFonts w:ascii="Times New Roman" w:eastAsia="Calibri" w:hAnsi="Times New Roman" w:cs="Times New Roman"/>
          <w:bCs/>
          <w:i/>
          <w:iCs/>
          <w:color w:val="000000"/>
        </w:rPr>
        <w:t xml:space="preserve"> na konkrétne štatistiky, ak sú dostupné na internete). Jednotlivé regulácie môžu mať jeden alebo viac typov nákladov (A. Dane, odvody, clá</w:t>
      </w:r>
      <w:r w:rsidR="00A000DA" w:rsidRPr="00CC5670">
        <w:rPr>
          <w:rFonts w:ascii="Times New Roman" w:eastAsia="Calibri" w:hAnsi="Times New Roman" w:cs="Times New Roman"/>
          <w:bCs/>
          <w:i/>
          <w:iCs/>
          <w:color w:val="000000"/>
        </w:rPr>
        <w:t xml:space="preserve"> a poplatky, ktorých cieľom je znižovať negatívne </w:t>
      </w:r>
      <w:proofErr w:type="spellStart"/>
      <w:r w:rsidR="00A000DA" w:rsidRPr="00CC5670">
        <w:rPr>
          <w:rFonts w:ascii="Times New Roman" w:eastAsia="Calibri" w:hAnsi="Times New Roman" w:cs="Times New Roman"/>
          <w:bCs/>
          <w:i/>
          <w:iCs/>
          <w:color w:val="000000"/>
        </w:rPr>
        <w:t>externality</w:t>
      </w:r>
      <w:proofErr w:type="spellEnd"/>
      <w:r w:rsidRPr="00CC5670">
        <w:rPr>
          <w:rFonts w:ascii="Times New Roman" w:eastAsia="Calibri" w:hAnsi="Times New Roman" w:cs="Times New Roman"/>
          <w:bCs/>
          <w:i/>
          <w:iCs/>
          <w:color w:val="000000"/>
        </w:rPr>
        <w:t xml:space="preserve">, B. </w:t>
      </w:r>
      <w:r w:rsidR="00A000DA" w:rsidRPr="00CC5670">
        <w:rPr>
          <w:rFonts w:ascii="Times New Roman" w:eastAsia="Calibri" w:hAnsi="Times New Roman" w:cs="Times New Roman"/>
          <w:bCs/>
          <w:i/>
          <w:iCs/>
          <w:color w:val="000000"/>
        </w:rPr>
        <w:t>Iné p</w:t>
      </w:r>
      <w:r w:rsidRPr="00CC5670">
        <w:rPr>
          <w:rFonts w:ascii="Times New Roman" w:eastAsia="Calibri" w:hAnsi="Times New Roman" w:cs="Times New Roman"/>
          <w:bCs/>
          <w:i/>
          <w:iCs/>
          <w:color w:val="000000"/>
        </w:rPr>
        <w:t xml:space="preserve">oplatky, C. Nepriame finančné náklady, D. Administratívne náklady). Rozčleňte ich a vypočítajte v súlade s metodickým postupom. </w:t>
      </w:r>
    </w:p>
    <w:p w14:paraId="4A62E8A0" w14:textId="1B4E1999" w:rsidR="00CE0DF0" w:rsidRPr="00CC5670" w:rsidRDefault="00CE0DF0" w:rsidP="004F1D9F">
      <w:pPr>
        <w:jc w:val="both"/>
        <w:rPr>
          <w:rFonts w:ascii="Times New Roman" w:eastAsia="Calibri" w:hAnsi="Times New Roman" w:cs="Times New Roman"/>
          <w:bCs/>
          <w:iCs/>
          <w:color w:val="000000"/>
        </w:rPr>
      </w:pPr>
      <w:r w:rsidRPr="00CC5670">
        <w:rPr>
          <w:rFonts w:ascii="Times New Roman" w:eastAsia="Calibri" w:hAnsi="Times New Roman" w:cs="Times New Roman"/>
          <w:bCs/>
          <w:iCs/>
          <w:color w:val="000000"/>
        </w:rPr>
        <w:t>V predkladanom návrhu zákona bo</w:t>
      </w:r>
      <w:r w:rsidR="006778FE">
        <w:rPr>
          <w:rFonts w:ascii="Times New Roman" w:eastAsia="Calibri" w:hAnsi="Times New Roman" w:cs="Times New Roman"/>
          <w:bCs/>
          <w:iCs/>
          <w:color w:val="000000"/>
        </w:rPr>
        <w:t xml:space="preserve">li </w:t>
      </w:r>
      <w:r w:rsidRPr="00CC5670">
        <w:rPr>
          <w:rFonts w:ascii="Times New Roman" w:eastAsia="Calibri" w:hAnsi="Times New Roman" w:cs="Times New Roman"/>
          <w:bCs/>
          <w:iCs/>
          <w:color w:val="000000"/>
        </w:rPr>
        <w:t>identifikovan</w:t>
      </w:r>
      <w:r w:rsidR="006778FE">
        <w:rPr>
          <w:rFonts w:ascii="Times New Roman" w:eastAsia="Calibri" w:hAnsi="Times New Roman" w:cs="Times New Roman"/>
          <w:bCs/>
          <w:iCs/>
          <w:color w:val="000000"/>
        </w:rPr>
        <w:t>é</w:t>
      </w:r>
      <w:r w:rsidRPr="00CC5670">
        <w:rPr>
          <w:rFonts w:ascii="Times New Roman" w:eastAsia="Calibri" w:hAnsi="Times New Roman" w:cs="Times New Roman"/>
          <w:bCs/>
          <w:iCs/>
          <w:color w:val="000000"/>
        </w:rPr>
        <w:t xml:space="preserve"> </w:t>
      </w:r>
      <w:r w:rsidR="00EC3B8F">
        <w:rPr>
          <w:rFonts w:ascii="Times New Roman" w:eastAsia="Calibri" w:hAnsi="Times New Roman" w:cs="Times New Roman"/>
          <w:bCs/>
          <w:iCs/>
          <w:color w:val="000000"/>
        </w:rPr>
        <w:t>3</w:t>
      </w:r>
      <w:r w:rsidR="00CC5670" w:rsidRPr="00CC5670">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reguláci</w:t>
      </w:r>
      <w:r w:rsidR="00122CA7">
        <w:rPr>
          <w:rFonts w:ascii="Times New Roman" w:eastAsia="Calibri" w:hAnsi="Times New Roman" w:cs="Times New Roman"/>
          <w:bCs/>
          <w:iCs/>
          <w:color w:val="000000"/>
        </w:rPr>
        <w:t>e</w:t>
      </w:r>
      <w:r w:rsidRPr="00CC5670">
        <w:rPr>
          <w:rFonts w:ascii="Times New Roman" w:eastAsia="Calibri" w:hAnsi="Times New Roman" w:cs="Times New Roman"/>
          <w:bCs/>
          <w:iCs/>
          <w:color w:val="000000"/>
        </w:rPr>
        <w:t xml:space="preserve"> s vplyvom na podnikateľské prostredie. </w:t>
      </w:r>
    </w:p>
    <w:p w14:paraId="47040059" w14:textId="29B1BFE2" w:rsidR="004F1D9F" w:rsidRPr="00CC5670" w:rsidRDefault="00CE0DF0" w:rsidP="004F1D9F">
      <w:pPr>
        <w:jc w:val="both"/>
        <w:rPr>
          <w:rFonts w:ascii="Times New Roman" w:eastAsia="Calibri" w:hAnsi="Times New Roman" w:cs="Times New Roman"/>
          <w:bCs/>
          <w:iCs/>
          <w:color w:val="000000"/>
        </w:rPr>
      </w:pPr>
      <w:r w:rsidRPr="00CC5670">
        <w:rPr>
          <w:rFonts w:ascii="Times New Roman" w:eastAsia="Calibri" w:hAnsi="Times New Roman" w:cs="Times New Roman"/>
          <w:bCs/>
          <w:iCs/>
          <w:color w:val="000000"/>
        </w:rPr>
        <w:t>Predmetom kalkulačky nákladov sú regulácie súvisiace s</w:t>
      </w:r>
      <w:r w:rsidR="00493A52">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konan</w:t>
      </w:r>
      <w:r w:rsidR="004F1D9F" w:rsidRPr="00CC5670">
        <w:rPr>
          <w:rFonts w:ascii="Times New Roman" w:eastAsia="Calibri" w:hAnsi="Times New Roman" w:cs="Times New Roman"/>
          <w:bCs/>
          <w:iCs/>
          <w:color w:val="000000"/>
        </w:rPr>
        <w:t xml:space="preserve">iami </w:t>
      </w:r>
      <w:r w:rsidRPr="00CC5670">
        <w:rPr>
          <w:rFonts w:ascii="Times New Roman" w:eastAsia="Calibri" w:hAnsi="Times New Roman" w:cs="Times New Roman"/>
          <w:bCs/>
          <w:iCs/>
          <w:color w:val="000000"/>
        </w:rPr>
        <w:t>na ochranu kolektívnych záujmov spotrebiteľov</w:t>
      </w:r>
      <w:r w:rsidR="004F1D9F" w:rsidRPr="00CC5670">
        <w:rPr>
          <w:rFonts w:ascii="Times New Roman" w:eastAsia="Calibri" w:hAnsi="Times New Roman" w:cs="Times New Roman"/>
          <w:bCs/>
          <w:iCs/>
          <w:color w:val="000000"/>
        </w:rPr>
        <w:t xml:space="preserve"> – od počiatku až po výsled</w:t>
      </w:r>
      <w:r w:rsidR="007E316F" w:rsidRPr="00CC5670">
        <w:rPr>
          <w:rFonts w:ascii="Times New Roman" w:eastAsia="Calibri" w:hAnsi="Times New Roman" w:cs="Times New Roman"/>
          <w:bCs/>
          <w:iCs/>
          <w:color w:val="000000"/>
        </w:rPr>
        <w:t>ok</w:t>
      </w:r>
      <w:r w:rsidR="004F1D9F" w:rsidRPr="00CC5670">
        <w:rPr>
          <w:rFonts w:ascii="Times New Roman" w:eastAsia="Calibri" w:hAnsi="Times New Roman" w:cs="Times New Roman"/>
          <w:bCs/>
          <w:iCs/>
          <w:color w:val="000000"/>
        </w:rPr>
        <w:t xml:space="preserve"> daného konania</w:t>
      </w:r>
      <w:r w:rsidR="00B23928" w:rsidRPr="00CC5670">
        <w:rPr>
          <w:rFonts w:ascii="Times New Roman" w:eastAsia="Calibri" w:hAnsi="Times New Roman" w:cs="Times New Roman"/>
          <w:bCs/>
          <w:iCs/>
          <w:color w:val="000000"/>
        </w:rPr>
        <w:t xml:space="preserve">. </w:t>
      </w:r>
    </w:p>
    <w:p w14:paraId="0B1B6EDC" w14:textId="5A25B482" w:rsidR="00C16285" w:rsidRDefault="004F7F1D" w:rsidP="004F1D9F">
      <w:pPr>
        <w:jc w:val="both"/>
        <w:rPr>
          <w:rFonts w:ascii="Times New Roman" w:eastAsia="Calibri" w:hAnsi="Times New Roman" w:cs="Times New Roman"/>
          <w:bCs/>
          <w:iCs/>
          <w:color w:val="000000"/>
        </w:rPr>
      </w:pPr>
      <w:r w:rsidRPr="00CC5670">
        <w:rPr>
          <w:rFonts w:ascii="Times New Roman" w:eastAsia="Calibri" w:hAnsi="Times New Roman" w:cs="Times New Roman"/>
          <w:bCs/>
          <w:iCs/>
          <w:color w:val="000000"/>
        </w:rPr>
        <w:t>Pri identifikácií počtov dotknutých subjektov bolo zámerom v čo najväčšej miere využiť dáta rezortnej štatistiky, ktoré pochádzajú priamo zo súdov. Pri určovaní počtu dotknutých subjektov</w:t>
      </w:r>
      <w:r w:rsidR="0030033C">
        <w:rPr>
          <w:rFonts w:ascii="Times New Roman" w:eastAsia="Calibri" w:hAnsi="Times New Roman" w:cs="Times New Roman"/>
          <w:bCs/>
          <w:iCs/>
          <w:color w:val="000000"/>
        </w:rPr>
        <w:t xml:space="preserve"> v konanie o abstraktnej kontrole</w:t>
      </w:r>
      <w:r w:rsidRPr="00CC5670">
        <w:rPr>
          <w:rFonts w:ascii="Times New Roman" w:eastAsia="Calibri" w:hAnsi="Times New Roman" w:cs="Times New Roman"/>
          <w:bCs/>
          <w:iCs/>
          <w:color w:val="000000"/>
        </w:rPr>
        <w:t xml:space="preserve"> sa vychádzalo z</w:t>
      </w:r>
      <w:r w:rsidR="00493A52">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 xml:space="preserve">registra „C“ – </w:t>
      </w:r>
      <w:r w:rsidR="006A242E" w:rsidRPr="00CC5670">
        <w:rPr>
          <w:rFonts w:ascii="Times New Roman" w:eastAsia="Calibri" w:hAnsi="Times New Roman" w:cs="Times New Roman"/>
          <w:bCs/>
          <w:iCs/>
          <w:color w:val="000000"/>
        </w:rPr>
        <w:t>Súdny register prvostupňovej agendy krajských súdov</w:t>
      </w:r>
      <w:r w:rsidR="0030033C">
        <w:rPr>
          <w:rFonts w:ascii="Times New Roman" w:eastAsia="Calibri" w:hAnsi="Times New Roman" w:cs="Times New Roman"/>
          <w:bCs/>
          <w:iCs/>
          <w:color w:val="000000"/>
        </w:rPr>
        <w:t>,</w:t>
      </w:r>
      <w:r w:rsidRPr="00CC5670">
        <w:rPr>
          <w:rFonts w:ascii="Times New Roman" w:eastAsia="Calibri" w:hAnsi="Times New Roman" w:cs="Times New Roman"/>
          <w:bCs/>
          <w:iCs/>
          <w:color w:val="000000"/>
        </w:rPr>
        <w:t xml:space="preserve"> do ktorého sa zapisuje </w:t>
      </w:r>
      <w:r w:rsidR="0030033C">
        <w:rPr>
          <w:rFonts w:ascii="Times New Roman" w:eastAsia="Calibri" w:hAnsi="Times New Roman" w:cs="Times New Roman"/>
          <w:bCs/>
          <w:iCs/>
          <w:color w:val="000000"/>
        </w:rPr>
        <w:t>nápad</w:t>
      </w:r>
      <w:r w:rsidRPr="00CC5670">
        <w:rPr>
          <w:rFonts w:ascii="Times New Roman" w:eastAsia="Calibri" w:hAnsi="Times New Roman" w:cs="Times New Roman"/>
          <w:bCs/>
          <w:iCs/>
          <w:color w:val="000000"/>
        </w:rPr>
        <w:t xml:space="preserve"> v</w:t>
      </w:r>
      <w:r w:rsidR="00493A52">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konaní o</w:t>
      </w:r>
      <w:r w:rsidR="00493A52">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abstraktnej kontrole v</w:t>
      </w:r>
      <w:r w:rsidR="00493A52">
        <w:rPr>
          <w:rFonts w:ascii="Times New Roman" w:eastAsia="Calibri" w:hAnsi="Times New Roman" w:cs="Times New Roman"/>
          <w:bCs/>
          <w:iCs/>
          <w:color w:val="000000"/>
        </w:rPr>
        <w:t xml:space="preserve"> </w:t>
      </w:r>
      <w:r w:rsidRPr="00CC5670">
        <w:rPr>
          <w:rFonts w:ascii="Times New Roman" w:eastAsia="Calibri" w:hAnsi="Times New Roman" w:cs="Times New Roman"/>
          <w:bCs/>
          <w:iCs/>
          <w:color w:val="000000"/>
        </w:rPr>
        <w:t>spotrebiteľských veciach za obdobie rokov 2018 – 2021.</w:t>
      </w:r>
      <w:r w:rsidR="00C16285">
        <w:rPr>
          <w:rFonts w:ascii="Times New Roman" w:eastAsia="Calibri" w:hAnsi="Times New Roman" w:cs="Times New Roman"/>
          <w:bCs/>
          <w:iCs/>
          <w:color w:val="000000"/>
        </w:rPr>
        <w:t xml:space="preserve"> </w:t>
      </w:r>
    </w:p>
    <w:p w14:paraId="51C3230A" w14:textId="66C0B313" w:rsidR="004F7F1D" w:rsidRPr="00CC5670" w:rsidRDefault="00C16285" w:rsidP="004F1D9F">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Tam, kde to však nebolo možné, počet dotknutých subjektov bol určený na základe modelových príkladov. </w:t>
      </w:r>
    </w:p>
    <w:p w14:paraId="30E299E9" w14:textId="2C629C84" w:rsidR="004F1D9F" w:rsidRPr="0060731C" w:rsidRDefault="00196D5A" w:rsidP="004F1D9F">
      <w:pPr>
        <w:pStyle w:val="Odsekzoznamu"/>
        <w:numPr>
          <w:ilvl w:val="0"/>
          <w:numId w:val="9"/>
        </w:numPr>
        <w:jc w:val="both"/>
        <w:rPr>
          <w:rFonts w:ascii="Times New Roman" w:eastAsia="Calibri" w:hAnsi="Times New Roman" w:cs="Times New Roman"/>
          <w:bCs/>
          <w:iCs/>
          <w:color w:val="000000"/>
        </w:rPr>
      </w:pPr>
      <w:r w:rsidRPr="0060731C">
        <w:rPr>
          <w:rFonts w:ascii="Times New Roman" w:eastAsia="Calibri" w:hAnsi="Times New Roman" w:cs="Times New Roman"/>
          <w:bCs/>
          <w:iCs/>
          <w:color w:val="000000"/>
        </w:rPr>
        <w:t>p</w:t>
      </w:r>
      <w:r w:rsidR="004F1D9F" w:rsidRPr="0060731C">
        <w:rPr>
          <w:rFonts w:ascii="Times New Roman" w:eastAsia="Calibri" w:hAnsi="Times New Roman" w:cs="Times New Roman"/>
          <w:bCs/>
          <w:iCs/>
          <w:color w:val="000000"/>
        </w:rPr>
        <w:t>rávo uplatniť na súde</w:t>
      </w:r>
      <w:r w:rsidRPr="0060731C">
        <w:rPr>
          <w:rFonts w:ascii="Times New Roman" w:eastAsia="Calibri" w:hAnsi="Times New Roman" w:cs="Times New Roman"/>
          <w:bCs/>
          <w:iCs/>
          <w:color w:val="000000"/>
        </w:rPr>
        <w:t xml:space="preserve"> námietku</w:t>
      </w:r>
    </w:p>
    <w:p w14:paraId="6EC6771D" w14:textId="1EBD52C4" w:rsidR="00EB2D7E" w:rsidRPr="0060731C" w:rsidRDefault="00C920E0" w:rsidP="00196D5A">
      <w:pPr>
        <w:jc w:val="both"/>
        <w:rPr>
          <w:rFonts w:ascii="Times New Roman" w:eastAsia="Calibri" w:hAnsi="Times New Roman" w:cs="Times New Roman"/>
          <w:bCs/>
          <w:iCs/>
          <w:color w:val="000000"/>
        </w:rPr>
      </w:pPr>
      <w:r w:rsidRPr="0060731C">
        <w:rPr>
          <w:rFonts w:ascii="Times New Roman" w:eastAsia="Calibri" w:hAnsi="Times New Roman" w:cs="Times New Roman"/>
          <w:bCs/>
          <w:iCs/>
          <w:color w:val="000000"/>
        </w:rPr>
        <w:t>P</w:t>
      </w:r>
      <w:r w:rsidR="00CC5670">
        <w:rPr>
          <w:rFonts w:ascii="Times New Roman" w:eastAsia="Calibri" w:hAnsi="Times New Roman" w:cs="Times New Roman"/>
          <w:bCs/>
          <w:iCs/>
          <w:color w:val="000000"/>
        </w:rPr>
        <w:t xml:space="preserve">rávo uplatniť na súde námietku je </w:t>
      </w:r>
      <w:r w:rsidR="007F13DB">
        <w:rPr>
          <w:rFonts w:ascii="Times New Roman" w:eastAsia="Calibri" w:hAnsi="Times New Roman" w:cs="Times New Roman"/>
          <w:bCs/>
          <w:iCs/>
          <w:color w:val="000000"/>
        </w:rPr>
        <w:t xml:space="preserve">typ </w:t>
      </w:r>
      <w:r w:rsidR="00CC5670">
        <w:rPr>
          <w:rFonts w:ascii="Times New Roman" w:eastAsia="Calibri" w:hAnsi="Times New Roman" w:cs="Times New Roman"/>
          <w:bCs/>
          <w:iCs/>
          <w:color w:val="000000"/>
        </w:rPr>
        <w:t>reguláci</w:t>
      </w:r>
      <w:r w:rsidR="002C0492">
        <w:rPr>
          <w:rFonts w:ascii="Times New Roman" w:eastAsia="Calibri" w:hAnsi="Times New Roman" w:cs="Times New Roman"/>
          <w:bCs/>
          <w:iCs/>
          <w:color w:val="000000"/>
        </w:rPr>
        <w:t>e</w:t>
      </w:r>
      <w:r w:rsidR="00CC5670">
        <w:rPr>
          <w:rFonts w:ascii="Times New Roman" w:eastAsia="Calibri" w:hAnsi="Times New Roman" w:cs="Times New Roman"/>
          <w:bCs/>
          <w:iCs/>
          <w:color w:val="000000"/>
        </w:rPr>
        <w:t xml:space="preserve">, ktorá </w:t>
      </w:r>
      <w:r w:rsidR="007F13DB">
        <w:rPr>
          <w:rFonts w:ascii="Times New Roman" w:eastAsia="Calibri" w:hAnsi="Times New Roman" w:cs="Times New Roman"/>
          <w:bCs/>
          <w:iCs/>
          <w:color w:val="000000"/>
        </w:rPr>
        <w:t xml:space="preserve">administratívne </w:t>
      </w:r>
      <w:r w:rsidRPr="0060731C">
        <w:rPr>
          <w:rFonts w:ascii="Times New Roman" w:eastAsia="Calibri" w:hAnsi="Times New Roman" w:cs="Times New Roman"/>
          <w:bCs/>
          <w:iCs/>
          <w:color w:val="000000"/>
        </w:rPr>
        <w:t>zvyšuje náklady podnikateľským subjekto</w:t>
      </w:r>
      <w:r w:rsidR="007F13DB">
        <w:rPr>
          <w:rFonts w:ascii="Times New Roman" w:eastAsia="Calibri" w:hAnsi="Times New Roman" w:cs="Times New Roman"/>
          <w:bCs/>
          <w:iCs/>
          <w:color w:val="000000"/>
        </w:rPr>
        <w:t>m</w:t>
      </w:r>
      <w:r w:rsidR="00EB2D7E" w:rsidRPr="0060731C">
        <w:rPr>
          <w:rFonts w:ascii="Times New Roman" w:eastAsia="Calibri" w:hAnsi="Times New Roman" w:cs="Times New Roman"/>
          <w:bCs/>
          <w:iCs/>
          <w:color w:val="000000"/>
        </w:rPr>
        <w:t xml:space="preserve"> –</w:t>
      </w:r>
      <w:r w:rsidRPr="0060731C">
        <w:rPr>
          <w:rFonts w:ascii="Times New Roman" w:eastAsia="Calibri" w:hAnsi="Times New Roman" w:cs="Times New Roman"/>
          <w:bCs/>
          <w:iCs/>
          <w:color w:val="000000"/>
        </w:rPr>
        <w:t xml:space="preserve"> konkrétne</w:t>
      </w:r>
      <w:r w:rsidR="00EB2D7E" w:rsidRPr="0060731C">
        <w:rPr>
          <w:rFonts w:ascii="Times New Roman" w:eastAsia="Calibri" w:hAnsi="Times New Roman" w:cs="Times New Roman"/>
          <w:bCs/>
          <w:iCs/>
          <w:color w:val="000000"/>
        </w:rPr>
        <w:t xml:space="preserve"> </w:t>
      </w:r>
      <w:r w:rsidRPr="0060731C">
        <w:rPr>
          <w:rFonts w:ascii="Times New Roman" w:eastAsia="Calibri" w:hAnsi="Times New Roman" w:cs="Times New Roman"/>
          <w:bCs/>
          <w:iCs/>
          <w:color w:val="000000"/>
        </w:rPr>
        <w:t>obchodníkom, ktor</w:t>
      </w:r>
      <w:r w:rsidR="00CE46AB">
        <w:rPr>
          <w:rFonts w:ascii="Times New Roman" w:eastAsia="Calibri" w:hAnsi="Times New Roman" w:cs="Times New Roman"/>
          <w:bCs/>
          <w:iCs/>
          <w:color w:val="000000"/>
        </w:rPr>
        <w:t>ých</w:t>
      </w:r>
      <w:r w:rsidRPr="0060731C">
        <w:rPr>
          <w:rFonts w:ascii="Times New Roman" w:eastAsia="Calibri" w:hAnsi="Times New Roman" w:cs="Times New Roman"/>
          <w:bCs/>
          <w:iCs/>
          <w:color w:val="000000"/>
        </w:rPr>
        <w:t xml:space="preserve"> návrh zákona definuje ako osobu, ktorá v</w:t>
      </w:r>
      <w:r w:rsidR="00493A52">
        <w:rPr>
          <w:rFonts w:ascii="Times New Roman" w:eastAsia="Calibri" w:hAnsi="Times New Roman" w:cs="Times New Roman"/>
          <w:bCs/>
          <w:iCs/>
          <w:color w:val="000000"/>
        </w:rPr>
        <w:t xml:space="preserve"> </w:t>
      </w:r>
      <w:r w:rsidRPr="0060731C">
        <w:rPr>
          <w:rFonts w:ascii="Times New Roman" w:eastAsia="Calibri" w:hAnsi="Times New Roman" w:cs="Times New Roman"/>
          <w:bCs/>
          <w:iCs/>
          <w:color w:val="000000"/>
        </w:rPr>
        <w:t>súvislosti so zmluvou alebo pri obchodnej praktike koná v</w:t>
      </w:r>
      <w:r w:rsidR="00493A52">
        <w:rPr>
          <w:rFonts w:ascii="Times New Roman" w:eastAsia="Calibri" w:hAnsi="Times New Roman" w:cs="Times New Roman"/>
          <w:bCs/>
          <w:iCs/>
          <w:color w:val="000000"/>
        </w:rPr>
        <w:t xml:space="preserve"> </w:t>
      </w:r>
      <w:r w:rsidRPr="0060731C">
        <w:rPr>
          <w:rFonts w:ascii="Times New Roman" w:eastAsia="Calibri" w:hAnsi="Times New Roman" w:cs="Times New Roman"/>
          <w:bCs/>
          <w:iCs/>
          <w:color w:val="000000"/>
        </w:rPr>
        <w:t xml:space="preserve">rámci predmetu </w:t>
      </w:r>
      <w:r w:rsidR="006D3AED" w:rsidRPr="0060731C">
        <w:rPr>
          <w:rFonts w:ascii="Times New Roman" w:eastAsia="Calibri" w:hAnsi="Times New Roman" w:cs="Times New Roman"/>
          <w:bCs/>
          <w:iCs/>
          <w:color w:val="000000"/>
        </w:rPr>
        <w:t xml:space="preserve">svojej podnikateľskej činnosti </w:t>
      </w:r>
      <w:r w:rsidR="00EB2D7E" w:rsidRPr="0060731C">
        <w:rPr>
          <w:rFonts w:ascii="Times New Roman" w:eastAsia="Calibri" w:hAnsi="Times New Roman" w:cs="Times New Roman"/>
          <w:bCs/>
          <w:iCs/>
          <w:color w:val="000000"/>
        </w:rPr>
        <w:t xml:space="preserve">alebo povolania, a to aj prostredníctvom inej osoby, ktorá koná v jej mene alebo na jej účet. </w:t>
      </w:r>
    </w:p>
    <w:p w14:paraId="68920B20" w14:textId="110652C3" w:rsidR="00F71653" w:rsidRDefault="00CC5670" w:rsidP="00196D5A">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Kategóriou dotknutých subjektov </w:t>
      </w:r>
      <w:r w:rsidR="00E609E7" w:rsidRPr="0060731C">
        <w:rPr>
          <w:rFonts w:ascii="Times New Roman" w:eastAsia="Calibri" w:hAnsi="Times New Roman" w:cs="Times New Roman"/>
          <w:bCs/>
          <w:iCs/>
          <w:color w:val="000000"/>
        </w:rPr>
        <w:t>bol určený žalovaný obchodník</w:t>
      </w:r>
      <w:r w:rsidR="00E609E7">
        <w:rPr>
          <w:rFonts w:ascii="Times New Roman" w:eastAsia="Calibri" w:hAnsi="Times New Roman" w:cs="Times New Roman"/>
          <w:bCs/>
          <w:iCs/>
          <w:color w:val="000000"/>
        </w:rPr>
        <w:t xml:space="preserve">. Keďže tieto náklady </w:t>
      </w:r>
      <w:r w:rsidR="00EB2D7E" w:rsidRPr="0060731C">
        <w:rPr>
          <w:rFonts w:ascii="Times New Roman" w:eastAsia="Calibri" w:hAnsi="Times New Roman" w:cs="Times New Roman"/>
          <w:bCs/>
          <w:iCs/>
          <w:color w:val="000000"/>
        </w:rPr>
        <w:t xml:space="preserve">vzniknú iba na strane obchodníkov, </w:t>
      </w:r>
      <w:r w:rsidR="00E609E7">
        <w:rPr>
          <w:rFonts w:ascii="Times New Roman" w:eastAsia="Calibri" w:hAnsi="Times New Roman" w:cs="Times New Roman"/>
          <w:bCs/>
          <w:iCs/>
          <w:color w:val="000000"/>
        </w:rPr>
        <w:t>voči ktorým začalo konanie o</w:t>
      </w:r>
      <w:r w:rsidR="00493A52">
        <w:rPr>
          <w:rFonts w:ascii="Times New Roman" w:eastAsia="Calibri" w:hAnsi="Times New Roman" w:cs="Times New Roman"/>
          <w:bCs/>
          <w:iCs/>
          <w:color w:val="000000"/>
        </w:rPr>
        <w:t xml:space="preserve"> </w:t>
      </w:r>
      <w:r w:rsidR="00E609E7">
        <w:rPr>
          <w:rFonts w:ascii="Times New Roman" w:eastAsia="Calibri" w:hAnsi="Times New Roman" w:cs="Times New Roman"/>
          <w:bCs/>
          <w:iCs/>
          <w:color w:val="000000"/>
        </w:rPr>
        <w:t xml:space="preserve">žalobe na ochranu kolektívnych záujmov spotrebiteľov, ich počet bol </w:t>
      </w:r>
      <w:r w:rsidR="00431D1B">
        <w:rPr>
          <w:rFonts w:ascii="Times New Roman" w:eastAsia="Calibri" w:hAnsi="Times New Roman" w:cs="Times New Roman"/>
          <w:bCs/>
          <w:iCs/>
          <w:color w:val="000000"/>
        </w:rPr>
        <w:t xml:space="preserve">modelovo stanovený </w:t>
      </w:r>
      <w:r w:rsidR="00E609E7">
        <w:rPr>
          <w:rFonts w:ascii="Times New Roman" w:eastAsia="Calibri" w:hAnsi="Times New Roman" w:cs="Times New Roman"/>
          <w:bCs/>
          <w:iCs/>
          <w:color w:val="000000"/>
        </w:rPr>
        <w:t xml:space="preserve">na </w:t>
      </w:r>
      <w:r w:rsidR="00EB2D7E" w:rsidRPr="0060731C">
        <w:rPr>
          <w:rFonts w:ascii="Times New Roman" w:eastAsia="Calibri" w:hAnsi="Times New Roman" w:cs="Times New Roman"/>
          <w:bCs/>
          <w:iCs/>
          <w:color w:val="000000"/>
        </w:rPr>
        <w:t>100</w:t>
      </w:r>
      <w:r w:rsidR="00E609E7">
        <w:rPr>
          <w:rFonts w:ascii="Times New Roman" w:eastAsia="Calibri" w:hAnsi="Times New Roman" w:cs="Times New Roman"/>
          <w:bCs/>
          <w:iCs/>
          <w:color w:val="000000"/>
        </w:rPr>
        <w:t xml:space="preserve">. </w:t>
      </w:r>
      <w:r w:rsidR="00431D1B">
        <w:rPr>
          <w:rFonts w:ascii="Times New Roman" w:eastAsia="Calibri" w:hAnsi="Times New Roman" w:cs="Times New Roman"/>
          <w:bCs/>
          <w:iCs/>
          <w:color w:val="000000"/>
        </w:rPr>
        <w:t xml:space="preserve"> Hodnotí sa </w:t>
      </w:r>
      <w:r w:rsidR="00954B3F">
        <w:rPr>
          <w:rFonts w:ascii="Times New Roman" w:eastAsia="Calibri" w:hAnsi="Times New Roman" w:cs="Times New Roman"/>
          <w:bCs/>
          <w:iCs/>
          <w:color w:val="000000"/>
        </w:rPr>
        <w:t>nový právny predpis,</w:t>
      </w:r>
      <w:r w:rsidR="00431D1B">
        <w:rPr>
          <w:rFonts w:ascii="Times New Roman" w:eastAsia="Calibri" w:hAnsi="Times New Roman" w:cs="Times New Roman"/>
          <w:bCs/>
          <w:iCs/>
          <w:color w:val="000000"/>
        </w:rPr>
        <w:t xml:space="preserve"> a</w:t>
      </w:r>
      <w:r w:rsidR="00493A52">
        <w:rPr>
          <w:rFonts w:ascii="Times New Roman" w:eastAsia="Calibri" w:hAnsi="Times New Roman" w:cs="Times New Roman"/>
          <w:bCs/>
          <w:iCs/>
          <w:color w:val="000000"/>
        </w:rPr>
        <w:t xml:space="preserve"> </w:t>
      </w:r>
      <w:r w:rsidR="00431D1B">
        <w:rPr>
          <w:rFonts w:ascii="Times New Roman" w:eastAsia="Calibri" w:hAnsi="Times New Roman" w:cs="Times New Roman"/>
          <w:bCs/>
          <w:iCs/>
          <w:color w:val="000000"/>
        </w:rPr>
        <w:t>preto</w:t>
      </w:r>
      <w:r w:rsidR="00954B3F">
        <w:rPr>
          <w:rFonts w:ascii="Times New Roman" w:eastAsia="Calibri" w:hAnsi="Times New Roman" w:cs="Times New Roman"/>
          <w:bCs/>
          <w:iCs/>
          <w:color w:val="000000"/>
        </w:rPr>
        <w:t xml:space="preserve"> nie je možné ani </w:t>
      </w:r>
      <w:r w:rsidR="00431D1B">
        <w:rPr>
          <w:rFonts w:ascii="Times New Roman" w:eastAsia="Calibri" w:hAnsi="Times New Roman" w:cs="Times New Roman"/>
          <w:bCs/>
          <w:iCs/>
          <w:color w:val="000000"/>
        </w:rPr>
        <w:t xml:space="preserve">na </w:t>
      </w:r>
      <w:r w:rsidR="00954B3F">
        <w:rPr>
          <w:rFonts w:ascii="Times New Roman" w:eastAsia="Calibri" w:hAnsi="Times New Roman" w:cs="Times New Roman"/>
          <w:bCs/>
          <w:iCs/>
          <w:color w:val="000000"/>
        </w:rPr>
        <w:t>základe expertného odhadu</w:t>
      </w:r>
      <w:r w:rsidR="00431D1B" w:rsidRPr="00431D1B">
        <w:rPr>
          <w:rFonts w:ascii="Times New Roman" w:eastAsia="Calibri" w:hAnsi="Times New Roman" w:cs="Times New Roman"/>
          <w:bCs/>
          <w:iCs/>
          <w:color w:val="000000"/>
        </w:rPr>
        <w:t xml:space="preserve"> </w:t>
      </w:r>
      <w:r w:rsidR="00431D1B">
        <w:rPr>
          <w:rFonts w:ascii="Times New Roman" w:eastAsia="Calibri" w:hAnsi="Times New Roman" w:cs="Times New Roman"/>
          <w:bCs/>
          <w:iCs/>
          <w:color w:val="000000"/>
        </w:rPr>
        <w:t>určiť presný počet dotknutých subjektov</w:t>
      </w:r>
      <w:r w:rsidR="00954B3F">
        <w:rPr>
          <w:rFonts w:ascii="Times New Roman" w:eastAsia="Calibri" w:hAnsi="Times New Roman" w:cs="Times New Roman"/>
          <w:bCs/>
          <w:iCs/>
          <w:color w:val="000000"/>
        </w:rPr>
        <w:t>.</w:t>
      </w:r>
    </w:p>
    <w:p w14:paraId="4A1AB062" w14:textId="07B23221" w:rsidR="00E609E7" w:rsidRDefault="0001042B" w:rsidP="00196D5A">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 xml:space="preserve">Modelový príklad bol zvolený aj </w:t>
      </w:r>
      <w:r w:rsidR="00431D1B">
        <w:rPr>
          <w:rFonts w:ascii="Times New Roman" w:eastAsia="Calibri" w:hAnsi="Times New Roman" w:cs="Times New Roman"/>
          <w:bCs/>
          <w:iCs/>
          <w:color w:val="000000"/>
        </w:rPr>
        <w:t xml:space="preserve">v </w:t>
      </w:r>
      <w:r>
        <w:rPr>
          <w:rFonts w:ascii="Times New Roman" w:eastAsia="Calibri" w:hAnsi="Times New Roman" w:cs="Times New Roman"/>
          <w:bCs/>
          <w:iCs/>
          <w:color w:val="000000"/>
        </w:rPr>
        <w:t xml:space="preserve">Českej republike </w:t>
      </w:r>
      <w:r w:rsidR="00F71653">
        <w:rPr>
          <w:rFonts w:ascii="Times New Roman" w:eastAsia="Calibri" w:hAnsi="Times New Roman" w:cs="Times New Roman"/>
          <w:bCs/>
          <w:iCs/>
          <w:color w:val="000000"/>
        </w:rPr>
        <w:t>pri predkladaní návrhu zákona o </w:t>
      </w:r>
      <w:proofErr w:type="spellStart"/>
      <w:r w:rsidR="00F71653">
        <w:rPr>
          <w:rFonts w:ascii="Times New Roman" w:eastAsia="Calibri" w:hAnsi="Times New Roman" w:cs="Times New Roman"/>
          <w:bCs/>
          <w:iCs/>
          <w:color w:val="000000"/>
        </w:rPr>
        <w:t>hromadném</w:t>
      </w:r>
      <w:proofErr w:type="spellEnd"/>
      <w:r w:rsidR="00F71653">
        <w:rPr>
          <w:rFonts w:ascii="Times New Roman" w:eastAsia="Calibri" w:hAnsi="Times New Roman" w:cs="Times New Roman"/>
          <w:bCs/>
          <w:iCs/>
          <w:color w:val="000000"/>
        </w:rPr>
        <w:t xml:space="preserve"> </w:t>
      </w:r>
      <w:proofErr w:type="spellStart"/>
      <w:r w:rsidR="00F71653">
        <w:rPr>
          <w:rFonts w:ascii="Times New Roman" w:eastAsia="Calibri" w:hAnsi="Times New Roman" w:cs="Times New Roman"/>
          <w:bCs/>
          <w:iCs/>
          <w:color w:val="000000"/>
        </w:rPr>
        <w:t>řízení</w:t>
      </w:r>
      <w:proofErr w:type="spellEnd"/>
      <w:r w:rsidR="00F71653">
        <w:rPr>
          <w:rFonts w:ascii="Times New Roman" w:eastAsia="Calibri" w:hAnsi="Times New Roman" w:cs="Times New Roman"/>
          <w:bCs/>
          <w:iCs/>
          <w:color w:val="000000"/>
        </w:rPr>
        <w:t xml:space="preserve"> z roku 2020. Predpokladali</w:t>
      </w:r>
      <w:r w:rsidR="00431D1B">
        <w:rPr>
          <w:rFonts w:ascii="Times New Roman" w:eastAsia="Calibri" w:hAnsi="Times New Roman" w:cs="Times New Roman"/>
          <w:bCs/>
          <w:iCs/>
          <w:color w:val="000000"/>
        </w:rPr>
        <w:t xml:space="preserve"> výskyt</w:t>
      </w:r>
      <w:r w:rsidR="00F71653">
        <w:rPr>
          <w:rFonts w:ascii="Times New Roman" w:eastAsia="Calibri" w:hAnsi="Times New Roman" w:cs="Times New Roman"/>
          <w:bCs/>
          <w:iCs/>
          <w:color w:val="000000"/>
        </w:rPr>
        <w:t xml:space="preserve"> približne 50 hromadných udalostí ročne, na základe ktorých bude možné podať hromadnú žalobu. </w:t>
      </w:r>
    </w:p>
    <w:p w14:paraId="0186985E" w14:textId="7CB38B51" w:rsidR="00506F3B" w:rsidRPr="00506F3B" w:rsidRDefault="00506F3B" w:rsidP="00506F3B">
      <w:pPr>
        <w:jc w:val="both"/>
        <w:rPr>
          <w:rFonts w:ascii="Times New Roman" w:eastAsia="Calibri" w:hAnsi="Times New Roman" w:cs="Times New Roman"/>
          <w:bCs/>
          <w:iCs/>
          <w:color w:val="000000"/>
        </w:rPr>
      </w:pPr>
      <w:r w:rsidRPr="00506F3B">
        <w:rPr>
          <w:rFonts w:ascii="Times New Roman" w:eastAsia="Calibri" w:hAnsi="Times New Roman" w:cs="Times New Roman"/>
          <w:bCs/>
          <w:iCs/>
          <w:color w:val="000000"/>
        </w:rPr>
        <w:t xml:space="preserve">Typ administratívnych nákladov (časová náročnosť povinnosti) bol určený ako Alternatíva č. 2 na základe číselníka – </w:t>
      </w:r>
      <w:r w:rsidRPr="0060731C">
        <w:rPr>
          <w:rFonts w:ascii="Times New Roman" w:eastAsia="Calibri" w:hAnsi="Times New Roman" w:cs="Times New Roman"/>
          <w:bCs/>
          <w:iCs/>
          <w:color w:val="000000"/>
        </w:rPr>
        <w:t xml:space="preserve">Žiadosť/návrh vo frekvencii plnenia nepravidelne/jednorazovo, keďže </w:t>
      </w:r>
      <w:r>
        <w:rPr>
          <w:rFonts w:ascii="Times New Roman" w:eastAsia="Calibri" w:hAnsi="Times New Roman" w:cs="Times New Roman"/>
          <w:bCs/>
          <w:iCs/>
          <w:color w:val="000000"/>
        </w:rPr>
        <w:t>nie je predpoklad na pravidelné podávanie návrhov na začiatok konania o</w:t>
      </w:r>
      <w:r w:rsidR="00493A52">
        <w:rPr>
          <w:rFonts w:ascii="Times New Roman" w:eastAsia="Calibri" w:hAnsi="Times New Roman" w:cs="Times New Roman"/>
          <w:bCs/>
          <w:iCs/>
          <w:color w:val="000000"/>
        </w:rPr>
        <w:t xml:space="preserve"> </w:t>
      </w:r>
      <w:r>
        <w:rPr>
          <w:rFonts w:ascii="Times New Roman" w:eastAsia="Calibri" w:hAnsi="Times New Roman" w:cs="Times New Roman"/>
          <w:bCs/>
          <w:iCs/>
          <w:color w:val="000000"/>
        </w:rPr>
        <w:t>žalobe na ochranu kolektívnych záujmov spotrebiteľov zo strany oprávnených osôb voči obchodníkom, teda podnikateľským subjektom</w:t>
      </w:r>
      <w:r w:rsidRPr="0060731C">
        <w:rPr>
          <w:rFonts w:ascii="Times New Roman" w:eastAsia="Calibri" w:hAnsi="Times New Roman" w:cs="Times New Roman"/>
          <w:bCs/>
          <w:iCs/>
          <w:color w:val="000000"/>
        </w:rPr>
        <w:t>.</w:t>
      </w:r>
      <w:r w:rsidRPr="00506F3B">
        <w:rPr>
          <w:rFonts w:ascii="Times New Roman" w:eastAsia="Calibri" w:hAnsi="Times New Roman" w:cs="Times New Roman"/>
          <w:bCs/>
          <w:iCs/>
          <w:color w:val="000000"/>
        </w:rPr>
        <w:t xml:space="preserve"> </w:t>
      </w:r>
    </w:p>
    <w:p w14:paraId="62F5E830" w14:textId="66182FFE" w:rsidR="00EB2D7E" w:rsidRPr="0017193D" w:rsidRDefault="0017193D" w:rsidP="0017193D">
      <w:pPr>
        <w:pStyle w:val="Odsekzoznamu"/>
        <w:numPr>
          <w:ilvl w:val="0"/>
          <w:numId w:val="9"/>
        </w:numPr>
        <w:jc w:val="both"/>
        <w:rPr>
          <w:rFonts w:ascii="Times New Roman" w:eastAsia="Calibri" w:hAnsi="Times New Roman" w:cs="Times New Roman"/>
          <w:bCs/>
          <w:iCs/>
          <w:color w:val="000000"/>
        </w:rPr>
      </w:pPr>
      <w:r w:rsidRPr="0017193D">
        <w:rPr>
          <w:rFonts w:ascii="Times New Roman" w:hAnsi="Times New Roman" w:cs="Times New Roman"/>
          <w:color w:val="000000"/>
        </w:rPr>
        <w:t>sprístupnenie dôkazu</w:t>
      </w:r>
    </w:p>
    <w:p w14:paraId="7BCF9574" w14:textId="022D9FE2" w:rsidR="0017193D" w:rsidRDefault="0017193D" w:rsidP="0017193D">
      <w:pPr>
        <w:jc w:val="both"/>
        <w:rPr>
          <w:rFonts w:ascii="Times New Roman" w:eastAsia="Calibri" w:hAnsi="Times New Roman" w:cs="Times New Roman"/>
          <w:bCs/>
          <w:iCs/>
          <w:color w:val="000000"/>
        </w:rPr>
      </w:pPr>
      <w:r w:rsidRPr="0017193D">
        <w:rPr>
          <w:rFonts w:ascii="Times New Roman" w:eastAsia="Calibri" w:hAnsi="Times New Roman" w:cs="Times New Roman"/>
          <w:bCs/>
          <w:iCs/>
          <w:color w:val="000000"/>
        </w:rPr>
        <w:t xml:space="preserve">Sprístupnenie </w:t>
      </w:r>
      <w:r>
        <w:rPr>
          <w:rFonts w:ascii="Times New Roman" w:eastAsia="Calibri" w:hAnsi="Times New Roman" w:cs="Times New Roman"/>
          <w:bCs/>
          <w:iCs/>
          <w:color w:val="000000"/>
        </w:rPr>
        <w:t xml:space="preserve">dôkazu </w:t>
      </w:r>
      <w:r w:rsidR="00184981">
        <w:rPr>
          <w:rFonts w:ascii="Times New Roman" w:eastAsia="Calibri" w:hAnsi="Times New Roman" w:cs="Times New Roman"/>
          <w:bCs/>
          <w:iCs/>
          <w:color w:val="000000"/>
        </w:rPr>
        <w:t xml:space="preserve">zvyšuje </w:t>
      </w:r>
      <w:r w:rsidR="00FF4D29">
        <w:rPr>
          <w:rFonts w:ascii="Times New Roman" w:eastAsia="Calibri" w:hAnsi="Times New Roman" w:cs="Times New Roman"/>
          <w:bCs/>
          <w:iCs/>
          <w:color w:val="000000"/>
        </w:rPr>
        <w:t xml:space="preserve">administratívne </w:t>
      </w:r>
      <w:r w:rsidR="00184981">
        <w:rPr>
          <w:rFonts w:ascii="Times New Roman" w:eastAsia="Calibri" w:hAnsi="Times New Roman" w:cs="Times New Roman"/>
          <w:bCs/>
          <w:iCs/>
          <w:color w:val="000000"/>
        </w:rPr>
        <w:t>nák</w:t>
      </w:r>
      <w:r w:rsidR="00055538">
        <w:rPr>
          <w:rFonts w:ascii="Times New Roman" w:eastAsia="Calibri" w:hAnsi="Times New Roman" w:cs="Times New Roman"/>
          <w:bCs/>
          <w:iCs/>
          <w:color w:val="000000"/>
        </w:rPr>
        <w:t>lady podnikateľským subjektom. K</w:t>
      </w:r>
      <w:r w:rsidR="00184981">
        <w:rPr>
          <w:rFonts w:ascii="Times New Roman" w:eastAsia="Calibri" w:hAnsi="Times New Roman" w:cs="Times New Roman"/>
          <w:bCs/>
          <w:iCs/>
          <w:color w:val="000000"/>
        </w:rPr>
        <w:t xml:space="preserve">ategóriou </w:t>
      </w:r>
      <w:r w:rsidR="00055538">
        <w:rPr>
          <w:rFonts w:ascii="Times New Roman" w:eastAsia="Calibri" w:hAnsi="Times New Roman" w:cs="Times New Roman"/>
          <w:bCs/>
          <w:iCs/>
          <w:color w:val="000000"/>
        </w:rPr>
        <w:t xml:space="preserve">dotknutých </w:t>
      </w:r>
      <w:r w:rsidR="00184981">
        <w:rPr>
          <w:rFonts w:ascii="Times New Roman" w:eastAsia="Calibri" w:hAnsi="Times New Roman" w:cs="Times New Roman"/>
          <w:bCs/>
          <w:iCs/>
          <w:color w:val="000000"/>
        </w:rPr>
        <w:t xml:space="preserve">subjektov bol určený obchodník. </w:t>
      </w:r>
      <w:r w:rsidR="00055538">
        <w:rPr>
          <w:rFonts w:ascii="Times New Roman" w:eastAsia="Calibri" w:hAnsi="Times New Roman" w:cs="Times New Roman"/>
          <w:bCs/>
          <w:iCs/>
          <w:color w:val="000000"/>
        </w:rPr>
        <w:t>Zvyšovanie administratívnych ná</w:t>
      </w:r>
      <w:r w:rsidR="00FF4D29">
        <w:rPr>
          <w:rFonts w:ascii="Times New Roman" w:eastAsia="Calibri" w:hAnsi="Times New Roman" w:cs="Times New Roman"/>
          <w:bCs/>
          <w:iCs/>
          <w:color w:val="000000"/>
        </w:rPr>
        <w:t>kladov sa však d</w:t>
      </w:r>
      <w:r w:rsidR="00055538">
        <w:rPr>
          <w:rFonts w:ascii="Times New Roman" w:eastAsia="Calibri" w:hAnsi="Times New Roman" w:cs="Times New Roman"/>
          <w:bCs/>
          <w:iCs/>
          <w:color w:val="000000"/>
        </w:rPr>
        <w:t xml:space="preserve">otkne len tých, voči </w:t>
      </w:r>
      <w:r w:rsidR="004B43ED">
        <w:rPr>
          <w:rFonts w:ascii="Times New Roman" w:eastAsia="Calibri" w:hAnsi="Times New Roman" w:cs="Times New Roman"/>
          <w:bCs/>
          <w:iCs/>
          <w:color w:val="000000"/>
        </w:rPr>
        <w:t>ktorým sa začne konanie o</w:t>
      </w:r>
      <w:r w:rsidR="00493A52">
        <w:rPr>
          <w:rFonts w:ascii="Times New Roman" w:eastAsia="Calibri" w:hAnsi="Times New Roman" w:cs="Times New Roman"/>
          <w:bCs/>
          <w:iCs/>
          <w:color w:val="000000"/>
        </w:rPr>
        <w:t xml:space="preserve"> </w:t>
      </w:r>
      <w:r w:rsidR="004B43ED">
        <w:rPr>
          <w:rFonts w:ascii="Times New Roman" w:eastAsia="Calibri" w:hAnsi="Times New Roman" w:cs="Times New Roman"/>
          <w:bCs/>
          <w:iCs/>
          <w:color w:val="000000"/>
        </w:rPr>
        <w:t>žalobe na ochranu kolektívnych záujmov spotrebiteľov zo strany oprávnených osôb voči obchodníkom</w:t>
      </w:r>
      <w:r w:rsidR="00AC43C0">
        <w:rPr>
          <w:rFonts w:ascii="Times New Roman" w:eastAsia="Calibri" w:hAnsi="Times New Roman" w:cs="Times New Roman"/>
          <w:bCs/>
          <w:iCs/>
          <w:color w:val="000000"/>
        </w:rPr>
        <w:t xml:space="preserve">, a pri ktorých súd uloží strane sporu sprístupniť dôkazy. </w:t>
      </w:r>
    </w:p>
    <w:p w14:paraId="182664A4" w14:textId="1C7EBCC5" w:rsidR="00055538" w:rsidRDefault="00055538" w:rsidP="000708A1">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t>Keďže ide o</w:t>
      </w:r>
      <w:r w:rsidR="00493A52">
        <w:rPr>
          <w:rFonts w:ascii="Times New Roman" w:eastAsia="Calibri" w:hAnsi="Times New Roman" w:cs="Times New Roman"/>
          <w:bCs/>
          <w:iCs/>
          <w:color w:val="000000"/>
        </w:rPr>
        <w:t xml:space="preserve"> </w:t>
      </w:r>
      <w:r>
        <w:rPr>
          <w:rFonts w:ascii="Times New Roman" w:eastAsia="Calibri" w:hAnsi="Times New Roman" w:cs="Times New Roman"/>
          <w:bCs/>
          <w:iCs/>
          <w:color w:val="000000"/>
        </w:rPr>
        <w:t xml:space="preserve">nový právny predpis, počet dotknutých subjektov bol modelovo určený na 100. </w:t>
      </w:r>
      <w:r w:rsidRPr="00506F3B">
        <w:rPr>
          <w:rFonts w:ascii="Times New Roman" w:eastAsia="Calibri" w:hAnsi="Times New Roman" w:cs="Times New Roman"/>
          <w:bCs/>
          <w:iCs/>
          <w:color w:val="000000"/>
        </w:rPr>
        <w:t>Typ administratívnych nákladov (časová náročnosť povinnosti)</w:t>
      </w:r>
      <w:r>
        <w:rPr>
          <w:rFonts w:ascii="Times New Roman" w:eastAsia="Calibri" w:hAnsi="Times New Roman" w:cs="Times New Roman"/>
          <w:bCs/>
          <w:iCs/>
          <w:color w:val="000000"/>
        </w:rPr>
        <w:t xml:space="preserve"> bol aj v</w:t>
      </w:r>
      <w:r w:rsidR="00493A52">
        <w:rPr>
          <w:rFonts w:ascii="Times New Roman" w:eastAsia="Calibri" w:hAnsi="Times New Roman" w:cs="Times New Roman"/>
          <w:bCs/>
          <w:iCs/>
          <w:color w:val="000000"/>
        </w:rPr>
        <w:t xml:space="preserve"> </w:t>
      </w:r>
      <w:r>
        <w:rPr>
          <w:rFonts w:ascii="Times New Roman" w:eastAsia="Calibri" w:hAnsi="Times New Roman" w:cs="Times New Roman"/>
          <w:bCs/>
          <w:iCs/>
          <w:color w:val="000000"/>
        </w:rPr>
        <w:t>tomto prípade určený</w:t>
      </w:r>
      <w:r w:rsidRPr="000708A1">
        <w:rPr>
          <w:rFonts w:ascii="Times New Roman" w:eastAsia="Calibri" w:hAnsi="Times New Roman" w:cs="Times New Roman"/>
          <w:bCs/>
          <w:iCs/>
          <w:color w:val="000000"/>
        </w:rPr>
        <w:t xml:space="preserve"> </w:t>
      </w:r>
      <w:r>
        <w:rPr>
          <w:rFonts w:ascii="Times New Roman" w:eastAsia="Calibri" w:hAnsi="Times New Roman" w:cs="Times New Roman"/>
          <w:bCs/>
          <w:iCs/>
          <w:color w:val="000000"/>
        </w:rPr>
        <w:t xml:space="preserve">ako </w:t>
      </w:r>
      <w:r w:rsidR="000708A1" w:rsidRPr="000708A1">
        <w:rPr>
          <w:rFonts w:ascii="Times New Roman" w:eastAsia="Calibri" w:hAnsi="Times New Roman" w:cs="Times New Roman"/>
          <w:bCs/>
          <w:iCs/>
          <w:color w:val="000000"/>
        </w:rPr>
        <w:t>Alternatíva 2 z preddefinovaného číselníka – Poskytnutie súčinnosti</w:t>
      </w:r>
      <w:r>
        <w:rPr>
          <w:rFonts w:ascii="Times New Roman" w:eastAsia="Calibri" w:hAnsi="Times New Roman" w:cs="Times New Roman"/>
          <w:bCs/>
          <w:iCs/>
          <w:color w:val="000000"/>
        </w:rPr>
        <w:t>.</w:t>
      </w:r>
    </w:p>
    <w:p w14:paraId="3FEA0D1E" w14:textId="548B91E2" w:rsidR="000708A1" w:rsidRDefault="00055538" w:rsidP="000708A1">
      <w:pPr>
        <w:jc w:val="both"/>
        <w:rPr>
          <w:rFonts w:ascii="Times New Roman" w:eastAsia="Calibri" w:hAnsi="Times New Roman" w:cs="Times New Roman"/>
          <w:bCs/>
          <w:iCs/>
          <w:color w:val="000000"/>
        </w:rPr>
      </w:pPr>
      <w:r>
        <w:rPr>
          <w:rFonts w:ascii="Times New Roman" w:eastAsia="Calibri" w:hAnsi="Times New Roman" w:cs="Times New Roman"/>
          <w:bCs/>
          <w:iCs/>
          <w:color w:val="000000"/>
        </w:rPr>
        <w:lastRenderedPageBreak/>
        <w:t xml:space="preserve">Frekvencia plnenia bola stanovená na </w:t>
      </w:r>
      <w:r w:rsidR="000708A1" w:rsidRPr="000708A1">
        <w:rPr>
          <w:rFonts w:ascii="Times New Roman" w:eastAsia="Calibri" w:hAnsi="Times New Roman" w:cs="Times New Roman"/>
          <w:bCs/>
          <w:iCs/>
          <w:color w:val="000000"/>
        </w:rPr>
        <w:t xml:space="preserve">nepravidelne/jednorazovo. </w:t>
      </w:r>
      <w:r>
        <w:rPr>
          <w:rFonts w:ascii="Times New Roman" w:eastAsia="Calibri" w:hAnsi="Times New Roman" w:cs="Times New Roman"/>
          <w:bCs/>
          <w:iCs/>
          <w:color w:val="000000"/>
        </w:rPr>
        <w:t>Dôvodom je, že</w:t>
      </w:r>
      <w:r w:rsidR="00FF4D29">
        <w:rPr>
          <w:rFonts w:ascii="Times New Roman" w:eastAsia="Calibri" w:hAnsi="Times New Roman" w:cs="Times New Roman"/>
          <w:bCs/>
          <w:iCs/>
          <w:color w:val="000000"/>
        </w:rPr>
        <w:t xml:space="preserve"> sa </w:t>
      </w:r>
      <w:r>
        <w:rPr>
          <w:rFonts w:ascii="Times New Roman" w:eastAsia="Calibri" w:hAnsi="Times New Roman" w:cs="Times New Roman"/>
          <w:bCs/>
          <w:iCs/>
          <w:color w:val="000000"/>
        </w:rPr>
        <w:t>n</w:t>
      </w:r>
      <w:r w:rsidR="000708A1" w:rsidRPr="000708A1">
        <w:rPr>
          <w:rFonts w:ascii="Times New Roman" w:eastAsia="Calibri" w:hAnsi="Times New Roman" w:cs="Times New Roman"/>
          <w:bCs/>
          <w:iCs/>
          <w:color w:val="000000"/>
        </w:rPr>
        <w:t>epredpokladá pravidelné podávanie návrhov na začiatok konania o</w:t>
      </w:r>
      <w:r w:rsidR="00493A52">
        <w:rPr>
          <w:rFonts w:ascii="Times New Roman" w:eastAsia="Calibri" w:hAnsi="Times New Roman" w:cs="Times New Roman"/>
          <w:bCs/>
          <w:iCs/>
          <w:color w:val="000000"/>
        </w:rPr>
        <w:t xml:space="preserve"> </w:t>
      </w:r>
      <w:r w:rsidR="000708A1" w:rsidRPr="000708A1">
        <w:rPr>
          <w:rFonts w:ascii="Times New Roman" w:eastAsia="Calibri" w:hAnsi="Times New Roman" w:cs="Times New Roman"/>
          <w:bCs/>
          <w:iCs/>
          <w:color w:val="000000"/>
        </w:rPr>
        <w:t xml:space="preserve">žalobe na ochranu kolektívnych záujmov spotrebiteľov zo strany oprávnených osôb voči obchodníkom, teda podnikateľským subjektom. </w:t>
      </w:r>
    </w:p>
    <w:p w14:paraId="183D1906" w14:textId="450A831D" w:rsidR="007E22F1" w:rsidRPr="007E22F1" w:rsidRDefault="007E22F1" w:rsidP="007E22F1">
      <w:pPr>
        <w:pStyle w:val="Odsekzoznamu"/>
        <w:numPr>
          <w:ilvl w:val="0"/>
          <w:numId w:val="9"/>
        </w:numPr>
        <w:jc w:val="both"/>
        <w:rPr>
          <w:rFonts w:ascii="Times New Roman" w:eastAsia="Calibri" w:hAnsi="Times New Roman" w:cs="Times New Roman"/>
          <w:bCs/>
          <w:iCs/>
          <w:color w:val="000000"/>
        </w:rPr>
      </w:pPr>
      <w:r w:rsidRPr="007E22F1">
        <w:rPr>
          <w:rFonts w:ascii="Times New Roman" w:eastAsia="Calibri" w:hAnsi="Times New Roman" w:cs="Times New Roman"/>
          <w:bCs/>
          <w:iCs/>
          <w:color w:val="000000"/>
        </w:rPr>
        <w:t>zverejnenie rozsudku alebo opravného vyhlásenia</w:t>
      </w:r>
    </w:p>
    <w:p w14:paraId="31F3500C" w14:textId="02B6A162" w:rsidR="007E22F1" w:rsidRDefault="007E22F1" w:rsidP="007E22F1">
      <w:pPr>
        <w:jc w:val="both"/>
        <w:rPr>
          <w:rFonts w:ascii="Times New Roman" w:hAnsi="Times New Roman" w:cs="Times New Roman"/>
        </w:rPr>
      </w:pPr>
      <w:r>
        <w:rPr>
          <w:rFonts w:ascii="Times New Roman" w:eastAsia="Calibri" w:hAnsi="Times New Roman" w:cs="Times New Roman"/>
          <w:bCs/>
          <w:iCs/>
          <w:color w:val="000000"/>
        </w:rPr>
        <w:t>Zv</w:t>
      </w:r>
      <w:r w:rsidRPr="007E22F1">
        <w:rPr>
          <w:rFonts w:ascii="Times New Roman" w:eastAsia="Calibri" w:hAnsi="Times New Roman" w:cs="Times New Roman"/>
          <w:bCs/>
          <w:iCs/>
          <w:color w:val="000000"/>
        </w:rPr>
        <w:t>erejnenie rozsudku alebo opravného vyhlásenia</w:t>
      </w:r>
      <w:r>
        <w:rPr>
          <w:rFonts w:ascii="Times New Roman" w:eastAsia="Calibri" w:hAnsi="Times New Roman" w:cs="Times New Roman"/>
          <w:bCs/>
          <w:iCs/>
          <w:color w:val="000000"/>
        </w:rPr>
        <w:t xml:space="preserve"> </w:t>
      </w:r>
      <w:r w:rsidRPr="007E22F1">
        <w:rPr>
          <w:rFonts w:ascii="Times New Roman" w:hAnsi="Times New Roman" w:cs="Times New Roman"/>
        </w:rPr>
        <w:t xml:space="preserve">je regulácia, ktorá podnikateľskému sektoru bude zvyšovať </w:t>
      </w:r>
      <w:r w:rsidR="006834FA">
        <w:rPr>
          <w:rFonts w:ascii="Times New Roman" w:hAnsi="Times New Roman" w:cs="Times New Roman"/>
        </w:rPr>
        <w:t xml:space="preserve">administratívne </w:t>
      </w:r>
      <w:r w:rsidRPr="007E22F1">
        <w:rPr>
          <w:rFonts w:ascii="Times New Roman" w:hAnsi="Times New Roman" w:cs="Times New Roman"/>
        </w:rPr>
        <w:t xml:space="preserve">náklady. </w:t>
      </w:r>
    </w:p>
    <w:p w14:paraId="434772CC" w14:textId="6E7B0208" w:rsidR="007E22F1" w:rsidRPr="007E22F1" w:rsidRDefault="006834FA" w:rsidP="007E22F1">
      <w:pPr>
        <w:jc w:val="both"/>
        <w:rPr>
          <w:rFonts w:ascii="Times New Roman" w:eastAsia="Calibri" w:hAnsi="Times New Roman" w:cs="Times New Roman"/>
          <w:bCs/>
          <w:iCs/>
          <w:color w:val="000000"/>
        </w:rPr>
      </w:pPr>
      <w:r w:rsidRPr="00506F3B">
        <w:rPr>
          <w:rFonts w:ascii="Times New Roman" w:eastAsia="Calibri" w:hAnsi="Times New Roman" w:cs="Times New Roman"/>
          <w:bCs/>
          <w:iCs/>
          <w:color w:val="000000"/>
        </w:rPr>
        <w:t>Typ administratívnych nákladov (časová náročnosť povinnosti)</w:t>
      </w:r>
      <w:r>
        <w:rPr>
          <w:rFonts w:ascii="Times New Roman" w:eastAsia="Calibri" w:hAnsi="Times New Roman" w:cs="Times New Roman"/>
          <w:bCs/>
          <w:iCs/>
          <w:color w:val="000000"/>
        </w:rPr>
        <w:t xml:space="preserve"> bol zvolený ako </w:t>
      </w:r>
      <w:r w:rsidR="007E22F1" w:rsidRPr="007E22F1">
        <w:rPr>
          <w:rFonts w:ascii="Times New Roman" w:eastAsia="Calibri" w:hAnsi="Times New Roman" w:cs="Times New Roman"/>
          <w:bCs/>
          <w:iCs/>
          <w:color w:val="000000"/>
        </w:rPr>
        <w:t xml:space="preserve">Alternatíva 2 z preddefinovaného číselníka – Ohlásenie, oznámenie, poskytnutie informácie vo frekvencii plnenia nepravidelne/jednorazovo. Nepredpokladá sa pravidelné podávanie návrhov na začiatok konania o žalobe na ochranu kolektívnych záujmov spotrebiteľov zo strany oprávnených osôb voči obchodníkom, teda podnikateľským subjektom. </w:t>
      </w:r>
    </w:p>
    <w:p w14:paraId="270BD893" w14:textId="4E854B29" w:rsidR="007E22F1" w:rsidRPr="007E22F1" w:rsidRDefault="007E22F1" w:rsidP="007E22F1">
      <w:pPr>
        <w:jc w:val="both"/>
        <w:rPr>
          <w:rFonts w:ascii="Times New Roman" w:hAnsi="Times New Roman" w:cs="Times New Roman"/>
        </w:rPr>
      </w:pPr>
      <w:r w:rsidRPr="007E22F1">
        <w:rPr>
          <w:rFonts w:ascii="Times New Roman" w:hAnsi="Times New Roman" w:cs="Times New Roman"/>
        </w:rPr>
        <w:t>Kategóriou dotknutých subjektov bol označený obchodník. Ide však len o</w:t>
      </w:r>
      <w:r w:rsidR="00493A52">
        <w:rPr>
          <w:rFonts w:ascii="Times New Roman" w:hAnsi="Times New Roman" w:cs="Times New Roman"/>
        </w:rPr>
        <w:t xml:space="preserve"> </w:t>
      </w:r>
      <w:r w:rsidRPr="007E22F1">
        <w:rPr>
          <w:rFonts w:ascii="Times New Roman" w:hAnsi="Times New Roman" w:cs="Times New Roman"/>
        </w:rPr>
        <w:t>časť subjektov – teda tých, voči ktorým na jednej strane bude podaný návrh na začatie konania o žalobe na ochranu kolektívnych záujmov spotrebiteľov zo strany oprávnených osôb voči obchodníkom a</w:t>
      </w:r>
      <w:r w:rsidR="00493A52">
        <w:rPr>
          <w:rFonts w:ascii="Times New Roman" w:hAnsi="Times New Roman" w:cs="Times New Roman"/>
        </w:rPr>
        <w:t xml:space="preserve"> </w:t>
      </w:r>
      <w:r w:rsidRPr="007E22F1">
        <w:rPr>
          <w:rFonts w:ascii="Times New Roman" w:hAnsi="Times New Roman" w:cs="Times New Roman"/>
        </w:rPr>
        <w:t xml:space="preserve">na druhej strane, voči ktorým súd právoplatne </w:t>
      </w:r>
      <w:r w:rsidR="00C506BE">
        <w:rPr>
          <w:rFonts w:ascii="Times New Roman" w:hAnsi="Times New Roman" w:cs="Times New Roman"/>
        </w:rPr>
        <w:t xml:space="preserve">určil neprijateľnosť zmluvnej podmienky, alebo </w:t>
      </w:r>
      <w:r w:rsidR="00493A52">
        <w:rPr>
          <w:rFonts w:ascii="Times New Roman" w:hAnsi="Times New Roman" w:cs="Times New Roman"/>
        </w:rPr>
        <w:t xml:space="preserve">že </w:t>
      </w:r>
      <w:r w:rsidR="00C506BE">
        <w:rPr>
          <w:rFonts w:ascii="Times New Roman" w:hAnsi="Times New Roman" w:cs="Times New Roman"/>
        </w:rPr>
        <w:t>d</w:t>
      </w:r>
      <w:r w:rsidR="00493A52">
        <w:rPr>
          <w:rFonts w:ascii="Times New Roman" w:hAnsi="Times New Roman" w:cs="Times New Roman"/>
        </w:rPr>
        <w:t>ošlo</w:t>
      </w:r>
      <w:r w:rsidR="00C506BE">
        <w:rPr>
          <w:rFonts w:ascii="Times New Roman" w:hAnsi="Times New Roman" w:cs="Times New Roman"/>
        </w:rPr>
        <w:t xml:space="preserve"> k</w:t>
      </w:r>
      <w:r w:rsidR="00493A52">
        <w:rPr>
          <w:rFonts w:ascii="Times New Roman" w:hAnsi="Times New Roman" w:cs="Times New Roman"/>
        </w:rPr>
        <w:t xml:space="preserve"> </w:t>
      </w:r>
      <w:r w:rsidR="00C506BE">
        <w:rPr>
          <w:rFonts w:ascii="Times New Roman" w:hAnsi="Times New Roman" w:cs="Times New Roman"/>
        </w:rPr>
        <w:t xml:space="preserve">porušovaniu právnych predpisov na ochranu spotrebiteľa. </w:t>
      </w:r>
    </w:p>
    <w:p w14:paraId="0C80386D" w14:textId="7643AFF2" w:rsidR="007E22F1" w:rsidRPr="00C506BE" w:rsidRDefault="007E22F1" w:rsidP="00C506BE">
      <w:pPr>
        <w:jc w:val="both"/>
        <w:rPr>
          <w:rFonts w:ascii="Times New Roman" w:eastAsia="Calibri" w:hAnsi="Times New Roman" w:cs="Times New Roman"/>
          <w:bCs/>
          <w:iCs/>
          <w:color w:val="000000"/>
        </w:rPr>
      </w:pPr>
      <w:r w:rsidRPr="00C506BE">
        <w:rPr>
          <w:rFonts w:ascii="Times New Roman" w:hAnsi="Times New Roman" w:cs="Times New Roman"/>
        </w:rPr>
        <w:t>Aj preto počet subjektov bol určený na 80. Ide o</w:t>
      </w:r>
      <w:r w:rsidR="00493A52">
        <w:rPr>
          <w:rFonts w:ascii="Times New Roman" w:hAnsi="Times New Roman" w:cs="Times New Roman"/>
        </w:rPr>
        <w:t xml:space="preserve"> </w:t>
      </w:r>
      <w:r w:rsidRPr="00C506BE">
        <w:rPr>
          <w:rFonts w:ascii="Times New Roman" w:hAnsi="Times New Roman" w:cs="Times New Roman"/>
        </w:rPr>
        <w:t>číslo určené expertným odhadom, keďže počet vybavených vecí v</w:t>
      </w:r>
      <w:r w:rsidR="00493A52">
        <w:rPr>
          <w:rFonts w:ascii="Times New Roman" w:hAnsi="Times New Roman" w:cs="Times New Roman"/>
        </w:rPr>
        <w:t xml:space="preserve"> </w:t>
      </w:r>
      <w:r w:rsidRPr="00C506BE">
        <w:rPr>
          <w:rFonts w:ascii="Times New Roman" w:hAnsi="Times New Roman" w:cs="Times New Roman"/>
        </w:rPr>
        <w:t xml:space="preserve">registri </w:t>
      </w:r>
      <w:r w:rsidR="00E97A2A" w:rsidRPr="00E97A2A">
        <w:rPr>
          <w:rFonts w:ascii="Times New Roman" w:eastAsia="Calibri" w:hAnsi="Times New Roman" w:cs="Times New Roman"/>
          <w:bCs/>
          <w:iCs/>
          <w:color w:val="000000"/>
        </w:rPr>
        <w:t>„C“ – Súdny register prvostupňovej agendy krajských súdov</w:t>
      </w:r>
      <w:r w:rsidR="006834FA">
        <w:rPr>
          <w:rFonts w:ascii="Times New Roman" w:eastAsia="Calibri" w:hAnsi="Times New Roman" w:cs="Times New Roman"/>
          <w:bCs/>
          <w:iCs/>
          <w:color w:val="000000"/>
        </w:rPr>
        <w:t xml:space="preserve"> </w:t>
      </w:r>
      <w:r w:rsidRPr="00C506BE">
        <w:rPr>
          <w:rFonts w:ascii="Times New Roman" w:eastAsia="Calibri" w:hAnsi="Times New Roman" w:cs="Times New Roman"/>
          <w:bCs/>
          <w:iCs/>
          <w:color w:val="000000"/>
        </w:rPr>
        <w:t>– do ktorého sa zapisuje žaloba v</w:t>
      </w:r>
      <w:r w:rsidR="00493A52">
        <w:rPr>
          <w:rFonts w:ascii="Times New Roman" w:eastAsia="Calibri" w:hAnsi="Times New Roman" w:cs="Times New Roman"/>
          <w:bCs/>
          <w:iCs/>
          <w:color w:val="000000"/>
        </w:rPr>
        <w:t xml:space="preserve"> </w:t>
      </w:r>
      <w:r w:rsidRPr="00C506BE">
        <w:rPr>
          <w:rFonts w:ascii="Times New Roman" w:eastAsia="Calibri" w:hAnsi="Times New Roman" w:cs="Times New Roman"/>
          <w:bCs/>
          <w:iCs/>
          <w:color w:val="000000"/>
        </w:rPr>
        <w:t>konaní o</w:t>
      </w:r>
      <w:r w:rsidR="00493A52">
        <w:rPr>
          <w:rFonts w:ascii="Times New Roman" w:eastAsia="Calibri" w:hAnsi="Times New Roman" w:cs="Times New Roman"/>
          <w:bCs/>
          <w:iCs/>
          <w:color w:val="000000"/>
        </w:rPr>
        <w:t xml:space="preserve"> </w:t>
      </w:r>
      <w:r w:rsidRPr="00C506BE">
        <w:rPr>
          <w:rFonts w:ascii="Times New Roman" w:eastAsia="Calibri" w:hAnsi="Times New Roman" w:cs="Times New Roman"/>
          <w:bCs/>
          <w:iCs/>
          <w:color w:val="000000"/>
        </w:rPr>
        <w:t>abstraktnej kontrole v</w:t>
      </w:r>
      <w:r w:rsidR="00493A52">
        <w:rPr>
          <w:rFonts w:ascii="Times New Roman" w:eastAsia="Calibri" w:hAnsi="Times New Roman" w:cs="Times New Roman"/>
          <w:bCs/>
          <w:iCs/>
          <w:color w:val="000000"/>
        </w:rPr>
        <w:t xml:space="preserve"> </w:t>
      </w:r>
      <w:r w:rsidRPr="00C506BE">
        <w:rPr>
          <w:rFonts w:ascii="Times New Roman" w:eastAsia="Calibri" w:hAnsi="Times New Roman" w:cs="Times New Roman"/>
          <w:bCs/>
          <w:iCs/>
          <w:color w:val="000000"/>
        </w:rPr>
        <w:t xml:space="preserve">spotrebiteľských veciach za obdobie rokov 2018 – 2021 bol spolu 100. </w:t>
      </w:r>
    </w:p>
    <w:p w14:paraId="42CD176F" w14:textId="57ACD2EA"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w:t>
      </w:r>
      <w:r w:rsidR="00493A52">
        <w:rPr>
          <w:rFonts w:ascii="Times New Roman" w:eastAsia="Calibri" w:hAnsi="Times New Roman" w:cs="Times New Roman"/>
          <w:b/>
          <w:sz w:val="24"/>
          <w:szCs w:val="24"/>
        </w:rPr>
        <w:t xml:space="preserve"> </w:t>
      </w:r>
      <w:r w:rsidRPr="001F1B43">
        <w:rPr>
          <w:rFonts w:ascii="Times New Roman" w:eastAsia="Calibri" w:hAnsi="Times New Roman" w:cs="Times New Roman"/>
          <w:b/>
          <w:sz w:val="24"/>
          <w:szCs w:val="24"/>
        </w:rPr>
        <w:t>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61AC6A20"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2E702E49" w14:textId="03B3CEB4" w:rsidR="00AB6C70" w:rsidRDefault="00AB6C70" w:rsidP="00054C41">
      <w:pPr>
        <w:spacing w:after="0"/>
        <w:jc w:val="both"/>
        <w:rPr>
          <w:rFonts w:ascii="Times New Roman" w:eastAsia="Calibri" w:hAnsi="Times New Roman" w:cs="Times New Roman"/>
          <w:i/>
          <w:sz w:val="24"/>
          <w:szCs w:val="24"/>
        </w:rPr>
      </w:pPr>
    </w:p>
    <w:p w14:paraId="646DAF01" w14:textId="5C3BBE3E" w:rsidR="00E97A2A" w:rsidRDefault="00AB6C70" w:rsidP="00E97A2A">
      <w:pPr>
        <w:jc w:val="both"/>
        <w:rPr>
          <w:rFonts w:ascii="Times New Roman" w:hAnsi="Times New Roman" w:cs="Times New Roman"/>
        </w:rPr>
      </w:pPr>
      <w:r w:rsidRPr="00E97A2A">
        <w:rPr>
          <w:rFonts w:ascii="Times New Roman" w:hAnsi="Times New Roman" w:cs="Times New Roman"/>
        </w:rPr>
        <w:t>Verejnosť bola o príprave návrhu zákona o žalobách na ochranu kolektívnych záujmov spotrebiteľov informovaná prostredníctvom predbežnej informácie PI/2021/248 zverejnenej na portáli Slov-lex v období od 05.11.2021 do 19.11.2021 (dostupné na </w:t>
      </w:r>
      <w:hyperlink r:id="rId16" w:tgtFrame="_blank" w:history="1">
        <w:r w:rsidRPr="00E97A2A">
          <w:rPr>
            <w:rFonts w:ascii="Times New Roman" w:hAnsi="Times New Roman" w:cs="Times New Roman"/>
          </w:rPr>
          <w:t>https://www.slov-lex.sk/legislativne-procesy/SK/PI/2021/248</w:t>
        </w:r>
      </w:hyperlink>
      <w:r w:rsidRPr="00E97A2A">
        <w:rPr>
          <w:rFonts w:ascii="Times New Roman" w:hAnsi="Times New Roman" w:cs="Times New Roman"/>
        </w:rPr>
        <w:t xml:space="preserve">). </w:t>
      </w:r>
    </w:p>
    <w:p w14:paraId="4B509848" w14:textId="77777777" w:rsidR="00EC3B8F" w:rsidRDefault="00AB6C70" w:rsidP="00E97A2A">
      <w:pPr>
        <w:jc w:val="both"/>
        <w:rPr>
          <w:rFonts w:ascii="Times New Roman" w:hAnsi="Times New Roman" w:cs="Times New Roman"/>
        </w:rPr>
      </w:pPr>
      <w:r w:rsidRPr="00E97A2A">
        <w:rPr>
          <w:rFonts w:ascii="Times New Roman" w:hAnsi="Times New Roman" w:cs="Times New Roman"/>
        </w:rPr>
        <w:t xml:space="preserve">V rámci tejto lehoty reagovali na prípravu návrhu zákona združenia na ochranu spotrebiteľov, ktoré prejavili svoj záujem zapojiť sa do prípravy návrhu ale aj ako oprávnené osoby (na podávanie žalôb podľa nového zákona), pričom niektoré zaslali aj svoje návrhy a podklady, ktoré v niektorých častiach slúžili na inšpiráciu pri príprave návrhu zákona. </w:t>
      </w:r>
    </w:p>
    <w:p w14:paraId="262184BF" w14:textId="2E6731F3" w:rsidR="00E97A2A" w:rsidRDefault="00AB6C70" w:rsidP="00E97A2A">
      <w:pPr>
        <w:jc w:val="both"/>
        <w:rPr>
          <w:rFonts w:ascii="Times New Roman" w:hAnsi="Times New Roman" w:cs="Times New Roman"/>
        </w:rPr>
      </w:pPr>
      <w:r w:rsidRPr="00E97A2A">
        <w:rPr>
          <w:rFonts w:ascii="Times New Roman" w:hAnsi="Times New Roman" w:cs="Times New Roman"/>
        </w:rPr>
        <w:t>Taktiež sa ozvala Slovenská banková asociácia (SBA), s</w:t>
      </w:r>
      <w:r w:rsidR="00493A52">
        <w:rPr>
          <w:rFonts w:ascii="Times New Roman" w:hAnsi="Times New Roman" w:cs="Times New Roman"/>
        </w:rPr>
        <w:t xml:space="preserve"> </w:t>
      </w:r>
      <w:r w:rsidRPr="00E97A2A">
        <w:rPr>
          <w:rFonts w:ascii="Times New Roman" w:hAnsi="Times New Roman" w:cs="Times New Roman"/>
        </w:rPr>
        <w:t>ktorou sa uskutočnilo dňa 26. novembra 2021 online stretnutie, na ktorom sa pokračovalo v už začatých konzultáciách, ktoré sa začali prvým informatívnym stretnutím v</w:t>
      </w:r>
      <w:r w:rsidR="00493A52">
        <w:rPr>
          <w:rFonts w:ascii="Times New Roman" w:hAnsi="Times New Roman" w:cs="Times New Roman"/>
        </w:rPr>
        <w:t xml:space="preserve"> </w:t>
      </w:r>
      <w:r w:rsidRPr="00E97A2A">
        <w:rPr>
          <w:rFonts w:ascii="Times New Roman" w:hAnsi="Times New Roman" w:cs="Times New Roman"/>
        </w:rPr>
        <w:t xml:space="preserve">auguste 2021 ohľadom tvorby cit. zákona, ktorým sa transponuje smernica </w:t>
      </w:r>
      <w:r w:rsidRPr="00E97A2A">
        <w:rPr>
          <w:rFonts w:ascii="Times New Roman" w:hAnsi="Times New Roman" w:cs="Times New Roman"/>
        </w:rPr>
        <w:lastRenderedPageBreak/>
        <w:t xml:space="preserve">Európskeho parlamentu a Rady (EÚ) 2020/1828 z 25. novembra 2020 o žalobách v zastúpení na ochranu kolektívnych záujmov spotrebiteľov a o zrušení smernice 2009/22/ES. </w:t>
      </w:r>
    </w:p>
    <w:p w14:paraId="008DD205" w14:textId="2D72F5F6" w:rsidR="00E97A2A" w:rsidRDefault="00AB6C70" w:rsidP="00E97A2A">
      <w:pPr>
        <w:jc w:val="both"/>
        <w:rPr>
          <w:rFonts w:ascii="Times New Roman" w:hAnsi="Times New Roman" w:cs="Times New Roman"/>
        </w:rPr>
      </w:pPr>
      <w:r w:rsidRPr="00E97A2A">
        <w:rPr>
          <w:rFonts w:ascii="Times New Roman" w:hAnsi="Times New Roman" w:cs="Times New Roman"/>
        </w:rPr>
        <w:t>V rámci konzultácií vyjadrila SBA niektoré obavy, ktoré spája s novou právnou úpravou a bolo dohodnuté, že okruhy problémov zašlú písomne. Následne prebehla emailová komunikácia so SBA. Predkladateľ niektoré z</w:t>
      </w:r>
      <w:r w:rsidR="00493A52">
        <w:rPr>
          <w:rFonts w:ascii="Times New Roman" w:hAnsi="Times New Roman" w:cs="Times New Roman"/>
        </w:rPr>
        <w:t xml:space="preserve"> </w:t>
      </w:r>
      <w:r w:rsidRPr="00E97A2A">
        <w:rPr>
          <w:rFonts w:ascii="Times New Roman" w:hAnsi="Times New Roman" w:cs="Times New Roman"/>
        </w:rPr>
        <w:t xml:space="preserve">týchto okruhov zohľadnil (napr. obava pred systémom </w:t>
      </w:r>
      <w:proofErr w:type="spellStart"/>
      <w:r w:rsidRPr="00E97A2A">
        <w:rPr>
          <w:rFonts w:ascii="Times New Roman" w:hAnsi="Times New Roman" w:cs="Times New Roman"/>
        </w:rPr>
        <w:t>opt-out</w:t>
      </w:r>
      <w:proofErr w:type="spellEnd"/>
      <w:r w:rsidRPr="00E97A2A">
        <w:rPr>
          <w:rFonts w:ascii="Times New Roman" w:hAnsi="Times New Roman" w:cs="Times New Roman"/>
        </w:rPr>
        <w:t xml:space="preserve">, financovaním sporov tretími stranami, špekulatívnymi žalobami, a pod.) pri príprave návrhu zákona a obavy SBA rozptýlil. </w:t>
      </w:r>
    </w:p>
    <w:p w14:paraId="240D8950" w14:textId="25388C0C" w:rsidR="00AB6C70" w:rsidRDefault="00AB6C70" w:rsidP="00E97A2A">
      <w:pPr>
        <w:jc w:val="both"/>
        <w:rPr>
          <w:rFonts w:ascii="Times New Roman" w:hAnsi="Times New Roman" w:cs="Times New Roman"/>
        </w:rPr>
      </w:pPr>
      <w:r w:rsidRPr="00E97A2A">
        <w:rPr>
          <w:rFonts w:ascii="Times New Roman" w:hAnsi="Times New Roman" w:cs="Times New Roman"/>
        </w:rPr>
        <w:t>Posledná konzultácia so SBA sa uskutočnila dňa 18.7.2022, kedy im bol zaslaný návrh zákona v paragrafovom znení, pričom bolo dohodnuté, že SBA pošle aj písomné pripomienky k</w:t>
      </w:r>
      <w:r w:rsidR="00493A52">
        <w:rPr>
          <w:rFonts w:ascii="Times New Roman" w:hAnsi="Times New Roman" w:cs="Times New Roman"/>
        </w:rPr>
        <w:t xml:space="preserve"> </w:t>
      </w:r>
      <w:r w:rsidRPr="00E97A2A">
        <w:rPr>
          <w:rFonts w:ascii="Times New Roman" w:hAnsi="Times New Roman" w:cs="Times New Roman"/>
        </w:rPr>
        <w:t>návrhu zákona. Tieto boli zaslané dňa 27.7.2022 a</w:t>
      </w:r>
      <w:r w:rsidR="00493A52">
        <w:rPr>
          <w:rFonts w:ascii="Times New Roman" w:hAnsi="Times New Roman" w:cs="Times New Roman"/>
        </w:rPr>
        <w:t xml:space="preserve"> </w:t>
      </w:r>
      <w:r w:rsidRPr="00E97A2A">
        <w:rPr>
          <w:rFonts w:ascii="Times New Roman" w:hAnsi="Times New Roman" w:cs="Times New Roman"/>
        </w:rPr>
        <w:t>niektoré z</w:t>
      </w:r>
      <w:r w:rsidR="00493A52">
        <w:rPr>
          <w:rFonts w:ascii="Times New Roman" w:hAnsi="Times New Roman" w:cs="Times New Roman"/>
        </w:rPr>
        <w:t xml:space="preserve"> </w:t>
      </w:r>
      <w:r w:rsidRPr="00E97A2A">
        <w:rPr>
          <w:rFonts w:ascii="Times New Roman" w:hAnsi="Times New Roman" w:cs="Times New Roman"/>
        </w:rPr>
        <w:t>nich boli úplne alebo čiastočne zapracované do predkladaného návrhu zákona.</w:t>
      </w: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2D125005"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3294A3AA" w14:textId="77777777" w:rsidR="00C20AF7" w:rsidRDefault="00C20AF7" w:rsidP="00054C41">
      <w:pPr>
        <w:spacing w:after="0"/>
        <w:jc w:val="both"/>
        <w:rPr>
          <w:rFonts w:ascii="Times New Roman" w:eastAsia="Calibri" w:hAnsi="Times New Roman" w:cs="Times New Roman"/>
          <w:i/>
          <w:iCs/>
          <w:sz w:val="24"/>
          <w:szCs w:val="24"/>
        </w:rPr>
      </w:pPr>
    </w:p>
    <w:p w14:paraId="466683CA" w14:textId="77777777" w:rsidR="00C20AF7" w:rsidRPr="00D8247C" w:rsidRDefault="00C20AF7" w:rsidP="00C20AF7">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5DAA7C3" w14:textId="77777777" w:rsidR="00C20AF7" w:rsidRPr="00D8247C" w:rsidRDefault="00C20AF7" w:rsidP="00C20AF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5C789545" w14:textId="1062CA58" w:rsidR="00C20AF7" w:rsidRDefault="003B382E" w:rsidP="00C20AF7">
      <w:pPr>
        <w:spacing w:before="100" w:beforeAutospacing="1" w:after="100" w:afterAutospacing="1"/>
        <w:jc w:val="both"/>
        <w:rPr>
          <w:rFonts w:ascii="Times New Roman" w:eastAsia="Calibri" w:hAnsi="Times New Roman" w:cs="Times New Roman"/>
          <w:iCs/>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C20AF7" w:rsidRPr="00D8247C">
                <w:rPr>
                  <w:rFonts w:ascii="Segoe UI Symbol" w:eastAsia="Calibri" w:hAnsi="Segoe UI Symbol" w:cs="Segoe UI Symbol"/>
                  <w:i/>
                  <w:sz w:val="24"/>
                  <w:szCs w:val="24"/>
                </w:rPr>
                <w:t>☐</w:t>
              </w:r>
            </w:sdtContent>
          </w:sdt>
        </w:sdtContent>
      </w:sdt>
      <w:r w:rsidR="00C20AF7" w:rsidRPr="00D8247C">
        <w:rPr>
          <w:rFonts w:ascii="Times New Roman" w:eastAsia="Calibri" w:hAnsi="Times New Roman" w:cs="Times New Roman"/>
          <w:i/>
          <w:sz w:val="24"/>
          <w:szCs w:val="24"/>
        </w:rPr>
        <w:t xml:space="preserve"> zvyšuje  </w:t>
      </w:r>
      <w:r w:rsidR="00C20AF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C20AF7">
                <w:rPr>
                  <w:rFonts w:ascii="Segoe UI Symbol" w:eastAsia="Calibri" w:hAnsi="Segoe UI Symbol" w:cs="Segoe UI Symbol"/>
                  <w:i/>
                  <w:sz w:val="24"/>
                  <w:szCs w:val="24"/>
                </w:rPr>
                <w:t>⌧</w:t>
              </w:r>
            </w:sdtContent>
          </w:sdt>
        </w:sdtContent>
      </w:sdt>
      <w:r w:rsidR="00C20AF7" w:rsidRPr="00D8247C">
        <w:rPr>
          <w:rFonts w:ascii="Times New Roman" w:eastAsia="Calibri" w:hAnsi="Times New Roman" w:cs="Times New Roman"/>
          <w:i/>
          <w:sz w:val="24"/>
          <w:szCs w:val="24"/>
        </w:rPr>
        <w:t xml:space="preserve"> nemení</w:t>
      </w:r>
      <w:r w:rsidR="00C20AF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C20AF7" w:rsidRPr="00D8247C">
                <w:rPr>
                  <w:rFonts w:ascii="Segoe UI Symbol" w:eastAsia="Calibri" w:hAnsi="Segoe UI Symbol" w:cs="Segoe UI Symbol"/>
                  <w:i/>
                  <w:sz w:val="24"/>
                  <w:szCs w:val="24"/>
                </w:rPr>
                <w:t>☐</w:t>
              </w:r>
            </w:sdtContent>
          </w:sdt>
        </w:sdtContent>
      </w:sdt>
      <w:r w:rsidR="00C20AF7" w:rsidRPr="00D8247C">
        <w:rPr>
          <w:rFonts w:ascii="Times New Roman" w:eastAsia="Calibri" w:hAnsi="Times New Roman" w:cs="Times New Roman"/>
          <w:i/>
          <w:sz w:val="24"/>
          <w:szCs w:val="24"/>
        </w:rPr>
        <w:t xml:space="preserve"> znižuje</w:t>
      </w:r>
    </w:p>
    <w:p w14:paraId="2836CF73" w14:textId="13EC7D73" w:rsidR="00C20AF7" w:rsidRDefault="00C20AF7" w:rsidP="00AB6C70">
      <w:pPr>
        <w:spacing w:before="100" w:beforeAutospacing="1" w:after="100" w:afterAutospacing="1" w:line="276" w:lineRule="auto"/>
        <w:jc w:val="both"/>
        <w:rPr>
          <w:rFonts w:ascii="Times New Roman" w:eastAsia="Calibri" w:hAnsi="Times New Roman" w:cs="Times New Roman"/>
          <w:iCs/>
          <w:sz w:val="24"/>
          <w:szCs w:val="24"/>
        </w:rPr>
      </w:pPr>
      <w:r w:rsidRPr="00EE19C7">
        <w:rPr>
          <w:rFonts w:ascii="Times New Roman" w:eastAsia="Calibri" w:hAnsi="Times New Roman" w:cs="Times New Roman"/>
          <w:iCs/>
          <w:sz w:val="24"/>
          <w:szCs w:val="24"/>
        </w:rPr>
        <w:t xml:space="preserve">Predkladaná legislatívna úprava nevytvára ani nemení bariéry na trhu. Takisto nezavádza osobitné režimy pre </w:t>
      </w:r>
      <w:proofErr w:type="spellStart"/>
      <w:r w:rsidRPr="00EE19C7">
        <w:rPr>
          <w:rFonts w:ascii="Times New Roman" w:eastAsia="Calibri" w:hAnsi="Times New Roman" w:cs="Times New Roman"/>
          <w:iCs/>
          <w:sz w:val="24"/>
          <w:szCs w:val="24"/>
        </w:rPr>
        <w:t>mikro</w:t>
      </w:r>
      <w:proofErr w:type="spellEnd"/>
      <w:r w:rsidRPr="00EE19C7">
        <w:rPr>
          <w:rFonts w:ascii="Times New Roman" w:eastAsia="Calibri" w:hAnsi="Times New Roman" w:cs="Times New Roman"/>
          <w:iCs/>
          <w:sz w:val="24"/>
          <w:szCs w:val="24"/>
        </w:rPr>
        <w:t>, malé a</w:t>
      </w:r>
      <w:r w:rsidR="00493A52">
        <w:rPr>
          <w:rFonts w:ascii="Times New Roman" w:eastAsia="Calibri" w:hAnsi="Times New Roman" w:cs="Times New Roman"/>
          <w:iCs/>
          <w:sz w:val="24"/>
          <w:szCs w:val="24"/>
        </w:rPr>
        <w:t xml:space="preserve"> </w:t>
      </w:r>
      <w:r w:rsidRPr="00EE19C7">
        <w:rPr>
          <w:rFonts w:ascii="Times New Roman" w:eastAsia="Calibri" w:hAnsi="Times New Roman" w:cs="Times New Roman"/>
          <w:iCs/>
          <w:sz w:val="24"/>
          <w:szCs w:val="24"/>
        </w:rPr>
        <w:t xml:space="preserve">stredné podniky. </w:t>
      </w:r>
      <w:r w:rsidR="002A13A3">
        <w:rPr>
          <w:rFonts w:ascii="Times New Roman" w:eastAsia="Calibri" w:hAnsi="Times New Roman" w:cs="Times New Roman"/>
          <w:iCs/>
          <w:sz w:val="24"/>
          <w:szCs w:val="24"/>
        </w:rPr>
        <w:t xml:space="preserve">Navrhovaný právny predpis zavádza regulácie pre všetky typy podnikov rovnako. </w:t>
      </w:r>
      <w:r w:rsidRPr="00EE19C7">
        <w:rPr>
          <w:rFonts w:ascii="Times New Roman" w:eastAsia="Calibri" w:hAnsi="Times New Roman" w:cs="Times New Roman"/>
          <w:iCs/>
          <w:sz w:val="24"/>
          <w:szCs w:val="24"/>
        </w:rPr>
        <w:t>Predkladan</w:t>
      </w:r>
      <w:r w:rsidR="002A13A3">
        <w:rPr>
          <w:rFonts w:ascii="Times New Roman" w:eastAsia="Calibri" w:hAnsi="Times New Roman" w:cs="Times New Roman"/>
          <w:iCs/>
          <w:sz w:val="24"/>
          <w:szCs w:val="24"/>
        </w:rPr>
        <w:t>ý</w:t>
      </w:r>
      <w:r w:rsidRPr="00EE19C7">
        <w:rPr>
          <w:rFonts w:ascii="Times New Roman" w:eastAsia="Calibri" w:hAnsi="Times New Roman" w:cs="Times New Roman"/>
          <w:iCs/>
          <w:sz w:val="24"/>
          <w:szCs w:val="24"/>
        </w:rPr>
        <w:t xml:space="preserve"> legislatívn</w:t>
      </w:r>
      <w:r w:rsidR="002A13A3">
        <w:rPr>
          <w:rFonts w:ascii="Times New Roman" w:eastAsia="Calibri" w:hAnsi="Times New Roman" w:cs="Times New Roman"/>
          <w:iCs/>
          <w:sz w:val="24"/>
          <w:szCs w:val="24"/>
        </w:rPr>
        <w:t xml:space="preserve">y návrh </w:t>
      </w:r>
      <w:r>
        <w:rPr>
          <w:rFonts w:ascii="Times New Roman" w:eastAsia="Calibri" w:hAnsi="Times New Roman" w:cs="Times New Roman"/>
          <w:iCs/>
          <w:sz w:val="24"/>
          <w:szCs w:val="24"/>
        </w:rPr>
        <w:t xml:space="preserve">tiež nebude mať </w:t>
      </w:r>
      <w:r w:rsidRPr="00EE19C7">
        <w:rPr>
          <w:rFonts w:ascii="Times New Roman" w:eastAsia="Calibri" w:hAnsi="Times New Roman" w:cs="Times New Roman"/>
          <w:iCs/>
          <w:sz w:val="24"/>
          <w:szCs w:val="24"/>
        </w:rPr>
        <w:t>vplyv na cezhraničné investície.</w:t>
      </w:r>
      <w:r>
        <w:rPr>
          <w:rFonts w:ascii="Times New Roman" w:eastAsia="Calibri" w:hAnsi="Times New Roman" w:cs="Times New Roman"/>
          <w:iCs/>
          <w:sz w:val="24"/>
          <w:szCs w:val="24"/>
        </w:rPr>
        <w:t xml:space="preserve"> </w:t>
      </w:r>
    </w:p>
    <w:p w14:paraId="66E7373A" w14:textId="621C390D" w:rsidR="00E17E39" w:rsidRDefault="00C20AF7" w:rsidP="00E17E39">
      <w:pPr>
        <w:spacing w:before="100" w:beforeAutospacing="1" w:after="100" w:afterAutospacing="1"/>
        <w:jc w:val="both"/>
        <w:rPr>
          <w:rFonts w:ascii="Times New Roman" w:eastAsia="Calibri" w:hAnsi="Times New Roman" w:cs="Times New Roman"/>
          <w:iCs/>
          <w:sz w:val="24"/>
          <w:szCs w:val="24"/>
        </w:rPr>
      </w:pPr>
      <w:r w:rsidRPr="00EE19C7">
        <w:rPr>
          <w:rFonts w:ascii="Times New Roman" w:eastAsia="Calibri" w:hAnsi="Times New Roman" w:cs="Times New Roman"/>
          <w:iCs/>
          <w:sz w:val="24"/>
          <w:szCs w:val="24"/>
        </w:rPr>
        <w:t xml:space="preserve">Dostupnosť základných zdrojov </w:t>
      </w:r>
      <w:r w:rsidR="002A13A3">
        <w:rPr>
          <w:rFonts w:ascii="Times New Roman" w:eastAsia="Calibri" w:hAnsi="Times New Roman" w:cs="Times New Roman"/>
          <w:iCs/>
          <w:sz w:val="24"/>
          <w:szCs w:val="24"/>
        </w:rPr>
        <w:t xml:space="preserve">môže byť </w:t>
      </w:r>
      <w:r w:rsidR="00E17E39">
        <w:rPr>
          <w:rFonts w:ascii="Times New Roman" w:eastAsia="Calibri" w:hAnsi="Times New Roman" w:cs="Times New Roman"/>
          <w:iCs/>
          <w:sz w:val="24"/>
          <w:szCs w:val="24"/>
        </w:rPr>
        <w:t xml:space="preserve">po schválení navrhovanej právnej úpravy </w:t>
      </w:r>
      <w:r w:rsidR="002A13A3">
        <w:rPr>
          <w:rFonts w:ascii="Times New Roman" w:eastAsia="Calibri" w:hAnsi="Times New Roman" w:cs="Times New Roman"/>
          <w:iCs/>
          <w:sz w:val="24"/>
          <w:szCs w:val="24"/>
        </w:rPr>
        <w:t>čiastočne ovp</w:t>
      </w:r>
      <w:r w:rsidR="00E17E39">
        <w:rPr>
          <w:rFonts w:ascii="Times New Roman" w:eastAsia="Calibri" w:hAnsi="Times New Roman" w:cs="Times New Roman"/>
          <w:iCs/>
          <w:sz w:val="24"/>
          <w:szCs w:val="24"/>
        </w:rPr>
        <w:t>lyvnená, keďže obchodníci po právoplatnom rozhodnutí súdu môžu spotrebiteľom poskytnúť náhrady škody, opravu alebo výmenu produktu a pod. Pôjde však len o</w:t>
      </w:r>
      <w:r w:rsidR="00493A52">
        <w:rPr>
          <w:rFonts w:ascii="Times New Roman" w:eastAsia="Calibri" w:hAnsi="Times New Roman" w:cs="Times New Roman"/>
          <w:iCs/>
          <w:sz w:val="24"/>
          <w:szCs w:val="24"/>
        </w:rPr>
        <w:t xml:space="preserve"> </w:t>
      </w:r>
      <w:r w:rsidR="00E17E39">
        <w:rPr>
          <w:rFonts w:ascii="Times New Roman" w:eastAsia="Calibri" w:hAnsi="Times New Roman" w:cs="Times New Roman"/>
          <w:iCs/>
          <w:sz w:val="24"/>
          <w:szCs w:val="24"/>
        </w:rPr>
        <w:t>nevýznamnú časť podnikateľského prostredia – tú, voči ktorej súdy právoplatne rozhodnú o</w:t>
      </w:r>
      <w:r w:rsidR="00493A52">
        <w:rPr>
          <w:rFonts w:ascii="Times New Roman" w:eastAsia="Calibri" w:hAnsi="Times New Roman" w:cs="Times New Roman"/>
          <w:iCs/>
          <w:sz w:val="24"/>
          <w:szCs w:val="24"/>
        </w:rPr>
        <w:t xml:space="preserve"> </w:t>
      </w:r>
      <w:r w:rsidR="00E17E39">
        <w:rPr>
          <w:rFonts w:ascii="Times New Roman" w:eastAsia="Calibri" w:hAnsi="Times New Roman" w:cs="Times New Roman"/>
          <w:iCs/>
          <w:sz w:val="24"/>
          <w:szCs w:val="24"/>
        </w:rPr>
        <w:t xml:space="preserve">porušeniach právnych predpisov v konaniach o žalobách </w:t>
      </w:r>
      <w:r w:rsidR="00E17E39">
        <w:rPr>
          <w:rFonts w:ascii="Times New Roman" w:eastAsia="Calibri" w:hAnsi="Times New Roman" w:cs="Times New Roman"/>
          <w:sz w:val="24"/>
          <w:szCs w:val="24"/>
        </w:rPr>
        <w:t>na ochranu kolektívnych záujmov spotrebiteľov</w:t>
      </w:r>
      <w:r w:rsidR="00E17E39" w:rsidRPr="00EE19C7">
        <w:rPr>
          <w:rFonts w:ascii="Times New Roman" w:eastAsia="Calibri" w:hAnsi="Times New Roman" w:cs="Times New Roman"/>
          <w:iCs/>
          <w:sz w:val="24"/>
          <w:szCs w:val="24"/>
        </w:rPr>
        <w:t xml:space="preserve">. </w:t>
      </w:r>
    </w:p>
    <w:p w14:paraId="63C44CD5" w14:textId="7E1757E0" w:rsidR="00C20AF7" w:rsidRDefault="00C20AF7" w:rsidP="00C20AF7">
      <w:pPr>
        <w:spacing w:before="100" w:beforeAutospacing="1" w:after="100" w:afterAutospacing="1"/>
        <w:jc w:val="both"/>
        <w:rPr>
          <w:rFonts w:ascii="Times New Roman" w:eastAsia="Calibri" w:hAnsi="Times New Roman" w:cs="Times New Roman"/>
          <w:iCs/>
          <w:sz w:val="24"/>
          <w:szCs w:val="24"/>
        </w:rPr>
      </w:pPr>
      <w:r w:rsidRPr="00EE19C7">
        <w:rPr>
          <w:rFonts w:ascii="Times New Roman" w:eastAsia="Calibri" w:hAnsi="Times New Roman" w:cs="Times New Roman"/>
          <w:iCs/>
          <w:sz w:val="24"/>
          <w:szCs w:val="24"/>
        </w:rPr>
        <w:t>Predkladaná legislatívna právna nepredpokladá vplyv na inovácie, vedu a</w:t>
      </w:r>
      <w:r w:rsidR="00493A52">
        <w:rPr>
          <w:rFonts w:ascii="Times New Roman" w:eastAsia="Calibri" w:hAnsi="Times New Roman" w:cs="Times New Roman"/>
          <w:iCs/>
          <w:sz w:val="24"/>
          <w:szCs w:val="24"/>
        </w:rPr>
        <w:t xml:space="preserve"> </w:t>
      </w:r>
      <w:r w:rsidRPr="00EE19C7">
        <w:rPr>
          <w:rFonts w:ascii="Times New Roman" w:eastAsia="Calibri" w:hAnsi="Times New Roman" w:cs="Times New Roman"/>
          <w:iCs/>
          <w:sz w:val="24"/>
          <w:szCs w:val="24"/>
        </w:rPr>
        <w:t xml:space="preserve">výskum. </w:t>
      </w:r>
      <w:r w:rsidR="001F544B">
        <w:rPr>
          <w:rFonts w:ascii="Times New Roman" w:eastAsia="Calibri" w:hAnsi="Times New Roman" w:cs="Times New Roman"/>
          <w:iCs/>
          <w:sz w:val="24"/>
          <w:szCs w:val="24"/>
        </w:rPr>
        <w:t xml:space="preserve">Podnikateľské prostredie </w:t>
      </w:r>
      <w:r w:rsidRPr="00EE19C7">
        <w:rPr>
          <w:rFonts w:ascii="Times New Roman" w:eastAsia="Calibri" w:hAnsi="Times New Roman" w:cs="Times New Roman"/>
          <w:iCs/>
          <w:sz w:val="24"/>
          <w:szCs w:val="24"/>
        </w:rPr>
        <w:t>v</w:t>
      </w:r>
      <w:r w:rsidR="00493A52">
        <w:rPr>
          <w:rFonts w:ascii="Times New Roman" w:eastAsia="Calibri" w:hAnsi="Times New Roman" w:cs="Times New Roman"/>
          <w:iCs/>
          <w:sz w:val="24"/>
          <w:szCs w:val="24"/>
        </w:rPr>
        <w:t xml:space="preserve"> </w:t>
      </w:r>
      <w:r w:rsidRPr="00EE19C7">
        <w:rPr>
          <w:rFonts w:ascii="Times New Roman" w:eastAsia="Calibri" w:hAnsi="Times New Roman" w:cs="Times New Roman"/>
          <w:iCs/>
          <w:sz w:val="24"/>
          <w:szCs w:val="24"/>
        </w:rPr>
        <w:t xml:space="preserve">porovnaní so </w:t>
      </w:r>
      <w:r w:rsidR="001F544B">
        <w:rPr>
          <w:rFonts w:ascii="Times New Roman" w:eastAsia="Calibri" w:hAnsi="Times New Roman" w:cs="Times New Roman"/>
          <w:iCs/>
          <w:sz w:val="24"/>
          <w:szCs w:val="24"/>
        </w:rPr>
        <w:t xml:space="preserve">susednými štátmi </w:t>
      </w:r>
      <w:r w:rsidRPr="00EE19C7">
        <w:rPr>
          <w:rFonts w:ascii="Times New Roman" w:eastAsia="Calibri" w:hAnsi="Times New Roman" w:cs="Times New Roman"/>
          <w:iCs/>
          <w:sz w:val="24"/>
          <w:szCs w:val="24"/>
        </w:rPr>
        <w:t xml:space="preserve">EÚ bude porovnateľné, o transpozíciu smernice, </w:t>
      </w:r>
      <w:proofErr w:type="spellStart"/>
      <w:r w:rsidRPr="00EE19C7">
        <w:rPr>
          <w:rFonts w:ascii="Times New Roman" w:eastAsia="Calibri" w:hAnsi="Times New Roman" w:cs="Times New Roman"/>
          <w:iCs/>
          <w:sz w:val="24"/>
          <w:szCs w:val="24"/>
        </w:rPr>
        <w:t>t.j</w:t>
      </w:r>
      <w:proofErr w:type="spellEnd"/>
      <w:r w:rsidRPr="00EE19C7">
        <w:rPr>
          <w:rFonts w:ascii="Times New Roman" w:eastAsia="Calibri" w:hAnsi="Times New Roman" w:cs="Times New Roman"/>
          <w:iCs/>
          <w:sz w:val="24"/>
          <w:szCs w:val="24"/>
        </w:rPr>
        <w:t xml:space="preserve">. obdobnú úpravu s porovnateľnými parametrami musia mať v určitom čase všetky </w:t>
      </w:r>
      <w:r>
        <w:rPr>
          <w:rFonts w:ascii="Times New Roman" w:eastAsia="Calibri" w:hAnsi="Times New Roman" w:cs="Times New Roman"/>
          <w:iCs/>
          <w:sz w:val="24"/>
          <w:szCs w:val="24"/>
        </w:rPr>
        <w:t xml:space="preserve">členské </w:t>
      </w:r>
      <w:r w:rsidRPr="00EE19C7">
        <w:rPr>
          <w:rFonts w:ascii="Times New Roman" w:eastAsia="Calibri" w:hAnsi="Times New Roman" w:cs="Times New Roman"/>
          <w:iCs/>
          <w:sz w:val="24"/>
          <w:szCs w:val="24"/>
        </w:rPr>
        <w:t xml:space="preserve">štáty </w:t>
      </w:r>
      <w:r>
        <w:rPr>
          <w:rFonts w:ascii="Times New Roman" w:eastAsia="Calibri" w:hAnsi="Times New Roman" w:cs="Times New Roman"/>
          <w:iCs/>
          <w:sz w:val="24"/>
          <w:szCs w:val="24"/>
        </w:rPr>
        <w:t>Európskej únie.</w:t>
      </w:r>
    </w:p>
    <w:p w14:paraId="5EB0184F" w14:textId="77777777" w:rsidR="00EC3B8F" w:rsidRPr="0087389B" w:rsidRDefault="00EC3B8F" w:rsidP="00C20AF7">
      <w:pPr>
        <w:spacing w:before="100" w:beforeAutospacing="1" w:after="100" w:afterAutospacing="1"/>
        <w:jc w:val="both"/>
        <w:rPr>
          <w:rFonts w:ascii="Times New Roman" w:eastAsia="Calibri" w:hAnsi="Times New Roman" w:cs="Times New Roman"/>
          <w:iCs/>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lastRenderedPageBreak/>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C6E614B" w:rsidR="00054C41" w:rsidRDefault="00054C41" w:rsidP="00054C41">
      <w:pPr>
        <w:spacing w:after="0"/>
        <w:jc w:val="both"/>
        <w:rPr>
          <w:rFonts w:ascii="Times New Roman" w:eastAsia="Calibri" w:hAnsi="Times New Roman" w:cs="Times New Roman"/>
          <w:i/>
          <w:sz w:val="24"/>
          <w:szCs w:val="24"/>
        </w:rPr>
      </w:pPr>
    </w:p>
    <w:p w14:paraId="31976AB7" w14:textId="0006CDDF" w:rsidR="00B82E61" w:rsidRDefault="00B82E61" w:rsidP="00054C41">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Predkladaný materiál má negatívny </w:t>
      </w:r>
      <w:r w:rsidR="00F012FE">
        <w:rPr>
          <w:rFonts w:ascii="Times New Roman" w:eastAsia="Calibri" w:hAnsi="Times New Roman" w:cs="Times New Roman"/>
          <w:sz w:val="24"/>
          <w:szCs w:val="24"/>
        </w:rPr>
        <w:t xml:space="preserve">vplyv </w:t>
      </w:r>
      <w:r>
        <w:rPr>
          <w:rFonts w:ascii="Times New Roman" w:eastAsia="Calibri" w:hAnsi="Times New Roman" w:cs="Times New Roman"/>
          <w:sz w:val="24"/>
          <w:szCs w:val="24"/>
        </w:rPr>
        <w:t>na zvýšenie nákladov pre podnikateľský sektor. Dotkne sa však len minimálneho počtu subjektov, preto predkladateľom bolo zaškrtnuté, že návrh právneho predpis produktivitu nemení.</w:t>
      </w:r>
    </w:p>
    <w:p w14:paraId="5DBCF53C" w14:textId="77777777" w:rsidR="00B82E61" w:rsidRPr="00D8247C" w:rsidRDefault="00B82E6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09088D7" w14:textId="0142F05B" w:rsidR="00C20AF7" w:rsidRPr="00B82E61" w:rsidRDefault="003B382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232303002"/>
        </w:sdtPr>
        <w:sdtEndPr/>
        <w:sdtContent>
          <w:r w:rsidR="00501A14">
            <w:rPr>
              <w:rFonts w:ascii="Segoe UI Symbol" w:eastAsia="Calibri" w:hAnsi="Segoe UI Symbol" w:cs="Segoe UI Symbol"/>
              <w:i/>
              <w:sz w:val="24"/>
              <w:szCs w:val="24"/>
            </w:rPr>
            <w:t>⌧</w:t>
          </w:r>
        </w:sdtContent>
      </w:sdt>
      <w:r w:rsidR="00501A14"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128845060"/>
        </w:sdtPr>
        <w:sdtEndPr/>
        <w:sdtContent>
          <w:r w:rsidR="00501A14" w:rsidRPr="00D8247C">
            <w:rPr>
              <w:rFonts w:ascii="Segoe UI Symbol" w:eastAsia="Calibri" w:hAnsi="Segoe UI Symbol" w:cs="Segoe UI Symbol"/>
              <w:i/>
              <w:sz w:val="24"/>
              <w:szCs w:val="24"/>
            </w:rPr>
            <w:t>☐</w:t>
          </w:r>
        </w:sdtContent>
      </w:sdt>
      <w:r w:rsidR="00501A14"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znižuje</w:t>
      </w:r>
    </w:p>
    <w:p w14:paraId="47ABE7B5" w14:textId="3F119B93" w:rsidR="00054C41" w:rsidRDefault="00054C41" w:rsidP="00054C41">
      <w:pPr>
        <w:spacing w:after="0"/>
        <w:jc w:val="both"/>
        <w:rPr>
          <w:rFonts w:ascii="Times New Roman" w:eastAsia="Calibri" w:hAnsi="Times New Roman" w:cs="Times New Roman"/>
          <w:i/>
          <w:sz w:val="24"/>
          <w:szCs w:val="24"/>
        </w:rPr>
      </w:pPr>
    </w:p>
    <w:p w14:paraId="218A27DA" w14:textId="122B0AA6" w:rsidR="00931DEA" w:rsidRDefault="00931DEA"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3F1C41C8"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3A146618" w14:textId="797AB47B" w:rsidR="001F544B" w:rsidRDefault="001F544B" w:rsidP="001F544B">
      <w:pPr>
        <w:spacing w:after="0" w:line="254" w:lineRule="auto"/>
        <w:jc w:val="both"/>
        <w:rPr>
          <w:rFonts w:ascii="Times New Roman" w:eastAsia="Calibri" w:hAnsi="Times New Roman" w:cs="Times New Roman"/>
          <w:i/>
          <w:sz w:val="24"/>
          <w:szCs w:val="24"/>
        </w:rPr>
      </w:pPr>
    </w:p>
    <w:p w14:paraId="362854A4" w14:textId="3ED10974" w:rsidR="000A6A31" w:rsidRDefault="000A6A31" w:rsidP="001F544B">
      <w:p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Navrhovaný právny predpis bude mať aj iné vplyvy na podnikateľské prostredie - obchodníkov, ktoré ho negatívne ovplyvnia. Súvisieť bude s</w:t>
      </w:r>
      <w:r w:rsidR="00493A52">
        <w:rPr>
          <w:rFonts w:ascii="Times New Roman" w:eastAsia="Calibri" w:hAnsi="Times New Roman" w:cs="Times New Roman"/>
          <w:iCs/>
          <w:sz w:val="24"/>
          <w:szCs w:val="24"/>
        </w:rPr>
        <w:t xml:space="preserve"> </w:t>
      </w:r>
      <w:r w:rsidR="00D753FF">
        <w:rPr>
          <w:rFonts w:ascii="Times New Roman" w:eastAsia="Calibri" w:hAnsi="Times New Roman" w:cs="Times New Roman"/>
          <w:iCs/>
          <w:sz w:val="24"/>
          <w:szCs w:val="24"/>
        </w:rPr>
        <w:t>uhrádza</w:t>
      </w:r>
      <w:r>
        <w:rPr>
          <w:rFonts w:ascii="Times New Roman" w:eastAsia="Calibri" w:hAnsi="Times New Roman" w:cs="Times New Roman"/>
          <w:iCs/>
          <w:sz w:val="24"/>
          <w:szCs w:val="24"/>
        </w:rPr>
        <w:t xml:space="preserve">ním poplatkov </w:t>
      </w:r>
      <w:r w:rsidR="00493A52">
        <w:rPr>
          <w:rFonts w:ascii="Times New Roman" w:eastAsia="Calibri" w:hAnsi="Times New Roman" w:cs="Times New Roman"/>
          <w:iCs/>
          <w:sz w:val="24"/>
          <w:szCs w:val="24"/>
        </w:rPr>
        <w:t xml:space="preserve">súvisiacich </w:t>
      </w:r>
      <w:r>
        <w:rPr>
          <w:rFonts w:ascii="Times New Roman" w:eastAsia="Calibri" w:hAnsi="Times New Roman" w:cs="Times New Roman"/>
          <w:iCs/>
          <w:sz w:val="24"/>
          <w:szCs w:val="24"/>
        </w:rPr>
        <w:t>so súdnym konaním n</w:t>
      </w:r>
      <w:r w:rsidR="00D753FF">
        <w:rPr>
          <w:rFonts w:ascii="Times New Roman" w:eastAsia="Calibri" w:hAnsi="Times New Roman" w:cs="Times New Roman"/>
          <w:iCs/>
          <w:sz w:val="24"/>
          <w:szCs w:val="24"/>
        </w:rPr>
        <w:t>a</w:t>
      </w:r>
      <w:r w:rsidR="004631B8" w:rsidRPr="001B686B">
        <w:rPr>
          <w:rFonts w:ascii="Times New Roman" w:eastAsia="Calibri" w:hAnsi="Times New Roman" w:cs="Times New Roman"/>
          <w:iCs/>
          <w:sz w:val="24"/>
          <w:szCs w:val="24"/>
        </w:rPr>
        <w:t> ochranu kolektívnych záujmov spotrebiteľov</w:t>
      </w:r>
      <w:r w:rsidR="00D753FF">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p>
    <w:p w14:paraId="0E82AA23" w14:textId="1732140F" w:rsidR="000A6A31" w:rsidRDefault="000A6A31" w:rsidP="001F544B">
      <w:pPr>
        <w:spacing w:after="0" w:line="254" w:lineRule="auto"/>
        <w:jc w:val="both"/>
        <w:rPr>
          <w:rFonts w:ascii="Times New Roman" w:eastAsia="Calibri" w:hAnsi="Times New Roman" w:cs="Times New Roman"/>
          <w:iCs/>
          <w:sz w:val="24"/>
          <w:szCs w:val="24"/>
        </w:rPr>
      </w:pPr>
    </w:p>
    <w:p w14:paraId="736ABBA8" w14:textId="7772ECBE" w:rsidR="001F544B" w:rsidRDefault="000A6A31" w:rsidP="004631B8">
      <w:p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Predkladateľ </w:t>
      </w:r>
      <w:r w:rsidR="002D2D51">
        <w:rPr>
          <w:rFonts w:ascii="Times New Roman" w:eastAsia="Calibri" w:hAnsi="Times New Roman" w:cs="Times New Roman"/>
          <w:iCs/>
          <w:sz w:val="24"/>
          <w:szCs w:val="24"/>
        </w:rPr>
        <w:t xml:space="preserve">návrhu zákona </w:t>
      </w:r>
      <w:r>
        <w:rPr>
          <w:rFonts w:ascii="Times New Roman" w:eastAsia="Calibri" w:hAnsi="Times New Roman" w:cs="Times New Roman"/>
          <w:iCs/>
          <w:sz w:val="24"/>
          <w:szCs w:val="24"/>
        </w:rPr>
        <w:t xml:space="preserve">identifikoval aj ďalšie iné vplyvy, ktoré </w:t>
      </w:r>
      <w:r w:rsidR="002D2D51">
        <w:rPr>
          <w:rFonts w:ascii="Times New Roman" w:eastAsia="Calibri" w:hAnsi="Times New Roman" w:cs="Times New Roman"/>
          <w:iCs/>
          <w:sz w:val="24"/>
          <w:szCs w:val="24"/>
        </w:rPr>
        <w:t xml:space="preserve">negatívne ovplyvnia </w:t>
      </w:r>
      <w:r>
        <w:rPr>
          <w:rFonts w:ascii="Times New Roman" w:eastAsia="Calibri" w:hAnsi="Times New Roman" w:cs="Times New Roman"/>
          <w:iCs/>
          <w:sz w:val="24"/>
          <w:szCs w:val="24"/>
        </w:rPr>
        <w:t>podnikateľské prostredie</w:t>
      </w:r>
      <w:r w:rsidR="002D2D51">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 </w:t>
      </w:r>
      <w:r w:rsidR="00155F0B">
        <w:rPr>
          <w:rFonts w:ascii="Times New Roman" w:eastAsia="Calibri" w:hAnsi="Times New Roman" w:cs="Times New Roman"/>
          <w:iCs/>
          <w:sz w:val="24"/>
          <w:szCs w:val="24"/>
        </w:rPr>
        <w:t>1</w:t>
      </w:r>
      <w:r w:rsidR="00E425A2">
        <w:rPr>
          <w:rFonts w:ascii="Times New Roman" w:eastAsia="Calibri" w:hAnsi="Times New Roman" w:cs="Times New Roman"/>
          <w:iCs/>
          <w:sz w:val="24"/>
          <w:szCs w:val="24"/>
        </w:rPr>
        <w:t>2</w:t>
      </w:r>
      <w:r w:rsidR="00155F0B">
        <w:rPr>
          <w:rFonts w:ascii="Times New Roman" w:eastAsia="Calibri" w:hAnsi="Times New Roman" w:cs="Times New Roman"/>
          <w:iCs/>
          <w:sz w:val="24"/>
          <w:szCs w:val="24"/>
        </w:rPr>
        <w:t xml:space="preserve"> ods. </w:t>
      </w:r>
      <w:r w:rsidR="00E425A2">
        <w:rPr>
          <w:rFonts w:ascii="Times New Roman" w:eastAsia="Calibri" w:hAnsi="Times New Roman" w:cs="Times New Roman"/>
          <w:iCs/>
          <w:sz w:val="24"/>
          <w:szCs w:val="24"/>
        </w:rPr>
        <w:t>5</w:t>
      </w:r>
      <w:r w:rsidR="00155F0B">
        <w:rPr>
          <w:rFonts w:ascii="Times New Roman" w:eastAsia="Calibri" w:hAnsi="Times New Roman" w:cs="Times New Roman"/>
          <w:iCs/>
          <w:sz w:val="24"/>
          <w:szCs w:val="24"/>
        </w:rPr>
        <w:t xml:space="preserve"> a § </w:t>
      </w:r>
      <w:r w:rsidR="00AD1B59">
        <w:rPr>
          <w:rFonts w:ascii="Times New Roman" w:eastAsia="Calibri" w:hAnsi="Times New Roman" w:cs="Times New Roman"/>
          <w:iCs/>
          <w:sz w:val="24"/>
          <w:szCs w:val="24"/>
        </w:rPr>
        <w:t>17 ods. 5</w:t>
      </w:r>
      <w:r>
        <w:rPr>
          <w:rFonts w:ascii="Times New Roman" w:eastAsia="Calibri" w:hAnsi="Times New Roman" w:cs="Times New Roman"/>
          <w:iCs/>
          <w:sz w:val="24"/>
          <w:szCs w:val="24"/>
        </w:rPr>
        <w:t xml:space="preserve"> návrhu zákona</w:t>
      </w:r>
      <w:r w:rsidR="00AD1B59">
        <w:rPr>
          <w:rFonts w:ascii="Times New Roman" w:eastAsia="Calibri" w:hAnsi="Times New Roman" w:cs="Times New Roman"/>
          <w:iCs/>
          <w:sz w:val="24"/>
          <w:szCs w:val="24"/>
        </w:rPr>
        <w:t xml:space="preserve"> v súčinnosti s § 3 písm. i)</w:t>
      </w:r>
      <w:r>
        <w:rPr>
          <w:rFonts w:ascii="Times New Roman" w:eastAsia="Calibri" w:hAnsi="Times New Roman" w:cs="Times New Roman"/>
          <w:iCs/>
          <w:sz w:val="24"/>
          <w:szCs w:val="24"/>
        </w:rPr>
        <w:t>):</w:t>
      </w:r>
    </w:p>
    <w:p w14:paraId="21FDDE0E" w14:textId="0D34C432" w:rsidR="002D2D51" w:rsidRDefault="002D2D51" w:rsidP="004631B8">
      <w:pPr>
        <w:spacing w:after="0" w:line="254" w:lineRule="auto"/>
        <w:jc w:val="both"/>
        <w:rPr>
          <w:rFonts w:ascii="Times New Roman" w:eastAsia="Calibri" w:hAnsi="Times New Roman" w:cs="Times New Roman"/>
          <w:iCs/>
          <w:sz w:val="24"/>
          <w:szCs w:val="24"/>
        </w:rPr>
      </w:pPr>
    </w:p>
    <w:p w14:paraId="3C577646" w14:textId="324964DC" w:rsidR="002D2D51" w:rsidRDefault="00AF58A9" w:rsidP="004631B8">
      <w:p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E425A2">
        <w:rPr>
          <w:rFonts w:ascii="Times New Roman" w:eastAsia="Calibri" w:hAnsi="Times New Roman" w:cs="Times New Roman"/>
          <w:iCs/>
          <w:sz w:val="24"/>
          <w:szCs w:val="24"/>
        </w:rPr>
        <w:t>12</w:t>
      </w:r>
      <w:r>
        <w:rPr>
          <w:rFonts w:ascii="Times New Roman" w:eastAsia="Calibri" w:hAnsi="Times New Roman" w:cs="Times New Roman"/>
          <w:iCs/>
          <w:sz w:val="24"/>
          <w:szCs w:val="24"/>
        </w:rPr>
        <w:t xml:space="preserve"> ods. </w:t>
      </w:r>
      <w:r w:rsidR="00E425A2">
        <w:rPr>
          <w:rFonts w:ascii="Times New Roman" w:eastAsia="Calibri" w:hAnsi="Times New Roman" w:cs="Times New Roman"/>
          <w:iCs/>
          <w:sz w:val="24"/>
          <w:szCs w:val="24"/>
        </w:rPr>
        <w:t>5</w:t>
      </w:r>
      <w:r>
        <w:rPr>
          <w:rFonts w:ascii="Times New Roman" w:eastAsia="Calibri" w:hAnsi="Times New Roman" w:cs="Times New Roman"/>
          <w:iCs/>
          <w:sz w:val="24"/>
          <w:szCs w:val="24"/>
        </w:rPr>
        <w:t xml:space="preserve">: </w:t>
      </w:r>
    </w:p>
    <w:p w14:paraId="01F57F51" w14:textId="00178559" w:rsidR="00AF58A9" w:rsidRPr="00AF58A9" w:rsidRDefault="00AF58A9" w:rsidP="00AF58A9">
      <w:pPr>
        <w:pStyle w:val="Odsekzoznamu"/>
        <w:numPr>
          <w:ilvl w:val="0"/>
          <w:numId w:val="11"/>
        </w:numPr>
        <w:spacing w:after="0" w:line="254" w:lineRule="auto"/>
        <w:jc w:val="both"/>
        <w:rPr>
          <w:rFonts w:ascii="Times New Roman" w:eastAsia="Calibri" w:hAnsi="Times New Roman" w:cs="Times New Roman"/>
          <w:iCs/>
          <w:sz w:val="24"/>
          <w:szCs w:val="24"/>
        </w:rPr>
      </w:pPr>
      <w:r w:rsidRPr="00AF58A9">
        <w:rPr>
          <w:rFonts w:ascii="Times New Roman" w:eastAsia="Calibri" w:hAnsi="Times New Roman" w:cs="Times New Roman"/>
          <w:iCs/>
          <w:sz w:val="24"/>
          <w:szCs w:val="24"/>
        </w:rPr>
        <w:t>Uloženie poriadkového opatrenia</w:t>
      </w:r>
    </w:p>
    <w:p w14:paraId="7D49C9D7" w14:textId="2E2024FF" w:rsidR="00AF58A9" w:rsidRDefault="00AF58A9" w:rsidP="004631B8">
      <w:pPr>
        <w:spacing w:after="0" w:line="254" w:lineRule="auto"/>
        <w:jc w:val="both"/>
        <w:rPr>
          <w:rFonts w:ascii="Times New Roman" w:eastAsia="Calibri" w:hAnsi="Times New Roman" w:cs="Times New Roman"/>
          <w:iCs/>
          <w:sz w:val="24"/>
          <w:szCs w:val="24"/>
        </w:rPr>
      </w:pPr>
    </w:p>
    <w:p w14:paraId="25551121" w14:textId="273637DC" w:rsidR="00AF58A9" w:rsidRPr="002775DA" w:rsidRDefault="00AF58A9" w:rsidP="002775DA">
      <w:p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1</w:t>
      </w:r>
      <w:r w:rsidR="002775DA">
        <w:rPr>
          <w:rFonts w:ascii="Times New Roman" w:eastAsia="Calibri" w:hAnsi="Times New Roman" w:cs="Times New Roman"/>
          <w:iCs/>
          <w:sz w:val="24"/>
          <w:szCs w:val="24"/>
        </w:rPr>
        <w:t>7 ods. 5 určenie nápravného opatrenia v súčinnosti s § 3 písm. i)</w:t>
      </w:r>
      <w:r w:rsidRPr="002775DA">
        <w:rPr>
          <w:rFonts w:ascii="Times New Roman" w:eastAsia="Calibri" w:hAnsi="Times New Roman" w:cs="Times New Roman"/>
          <w:iCs/>
          <w:sz w:val="24"/>
          <w:szCs w:val="24"/>
        </w:rPr>
        <w:t xml:space="preserve">: </w:t>
      </w:r>
    </w:p>
    <w:p w14:paraId="57CF2A50" w14:textId="734B6935" w:rsidR="00AF58A9" w:rsidRDefault="00AF58A9"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náhrad</w:t>
      </w:r>
      <w:r w:rsidR="002775DA">
        <w:rPr>
          <w:rFonts w:ascii="Times New Roman" w:eastAsia="Calibri" w:hAnsi="Times New Roman" w:cs="Times New Roman"/>
          <w:iCs/>
          <w:sz w:val="24"/>
          <w:szCs w:val="24"/>
        </w:rPr>
        <w:t>a</w:t>
      </w:r>
      <w:r>
        <w:rPr>
          <w:rFonts w:ascii="Times New Roman" w:eastAsia="Calibri" w:hAnsi="Times New Roman" w:cs="Times New Roman"/>
          <w:iCs/>
          <w:sz w:val="24"/>
          <w:szCs w:val="24"/>
        </w:rPr>
        <w:t xml:space="preserve"> škody,</w:t>
      </w:r>
    </w:p>
    <w:p w14:paraId="2A18A0A7" w14:textId="24BE832A" w:rsidR="00AF58A9" w:rsidRDefault="00AF58A9"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oprav</w:t>
      </w:r>
      <w:r w:rsidR="002775DA">
        <w:rPr>
          <w:rFonts w:ascii="Times New Roman" w:eastAsia="Calibri" w:hAnsi="Times New Roman" w:cs="Times New Roman"/>
          <w:iCs/>
          <w:sz w:val="24"/>
          <w:szCs w:val="24"/>
        </w:rPr>
        <w:t>a</w:t>
      </w:r>
      <w:r>
        <w:rPr>
          <w:rFonts w:ascii="Times New Roman" w:eastAsia="Calibri" w:hAnsi="Times New Roman" w:cs="Times New Roman"/>
          <w:iCs/>
          <w:sz w:val="24"/>
          <w:szCs w:val="24"/>
        </w:rPr>
        <w:t xml:space="preserve"> alebo výmenu produktu,</w:t>
      </w:r>
    </w:p>
    <w:p w14:paraId="4FB70FAD" w14:textId="2CC1BCE9" w:rsidR="00AF58A9" w:rsidRDefault="00AF58A9"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zľav</w:t>
      </w:r>
      <w:r w:rsidR="002775DA">
        <w:rPr>
          <w:rFonts w:ascii="Times New Roman" w:eastAsia="Calibri" w:hAnsi="Times New Roman" w:cs="Times New Roman"/>
          <w:iCs/>
          <w:sz w:val="24"/>
          <w:szCs w:val="24"/>
        </w:rPr>
        <w:t>a</w:t>
      </w:r>
      <w:r>
        <w:rPr>
          <w:rFonts w:ascii="Times New Roman" w:eastAsia="Calibri" w:hAnsi="Times New Roman" w:cs="Times New Roman"/>
          <w:iCs/>
          <w:sz w:val="24"/>
          <w:szCs w:val="24"/>
        </w:rPr>
        <w:t xml:space="preserve"> z kúpnej ceny,</w:t>
      </w:r>
    </w:p>
    <w:p w14:paraId="04882BAD" w14:textId="58582416" w:rsidR="00AF58A9" w:rsidRDefault="00AF58A9"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vypovedanie zmluvy,</w:t>
      </w:r>
    </w:p>
    <w:p w14:paraId="335C5D45" w14:textId="77777777" w:rsidR="002775DA" w:rsidRDefault="00AF58A9"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vrátenie uhradenej kúpnej ceny</w:t>
      </w:r>
    </w:p>
    <w:p w14:paraId="316CCABC" w14:textId="1605F466" w:rsidR="00AF58A9" w:rsidRDefault="002775DA" w:rsidP="00AF58A9">
      <w:pPr>
        <w:pStyle w:val="Odsekzoznamu"/>
        <w:numPr>
          <w:ilvl w:val="0"/>
          <w:numId w:val="12"/>
        </w:numPr>
        <w:spacing w:after="0" w:line="254"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vydanie bezdôvodného obohatenia</w:t>
      </w:r>
      <w:r w:rsidR="00AF58A9">
        <w:rPr>
          <w:rFonts w:ascii="Times New Roman" w:eastAsia="Calibri" w:hAnsi="Times New Roman" w:cs="Times New Roman"/>
          <w:iCs/>
          <w:sz w:val="24"/>
          <w:szCs w:val="24"/>
        </w:rPr>
        <w:t xml:space="preserve">. </w:t>
      </w:r>
    </w:p>
    <w:p w14:paraId="7D7DA2B3" w14:textId="09BA73BC" w:rsidR="00AD1B59" w:rsidRDefault="00AD1B59" w:rsidP="00AD1B59">
      <w:pPr>
        <w:spacing w:after="0" w:line="254" w:lineRule="auto"/>
        <w:jc w:val="both"/>
        <w:rPr>
          <w:rFonts w:ascii="Times New Roman" w:eastAsia="Calibri" w:hAnsi="Times New Roman" w:cs="Times New Roman"/>
          <w:iCs/>
          <w:sz w:val="24"/>
          <w:szCs w:val="24"/>
        </w:rPr>
      </w:pPr>
    </w:p>
    <w:p w14:paraId="12FED17C" w14:textId="77777777" w:rsidR="00AD1B59" w:rsidRDefault="00AD1B59" w:rsidP="00AD1B59">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 3 písm. i): </w:t>
      </w:r>
      <w:r w:rsidRPr="00DD1D9F">
        <w:rPr>
          <w:rFonts w:ascii="Times New Roman" w:hAnsi="Times New Roman"/>
          <w:sz w:val="24"/>
          <w:szCs w:val="24"/>
        </w:rPr>
        <w:t xml:space="preserve">nápravným opatrením opatrenie, ktorým sa obchodníkovi ukladá povinnosť poskytnúť prihláseným spotrebiteľom nápravu spočívajúcu v náhrade škody, oprave alebo výmene produktu, zľave z kúpnej ceny, vrátení uhradenej kúpnej ceny, vydaní bezdôvodného obohatenia, v povinnosti obchodníka ukončiť zmluvný záväzok a vysporiadať so spotrebiteľmi vzájomné nároky plynúce zo zmluvného záväzku, v povinnosti obchodníka pokračovať v plnení </w:t>
      </w:r>
      <w:r w:rsidRPr="00DD1D9F">
        <w:rPr>
          <w:rFonts w:ascii="Times New Roman" w:hAnsi="Times New Roman"/>
          <w:sz w:val="24"/>
          <w:szCs w:val="24"/>
        </w:rPr>
        <w:lastRenderedPageBreak/>
        <w:t>záväzku, ktorý ukončil, alebo inom obdobnom opatrení, ktoré smeruje k náprave, okrem povinnosti úhrady primeraného finančného zadosťučinenia</w:t>
      </w:r>
      <w:r>
        <w:rPr>
          <w:rFonts w:ascii="Times New Roman" w:hAnsi="Times New Roman"/>
          <w:sz w:val="24"/>
          <w:szCs w:val="24"/>
        </w:rPr>
        <w:t>.</w:t>
      </w:r>
    </w:p>
    <w:p w14:paraId="4F79BADE" w14:textId="77777777" w:rsidR="00AD1B59" w:rsidRDefault="00AD1B59" w:rsidP="00AD1B59">
      <w:pPr>
        <w:spacing w:after="0" w:line="254" w:lineRule="auto"/>
        <w:jc w:val="both"/>
        <w:rPr>
          <w:rFonts w:ascii="Times New Roman" w:eastAsia="Calibri" w:hAnsi="Times New Roman" w:cs="Times New Roman"/>
          <w:sz w:val="24"/>
          <w:szCs w:val="24"/>
        </w:rPr>
      </w:pPr>
    </w:p>
    <w:p w14:paraId="5CB0CDB4" w14:textId="33C2ADB3" w:rsidR="001B686B" w:rsidRPr="00AD1B59" w:rsidRDefault="00155F0B" w:rsidP="00AD1B59">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N</w:t>
      </w:r>
      <w:r w:rsidR="001B686B" w:rsidRPr="001B686B">
        <w:rPr>
          <w:rFonts w:ascii="Times New Roman" w:eastAsia="Calibri" w:hAnsi="Times New Roman" w:cs="Times New Roman"/>
          <w:iCs/>
          <w:sz w:val="24"/>
          <w:szCs w:val="24"/>
        </w:rPr>
        <w:t xml:space="preserve">a druhej strane, </w:t>
      </w:r>
      <w:r w:rsidR="00FA2C8A">
        <w:rPr>
          <w:rFonts w:ascii="Times New Roman" w:eastAsia="Calibri" w:hAnsi="Times New Roman" w:cs="Times New Roman"/>
          <w:iCs/>
          <w:sz w:val="24"/>
          <w:szCs w:val="24"/>
        </w:rPr>
        <w:t>spory, ktorý majú z</w:t>
      </w:r>
      <w:r w:rsidR="001B686B" w:rsidRPr="001B686B">
        <w:rPr>
          <w:rFonts w:ascii="Times New Roman" w:eastAsia="Calibri" w:hAnsi="Times New Roman" w:cs="Times New Roman"/>
          <w:iCs/>
          <w:sz w:val="24"/>
          <w:szCs w:val="24"/>
        </w:rPr>
        <w:t>áklad v tom istom údajnom porušení právnych predpisov</w:t>
      </w:r>
      <w:r w:rsidR="00FA2C8A">
        <w:rPr>
          <w:rFonts w:ascii="Times New Roman" w:eastAsia="Calibri" w:hAnsi="Times New Roman" w:cs="Times New Roman"/>
          <w:iCs/>
          <w:sz w:val="24"/>
          <w:szCs w:val="24"/>
        </w:rPr>
        <w:t xml:space="preserve">, sa budú </w:t>
      </w:r>
      <w:r w:rsidR="001B686B" w:rsidRPr="001B686B">
        <w:rPr>
          <w:rFonts w:ascii="Times New Roman" w:eastAsia="Calibri" w:hAnsi="Times New Roman" w:cs="Times New Roman"/>
          <w:iCs/>
          <w:sz w:val="24"/>
          <w:szCs w:val="24"/>
        </w:rPr>
        <w:t>rozhodovať v</w:t>
      </w:r>
      <w:r w:rsidR="00443F71">
        <w:rPr>
          <w:rFonts w:ascii="Times New Roman" w:eastAsia="Calibri" w:hAnsi="Times New Roman" w:cs="Times New Roman"/>
          <w:iCs/>
          <w:sz w:val="24"/>
          <w:szCs w:val="24"/>
        </w:rPr>
        <w:t xml:space="preserve"> </w:t>
      </w:r>
      <w:r w:rsidR="001B686B" w:rsidRPr="001B686B">
        <w:rPr>
          <w:rFonts w:ascii="Times New Roman" w:eastAsia="Calibri" w:hAnsi="Times New Roman" w:cs="Times New Roman"/>
          <w:iCs/>
          <w:sz w:val="24"/>
          <w:szCs w:val="24"/>
        </w:rPr>
        <w:t>jednom konaní začatom na základe kolektívnej žaloby miesto veľkého počtu individuálnych konaní začatých na základe žalôb jednotlivých dotknutých spotrebiteľov</w:t>
      </w:r>
      <w:r w:rsidR="00FA2C8A">
        <w:rPr>
          <w:rFonts w:ascii="Times New Roman" w:eastAsia="Calibri" w:hAnsi="Times New Roman" w:cs="Times New Roman"/>
          <w:iCs/>
          <w:sz w:val="24"/>
          <w:szCs w:val="24"/>
        </w:rPr>
        <w:t>. To môže v</w:t>
      </w:r>
      <w:r w:rsidR="00443F71">
        <w:rPr>
          <w:rFonts w:ascii="Times New Roman" w:eastAsia="Calibri" w:hAnsi="Times New Roman" w:cs="Times New Roman"/>
          <w:iCs/>
          <w:sz w:val="24"/>
          <w:szCs w:val="24"/>
        </w:rPr>
        <w:t xml:space="preserve"> </w:t>
      </w:r>
      <w:r w:rsidR="001B686B" w:rsidRPr="001B686B">
        <w:rPr>
          <w:rFonts w:ascii="Times New Roman" w:eastAsia="Calibri" w:hAnsi="Times New Roman" w:cs="Times New Roman"/>
          <w:iCs/>
          <w:sz w:val="24"/>
          <w:szCs w:val="24"/>
        </w:rPr>
        <w:t>konečnom dôsledku znamenať úsporu na strane obchodníkov</w:t>
      </w:r>
      <w:r w:rsidR="00B82E61">
        <w:rPr>
          <w:rFonts w:ascii="Times New Roman" w:eastAsia="Calibri" w:hAnsi="Times New Roman" w:cs="Times New Roman"/>
          <w:iCs/>
          <w:sz w:val="24"/>
          <w:szCs w:val="24"/>
        </w:rPr>
        <w:t>, a</w:t>
      </w:r>
      <w:r w:rsidR="00443F71">
        <w:rPr>
          <w:rFonts w:ascii="Times New Roman" w:eastAsia="Calibri" w:hAnsi="Times New Roman" w:cs="Times New Roman"/>
          <w:iCs/>
          <w:sz w:val="24"/>
          <w:szCs w:val="24"/>
        </w:rPr>
        <w:t xml:space="preserve"> </w:t>
      </w:r>
      <w:r w:rsidR="00B82E61">
        <w:rPr>
          <w:rFonts w:ascii="Times New Roman" w:eastAsia="Calibri" w:hAnsi="Times New Roman" w:cs="Times New Roman"/>
          <w:iCs/>
          <w:sz w:val="24"/>
          <w:szCs w:val="24"/>
        </w:rPr>
        <w:t>teda pozitívny vplyv na podnikateľský sektor.</w:t>
      </w:r>
    </w:p>
    <w:sectPr w:rsidR="001B686B" w:rsidRPr="00AD1B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3B16" w14:textId="77777777" w:rsidR="003B382E" w:rsidRDefault="003B382E" w:rsidP="00054C41">
      <w:pPr>
        <w:spacing w:after="0" w:line="240" w:lineRule="auto"/>
      </w:pPr>
      <w:r>
        <w:separator/>
      </w:r>
    </w:p>
  </w:endnote>
  <w:endnote w:type="continuationSeparator" w:id="0">
    <w:p w14:paraId="5DCB8301" w14:textId="77777777" w:rsidR="003B382E" w:rsidRDefault="003B382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altName w:val="Century Gothic"/>
    <w:panose1 w:val="020B0502040204020203"/>
    <w:charset w:val="EE"/>
    <w:family w:val="swiss"/>
    <w:pitch w:val="variable"/>
    <w:sig w:usb0="E4002EFF" w:usb1="C000E47F"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2E78" w14:textId="77777777" w:rsidR="00C30856" w:rsidRDefault="00C308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16C35D7E" w:rsidR="00CE46AB" w:rsidRPr="006045CB" w:rsidRDefault="00CE46AB"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21200A">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7D48B09B" w14:textId="77777777" w:rsidR="00CE46AB" w:rsidRPr="00FF7125" w:rsidRDefault="00CE46AB" w:rsidP="00054C41">
    <w:pPr>
      <w:pStyle w:val="Pta"/>
      <w:rPr>
        <w:sz w:val="24"/>
        <w:szCs w:val="24"/>
      </w:rPr>
    </w:pPr>
  </w:p>
  <w:p w14:paraId="68AC3825" w14:textId="77777777" w:rsidR="00CE46AB" w:rsidRDefault="00CE46A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289D" w14:textId="77777777" w:rsidR="00C30856" w:rsidRDefault="00C308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7F6EA" w14:textId="77777777" w:rsidR="003B382E" w:rsidRDefault="003B382E" w:rsidP="00054C41">
      <w:pPr>
        <w:spacing w:after="0" w:line="240" w:lineRule="auto"/>
      </w:pPr>
      <w:r>
        <w:separator/>
      </w:r>
    </w:p>
  </w:footnote>
  <w:footnote w:type="continuationSeparator" w:id="0">
    <w:p w14:paraId="25EDF490" w14:textId="77777777" w:rsidR="003B382E" w:rsidRDefault="003B382E"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278A" w14:textId="77777777" w:rsidR="00C30856" w:rsidRDefault="00C3085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35DE3B53" w:rsidR="00CE46AB" w:rsidRPr="006045CB" w:rsidRDefault="00CE46AB"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CE46AB" w:rsidRPr="006045CB" w:rsidRDefault="00CE46AB" w:rsidP="0014215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6A64" w14:textId="77777777" w:rsidR="00C30856" w:rsidRDefault="00C308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F507688"/>
    <w:multiLevelType w:val="hybridMultilevel"/>
    <w:tmpl w:val="F1563A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637BB5"/>
    <w:multiLevelType w:val="hybridMultilevel"/>
    <w:tmpl w:val="B8484CDC"/>
    <w:lvl w:ilvl="0" w:tplc="40E61CE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732D64E0"/>
    <w:multiLevelType w:val="hybridMultilevel"/>
    <w:tmpl w:val="811A5C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FE66D8D"/>
    <w:multiLevelType w:val="hybridMultilevel"/>
    <w:tmpl w:val="425060F0"/>
    <w:lvl w:ilvl="0" w:tplc="664CE246">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1042B"/>
    <w:rsid w:val="00030C8B"/>
    <w:rsid w:val="00054C41"/>
    <w:rsid w:val="00055538"/>
    <w:rsid w:val="00057C01"/>
    <w:rsid w:val="00060DA1"/>
    <w:rsid w:val="00060E8A"/>
    <w:rsid w:val="000663A0"/>
    <w:rsid w:val="000708A1"/>
    <w:rsid w:val="00090254"/>
    <w:rsid w:val="000A6A31"/>
    <w:rsid w:val="000C4799"/>
    <w:rsid w:val="000C5E9A"/>
    <w:rsid w:val="000D1A31"/>
    <w:rsid w:val="000D1A70"/>
    <w:rsid w:val="001079EB"/>
    <w:rsid w:val="00122CA7"/>
    <w:rsid w:val="00142154"/>
    <w:rsid w:val="00142BDE"/>
    <w:rsid w:val="00155F0B"/>
    <w:rsid w:val="0017193D"/>
    <w:rsid w:val="00184981"/>
    <w:rsid w:val="00196D5A"/>
    <w:rsid w:val="001A2C56"/>
    <w:rsid w:val="001B4C03"/>
    <w:rsid w:val="001B686B"/>
    <w:rsid w:val="001C715B"/>
    <w:rsid w:val="001D1083"/>
    <w:rsid w:val="001D3FA0"/>
    <w:rsid w:val="001E53CB"/>
    <w:rsid w:val="001F33B4"/>
    <w:rsid w:val="001F544B"/>
    <w:rsid w:val="002003A7"/>
    <w:rsid w:val="00204605"/>
    <w:rsid w:val="0021200A"/>
    <w:rsid w:val="00225A83"/>
    <w:rsid w:val="00270EA5"/>
    <w:rsid w:val="002748B5"/>
    <w:rsid w:val="002775DA"/>
    <w:rsid w:val="002A13A3"/>
    <w:rsid w:val="002C0492"/>
    <w:rsid w:val="002D12DF"/>
    <w:rsid w:val="002D2D51"/>
    <w:rsid w:val="002E0238"/>
    <w:rsid w:val="0030033C"/>
    <w:rsid w:val="00324122"/>
    <w:rsid w:val="00340CFD"/>
    <w:rsid w:val="00343144"/>
    <w:rsid w:val="00367A82"/>
    <w:rsid w:val="0038255E"/>
    <w:rsid w:val="00391648"/>
    <w:rsid w:val="0039304E"/>
    <w:rsid w:val="003B382E"/>
    <w:rsid w:val="003E58B8"/>
    <w:rsid w:val="003F06D7"/>
    <w:rsid w:val="00412DBA"/>
    <w:rsid w:val="00431D1B"/>
    <w:rsid w:val="00443F71"/>
    <w:rsid w:val="00445638"/>
    <w:rsid w:val="00446432"/>
    <w:rsid w:val="00460C77"/>
    <w:rsid w:val="00461994"/>
    <w:rsid w:val="004631B8"/>
    <w:rsid w:val="00493A52"/>
    <w:rsid w:val="004B31B4"/>
    <w:rsid w:val="004B43ED"/>
    <w:rsid w:val="004D20CB"/>
    <w:rsid w:val="004D618A"/>
    <w:rsid w:val="004F126D"/>
    <w:rsid w:val="004F1D9F"/>
    <w:rsid w:val="004F7F1D"/>
    <w:rsid w:val="00501A14"/>
    <w:rsid w:val="00506F3B"/>
    <w:rsid w:val="00512C9F"/>
    <w:rsid w:val="00516840"/>
    <w:rsid w:val="005301DB"/>
    <w:rsid w:val="005460E4"/>
    <w:rsid w:val="00547B95"/>
    <w:rsid w:val="005530FC"/>
    <w:rsid w:val="0055378F"/>
    <w:rsid w:val="005D1D2B"/>
    <w:rsid w:val="005D6276"/>
    <w:rsid w:val="0060731C"/>
    <w:rsid w:val="00640548"/>
    <w:rsid w:val="00661A7C"/>
    <w:rsid w:val="006778FE"/>
    <w:rsid w:val="00680128"/>
    <w:rsid w:val="006834FA"/>
    <w:rsid w:val="006A242E"/>
    <w:rsid w:val="006D3AED"/>
    <w:rsid w:val="007259CB"/>
    <w:rsid w:val="0077106D"/>
    <w:rsid w:val="007B0A18"/>
    <w:rsid w:val="007B40FB"/>
    <w:rsid w:val="007E22F1"/>
    <w:rsid w:val="007E24B2"/>
    <w:rsid w:val="007E316F"/>
    <w:rsid w:val="007F13DB"/>
    <w:rsid w:val="007F3313"/>
    <w:rsid w:val="0082449F"/>
    <w:rsid w:val="0085651C"/>
    <w:rsid w:val="008634E9"/>
    <w:rsid w:val="008801B5"/>
    <w:rsid w:val="008B4AA1"/>
    <w:rsid w:val="008C1C71"/>
    <w:rsid w:val="008E45BB"/>
    <w:rsid w:val="008E48EC"/>
    <w:rsid w:val="009162DF"/>
    <w:rsid w:val="00923C0C"/>
    <w:rsid w:val="00931DEA"/>
    <w:rsid w:val="00954B3F"/>
    <w:rsid w:val="009916A8"/>
    <w:rsid w:val="009A21DC"/>
    <w:rsid w:val="009A4D56"/>
    <w:rsid w:val="009A5A24"/>
    <w:rsid w:val="009C0A8B"/>
    <w:rsid w:val="009D27B0"/>
    <w:rsid w:val="009E09F7"/>
    <w:rsid w:val="00A000DA"/>
    <w:rsid w:val="00A1736E"/>
    <w:rsid w:val="00A719FC"/>
    <w:rsid w:val="00AA79EE"/>
    <w:rsid w:val="00AB6C70"/>
    <w:rsid w:val="00AC43C0"/>
    <w:rsid w:val="00AD1B59"/>
    <w:rsid w:val="00AE59BB"/>
    <w:rsid w:val="00AF58A9"/>
    <w:rsid w:val="00B23928"/>
    <w:rsid w:val="00B36D1F"/>
    <w:rsid w:val="00B66E33"/>
    <w:rsid w:val="00B82E61"/>
    <w:rsid w:val="00BA440C"/>
    <w:rsid w:val="00BD0EF7"/>
    <w:rsid w:val="00C16285"/>
    <w:rsid w:val="00C20AF7"/>
    <w:rsid w:val="00C21399"/>
    <w:rsid w:val="00C30856"/>
    <w:rsid w:val="00C506BE"/>
    <w:rsid w:val="00C5222D"/>
    <w:rsid w:val="00C560C4"/>
    <w:rsid w:val="00C6748F"/>
    <w:rsid w:val="00C920E0"/>
    <w:rsid w:val="00CB74BA"/>
    <w:rsid w:val="00CC5670"/>
    <w:rsid w:val="00CE0DF0"/>
    <w:rsid w:val="00CE46AB"/>
    <w:rsid w:val="00D005F2"/>
    <w:rsid w:val="00D631FA"/>
    <w:rsid w:val="00D753FF"/>
    <w:rsid w:val="00D82356"/>
    <w:rsid w:val="00D846CA"/>
    <w:rsid w:val="00D84EEE"/>
    <w:rsid w:val="00D90A61"/>
    <w:rsid w:val="00D90F14"/>
    <w:rsid w:val="00D9669B"/>
    <w:rsid w:val="00DF02CE"/>
    <w:rsid w:val="00DF352F"/>
    <w:rsid w:val="00E030DA"/>
    <w:rsid w:val="00E10201"/>
    <w:rsid w:val="00E17E39"/>
    <w:rsid w:val="00E23AE0"/>
    <w:rsid w:val="00E30D16"/>
    <w:rsid w:val="00E425A2"/>
    <w:rsid w:val="00E609E7"/>
    <w:rsid w:val="00E656C8"/>
    <w:rsid w:val="00E972CC"/>
    <w:rsid w:val="00E97A2A"/>
    <w:rsid w:val="00EA1C4F"/>
    <w:rsid w:val="00EB2BEC"/>
    <w:rsid w:val="00EB2D7E"/>
    <w:rsid w:val="00EC0704"/>
    <w:rsid w:val="00EC3B8F"/>
    <w:rsid w:val="00ED6B5D"/>
    <w:rsid w:val="00EE4C99"/>
    <w:rsid w:val="00F012FE"/>
    <w:rsid w:val="00F0241E"/>
    <w:rsid w:val="00F07B6B"/>
    <w:rsid w:val="00F71653"/>
    <w:rsid w:val="00F74FC9"/>
    <w:rsid w:val="00F7677F"/>
    <w:rsid w:val="00FA2C8A"/>
    <w:rsid w:val="00FE2168"/>
    <w:rsid w:val="00FF414B"/>
    <w:rsid w:val="00FF4B7A"/>
    <w:rsid w:val="00FF4D29"/>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C5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semiHidden/>
    <w:unhideWhenUsed/>
    <w:rsid w:val="00AB6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2550">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lov-lex.sk/legislativne-procesy/SK/PI/2021/248"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eader" Target="header3.xml"/><Relationship Id="rId22" Type="http://schemas.openxmlformats.org/officeDocument/2006/relationships/customXml" Target="../customXml/item6.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WKX3UHSAJ2R6-2-1198471</_dlc_DocId>
    <_dlc_DocIdUrl xmlns="e60a29af-d413-48d4-bd90-fe9d2a897e4b">
      <Url>https://ovdmasv601/sites/DMS/_layouts/15/DocIdRedir.aspx?ID=WKX3UHSAJ2R6-2-1198471</Url>
      <Description>WKX3UHSAJ2R6-2-1198471</Description>
    </_dlc_DocIdUrl>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E89ACB5-3AAF-4508-8B17-9E4EB8244B91}">
  <ds:schemaRefs>
    <ds:schemaRef ds:uri="http://schemas.openxmlformats.org/officeDocument/2006/bibliography"/>
  </ds:schemaRefs>
</ds:datastoreItem>
</file>

<file path=customXml/itemProps3.xml><?xml version="1.0" encoding="utf-8"?>
<ds:datastoreItem xmlns:ds="http://schemas.openxmlformats.org/officeDocument/2006/customXml" ds:itemID="{3694F239-74AC-4A37-BDFD-171B4B8D56A9}"/>
</file>

<file path=customXml/itemProps4.xml><?xml version="1.0" encoding="utf-8"?>
<ds:datastoreItem xmlns:ds="http://schemas.openxmlformats.org/officeDocument/2006/customXml" ds:itemID="{F1C3B429-EF3E-4837-AB9D-6DE1CB207A8C}"/>
</file>

<file path=customXml/itemProps5.xml><?xml version="1.0" encoding="utf-8"?>
<ds:datastoreItem xmlns:ds="http://schemas.openxmlformats.org/officeDocument/2006/customXml" ds:itemID="{820407EE-4376-4687-B474-6DBAEE2D95A5}"/>
</file>

<file path=customXml/itemProps6.xml><?xml version="1.0" encoding="utf-8"?>
<ds:datastoreItem xmlns:ds="http://schemas.openxmlformats.org/officeDocument/2006/customXml" ds:itemID="{C6BE30FB-9B5C-4574-A828-B62748A732B9}"/>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12635</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2023-01-24T08:24:00Z</dcterms:created>
  <dcterms:modified xsi:type="dcterms:W3CDTF">2023-01-24T14:02:00Z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b65d85c2-9d7d-4e41-81ba-64dcd58b8cd7</vt:lpwstr>
  </property>
</Properties>
</file>