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65FFFE8D" w14:textId="77777777" w:rsidR="001F6ECE"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1F6ECE">
        <w:rPr>
          <w:rFonts w:ascii="Times New Roman" w:eastAsia="Calibri" w:hAnsi="Times New Roman" w:cs="Times New Roman"/>
          <w:b/>
          <w:sz w:val="24"/>
          <w:szCs w:val="24"/>
        </w:rPr>
        <w:t xml:space="preserve"> </w:t>
      </w:r>
    </w:p>
    <w:p w14:paraId="76961D92" w14:textId="442F4F3F" w:rsidR="00054C41" w:rsidRPr="001F1B43" w:rsidRDefault="001F6ECE" w:rsidP="00054C41">
      <w:pPr>
        <w:jc w:val="both"/>
        <w:rPr>
          <w:rFonts w:ascii="Times New Roman" w:eastAsia="Calibri" w:hAnsi="Times New Roman" w:cs="Times New Roman"/>
          <w:b/>
          <w:sz w:val="24"/>
          <w:szCs w:val="24"/>
        </w:rPr>
      </w:pPr>
      <w:r w:rsidRPr="001F6ECE">
        <w:rPr>
          <w:rFonts w:ascii="Times New Roman" w:eastAsia="Times New Roman" w:hAnsi="Times New Roman" w:cs="Times New Roman"/>
          <w:sz w:val="24"/>
          <w:szCs w:val="24"/>
          <w:lang w:eastAsia="sk-SK"/>
        </w:rPr>
        <w:t>Návrh zákona, ktorým sa mení a dopĺňa zákon č. 381/2001 Z. z. o povinnom zmluvnom poistení zodpovednosti za škodu spôsobenú prevádzkou motorového vozidla  a o zmene a doplnení niektorých zákonov v znení neskorších predpisov a ktorým sa menia a dopĺňajú niektoré zákony</w:t>
      </w:r>
    </w:p>
    <w:p w14:paraId="77F96BF6"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p>
    <w:p w14:paraId="36AFBB5F" w14:textId="4AB7A079" w:rsidR="00054C41" w:rsidRPr="001F6ECE" w:rsidRDefault="001F6ECE" w:rsidP="00054C41">
      <w:pPr>
        <w:jc w:val="both"/>
        <w:rPr>
          <w:rFonts w:ascii="Times New Roman" w:eastAsia="Calibri" w:hAnsi="Times New Roman" w:cs="Times New Roman"/>
          <w:sz w:val="24"/>
          <w:szCs w:val="24"/>
        </w:rPr>
      </w:pPr>
      <w:r w:rsidRPr="001F6ECE">
        <w:rPr>
          <w:rFonts w:ascii="Times New Roman" w:eastAsia="Calibri" w:hAnsi="Times New Roman" w:cs="Times New Roman"/>
          <w:sz w:val="24"/>
          <w:szCs w:val="24"/>
        </w:rPr>
        <w:t>Ministerstvo financií Slovenskej republiky</w:t>
      </w: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705A51" w:rsidRPr="00705A51" w14:paraId="0150F5AB" w14:textId="77777777" w:rsidTr="00705A51">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6D20206" w14:textId="77777777" w:rsidR="00705A51" w:rsidRPr="00705A51" w:rsidRDefault="00705A51" w:rsidP="00705A51">
            <w:pPr>
              <w:spacing w:after="0" w:line="240" w:lineRule="auto"/>
              <w:jc w:val="center"/>
              <w:rPr>
                <w:rFonts w:ascii="Times New Roman" w:eastAsia="Times New Roman" w:hAnsi="Times New Roman" w:cs="Times New Roman"/>
                <w:b/>
                <w:bCs/>
                <w:i/>
                <w:iCs/>
                <w:color w:val="000000"/>
                <w:sz w:val="20"/>
                <w:szCs w:val="20"/>
                <w:lang w:eastAsia="sk-SK"/>
              </w:rPr>
            </w:pPr>
            <w:r w:rsidRPr="00705A51">
              <w:rPr>
                <w:rFonts w:ascii="Times New Roman" w:eastAsia="Times New Roman" w:hAnsi="Times New Roman" w:cs="Times New Roman"/>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01A48257"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14:paraId="1F28F523"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Zníženie nákladov v € na PP</w:t>
            </w:r>
          </w:p>
        </w:tc>
      </w:tr>
      <w:tr w:rsidR="00705A51" w:rsidRPr="00705A51" w14:paraId="729AA726" w14:textId="77777777" w:rsidTr="00705A51">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19ED57B6" w14:textId="77777777" w:rsidR="00705A51" w:rsidRPr="00705A51" w:rsidRDefault="00705A51" w:rsidP="00705A51">
            <w:pPr>
              <w:spacing w:after="0" w:line="240" w:lineRule="auto"/>
              <w:rPr>
                <w:rFonts w:ascii="Times New Roman" w:eastAsia="Times New Roman" w:hAnsi="Times New Roman" w:cs="Times New Roman"/>
                <w:b/>
                <w:bCs/>
                <w:i/>
                <w:iCs/>
                <w:color w:val="000000"/>
                <w:sz w:val="20"/>
                <w:szCs w:val="20"/>
                <w:lang w:eastAsia="sk-SK"/>
              </w:rPr>
            </w:pPr>
            <w:r w:rsidRPr="00705A51">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414A8DE3"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643223F7"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r>
      <w:tr w:rsidR="00705A51" w:rsidRPr="00705A51" w14:paraId="35EBCF56" w14:textId="77777777" w:rsidTr="00705A5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320B56A4" w14:textId="77777777" w:rsidR="00705A51" w:rsidRPr="00705A51" w:rsidRDefault="00705A51" w:rsidP="00705A51">
            <w:pPr>
              <w:spacing w:after="0" w:line="240" w:lineRule="auto"/>
              <w:rPr>
                <w:rFonts w:ascii="Times New Roman" w:eastAsia="Times New Roman" w:hAnsi="Times New Roman" w:cs="Times New Roman"/>
                <w:b/>
                <w:bCs/>
                <w:i/>
                <w:iCs/>
                <w:color w:val="000000"/>
                <w:sz w:val="20"/>
                <w:szCs w:val="20"/>
                <w:lang w:eastAsia="sk-SK"/>
              </w:rPr>
            </w:pPr>
            <w:r w:rsidRPr="00705A51">
              <w:rPr>
                <w:rFonts w:ascii="Times New Roman" w:eastAsia="Times New Roman" w:hAnsi="Times New Roman" w:cs="Times New Roman"/>
                <w:b/>
                <w:bCs/>
                <w:i/>
                <w:iCs/>
                <w:color w:val="000000"/>
                <w:sz w:val="20"/>
                <w:szCs w:val="20"/>
                <w:lang w:eastAsia="sk-SK"/>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7807928A"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558DA47A"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r>
      <w:tr w:rsidR="00705A51" w:rsidRPr="00705A51" w14:paraId="60C93127" w14:textId="77777777" w:rsidTr="00705A5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327DE91D" w14:textId="77777777" w:rsidR="00705A51" w:rsidRPr="00705A51" w:rsidRDefault="00705A51" w:rsidP="00705A51">
            <w:pPr>
              <w:spacing w:after="0" w:line="240" w:lineRule="auto"/>
              <w:rPr>
                <w:rFonts w:ascii="Times New Roman" w:eastAsia="Times New Roman" w:hAnsi="Times New Roman" w:cs="Times New Roman"/>
                <w:b/>
                <w:bCs/>
                <w:i/>
                <w:iCs/>
                <w:color w:val="000000"/>
                <w:sz w:val="20"/>
                <w:szCs w:val="20"/>
                <w:lang w:eastAsia="sk-SK"/>
              </w:rPr>
            </w:pPr>
            <w:r w:rsidRPr="00705A51">
              <w:rPr>
                <w:rFonts w:ascii="Times New Roman" w:eastAsia="Times New Roman" w:hAnsi="Times New Roman" w:cs="Times New Roman"/>
                <w:b/>
                <w:bCs/>
                <w:i/>
                <w:iCs/>
                <w:color w:val="000000"/>
                <w:sz w:val="20"/>
                <w:szCs w:val="20"/>
                <w:lang w:eastAsia="sk-SK"/>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2364D355"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212 500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6E0C1687"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r>
      <w:tr w:rsidR="00705A51" w:rsidRPr="00705A51" w14:paraId="0175D87D" w14:textId="77777777" w:rsidTr="00705A5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216F859A" w14:textId="77777777" w:rsidR="00705A51" w:rsidRPr="00705A51" w:rsidRDefault="00705A51" w:rsidP="00705A51">
            <w:pPr>
              <w:spacing w:after="0" w:line="240" w:lineRule="auto"/>
              <w:rPr>
                <w:rFonts w:ascii="Times New Roman" w:eastAsia="Times New Roman" w:hAnsi="Times New Roman" w:cs="Times New Roman"/>
                <w:b/>
                <w:bCs/>
                <w:i/>
                <w:iCs/>
                <w:color w:val="000000"/>
                <w:sz w:val="20"/>
                <w:szCs w:val="20"/>
                <w:lang w:eastAsia="sk-SK"/>
              </w:rPr>
            </w:pPr>
            <w:r w:rsidRPr="00705A51">
              <w:rPr>
                <w:rFonts w:ascii="Times New Roman" w:eastAsia="Times New Roman" w:hAnsi="Times New Roman" w:cs="Times New Roman"/>
                <w:b/>
                <w:bCs/>
                <w:i/>
                <w:iCs/>
                <w:color w:val="000000"/>
                <w:sz w:val="20"/>
                <w:szCs w:val="20"/>
                <w:lang w:eastAsia="sk-SK"/>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4E653604"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193 498</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1BD625D3"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r>
      <w:tr w:rsidR="00705A51" w:rsidRPr="00705A51" w14:paraId="2263E411" w14:textId="77777777" w:rsidTr="00705A5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20FED5CE" w14:textId="77777777" w:rsidR="00705A51" w:rsidRPr="00705A51" w:rsidRDefault="00705A51" w:rsidP="00705A51">
            <w:pPr>
              <w:spacing w:after="0" w:line="240" w:lineRule="auto"/>
              <w:rPr>
                <w:rFonts w:ascii="Times New Roman" w:eastAsia="Times New Roman" w:hAnsi="Times New Roman" w:cs="Times New Roman"/>
                <w:b/>
                <w:bCs/>
                <w:i/>
                <w:iCs/>
                <w:color w:val="000000"/>
                <w:sz w:val="20"/>
                <w:szCs w:val="20"/>
                <w:lang w:eastAsia="sk-SK"/>
              </w:rPr>
            </w:pPr>
            <w:r w:rsidRPr="00705A51">
              <w:rPr>
                <w:rFonts w:ascii="Times New Roman" w:eastAsia="Times New Roman" w:hAnsi="Times New Roman" w:cs="Times New Roman"/>
                <w:b/>
                <w:bCs/>
                <w:i/>
                <w:iCs/>
                <w:color w:val="000000"/>
                <w:sz w:val="20"/>
                <w:szCs w:val="20"/>
                <w:lang w:eastAsia="sk-SK"/>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6B5D019F"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405 998</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6A142888"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r>
      <w:tr w:rsidR="00705A51" w:rsidRPr="00705A51" w14:paraId="1DE869A0" w14:textId="77777777" w:rsidTr="00705A5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6D3120E9" w14:textId="77777777" w:rsidR="00705A51" w:rsidRPr="00705A51" w:rsidRDefault="00705A51" w:rsidP="00705A51">
            <w:pPr>
              <w:spacing w:after="0" w:line="240" w:lineRule="auto"/>
              <w:rPr>
                <w:rFonts w:ascii="Times New Roman" w:eastAsia="Times New Roman" w:hAnsi="Times New Roman" w:cs="Times New Roman"/>
                <w:b/>
                <w:bCs/>
                <w:i/>
                <w:iCs/>
                <w:color w:val="000000"/>
                <w:sz w:val="20"/>
                <w:szCs w:val="20"/>
                <w:lang w:eastAsia="sk-SK"/>
              </w:rPr>
            </w:pPr>
            <w:r w:rsidRPr="00705A51">
              <w:rPr>
                <w:rFonts w:ascii="Times New Roman" w:eastAsia="Times New Roman" w:hAnsi="Times New Roman" w:cs="Times New Roman"/>
                <w:b/>
                <w:bCs/>
                <w:i/>
                <w:iCs/>
                <w:color w:val="000000"/>
                <w:sz w:val="20"/>
                <w:szCs w:val="20"/>
                <w:lang w:eastAsia="sk-SK"/>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10C88874"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78277CB7"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 </w:t>
            </w:r>
          </w:p>
        </w:tc>
      </w:tr>
      <w:tr w:rsidR="00705A51" w:rsidRPr="00705A51" w14:paraId="3B62858C" w14:textId="77777777" w:rsidTr="00705A51">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7828DD63" w14:textId="77777777" w:rsidR="00705A51" w:rsidRPr="00705A51" w:rsidRDefault="00705A51" w:rsidP="00705A51">
            <w:pPr>
              <w:spacing w:after="0" w:line="240" w:lineRule="auto"/>
              <w:rPr>
                <w:rFonts w:ascii="Times New Roman" w:eastAsia="Times New Roman" w:hAnsi="Times New Roman" w:cs="Times New Roman"/>
                <w:b/>
                <w:bCs/>
                <w:i/>
                <w:iCs/>
                <w:color w:val="000000"/>
                <w:sz w:val="20"/>
                <w:szCs w:val="20"/>
                <w:lang w:eastAsia="sk-SK"/>
              </w:rPr>
            </w:pPr>
            <w:r w:rsidRPr="00705A51">
              <w:rPr>
                <w:rFonts w:ascii="Times New Roman" w:eastAsia="Times New Roman" w:hAnsi="Times New Roman" w:cs="Times New Roman"/>
                <w:b/>
                <w:bCs/>
                <w:i/>
                <w:iCs/>
                <w:color w:val="000000"/>
                <w:sz w:val="20"/>
                <w:szCs w:val="20"/>
                <w:lang w:eastAsia="sk-SK"/>
              </w:rPr>
              <w:t>E. Vplyv na mikro, malé a stredné podn.</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52C21CFE"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7BDF2A31"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r>
      <w:tr w:rsidR="00705A51" w:rsidRPr="00705A51" w14:paraId="157D6530" w14:textId="77777777" w:rsidTr="00705A51">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4DAA2D7E" w14:textId="77777777" w:rsidR="00705A51" w:rsidRPr="00705A51" w:rsidRDefault="00705A51" w:rsidP="00705A51">
            <w:pPr>
              <w:spacing w:after="0" w:line="240" w:lineRule="auto"/>
              <w:rPr>
                <w:rFonts w:ascii="Times New Roman" w:eastAsia="Times New Roman" w:hAnsi="Times New Roman" w:cs="Times New Roman"/>
                <w:b/>
                <w:bCs/>
                <w:i/>
                <w:iCs/>
                <w:color w:val="000000"/>
                <w:sz w:val="20"/>
                <w:szCs w:val="20"/>
                <w:lang w:eastAsia="sk-SK"/>
              </w:rPr>
            </w:pPr>
            <w:r w:rsidRPr="00705A51">
              <w:rPr>
                <w:rFonts w:ascii="Times New Roman" w:eastAsia="Times New Roman" w:hAnsi="Times New Roman" w:cs="Times New Roman"/>
                <w:b/>
                <w:bCs/>
                <w:i/>
                <w:iCs/>
                <w:color w:val="000000"/>
                <w:sz w:val="20"/>
                <w:szCs w:val="20"/>
                <w:lang w:eastAsia="sk-SK"/>
              </w:rPr>
              <w:t>F. Úplná harmonizácia práva EÚ</w:t>
            </w:r>
            <w:r w:rsidRPr="00705A51">
              <w:rPr>
                <w:rFonts w:ascii="Times New Roman" w:eastAsia="Times New Roman" w:hAnsi="Times New Roman" w:cs="Times New Roman"/>
                <w:b/>
                <w:bCs/>
                <w:i/>
                <w:iCs/>
                <w:color w:val="000000"/>
                <w:sz w:val="20"/>
                <w:szCs w:val="20"/>
                <w:lang w:eastAsia="sk-SK"/>
              </w:rPr>
              <w:br/>
            </w:r>
            <w:r w:rsidRPr="00705A51">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14A00841"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405 998</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14:paraId="5A69520B"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r>
      <w:tr w:rsidR="00705A51" w:rsidRPr="00705A51" w14:paraId="71D11685" w14:textId="77777777" w:rsidTr="00705A51">
        <w:trPr>
          <w:trHeight w:val="270"/>
        </w:trPr>
        <w:tc>
          <w:tcPr>
            <w:tcW w:w="3780" w:type="dxa"/>
            <w:tcBorders>
              <w:top w:val="nil"/>
              <w:left w:val="nil"/>
              <w:bottom w:val="nil"/>
              <w:right w:val="nil"/>
            </w:tcBorders>
            <w:shd w:val="clear" w:color="auto" w:fill="auto"/>
            <w:noWrap/>
            <w:vAlign w:val="bottom"/>
            <w:hideMark/>
          </w:tcPr>
          <w:p w14:paraId="069F9937"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p>
        </w:tc>
        <w:tc>
          <w:tcPr>
            <w:tcW w:w="1580" w:type="dxa"/>
            <w:tcBorders>
              <w:top w:val="nil"/>
              <w:left w:val="nil"/>
              <w:bottom w:val="nil"/>
              <w:right w:val="nil"/>
            </w:tcBorders>
            <w:shd w:val="clear" w:color="auto" w:fill="auto"/>
            <w:vAlign w:val="center"/>
            <w:hideMark/>
          </w:tcPr>
          <w:p w14:paraId="33C57DFE" w14:textId="77777777" w:rsidR="00705A51" w:rsidRPr="00705A51" w:rsidRDefault="00705A51" w:rsidP="00705A51">
            <w:pPr>
              <w:spacing w:after="0" w:line="240" w:lineRule="auto"/>
              <w:rPr>
                <w:rFonts w:ascii="Times New Roman" w:eastAsia="Times New Roman" w:hAnsi="Times New Roman" w:cs="Times New Roman"/>
                <w:sz w:val="20"/>
                <w:szCs w:val="20"/>
                <w:lang w:eastAsia="sk-SK"/>
              </w:rPr>
            </w:pPr>
          </w:p>
        </w:tc>
        <w:tc>
          <w:tcPr>
            <w:tcW w:w="1060" w:type="dxa"/>
            <w:tcBorders>
              <w:top w:val="nil"/>
              <w:left w:val="nil"/>
              <w:bottom w:val="nil"/>
              <w:right w:val="nil"/>
            </w:tcBorders>
            <w:shd w:val="clear" w:color="auto" w:fill="auto"/>
            <w:vAlign w:val="center"/>
            <w:hideMark/>
          </w:tcPr>
          <w:p w14:paraId="3A7F36CA" w14:textId="77777777" w:rsidR="00705A51" w:rsidRPr="00705A51" w:rsidRDefault="00705A51" w:rsidP="00705A51">
            <w:pPr>
              <w:spacing w:after="0" w:line="240" w:lineRule="auto"/>
              <w:rPr>
                <w:rFonts w:ascii="Times New Roman" w:eastAsia="Times New Roman" w:hAnsi="Times New Roman" w:cs="Times New Roman"/>
                <w:sz w:val="20"/>
                <w:szCs w:val="20"/>
                <w:lang w:eastAsia="sk-SK"/>
              </w:rPr>
            </w:pPr>
          </w:p>
        </w:tc>
        <w:tc>
          <w:tcPr>
            <w:tcW w:w="1360" w:type="dxa"/>
            <w:tcBorders>
              <w:top w:val="nil"/>
              <w:left w:val="nil"/>
              <w:bottom w:val="nil"/>
              <w:right w:val="nil"/>
            </w:tcBorders>
            <w:shd w:val="clear" w:color="auto" w:fill="auto"/>
            <w:vAlign w:val="center"/>
            <w:hideMark/>
          </w:tcPr>
          <w:p w14:paraId="3D65C218" w14:textId="77777777" w:rsidR="00705A51" w:rsidRPr="00705A51" w:rsidRDefault="00705A51" w:rsidP="00705A51">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vAlign w:val="center"/>
            <w:hideMark/>
          </w:tcPr>
          <w:p w14:paraId="03D3DCFA" w14:textId="77777777" w:rsidR="00705A51" w:rsidRPr="00705A51" w:rsidRDefault="00705A51" w:rsidP="00705A51">
            <w:pPr>
              <w:spacing w:after="0" w:line="240" w:lineRule="auto"/>
              <w:rPr>
                <w:rFonts w:ascii="Times New Roman" w:eastAsia="Times New Roman" w:hAnsi="Times New Roman" w:cs="Times New Roman"/>
                <w:sz w:val="20"/>
                <w:szCs w:val="20"/>
                <w:lang w:eastAsia="sk-SK"/>
              </w:rPr>
            </w:pPr>
          </w:p>
        </w:tc>
      </w:tr>
      <w:tr w:rsidR="00705A51" w:rsidRPr="00705A51" w14:paraId="3DABE6B0" w14:textId="77777777" w:rsidTr="00705A51">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D59D2E4" w14:textId="77777777" w:rsidR="00705A51" w:rsidRPr="00705A51" w:rsidRDefault="00705A51" w:rsidP="00705A51">
            <w:pPr>
              <w:spacing w:after="0" w:line="240" w:lineRule="auto"/>
              <w:rPr>
                <w:rFonts w:ascii="Times New Roman" w:eastAsia="Times New Roman" w:hAnsi="Times New Roman" w:cs="Times New Roman"/>
                <w:i/>
                <w:iCs/>
                <w:color w:val="000000"/>
                <w:sz w:val="20"/>
                <w:szCs w:val="20"/>
                <w:lang w:eastAsia="sk-SK"/>
              </w:rPr>
            </w:pPr>
            <w:r w:rsidRPr="00705A51">
              <w:rPr>
                <w:rFonts w:ascii="Times New Roman" w:eastAsia="Times New Roman" w:hAnsi="Times New Roman" w:cs="Times New Roman"/>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79FC684A" w14:textId="77777777" w:rsidR="00705A51" w:rsidRPr="00705A51" w:rsidRDefault="00705A51" w:rsidP="00705A51">
            <w:pPr>
              <w:spacing w:after="0" w:line="240" w:lineRule="auto"/>
              <w:jc w:val="center"/>
              <w:rPr>
                <w:rFonts w:ascii="Times New Roman" w:eastAsia="Times New Roman" w:hAnsi="Times New Roman" w:cs="Times New Roman"/>
                <w:color w:val="000000"/>
                <w:sz w:val="20"/>
                <w:szCs w:val="20"/>
                <w:lang w:eastAsia="sk-SK"/>
              </w:rPr>
            </w:pPr>
            <w:r w:rsidRPr="00705A51">
              <w:rPr>
                <w:rFonts w:ascii="Times New Roman" w:eastAsia="Times New Roman" w:hAnsi="Times New Roman" w:cs="Times New Roman"/>
                <w:color w:val="000000"/>
                <w:sz w:val="20"/>
                <w:szCs w:val="20"/>
                <w:lang w:eastAsia="sk-SK"/>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14:paraId="6339DBA3" w14:textId="77777777" w:rsidR="00705A51" w:rsidRPr="00705A51" w:rsidRDefault="00705A51" w:rsidP="00705A51">
            <w:pPr>
              <w:spacing w:after="0" w:line="240" w:lineRule="auto"/>
              <w:jc w:val="center"/>
              <w:rPr>
                <w:rFonts w:ascii="Times New Roman" w:eastAsia="Times New Roman" w:hAnsi="Times New Roman" w:cs="Times New Roman"/>
                <w:color w:val="000000"/>
                <w:sz w:val="20"/>
                <w:szCs w:val="20"/>
                <w:lang w:eastAsia="sk-SK"/>
              </w:rPr>
            </w:pPr>
            <w:r w:rsidRPr="00705A51">
              <w:rPr>
                <w:rFonts w:ascii="Times New Roman" w:eastAsia="Times New Roman" w:hAnsi="Times New Roman" w:cs="Times New Roman"/>
                <w:color w:val="000000"/>
                <w:sz w:val="20"/>
                <w:szCs w:val="20"/>
                <w:lang w:eastAsia="sk-SK"/>
              </w:rPr>
              <w:t>OUT</w:t>
            </w:r>
          </w:p>
        </w:tc>
      </w:tr>
      <w:tr w:rsidR="00705A51" w:rsidRPr="00705A51" w14:paraId="74F8760B" w14:textId="77777777" w:rsidTr="00705A51">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06BDCC0D" w14:textId="77777777" w:rsidR="00705A51" w:rsidRPr="00705A51" w:rsidRDefault="00705A51" w:rsidP="00705A51">
            <w:pPr>
              <w:spacing w:after="0" w:line="240" w:lineRule="auto"/>
              <w:rPr>
                <w:rFonts w:ascii="Times New Roman" w:eastAsia="Times New Roman" w:hAnsi="Times New Roman" w:cs="Times New Roman"/>
                <w:i/>
                <w:iCs/>
                <w:color w:val="000000"/>
                <w:sz w:val="20"/>
                <w:szCs w:val="20"/>
                <w:lang w:eastAsia="sk-SK"/>
              </w:rPr>
            </w:pPr>
            <w:r w:rsidRPr="00705A51">
              <w:rPr>
                <w:rFonts w:ascii="Times New Roman" w:eastAsia="Times New Roman" w:hAnsi="Times New Roman" w:cs="Times New Roman"/>
                <w:i/>
                <w:iCs/>
                <w:color w:val="000000"/>
                <w:sz w:val="20"/>
                <w:szCs w:val="20"/>
                <w:lang w:eastAsia="sk-SK"/>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3A49C798"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14:paraId="3B7AE6E3" w14:textId="77777777" w:rsidR="00705A51" w:rsidRPr="00705A51" w:rsidRDefault="00705A51" w:rsidP="00705A51">
            <w:pPr>
              <w:spacing w:after="0" w:line="240" w:lineRule="auto"/>
              <w:jc w:val="center"/>
              <w:rPr>
                <w:rFonts w:ascii="Times New Roman" w:eastAsia="Times New Roman" w:hAnsi="Times New Roman" w:cs="Times New Roman"/>
                <w:b/>
                <w:bCs/>
                <w:color w:val="000000"/>
                <w:sz w:val="20"/>
                <w:szCs w:val="20"/>
                <w:lang w:eastAsia="sk-SK"/>
              </w:rPr>
            </w:pPr>
            <w:r w:rsidRPr="00705A51">
              <w:rPr>
                <w:rFonts w:ascii="Times New Roman" w:eastAsia="Times New Roman" w:hAnsi="Times New Roman" w:cs="Times New Roman"/>
                <w:b/>
                <w:bCs/>
                <w:color w:val="000000"/>
                <w:sz w:val="20"/>
                <w:szCs w:val="20"/>
                <w:lang w:eastAsia="sk-SK"/>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footerReference w:type="default" r:id="rId10"/>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p w14:paraId="6E2FC1D4" w14:textId="06791CE5" w:rsidR="00054C41" w:rsidRPr="00895898" w:rsidRDefault="00054C41" w:rsidP="00054C41">
      <w:pPr>
        <w:jc w:val="both"/>
        <w:rPr>
          <w:rFonts w:ascii="Times New Roman" w:eastAsia="Calibri" w:hAnsi="Times New Roman" w:cs="Times New Roman"/>
          <w:i/>
        </w:rPr>
      </w:pPr>
    </w:p>
    <w:p w14:paraId="392BDE53" w14:textId="7816DCA8" w:rsidR="00054C41" w:rsidRPr="00895898" w:rsidRDefault="002A36C0"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r w:rsidRPr="002A36C0">
        <w:drawing>
          <wp:inline distT="0" distB="0" distL="0" distR="0" wp14:anchorId="77726C91" wp14:editId="5ACCECE9">
            <wp:extent cx="8892540" cy="2815865"/>
            <wp:effectExtent l="0" t="0" r="3810"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2815865"/>
                    </a:xfrm>
                    <a:prstGeom prst="rect">
                      <a:avLst/>
                    </a:prstGeom>
                    <a:noFill/>
                    <a:ln>
                      <a:noFill/>
                    </a:ln>
                  </pic:spPr>
                </pic:pic>
              </a:graphicData>
            </a:graphic>
          </wp:inline>
        </w:drawing>
      </w:r>
      <w:bookmarkStart w:id="0" w:name="_GoBack"/>
      <w:bookmarkEnd w:id="0"/>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4B7EFCBA" w:rsidR="00054C41" w:rsidRPr="00D8247C"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71D6C222" w14:textId="35941319" w:rsidR="00AF06A3" w:rsidRDefault="00802E43" w:rsidP="00802E43">
      <w:pPr>
        <w:jc w:val="both"/>
        <w:rPr>
          <w:rFonts w:ascii="Times New Roman" w:eastAsia="Calibri" w:hAnsi="Times New Roman" w:cs="Times New Roman"/>
          <w:sz w:val="24"/>
          <w:szCs w:val="24"/>
        </w:rPr>
      </w:pPr>
      <w:r w:rsidRPr="00802E43">
        <w:rPr>
          <w:rFonts w:ascii="Times New Roman" w:eastAsia="Calibri" w:hAnsi="Times New Roman" w:cs="Times New Roman"/>
          <w:sz w:val="24"/>
          <w:szCs w:val="24"/>
        </w:rPr>
        <w:t xml:space="preserve">V predkladanom návrhu </w:t>
      </w:r>
      <w:r>
        <w:rPr>
          <w:rFonts w:ascii="Times New Roman" w:eastAsia="Calibri" w:hAnsi="Times New Roman" w:cs="Times New Roman"/>
          <w:sz w:val="24"/>
          <w:szCs w:val="24"/>
        </w:rPr>
        <w:t>zákona</w:t>
      </w:r>
      <w:r w:rsidRPr="00802E43">
        <w:rPr>
          <w:rFonts w:ascii="Times New Roman" w:eastAsia="Calibri" w:hAnsi="Times New Roman" w:cs="Times New Roman"/>
          <w:sz w:val="24"/>
          <w:szCs w:val="24"/>
        </w:rPr>
        <w:t xml:space="preserve"> bolo identifikovaných </w:t>
      </w:r>
      <w:r w:rsidR="007B7EC4">
        <w:rPr>
          <w:rFonts w:ascii="Times New Roman" w:eastAsia="Calibri" w:hAnsi="Times New Roman" w:cs="Times New Roman"/>
          <w:sz w:val="24"/>
          <w:szCs w:val="24"/>
        </w:rPr>
        <w:t>9</w:t>
      </w:r>
      <w:r w:rsidRPr="00802E43">
        <w:rPr>
          <w:rFonts w:ascii="Times New Roman" w:eastAsia="Calibri" w:hAnsi="Times New Roman" w:cs="Times New Roman"/>
          <w:sz w:val="24"/>
          <w:szCs w:val="24"/>
        </w:rPr>
        <w:t xml:space="preserve"> regulácií s vplyvom na podnikateľské prostredie. Predmetom kalkulačky nákladov sú regulácie súvisiace so zvýšením </w:t>
      </w:r>
      <w:r w:rsidR="006071A9">
        <w:rPr>
          <w:rFonts w:ascii="Times New Roman" w:eastAsia="Calibri" w:hAnsi="Times New Roman" w:cs="Times New Roman"/>
          <w:sz w:val="24"/>
          <w:szCs w:val="24"/>
        </w:rPr>
        <w:t xml:space="preserve">nepriamych finančných nákladov a </w:t>
      </w:r>
      <w:r w:rsidRPr="00802E43">
        <w:rPr>
          <w:rFonts w:ascii="Times New Roman" w:eastAsia="Calibri" w:hAnsi="Times New Roman" w:cs="Times New Roman"/>
          <w:sz w:val="24"/>
          <w:szCs w:val="24"/>
        </w:rPr>
        <w:t xml:space="preserve">administratívnej záťaže </w:t>
      </w:r>
      <w:r w:rsidR="006071A9">
        <w:rPr>
          <w:rFonts w:ascii="Times New Roman" w:eastAsia="Calibri" w:hAnsi="Times New Roman" w:cs="Times New Roman"/>
          <w:sz w:val="24"/>
          <w:szCs w:val="24"/>
        </w:rPr>
        <w:t>poisťovateľov a Slovenskej kancelárie poisťovateľov</w:t>
      </w:r>
      <w:r w:rsidR="00286605">
        <w:rPr>
          <w:rFonts w:ascii="Times New Roman" w:eastAsia="Calibri" w:hAnsi="Times New Roman" w:cs="Times New Roman"/>
          <w:sz w:val="24"/>
          <w:szCs w:val="24"/>
        </w:rPr>
        <w:t xml:space="preserve"> (SKP)</w:t>
      </w:r>
      <w:r w:rsidR="006071A9">
        <w:rPr>
          <w:rFonts w:ascii="Times New Roman" w:eastAsia="Calibri" w:hAnsi="Times New Roman" w:cs="Times New Roman"/>
          <w:sz w:val="24"/>
          <w:szCs w:val="24"/>
        </w:rPr>
        <w:t xml:space="preserve"> v súvislosti s ich povinnosťami vyplývajúcimi z </w:t>
      </w:r>
      <w:r w:rsidR="00E312C6">
        <w:rPr>
          <w:rFonts w:ascii="Times New Roman" w:eastAsia="Calibri" w:hAnsi="Times New Roman" w:cs="Times New Roman"/>
          <w:sz w:val="24"/>
          <w:szCs w:val="24"/>
        </w:rPr>
        <w:t>transpozície</w:t>
      </w:r>
      <w:r w:rsidR="006071A9">
        <w:rPr>
          <w:rFonts w:ascii="Times New Roman" w:eastAsia="Calibri" w:hAnsi="Times New Roman" w:cs="Times New Roman"/>
          <w:sz w:val="24"/>
          <w:szCs w:val="24"/>
        </w:rPr>
        <w:t xml:space="preserve"> Smernice  </w:t>
      </w:r>
      <w:r w:rsidR="006071A9" w:rsidRPr="006071A9">
        <w:rPr>
          <w:rFonts w:ascii="Times New Roman" w:eastAsia="Times New Roman" w:hAnsi="Times New Roman" w:cs="Times New Roman"/>
          <w:sz w:val="24"/>
          <w:szCs w:val="24"/>
          <w:lang w:eastAsia="sk-SK"/>
        </w:rPr>
        <w:t>Európskeho parlamentu a Rady (EÚ) 2021/2118 z 24. novembra 2021, ktorou sa mení smernica 2009/103/ES o poistení zodpovednosti za škodu spôsobenú prevádzkou motorových vozidiel a o kontrole plnenia povinnosti poistenia takejto zodpovednosti</w:t>
      </w:r>
      <w:r w:rsidRPr="00802E43">
        <w:rPr>
          <w:rFonts w:ascii="Times New Roman" w:eastAsia="Calibri" w:hAnsi="Times New Roman" w:cs="Times New Roman"/>
          <w:sz w:val="24"/>
          <w:szCs w:val="24"/>
        </w:rPr>
        <w:t>.</w:t>
      </w:r>
      <w:r w:rsidR="00EA0E8A">
        <w:rPr>
          <w:rFonts w:ascii="Times New Roman" w:eastAsia="Calibri" w:hAnsi="Times New Roman" w:cs="Times New Roman"/>
          <w:sz w:val="24"/>
          <w:szCs w:val="24"/>
        </w:rPr>
        <w:t xml:space="preserve"> </w:t>
      </w:r>
    </w:p>
    <w:p w14:paraId="13B2860B" w14:textId="6402516D" w:rsidR="00054C41" w:rsidRDefault="00EA0E8A" w:rsidP="00802E4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Všetky uvedené náklady </w:t>
      </w:r>
      <w:r w:rsidR="00AF06A3">
        <w:rPr>
          <w:rFonts w:ascii="Times New Roman" w:eastAsia="Calibri" w:hAnsi="Times New Roman" w:cs="Times New Roman"/>
          <w:sz w:val="24"/>
          <w:szCs w:val="24"/>
        </w:rPr>
        <w:t xml:space="preserve">vychádzajú z odhadov </w:t>
      </w:r>
      <w:r>
        <w:rPr>
          <w:rFonts w:ascii="Times New Roman" w:eastAsia="Calibri" w:hAnsi="Times New Roman" w:cs="Times New Roman"/>
          <w:sz w:val="24"/>
          <w:szCs w:val="24"/>
        </w:rPr>
        <w:t>predkladateľ</w:t>
      </w:r>
      <w:r w:rsidR="00AF06A3">
        <w:rPr>
          <w:rFonts w:ascii="Times New Roman" w:eastAsia="Calibri" w:hAnsi="Times New Roman" w:cs="Times New Roman"/>
          <w:sz w:val="24"/>
          <w:szCs w:val="24"/>
        </w:rPr>
        <w:t>a. D</w:t>
      </w:r>
      <w:r w:rsidR="002652AA">
        <w:rPr>
          <w:rFonts w:ascii="Times New Roman" w:eastAsia="Calibri" w:hAnsi="Times New Roman" w:cs="Times New Roman"/>
          <w:sz w:val="24"/>
          <w:szCs w:val="24"/>
        </w:rPr>
        <w:t>otknutí poisťovatelia zastúpen</w:t>
      </w:r>
      <w:r w:rsidR="00FD28CF">
        <w:rPr>
          <w:rFonts w:ascii="Times New Roman" w:eastAsia="Calibri" w:hAnsi="Times New Roman" w:cs="Times New Roman"/>
          <w:sz w:val="24"/>
          <w:szCs w:val="24"/>
        </w:rPr>
        <w:t>í</w:t>
      </w:r>
      <w:r w:rsidR="002652AA">
        <w:rPr>
          <w:rFonts w:ascii="Times New Roman" w:eastAsia="Calibri" w:hAnsi="Times New Roman" w:cs="Times New Roman"/>
          <w:sz w:val="24"/>
          <w:szCs w:val="24"/>
        </w:rPr>
        <w:t xml:space="preserve"> </w:t>
      </w:r>
      <w:r w:rsidR="00D2624F">
        <w:rPr>
          <w:rFonts w:ascii="Times New Roman" w:eastAsia="Calibri" w:hAnsi="Times New Roman" w:cs="Times New Roman"/>
          <w:sz w:val="24"/>
          <w:szCs w:val="24"/>
        </w:rPr>
        <w:t xml:space="preserve">Slovenskou asociáciou poisťovní a </w:t>
      </w:r>
      <w:r w:rsidR="002652AA">
        <w:rPr>
          <w:rFonts w:ascii="Times New Roman" w:eastAsia="Calibri" w:hAnsi="Times New Roman" w:cs="Times New Roman"/>
          <w:sz w:val="24"/>
          <w:szCs w:val="24"/>
        </w:rPr>
        <w:t>Slovensk</w:t>
      </w:r>
      <w:r w:rsidR="00D2624F">
        <w:rPr>
          <w:rFonts w:ascii="Times New Roman" w:eastAsia="Calibri" w:hAnsi="Times New Roman" w:cs="Times New Roman"/>
          <w:sz w:val="24"/>
          <w:szCs w:val="24"/>
        </w:rPr>
        <w:t>á</w:t>
      </w:r>
      <w:r w:rsidR="002652AA">
        <w:rPr>
          <w:rFonts w:ascii="Times New Roman" w:eastAsia="Calibri" w:hAnsi="Times New Roman" w:cs="Times New Roman"/>
          <w:sz w:val="24"/>
          <w:szCs w:val="24"/>
        </w:rPr>
        <w:t xml:space="preserve"> kancelári</w:t>
      </w:r>
      <w:r w:rsidR="00D2624F">
        <w:rPr>
          <w:rFonts w:ascii="Times New Roman" w:eastAsia="Calibri" w:hAnsi="Times New Roman" w:cs="Times New Roman"/>
          <w:sz w:val="24"/>
          <w:szCs w:val="24"/>
        </w:rPr>
        <w:t>a</w:t>
      </w:r>
      <w:r w:rsidR="002652AA">
        <w:rPr>
          <w:rFonts w:ascii="Times New Roman" w:eastAsia="Calibri" w:hAnsi="Times New Roman" w:cs="Times New Roman"/>
          <w:sz w:val="24"/>
          <w:szCs w:val="24"/>
        </w:rPr>
        <w:t xml:space="preserve"> poisťovateľov</w:t>
      </w:r>
      <w:r w:rsidR="00AF06A3">
        <w:rPr>
          <w:rFonts w:ascii="Times New Roman" w:eastAsia="Calibri" w:hAnsi="Times New Roman" w:cs="Times New Roman"/>
          <w:sz w:val="24"/>
          <w:szCs w:val="24"/>
        </w:rPr>
        <w:t xml:space="preserve">, ktorí </w:t>
      </w:r>
      <w:r w:rsidR="00D2624F">
        <w:rPr>
          <w:rFonts w:ascii="Times New Roman" w:eastAsia="Calibri" w:hAnsi="Times New Roman" w:cs="Times New Roman"/>
          <w:sz w:val="24"/>
          <w:szCs w:val="24"/>
        </w:rPr>
        <w:t xml:space="preserve">boli súčasťou </w:t>
      </w:r>
      <w:r w:rsidR="00AF06A3">
        <w:rPr>
          <w:rFonts w:ascii="Times New Roman" w:eastAsia="Calibri" w:hAnsi="Times New Roman" w:cs="Times New Roman"/>
          <w:sz w:val="24"/>
          <w:szCs w:val="24"/>
        </w:rPr>
        <w:t xml:space="preserve">internej </w:t>
      </w:r>
      <w:r w:rsidR="00D2624F">
        <w:rPr>
          <w:rFonts w:ascii="Times New Roman" w:eastAsia="Calibri" w:hAnsi="Times New Roman" w:cs="Times New Roman"/>
          <w:sz w:val="24"/>
          <w:szCs w:val="24"/>
        </w:rPr>
        <w:t>pracovnej skupiny pre prípravu návrhu</w:t>
      </w:r>
      <w:r w:rsidR="00AF06A3">
        <w:rPr>
          <w:rFonts w:ascii="Times New Roman" w:eastAsia="Calibri" w:hAnsi="Times New Roman" w:cs="Times New Roman"/>
          <w:sz w:val="24"/>
          <w:szCs w:val="24"/>
        </w:rPr>
        <w:t xml:space="preserve"> zákona</w:t>
      </w:r>
      <w:r w:rsidR="00D2624F">
        <w:rPr>
          <w:rFonts w:ascii="Times New Roman" w:eastAsia="Calibri" w:hAnsi="Times New Roman" w:cs="Times New Roman"/>
          <w:sz w:val="24"/>
          <w:szCs w:val="24"/>
        </w:rPr>
        <w:t xml:space="preserve">, </w:t>
      </w:r>
      <w:r w:rsidR="00AF06A3">
        <w:rPr>
          <w:rFonts w:ascii="Times New Roman" w:eastAsia="Calibri" w:hAnsi="Times New Roman" w:cs="Times New Roman"/>
          <w:sz w:val="24"/>
          <w:szCs w:val="24"/>
        </w:rPr>
        <w:t xml:space="preserve">na žiadosť predkladateľa </w:t>
      </w:r>
      <w:r w:rsidR="00D2624F">
        <w:rPr>
          <w:rFonts w:ascii="Times New Roman" w:eastAsia="Calibri" w:hAnsi="Times New Roman" w:cs="Times New Roman"/>
          <w:sz w:val="24"/>
          <w:szCs w:val="24"/>
        </w:rPr>
        <w:t xml:space="preserve">neposkytli </w:t>
      </w:r>
      <w:r w:rsidR="00AF06A3">
        <w:rPr>
          <w:rFonts w:ascii="Times New Roman" w:eastAsia="Calibri" w:hAnsi="Times New Roman" w:cs="Times New Roman"/>
          <w:sz w:val="24"/>
          <w:szCs w:val="24"/>
        </w:rPr>
        <w:t>relevantné údaje o predpokladaných nákladoch v súvislosti s predkladaným návrhom zákona.</w:t>
      </w:r>
    </w:p>
    <w:p w14:paraId="2E68B844" w14:textId="171D318D" w:rsidR="006071A9" w:rsidRPr="006071A9" w:rsidRDefault="006071A9" w:rsidP="00802E43">
      <w:pPr>
        <w:jc w:val="both"/>
        <w:rPr>
          <w:rFonts w:ascii="Times New Roman" w:eastAsia="Calibri" w:hAnsi="Times New Roman" w:cs="Times New Roman"/>
          <w:i/>
          <w:sz w:val="24"/>
          <w:szCs w:val="24"/>
          <w:u w:val="single"/>
        </w:rPr>
      </w:pPr>
      <w:r w:rsidRPr="006071A9">
        <w:rPr>
          <w:rFonts w:ascii="Times New Roman" w:eastAsia="Calibri" w:hAnsi="Times New Roman" w:cs="Times New Roman"/>
          <w:i/>
          <w:sz w:val="24"/>
          <w:szCs w:val="24"/>
          <w:u w:val="single"/>
        </w:rPr>
        <w:t xml:space="preserve">Opatrenia (opisy regulácií) č. 1 až </w:t>
      </w:r>
      <w:r w:rsidR="007B7EC4">
        <w:rPr>
          <w:rFonts w:ascii="Times New Roman" w:eastAsia="Calibri" w:hAnsi="Times New Roman" w:cs="Times New Roman"/>
          <w:i/>
          <w:sz w:val="24"/>
          <w:szCs w:val="24"/>
          <w:u w:val="single"/>
        </w:rPr>
        <w:t>9</w:t>
      </w:r>
    </w:p>
    <w:p w14:paraId="0E4D3B24" w14:textId="77A90F08" w:rsidR="006071A9" w:rsidRPr="006071A9" w:rsidRDefault="006071A9" w:rsidP="006071A9">
      <w:pPr>
        <w:pStyle w:val="Odsekzoznamu"/>
        <w:numPr>
          <w:ilvl w:val="0"/>
          <w:numId w:val="9"/>
        </w:numPr>
        <w:jc w:val="both"/>
        <w:rPr>
          <w:rFonts w:ascii="Times New Roman" w:eastAsia="Calibri" w:hAnsi="Times New Roman" w:cs="Times New Roman"/>
          <w:i/>
          <w:sz w:val="24"/>
          <w:szCs w:val="24"/>
        </w:rPr>
      </w:pPr>
      <w:r w:rsidRPr="006071A9">
        <w:rPr>
          <w:rFonts w:ascii="Times New Roman" w:eastAsia="Calibri" w:hAnsi="Times New Roman" w:cs="Times New Roman"/>
          <w:i/>
          <w:sz w:val="24"/>
          <w:szCs w:val="24"/>
        </w:rPr>
        <w:t>Overovanie údajov v</w:t>
      </w:r>
      <w:r>
        <w:rPr>
          <w:rFonts w:ascii="Times New Roman" w:eastAsia="Calibri" w:hAnsi="Times New Roman" w:cs="Times New Roman"/>
          <w:i/>
          <w:sz w:val="24"/>
          <w:szCs w:val="24"/>
        </w:rPr>
        <w:t> </w:t>
      </w:r>
      <w:r w:rsidRPr="006071A9">
        <w:rPr>
          <w:rFonts w:ascii="Times New Roman" w:eastAsia="Calibri" w:hAnsi="Times New Roman" w:cs="Times New Roman"/>
          <w:i/>
          <w:sz w:val="24"/>
          <w:szCs w:val="24"/>
        </w:rPr>
        <w:t>registri</w:t>
      </w:r>
    </w:p>
    <w:p w14:paraId="30D2103E" w14:textId="4081CE06" w:rsidR="006071A9" w:rsidRDefault="006071A9" w:rsidP="006071A9">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Predmetná regulácia </w:t>
      </w:r>
      <w:r w:rsidR="00286605">
        <w:rPr>
          <w:rFonts w:ascii="Times New Roman" w:eastAsia="Calibri" w:hAnsi="Times New Roman" w:cs="Times New Roman"/>
          <w:sz w:val="24"/>
          <w:szCs w:val="24"/>
        </w:rPr>
        <w:t xml:space="preserve">zvyšuje administratívnu záťaž poisťovateľov z dôvodu overovania si údajov v registri vedenom SKP o škodovom priebehu a dobe poistenia zodpovednosti, ktorá má povinnosť uzavrieť poistnú zmluvu.  </w:t>
      </w:r>
      <w:r w:rsidR="00286605" w:rsidRPr="00286605">
        <w:rPr>
          <w:rFonts w:ascii="Times New Roman" w:eastAsia="Calibri" w:hAnsi="Times New Roman" w:cs="Times New Roman"/>
          <w:sz w:val="24"/>
          <w:szCs w:val="24"/>
        </w:rPr>
        <w:t>Časová náročnosť pre administratívne náklady bola vypočítaná ako súčin 1</w:t>
      </w:r>
      <w:r w:rsidR="00CB1A50">
        <w:rPr>
          <w:rFonts w:ascii="Times New Roman" w:eastAsia="Calibri" w:hAnsi="Times New Roman" w:cs="Times New Roman"/>
          <w:sz w:val="24"/>
          <w:szCs w:val="24"/>
        </w:rPr>
        <w:t>8</w:t>
      </w:r>
      <w:r w:rsidR="00286605" w:rsidRPr="00286605">
        <w:rPr>
          <w:rFonts w:ascii="Times New Roman" w:eastAsia="Calibri" w:hAnsi="Times New Roman" w:cs="Times New Roman"/>
          <w:sz w:val="24"/>
          <w:szCs w:val="24"/>
        </w:rPr>
        <w:t>0 minút (</w:t>
      </w:r>
      <w:r w:rsidR="00CB1A50">
        <w:rPr>
          <w:rFonts w:ascii="Times New Roman" w:eastAsia="Calibri" w:hAnsi="Times New Roman" w:cs="Times New Roman"/>
          <w:sz w:val="24"/>
          <w:szCs w:val="24"/>
        </w:rPr>
        <w:t>tri</w:t>
      </w:r>
      <w:r w:rsidR="00286605" w:rsidRPr="00286605">
        <w:rPr>
          <w:rFonts w:ascii="Times New Roman" w:eastAsia="Calibri" w:hAnsi="Times New Roman" w:cs="Times New Roman"/>
          <w:sz w:val="24"/>
          <w:szCs w:val="24"/>
        </w:rPr>
        <w:t xml:space="preserve"> hodiny</w:t>
      </w:r>
      <w:r w:rsidR="00286605">
        <w:rPr>
          <w:rFonts w:ascii="Times New Roman" w:eastAsia="Calibri" w:hAnsi="Times New Roman" w:cs="Times New Roman"/>
          <w:sz w:val="24"/>
          <w:szCs w:val="24"/>
        </w:rPr>
        <w:t xml:space="preserve"> denne</w:t>
      </w:r>
      <w:r w:rsidR="00286605" w:rsidRPr="00286605">
        <w:rPr>
          <w:rFonts w:ascii="Times New Roman" w:eastAsia="Calibri" w:hAnsi="Times New Roman" w:cs="Times New Roman"/>
          <w:sz w:val="24"/>
          <w:szCs w:val="24"/>
        </w:rPr>
        <w:t>) a počtu pracovných dní, ktorých je</w:t>
      </w:r>
      <w:r w:rsidR="00CB1A50">
        <w:rPr>
          <w:rFonts w:ascii="Times New Roman" w:eastAsia="Calibri" w:hAnsi="Times New Roman" w:cs="Times New Roman"/>
          <w:sz w:val="24"/>
          <w:szCs w:val="24"/>
        </w:rPr>
        <w:t xml:space="preserve"> 250</w:t>
      </w:r>
      <w:r w:rsidR="00286605" w:rsidRPr="00286605">
        <w:rPr>
          <w:rFonts w:ascii="Times New Roman" w:eastAsia="Calibri" w:hAnsi="Times New Roman" w:cs="Times New Roman"/>
          <w:sz w:val="24"/>
          <w:szCs w:val="24"/>
        </w:rPr>
        <w:t xml:space="preserve"> v</w:t>
      </w:r>
      <w:r w:rsidR="00CB1A50">
        <w:rPr>
          <w:rFonts w:ascii="Times New Roman" w:eastAsia="Calibri" w:hAnsi="Times New Roman" w:cs="Times New Roman"/>
          <w:sz w:val="24"/>
          <w:szCs w:val="24"/>
        </w:rPr>
        <w:t> </w:t>
      </w:r>
      <w:r w:rsidR="00286605" w:rsidRPr="00286605">
        <w:rPr>
          <w:rFonts w:ascii="Times New Roman" w:eastAsia="Calibri" w:hAnsi="Times New Roman" w:cs="Times New Roman"/>
          <w:sz w:val="24"/>
          <w:szCs w:val="24"/>
        </w:rPr>
        <w:t>roku</w:t>
      </w:r>
      <w:r w:rsidR="00CB1A50">
        <w:rPr>
          <w:rFonts w:ascii="Times New Roman" w:eastAsia="Calibri" w:hAnsi="Times New Roman" w:cs="Times New Roman"/>
          <w:sz w:val="24"/>
          <w:szCs w:val="24"/>
        </w:rPr>
        <w:t xml:space="preserve"> 2024</w:t>
      </w:r>
      <w:r w:rsidR="00286605" w:rsidRPr="00286605">
        <w:rPr>
          <w:rFonts w:ascii="Times New Roman" w:eastAsia="Calibri" w:hAnsi="Times New Roman" w:cs="Times New Roman"/>
          <w:sz w:val="24"/>
          <w:szCs w:val="24"/>
        </w:rPr>
        <w:t xml:space="preserve"> (t. j. 1</w:t>
      </w:r>
      <w:r w:rsidR="00CB1A50">
        <w:rPr>
          <w:rFonts w:ascii="Times New Roman" w:eastAsia="Calibri" w:hAnsi="Times New Roman" w:cs="Times New Roman"/>
          <w:sz w:val="24"/>
          <w:szCs w:val="24"/>
        </w:rPr>
        <w:t>8</w:t>
      </w:r>
      <w:r w:rsidR="00286605" w:rsidRPr="00286605">
        <w:rPr>
          <w:rFonts w:ascii="Times New Roman" w:eastAsia="Calibri" w:hAnsi="Times New Roman" w:cs="Times New Roman"/>
          <w:sz w:val="24"/>
          <w:szCs w:val="24"/>
        </w:rPr>
        <w:t xml:space="preserve">0 min. * 250 pracovných dní = </w:t>
      </w:r>
      <w:r w:rsidR="00CB1A50">
        <w:rPr>
          <w:rFonts w:ascii="Times New Roman" w:eastAsia="Calibri" w:hAnsi="Times New Roman" w:cs="Times New Roman"/>
          <w:sz w:val="24"/>
          <w:szCs w:val="24"/>
        </w:rPr>
        <w:t>45</w:t>
      </w:r>
      <w:r w:rsidR="00CC1E1F">
        <w:rPr>
          <w:rFonts w:ascii="Times New Roman" w:eastAsia="Calibri" w:hAnsi="Times New Roman" w:cs="Times New Roman"/>
          <w:sz w:val="24"/>
          <w:szCs w:val="24"/>
        </w:rPr>
        <w:t>.</w:t>
      </w:r>
      <w:r w:rsidR="00286605" w:rsidRPr="00286605">
        <w:rPr>
          <w:rFonts w:ascii="Times New Roman" w:eastAsia="Calibri" w:hAnsi="Times New Roman" w:cs="Times New Roman"/>
          <w:sz w:val="24"/>
          <w:szCs w:val="24"/>
        </w:rPr>
        <w:t>000 min. ročne). Frekvencia plnenia bola na základe vyššie uvedenej kvantifikácie určená na 1-krát ročne</w:t>
      </w:r>
      <w:r w:rsidR="00CB1A50">
        <w:rPr>
          <w:rFonts w:ascii="Times New Roman" w:eastAsia="Calibri" w:hAnsi="Times New Roman" w:cs="Times New Roman"/>
          <w:sz w:val="24"/>
          <w:szCs w:val="24"/>
        </w:rPr>
        <w:t>.</w:t>
      </w:r>
    </w:p>
    <w:p w14:paraId="102A6C3D" w14:textId="72849AC5" w:rsidR="00CB1A50" w:rsidRPr="00CB1A50" w:rsidRDefault="00CB1A50" w:rsidP="00CB1A50">
      <w:pPr>
        <w:pStyle w:val="Odsekzoznamu"/>
        <w:numPr>
          <w:ilvl w:val="0"/>
          <w:numId w:val="9"/>
        </w:numPr>
        <w:jc w:val="both"/>
        <w:rPr>
          <w:rFonts w:ascii="Times New Roman" w:eastAsia="Calibri" w:hAnsi="Times New Roman" w:cs="Times New Roman"/>
          <w:i/>
          <w:sz w:val="24"/>
          <w:szCs w:val="24"/>
        </w:rPr>
      </w:pPr>
      <w:r w:rsidRPr="00CB1A50">
        <w:rPr>
          <w:rFonts w:ascii="Times New Roman" w:eastAsia="Calibri" w:hAnsi="Times New Roman" w:cs="Times New Roman"/>
          <w:i/>
          <w:sz w:val="24"/>
          <w:szCs w:val="24"/>
        </w:rPr>
        <w:t>Zverejňovanie informácií o postupe pri zohľadňovaní škodového priebehu poistenia</w:t>
      </w:r>
    </w:p>
    <w:p w14:paraId="72B8B71F" w14:textId="3D53C3A7" w:rsidR="00C00057" w:rsidRDefault="00CB1A50" w:rsidP="00CB1A5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Zavedenie regulácie zvyšuje nepriame finančné náklady poisťovateľov. </w:t>
      </w:r>
      <w:r w:rsidR="00C00057">
        <w:rPr>
          <w:rFonts w:ascii="Times New Roman" w:eastAsia="Calibri" w:hAnsi="Times New Roman" w:cs="Times New Roman"/>
          <w:sz w:val="24"/>
          <w:szCs w:val="24"/>
        </w:rPr>
        <w:t xml:space="preserve">Táto regulácia </w:t>
      </w:r>
      <w:r>
        <w:rPr>
          <w:rFonts w:ascii="Times New Roman" w:eastAsia="Calibri" w:hAnsi="Times New Roman" w:cs="Times New Roman"/>
          <w:sz w:val="24"/>
          <w:szCs w:val="24"/>
        </w:rPr>
        <w:t>zav</w:t>
      </w:r>
      <w:r w:rsidR="00C00057">
        <w:rPr>
          <w:rFonts w:ascii="Times New Roman" w:eastAsia="Calibri" w:hAnsi="Times New Roman" w:cs="Times New Roman"/>
          <w:sz w:val="24"/>
          <w:szCs w:val="24"/>
        </w:rPr>
        <w:t>á</w:t>
      </w:r>
      <w:r>
        <w:rPr>
          <w:rFonts w:ascii="Times New Roman" w:eastAsia="Calibri" w:hAnsi="Times New Roman" w:cs="Times New Roman"/>
          <w:sz w:val="24"/>
          <w:szCs w:val="24"/>
        </w:rPr>
        <w:t>d</w:t>
      </w:r>
      <w:r w:rsidR="00C00057">
        <w:rPr>
          <w:rFonts w:ascii="Times New Roman" w:eastAsia="Calibri" w:hAnsi="Times New Roman" w:cs="Times New Roman"/>
          <w:sz w:val="24"/>
          <w:szCs w:val="24"/>
        </w:rPr>
        <w:t>za</w:t>
      </w:r>
      <w:r>
        <w:rPr>
          <w:rFonts w:ascii="Times New Roman" w:eastAsia="Calibri" w:hAnsi="Times New Roman" w:cs="Times New Roman"/>
          <w:sz w:val="24"/>
          <w:szCs w:val="24"/>
        </w:rPr>
        <w:t xml:space="preserve"> povinnos</w:t>
      </w:r>
      <w:r w:rsidR="00C00057">
        <w:rPr>
          <w:rFonts w:ascii="Times New Roman" w:eastAsia="Calibri" w:hAnsi="Times New Roman" w:cs="Times New Roman"/>
          <w:sz w:val="24"/>
          <w:szCs w:val="24"/>
        </w:rPr>
        <w:t>ť</w:t>
      </w:r>
      <w:r>
        <w:rPr>
          <w:rFonts w:ascii="Times New Roman" w:eastAsia="Calibri" w:hAnsi="Times New Roman" w:cs="Times New Roman"/>
          <w:sz w:val="24"/>
          <w:szCs w:val="24"/>
        </w:rPr>
        <w:t xml:space="preserve"> poisťovateľ</w:t>
      </w:r>
      <w:r w:rsidR="007B7EC4">
        <w:rPr>
          <w:rFonts w:ascii="Times New Roman" w:eastAsia="Calibri" w:hAnsi="Times New Roman" w:cs="Times New Roman"/>
          <w:sz w:val="24"/>
          <w:szCs w:val="24"/>
        </w:rPr>
        <w:t>a</w:t>
      </w:r>
      <w:r>
        <w:rPr>
          <w:rFonts w:ascii="Times New Roman" w:eastAsia="Calibri" w:hAnsi="Times New Roman" w:cs="Times New Roman"/>
          <w:sz w:val="24"/>
          <w:szCs w:val="24"/>
        </w:rPr>
        <w:t xml:space="preserve"> zverejniť na svojej webovej stránke všeobecné informácie o spôsobe akým postupuje</w:t>
      </w:r>
      <w:r w:rsidR="00C00057">
        <w:rPr>
          <w:rFonts w:ascii="Times New Roman" w:eastAsia="Calibri" w:hAnsi="Times New Roman" w:cs="Times New Roman"/>
          <w:sz w:val="24"/>
          <w:szCs w:val="24"/>
        </w:rPr>
        <w:t xml:space="preserve"> pri zohľadňovaní škodového priebehu poistenia zodpovednosti. Pri kvantifikácii bol zvolený postup </w:t>
      </w:r>
      <w:r w:rsidR="009D79BE">
        <w:rPr>
          <w:rFonts w:ascii="Times New Roman" w:eastAsia="Calibri" w:hAnsi="Times New Roman" w:cs="Times New Roman"/>
          <w:sz w:val="24"/>
          <w:szCs w:val="24"/>
        </w:rPr>
        <w:t xml:space="preserve">expertného </w:t>
      </w:r>
      <w:r w:rsidR="00C00057">
        <w:rPr>
          <w:rFonts w:ascii="Times New Roman" w:eastAsia="Calibri" w:hAnsi="Times New Roman" w:cs="Times New Roman"/>
          <w:sz w:val="24"/>
          <w:szCs w:val="24"/>
        </w:rPr>
        <w:t>odhadu</w:t>
      </w:r>
      <w:r w:rsidR="009D79BE">
        <w:rPr>
          <w:rFonts w:ascii="Times New Roman" w:eastAsia="Calibri" w:hAnsi="Times New Roman" w:cs="Times New Roman"/>
          <w:sz w:val="24"/>
          <w:szCs w:val="24"/>
        </w:rPr>
        <w:t xml:space="preserve"> predkladateľa</w:t>
      </w:r>
      <w:r w:rsidR="00C00057">
        <w:rPr>
          <w:rFonts w:ascii="Times New Roman" w:eastAsia="Calibri" w:hAnsi="Times New Roman" w:cs="Times New Roman"/>
          <w:sz w:val="24"/>
          <w:szCs w:val="24"/>
        </w:rPr>
        <w:t xml:space="preserve"> nepriamych finančných </w:t>
      </w:r>
      <w:r w:rsidR="00B031E3">
        <w:rPr>
          <w:rFonts w:ascii="Times New Roman" w:eastAsia="Calibri" w:hAnsi="Times New Roman" w:cs="Times New Roman"/>
          <w:sz w:val="24"/>
          <w:szCs w:val="24"/>
        </w:rPr>
        <w:t xml:space="preserve">nákladov </w:t>
      </w:r>
      <w:r w:rsidR="00C00057">
        <w:rPr>
          <w:rFonts w:ascii="Times New Roman" w:eastAsia="Calibri" w:hAnsi="Times New Roman" w:cs="Times New Roman"/>
          <w:sz w:val="24"/>
          <w:szCs w:val="24"/>
        </w:rPr>
        <w:t xml:space="preserve">potrebných na informačno-technickú úpravu webovej stránky poisťovateľa v sume </w:t>
      </w:r>
      <w:r w:rsidR="00CC1E1F">
        <w:rPr>
          <w:rFonts w:ascii="Times New Roman" w:eastAsia="Calibri" w:hAnsi="Times New Roman" w:cs="Times New Roman"/>
          <w:sz w:val="24"/>
          <w:szCs w:val="24"/>
        </w:rPr>
        <w:t>25.</w:t>
      </w:r>
      <w:r w:rsidR="00C00057">
        <w:rPr>
          <w:rFonts w:ascii="Times New Roman" w:eastAsia="Calibri" w:hAnsi="Times New Roman" w:cs="Times New Roman"/>
          <w:sz w:val="24"/>
          <w:szCs w:val="24"/>
        </w:rPr>
        <w:t>000 eur.</w:t>
      </w:r>
      <w:r w:rsidR="00C53433">
        <w:rPr>
          <w:rFonts w:ascii="Times New Roman" w:eastAsia="Calibri" w:hAnsi="Times New Roman" w:cs="Times New Roman"/>
          <w:sz w:val="24"/>
          <w:szCs w:val="24"/>
        </w:rPr>
        <w:t xml:space="preserve"> </w:t>
      </w:r>
      <w:r w:rsidR="00C00057" w:rsidRPr="00C00057">
        <w:rPr>
          <w:rFonts w:ascii="Times New Roman" w:eastAsia="Calibri" w:hAnsi="Times New Roman" w:cs="Times New Roman"/>
          <w:sz w:val="24"/>
          <w:szCs w:val="24"/>
        </w:rPr>
        <w:t xml:space="preserve">Frekvencia plnenia bola na základe vyššie uvedenej kvantifikácie určená </w:t>
      </w:r>
      <w:r w:rsidR="007B7EC4">
        <w:rPr>
          <w:rFonts w:ascii="Times New Roman" w:eastAsia="Calibri" w:hAnsi="Times New Roman" w:cs="Times New Roman"/>
          <w:sz w:val="24"/>
          <w:szCs w:val="24"/>
        </w:rPr>
        <w:t>ako jednorazová</w:t>
      </w:r>
      <w:r w:rsidR="00C00057" w:rsidRPr="00C00057">
        <w:rPr>
          <w:rFonts w:ascii="Times New Roman" w:eastAsia="Calibri" w:hAnsi="Times New Roman" w:cs="Times New Roman"/>
          <w:sz w:val="24"/>
          <w:szCs w:val="24"/>
        </w:rPr>
        <w:t>.</w:t>
      </w:r>
    </w:p>
    <w:p w14:paraId="279606DA" w14:textId="77777777" w:rsidR="00795FB6" w:rsidRDefault="00795FB6" w:rsidP="00795FB6">
      <w:pPr>
        <w:pStyle w:val="Odsekzoznamu"/>
        <w:numPr>
          <w:ilvl w:val="0"/>
          <w:numId w:val="9"/>
        </w:numPr>
        <w:jc w:val="both"/>
        <w:rPr>
          <w:rFonts w:ascii="Times New Roman" w:eastAsia="Calibri" w:hAnsi="Times New Roman" w:cs="Times New Roman"/>
          <w:i/>
          <w:sz w:val="24"/>
          <w:szCs w:val="24"/>
        </w:rPr>
      </w:pPr>
      <w:r>
        <w:rPr>
          <w:rFonts w:ascii="Times New Roman" w:eastAsia="Calibri" w:hAnsi="Times New Roman" w:cs="Times New Roman"/>
          <w:i/>
          <w:sz w:val="24"/>
          <w:szCs w:val="24"/>
        </w:rPr>
        <w:t>Ú</w:t>
      </w:r>
      <w:r w:rsidR="00C00057" w:rsidRPr="00795FB6">
        <w:rPr>
          <w:rFonts w:ascii="Times New Roman" w:eastAsia="Calibri" w:hAnsi="Times New Roman" w:cs="Times New Roman"/>
          <w:i/>
          <w:sz w:val="24"/>
          <w:szCs w:val="24"/>
        </w:rPr>
        <w:t>prava šablón dokladu o škodovom priebehu poistenia</w:t>
      </w:r>
    </w:p>
    <w:p w14:paraId="6B52A1A0" w14:textId="6E9BFB6E" w:rsidR="00795FB6" w:rsidRDefault="00795FB6" w:rsidP="00795FB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Regulácia zvyšuje nepriame finančné náklady poisťovateľov. Na základe požiadavky zjednotiť formu dokladu preukazujúceho škodový priebeh poistenia zodpovednosti vo všetkých členských štátoch EÚ bude potrebné zmeniť formu v súčasnosti vydávaného dokladu. Pri kvantifikácii bol zvolený postup </w:t>
      </w:r>
      <w:r w:rsidR="009D79BE">
        <w:rPr>
          <w:rFonts w:ascii="Times New Roman" w:eastAsia="Calibri" w:hAnsi="Times New Roman" w:cs="Times New Roman"/>
          <w:sz w:val="24"/>
          <w:szCs w:val="24"/>
        </w:rPr>
        <w:t xml:space="preserve">expertného </w:t>
      </w:r>
      <w:r>
        <w:rPr>
          <w:rFonts w:ascii="Times New Roman" w:eastAsia="Calibri" w:hAnsi="Times New Roman" w:cs="Times New Roman"/>
          <w:sz w:val="24"/>
          <w:szCs w:val="24"/>
        </w:rPr>
        <w:t>odhadu</w:t>
      </w:r>
      <w:r w:rsidR="009D79BE">
        <w:rPr>
          <w:rFonts w:ascii="Times New Roman" w:eastAsia="Calibri" w:hAnsi="Times New Roman" w:cs="Times New Roman"/>
          <w:sz w:val="24"/>
          <w:szCs w:val="24"/>
        </w:rPr>
        <w:t xml:space="preserve"> predkladateľa</w:t>
      </w:r>
      <w:r>
        <w:rPr>
          <w:rFonts w:ascii="Times New Roman" w:eastAsia="Calibri" w:hAnsi="Times New Roman" w:cs="Times New Roman"/>
          <w:sz w:val="24"/>
          <w:szCs w:val="24"/>
        </w:rPr>
        <w:t xml:space="preserve"> nepriamych finančných</w:t>
      </w:r>
      <w:r w:rsidR="00B031E3">
        <w:rPr>
          <w:rFonts w:ascii="Times New Roman" w:eastAsia="Calibri" w:hAnsi="Times New Roman" w:cs="Times New Roman"/>
          <w:sz w:val="24"/>
          <w:szCs w:val="24"/>
        </w:rPr>
        <w:t xml:space="preserve"> </w:t>
      </w:r>
      <w:r w:rsidR="00B031E3">
        <w:rPr>
          <w:rFonts w:ascii="Times New Roman" w:eastAsia="Calibri" w:hAnsi="Times New Roman" w:cs="Times New Roman"/>
          <w:sz w:val="24"/>
          <w:szCs w:val="24"/>
        </w:rPr>
        <w:lastRenderedPageBreak/>
        <w:t>nákladov</w:t>
      </w:r>
      <w:r>
        <w:rPr>
          <w:rFonts w:ascii="Times New Roman" w:eastAsia="Calibri" w:hAnsi="Times New Roman" w:cs="Times New Roman"/>
          <w:sz w:val="24"/>
          <w:szCs w:val="24"/>
        </w:rPr>
        <w:t xml:space="preserve"> potrebných na úpravu </w:t>
      </w:r>
      <w:r w:rsidR="00C53433">
        <w:rPr>
          <w:rFonts w:ascii="Times New Roman" w:eastAsia="Calibri" w:hAnsi="Times New Roman" w:cs="Times New Roman"/>
          <w:sz w:val="24"/>
          <w:szCs w:val="24"/>
        </w:rPr>
        <w:t>tohto dokladu</w:t>
      </w:r>
      <w:r>
        <w:rPr>
          <w:rFonts w:ascii="Times New Roman" w:eastAsia="Calibri" w:hAnsi="Times New Roman" w:cs="Times New Roman"/>
          <w:sz w:val="24"/>
          <w:szCs w:val="24"/>
        </w:rPr>
        <w:t xml:space="preserve"> v sume </w:t>
      </w:r>
      <w:r w:rsidR="00C53433">
        <w:rPr>
          <w:rFonts w:ascii="Times New Roman" w:eastAsia="Calibri" w:hAnsi="Times New Roman" w:cs="Times New Roman"/>
          <w:sz w:val="24"/>
          <w:szCs w:val="24"/>
        </w:rPr>
        <w:t>4</w:t>
      </w:r>
      <w:r>
        <w:rPr>
          <w:rFonts w:ascii="Times New Roman" w:eastAsia="Calibri" w:hAnsi="Times New Roman" w:cs="Times New Roman"/>
          <w:sz w:val="24"/>
          <w:szCs w:val="24"/>
        </w:rPr>
        <w:t>0.000 eur.</w:t>
      </w:r>
      <w:r w:rsidRPr="00C00057">
        <w:rPr>
          <w:rFonts w:ascii="Times New Roman" w:eastAsia="Calibri" w:hAnsi="Times New Roman" w:cs="Times New Roman"/>
          <w:sz w:val="24"/>
          <w:szCs w:val="24"/>
        </w:rPr>
        <w:t xml:space="preserve"> Frekvencia plnenia bola určená </w:t>
      </w:r>
      <w:r w:rsidR="00C53433">
        <w:rPr>
          <w:rFonts w:ascii="Times New Roman" w:eastAsia="Calibri" w:hAnsi="Times New Roman" w:cs="Times New Roman"/>
          <w:sz w:val="24"/>
          <w:szCs w:val="24"/>
        </w:rPr>
        <w:t>ako jednorazová</w:t>
      </w:r>
      <w:r w:rsidRPr="00C00057">
        <w:rPr>
          <w:rFonts w:ascii="Times New Roman" w:eastAsia="Calibri" w:hAnsi="Times New Roman" w:cs="Times New Roman"/>
          <w:sz w:val="24"/>
          <w:szCs w:val="24"/>
        </w:rPr>
        <w:t>.</w:t>
      </w:r>
    </w:p>
    <w:p w14:paraId="0EE12277" w14:textId="027FAD6F" w:rsidR="00447A90" w:rsidRDefault="007B7EC4" w:rsidP="00447A90">
      <w:pPr>
        <w:pStyle w:val="Odsekzoznamu"/>
        <w:numPr>
          <w:ilvl w:val="0"/>
          <w:numId w:val="9"/>
        </w:numPr>
        <w:jc w:val="both"/>
        <w:rPr>
          <w:rFonts w:ascii="Times New Roman" w:eastAsia="Calibri" w:hAnsi="Times New Roman" w:cs="Times New Roman"/>
          <w:i/>
          <w:sz w:val="24"/>
          <w:szCs w:val="24"/>
        </w:rPr>
      </w:pPr>
      <w:r>
        <w:rPr>
          <w:rFonts w:ascii="Times New Roman" w:eastAsia="Calibri" w:hAnsi="Times New Roman" w:cs="Times New Roman"/>
          <w:i/>
          <w:sz w:val="24"/>
          <w:szCs w:val="24"/>
        </w:rPr>
        <w:t>Oznamovanie a overovanie údajov o motorovom vozidle</w:t>
      </w:r>
    </w:p>
    <w:p w14:paraId="30659C4F" w14:textId="53EEC1B5" w:rsidR="00447A90" w:rsidRDefault="00CC1E1F" w:rsidP="00447A90">
      <w:pPr>
        <w:jc w:val="both"/>
        <w:rPr>
          <w:rFonts w:ascii="Times New Roman" w:eastAsia="Calibri" w:hAnsi="Times New Roman" w:cs="Times New Roman"/>
          <w:sz w:val="24"/>
          <w:szCs w:val="24"/>
        </w:rPr>
      </w:pPr>
      <w:r>
        <w:rPr>
          <w:rFonts w:ascii="Times New Roman" w:eastAsia="Calibri" w:hAnsi="Times New Roman" w:cs="Times New Roman"/>
          <w:sz w:val="24"/>
          <w:szCs w:val="24"/>
        </w:rPr>
        <w:t>Regulácia</w:t>
      </w:r>
      <w:r w:rsidR="00447A90" w:rsidRPr="00447A90">
        <w:rPr>
          <w:rFonts w:ascii="Times New Roman" w:eastAsia="Calibri" w:hAnsi="Times New Roman" w:cs="Times New Roman"/>
          <w:sz w:val="24"/>
          <w:szCs w:val="24"/>
        </w:rPr>
        <w:t xml:space="preserve"> zvyšuje </w:t>
      </w:r>
      <w:r>
        <w:rPr>
          <w:rFonts w:ascii="Times New Roman" w:eastAsia="Calibri" w:hAnsi="Times New Roman" w:cs="Times New Roman"/>
          <w:sz w:val="24"/>
          <w:szCs w:val="24"/>
        </w:rPr>
        <w:t>administratívnu záťaž</w:t>
      </w:r>
      <w:r w:rsidR="00447A90" w:rsidRPr="00447A90">
        <w:rPr>
          <w:rFonts w:ascii="Times New Roman" w:eastAsia="Calibri" w:hAnsi="Times New Roman" w:cs="Times New Roman"/>
          <w:sz w:val="24"/>
          <w:szCs w:val="24"/>
        </w:rPr>
        <w:t xml:space="preserve"> poisťovateľov. Táto regulácia </w:t>
      </w:r>
      <w:r w:rsidR="00447A90">
        <w:rPr>
          <w:rFonts w:ascii="Times New Roman" w:eastAsia="Calibri" w:hAnsi="Times New Roman" w:cs="Times New Roman"/>
          <w:sz w:val="24"/>
          <w:szCs w:val="24"/>
        </w:rPr>
        <w:t>upravuje</w:t>
      </w:r>
      <w:r w:rsidR="00447A90" w:rsidRPr="00447A90">
        <w:rPr>
          <w:rFonts w:ascii="Times New Roman" w:eastAsia="Calibri" w:hAnsi="Times New Roman" w:cs="Times New Roman"/>
          <w:sz w:val="24"/>
          <w:szCs w:val="24"/>
        </w:rPr>
        <w:t xml:space="preserve"> povinnosť poisťovateľov </w:t>
      </w:r>
      <w:r w:rsidR="001B0216">
        <w:rPr>
          <w:rFonts w:ascii="Times New Roman" w:eastAsia="Calibri" w:hAnsi="Times New Roman" w:cs="Times New Roman"/>
          <w:sz w:val="24"/>
          <w:szCs w:val="24"/>
        </w:rPr>
        <w:t>v</w:t>
      </w:r>
      <w:r w:rsidR="001B0216" w:rsidRPr="001B0216">
        <w:rPr>
          <w:rFonts w:ascii="Times New Roman" w:eastAsia="Calibri" w:hAnsi="Times New Roman" w:cs="Times New Roman"/>
          <w:bCs/>
          <w:sz w:val="24"/>
          <w:szCs w:val="24"/>
        </w:rPr>
        <w:t> súvislosti so zvýšenou snahou o informatizáciu spoločnosti a</w:t>
      </w:r>
      <w:r w:rsidR="001B0216">
        <w:rPr>
          <w:rFonts w:ascii="Times New Roman" w:eastAsia="Calibri" w:hAnsi="Times New Roman" w:cs="Times New Roman"/>
          <w:bCs/>
          <w:sz w:val="24"/>
          <w:szCs w:val="24"/>
        </w:rPr>
        <w:t> </w:t>
      </w:r>
      <w:r w:rsidR="001B0216" w:rsidRPr="001B0216">
        <w:rPr>
          <w:rFonts w:ascii="Times New Roman" w:eastAsia="Calibri" w:hAnsi="Times New Roman" w:cs="Times New Roman"/>
          <w:bCs/>
          <w:sz w:val="24"/>
          <w:szCs w:val="24"/>
        </w:rPr>
        <w:t>tým</w:t>
      </w:r>
      <w:r w:rsidR="001B0216">
        <w:rPr>
          <w:rFonts w:ascii="Times New Roman" w:eastAsia="Calibri" w:hAnsi="Times New Roman" w:cs="Times New Roman"/>
          <w:bCs/>
          <w:sz w:val="24"/>
          <w:szCs w:val="24"/>
        </w:rPr>
        <w:t xml:space="preserve"> aj </w:t>
      </w:r>
      <w:r w:rsidR="001B0216" w:rsidRPr="001B0216">
        <w:rPr>
          <w:rFonts w:ascii="Times New Roman" w:eastAsia="Calibri" w:hAnsi="Times New Roman" w:cs="Times New Roman"/>
          <w:bCs/>
          <w:sz w:val="24"/>
          <w:szCs w:val="24"/>
        </w:rPr>
        <w:t xml:space="preserve"> zjednodušenia života občanov</w:t>
      </w:r>
      <w:r w:rsidR="001B0216">
        <w:rPr>
          <w:rFonts w:ascii="Times New Roman" w:eastAsia="Calibri" w:hAnsi="Times New Roman" w:cs="Times New Roman"/>
          <w:bCs/>
          <w:sz w:val="24"/>
          <w:szCs w:val="24"/>
        </w:rPr>
        <w:t xml:space="preserve">, aby si </w:t>
      </w:r>
      <w:r w:rsidR="001B0216" w:rsidRPr="001B0216">
        <w:rPr>
          <w:rFonts w:ascii="Times New Roman" w:eastAsia="Calibri" w:hAnsi="Times New Roman" w:cs="Times New Roman"/>
          <w:bCs/>
          <w:sz w:val="24"/>
          <w:szCs w:val="24"/>
        </w:rPr>
        <w:t xml:space="preserve">poisťovatelia prostredníctvom informačných systémov z centrálnej evidencie vozidiel a z registra vedeného </w:t>
      </w:r>
      <w:r w:rsidR="001C457D">
        <w:rPr>
          <w:rFonts w:ascii="Times New Roman" w:eastAsia="Calibri" w:hAnsi="Times New Roman" w:cs="Times New Roman"/>
          <w:bCs/>
          <w:sz w:val="24"/>
          <w:szCs w:val="24"/>
        </w:rPr>
        <w:t>SKP</w:t>
      </w:r>
      <w:r w:rsidR="001B0216">
        <w:rPr>
          <w:rFonts w:ascii="Times New Roman" w:eastAsia="Calibri" w:hAnsi="Times New Roman" w:cs="Times New Roman"/>
          <w:bCs/>
          <w:sz w:val="24"/>
          <w:szCs w:val="24"/>
        </w:rPr>
        <w:t xml:space="preserve"> s</w:t>
      </w:r>
      <w:r w:rsidR="001C457D">
        <w:rPr>
          <w:rFonts w:ascii="Times New Roman" w:eastAsia="Calibri" w:hAnsi="Times New Roman" w:cs="Times New Roman"/>
          <w:bCs/>
          <w:sz w:val="24"/>
          <w:szCs w:val="24"/>
        </w:rPr>
        <w:t>i</w:t>
      </w:r>
      <w:r w:rsidR="001B0216">
        <w:rPr>
          <w:rFonts w:ascii="Times New Roman" w:eastAsia="Calibri" w:hAnsi="Times New Roman" w:cs="Times New Roman"/>
          <w:bCs/>
          <w:sz w:val="24"/>
          <w:szCs w:val="24"/>
        </w:rPr>
        <w:t xml:space="preserve"> mohli oznamovať a overovať zákonom stanovené údaje. </w:t>
      </w:r>
      <w:r w:rsidR="00447A90" w:rsidRPr="00447A90">
        <w:rPr>
          <w:rFonts w:ascii="Times New Roman" w:eastAsia="Calibri" w:hAnsi="Times New Roman" w:cs="Times New Roman"/>
          <w:sz w:val="24"/>
          <w:szCs w:val="24"/>
        </w:rPr>
        <w:t xml:space="preserve">Časová náročnosť pre administratívne náklady bola vypočítaná ako súčin </w:t>
      </w:r>
      <w:r w:rsidR="001B0485">
        <w:rPr>
          <w:rFonts w:ascii="Times New Roman" w:eastAsia="Calibri" w:hAnsi="Times New Roman" w:cs="Times New Roman"/>
          <w:sz w:val="24"/>
          <w:szCs w:val="24"/>
        </w:rPr>
        <w:t>24</w:t>
      </w:r>
      <w:r w:rsidR="00447A90" w:rsidRPr="00447A90">
        <w:rPr>
          <w:rFonts w:ascii="Times New Roman" w:eastAsia="Calibri" w:hAnsi="Times New Roman" w:cs="Times New Roman"/>
          <w:sz w:val="24"/>
          <w:szCs w:val="24"/>
        </w:rPr>
        <w:t>0 minút (</w:t>
      </w:r>
      <w:r w:rsidR="00447A90">
        <w:rPr>
          <w:rFonts w:ascii="Times New Roman" w:eastAsia="Calibri" w:hAnsi="Times New Roman" w:cs="Times New Roman"/>
          <w:sz w:val="24"/>
          <w:szCs w:val="24"/>
        </w:rPr>
        <w:t>dve</w:t>
      </w:r>
      <w:r w:rsidR="00447A90" w:rsidRPr="00447A90">
        <w:rPr>
          <w:rFonts w:ascii="Times New Roman" w:eastAsia="Calibri" w:hAnsi="Times New Roman" w:cs="Times New Roman"/>
          <w:sz w:val="24"/>
          <w:szCs w:val="24"/>
        </w:rPr>
        <w:t xml:space="preserve"> hodiny denne) a počtu pracovných dní, ktorých je 250 v roku 2024 (t. j. </w:t>
      </w:r>
      <w:r w:rsidR="001B0485">
        <w:rPr>
          <w:rFonts w:ascii="Times New Roman" w:eastAsia="Calibri" w:hAnsi="Times New Roman" w:cs="Times New Roman"/>
          <w:sz w:val="24"/>
          <w:szCs w:val="24"/>
        </w:rPr>
        <w:t>24</w:t>
      </w:r>
      <w:r w:rsidR="00447A90" w:rsidRPr="00447A90">
        <w:rPr>
          <w:rFonts w:ascii="Times New Roman" w:eastAsia="Calibri" w:hAnsi="Times New Roman" w:cs="Times New Roman"/>
          <w:sz w:val="24"/>
          <w:szCs w:val="24"/>
        </w:rPr>
        <w:t xml:space="preserve">0 min. * 250 pracovných dní = </w:t>
      </w:r>
      <w:r w:rsidR="001B0485">
        <w:rPr>
          <w:rFonts w:ascii="Times New Roman" w:eastAsia="Calibri" w:hAnsi="Times New Roman" w:cs="Times New Roman"/>
          <w:sz w:val="24"/>
          <w:szCs w:val="24"/>
        </w:rPr>
        <w:t>6</w:t>
      </w:r>
      <w:r w:rsidR="00447A90">
        <w:rPr>
          <w:rFonts w:ascii="Times New Roman" w:eastAsia="Calibri" w:hAnsi="Times New Roman" w:cs="Times New Roman"/>
          <w:sz w:val="24"/>
          <w:szCs w:val="24"/>
        </w:rPr>
        <w:t>0</w:t>
      </w:r>
      <w:r>
        <w:rPr>
          <w:rFonts w:ascii="Times New Roman" w:eastAsia="Calibri" w:hAnsi="Times New Roman" w:cs="Times New Roman"/>
          <w:sz w:val="24"/>
          <w:szCs w:val="24"/>
        </w:rPr>
        <w:t>.</w:t>
      </w:r>
      <w:r w:rsidR="00447A90">
        <w:rPr>
          <w:rFonts w:ascii="Times New Roman" w:eastAsia="Calibri" w:hAnsi="Times New Roman" w:cs="Times New Roman"/>
          <w:sz w:val="24"/>
          <w:szCs w:val="24"/>
        </w:rPr>
        <w:t>000</w:t>
      </w:r>
      <w:r w:rsidR="00447A90" w:rsidRPr="00447A90">
        <w:rPr>
          <w:rFonts w:ascii="Times New Roman" w:eastAsia="Calibri" w:hAnsi="Times New Roman" w:cs="Times New Roman"/>
          <w:sz w:val="24"/>
          <w:szCs w:val="24"/>
        </w:rPr>
        <w:t xml:space="preserve"> min. ročne). Frekvencia plnenia bola na základe vyššie uvedenej kvantifikácie určená na 1-krát ročne.</w:t>
      </w:r>
    </w:p>
    <w:p w14:paraId="7737B220" w14:textId="71FC4EDC" w:rsidR="00CA2196" w:rsidRPr="006B3F7D" w:rsidRDefault="001C457D" w:rsidP="006B3F7D">
      <w:pPr>
        <w:pStyle w:val="Odsekzoznamu"/>
        <w:numPr>
          <w:ilvl w:val="0"/>
          <w:numId w:val="9"/>
        </w:numPr>
        <w:spacing w:after="0" w:line="240" w:lineRule="auto"/>
        <w:ind w:left="714" w:hanging="357"/>
        <w:jc w:val="both"/>
        <w:rPr>
          <w:rFonts w:ascii="Times New Roman" w:eastAsia="Calibri" w:hAnsi="Times New Roman" w:cs="Times New Roman"/>
          <w:i/>
          <w:sz w:val="24"/>
          <w:szCs w:val="24"/>
        </w:rPr>
      </w:pPr>
      <w:r>
        <w:rPr>
          <w:rFonts w:ascii="Times New Roman" w:eastAsia="Calibri" w:hAnsi="Times New Roman" w:cs="Times New Roman"/>
          <w:i/>
          <w:sz w:val="24"/>
          <w:szCs w:val="24"/>
        </w:rPr>
        <w:t>I</w:t>
      </w:r>
      <w:r w:rsidRPr="001C457D">
        <w:rPr>
          <w:rFonts w:ascii="Times New Roman" w:eastAsia="Calibri" w:hAnsi="Times New Roman" w:cs="Times New Roman"/>
          <w:i/>
          <w:sz w:val="24"/>
          <w:szCs w:val="24"/>
        </w:rPr>
        <w:t>nformovanie o uplatnení nároku na náhradné poistné plnenie</w:t>
      </w:r>
    </w:p>
    <w:p w14:paraId="776A3C23" w14:textId="34CE12B1" w:rsidR="006B3F7D" w:rsidRDefault="006B3F7D" w:rsidP="006B3F7D">
      <w:pPr>
        <w:pStyle w:val="Odsekzoznamu"/>
        <w:spacing w:after="0" w:line="240" w:lineRule="auto"/>
        <w:ind w:left="714"/>
        <w:jc w:val="both"/>
        <w:rPr>
          <w:rFonts w:ascii="Times New Roman" w:eastAsia="Calibri" w:hAnsi="Times New Roman" w:cs="Times New Roman"/>
          <w:sz w:val="24"/>
          <w:szCs w:val="24"/>
        </w:rPr>
      </w:pPr>
    </w:p>
    <w:p w14:paraId="48D14EB6" w14:textId="05DC92E3" w:rsidR="006B3F7D" w:rsidRPr="006B3F7D" w:rsidRDefault="006B3F7D" w:rsidP="006B3F7D">
      <w:pPr>
        <w:pStyle w:val="Odsekzoznamu"/>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Touto reguláciou sa zvyšuje administratívna záťaž SKP. SKP je povinná informovať subjekt zodpovedný za náhradu škody v inom členskom štáte ako aj poisťovateľa, že poškodený si u nej uplatnil nárok na náhradné poistné plnenie z dôvodu poistnej udalosti spôsobenej poisteným, ktorý je poistený u poisťovateľa, ktorý je v konkurze alebo v likvidácii. </w:t>
      </w:r>
      <w:r w:rsidRPr="006B3F7D">
        <w:rPr>
          <w:rFonts w:ascii="Times New Roman" w:eastAsia="Calibri" w:hAnsi="Times New Roman" w:cs="Times New Roman"/>
          <w:sz w:val="24"/>
          <w:szCs w:val="24"/>
        </w:rPr>
        <w:t xml:space="preserve">Časová náročnosť pre administratívne náklady </w:t>
      </w:r>
      <w:r w:rsidR="009D79BE">
        <w:rPr>
          <w:rFonts w:ascii="Times New Roman" w:eastAsia="Calibri" w:hAnsi="Times New Roman" w:cs="Times New Roman"/>
          <w:sz w:val="24"/>
          <w:szCs w:val="24"/>
        </w:rPr>
        <w:t xml:space="preserve">na základe expertného odhadu predkladateľa </w:t>
      </w:r>
      <w:r w:rsidRPr="006B3F7D">
        <w:rPr>
          <w:rFonts w:ascii="Times New Roman" w:eastAsia="Calibri" w:hAnsi="Times New Roman" w:cs="Times New Roman"/>
          <w:sz w:val="24"/>
          <w:szCs w:val="24"/>
        </w:rPr>
        <w:t>bola odhadnutá na 1.200 minút (20 hodín). Frekvencia plnenia bola na základe vyššie uvedenej kvantifikácie určená ako nepravidelná.</w:t>
      </w:r>
    </w:p>
    <w:p w14:paraId="0F60D6D6" w14:textId="3091DB16" w:rsidR="00174B0B" w:rsidRDefault="00174B0B" w:rsidP="00174B0B">
      <w:pPr>
        <w:pStyle w:val="Odsekzoznamu"/>
        <w:spacing w:line="240" w:lineRule="auto"/>
        <w:ind w:left="0"/>
        <w:jc w:val="both"/>
        <w:rPr>
          <w:rFonts w:ascii="Times New Roman" w:eastAsia="Calibri" w:hAnsi="Times New Roman" w:cs="Times New Roman"/>
          <w:sz w:val="24"/>
          <w:szCs w:val="24"/>
        </w:rPr>
      </w:pPr>
    </w:p>
    <w:p w14:paraId="668EB188" w14:textId="1A0F3D21" w:rsidR="00174B0B" w:rsidRDefault="00B223A5" w:rsidP="00B223A5">
      <w:pPr>
        <w:pStyle w:val="Odsekzoznamu"/>
        <w:numPr>
          <w:ilvl w:val="0"/>
          <w:numId w:val="9"/>
        </w:numPr>
        <w:spacing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w:t>
      </w:r>
      <w:r w:rsidRPr="00B223A5">
        <w:rPr>
          <w:rFonts w:ascii="Times New Roman" w:eastAsia="Calibri" w:hAnsi="Times New Roman" w:cs="Times New Roman"/>
          <w:i/>
          <w:sz w:val="24"/>
          <w:szCs w:val="24"/>
        </w:rPr>
        <w:t>nformovanie o poskytnutí/neposkytnutí poistného plnenia</w:t>
      </w:r>
    </w:p>
    <w:p w14:paraId="77338D3C" w14:textId="3A09CBDE" w:rsidR="00174B0B" w:rsidRDefault="00174B0B" w:rsidP="00174B0B">
      <w:pPr>
        <w:pStyle w:val="Odsekzoznamu"/>
        <w:spacing w:line="240" w:lineRule="auto"/>
        <w:ind w:left="0"/>
        <w:jc w:val="both"/>
        <w:rPr>
          <w:rFonts w:ascii="Times New Roman" w:eastAsia="Calibri" w:hAnsi="Times New Roman" w:cs="Times New Roman"/>
          <w:sz w:val="24"/>
          <w:szCs w:val="24"/>
        </w:rPr>
      </w:pPr>
    </w:p>
    <w:p w14:paraId="24DECF54" w14:textId="5084EF93" w:rsidR="00B223A5" w:rsidRDefault="00B223A5" w:rsidP="00174B0B">
      <w:pPr>
        <w:pStyle w:val="Odsekzoznamu"/>
        <w:spacing w:line="240" w:lineRule="auto"/>
        <w:ind w:left="0"/>
        <w:jc w:val="both"/>
        <w:rPr>
          <w:rFonts w:ascii="Times New Roman" w:eastAsia="Calibri" w:hAnsi="Times New Roman" w:cs="Times New Roman"/>
          <w:sz w:val="24"/>
          <w:szCs w:val="24"/>
        </w:rPr>
      </w:pPr>
      <w:r w:rsidRPr="00B223A5">
        <w:rPr>
          <w:rFonts w:ascii="Times New Roman" w:eastAsia="Calibri" w:hAnsi="Times New Roman" w:cs="Times New Roman"/>
          <w:sz w:val="24"/>
          <w:szCs w:val="24"/>
        </w:rPr>
        <w:t>Uvedená regulácia zvyšuje administratívnu záťaž poisťovateľ</w:t>
      </w:r>
      <w:r w:rsidR="00CA2196">
        <w:rPr>
          <w:rFonts w:ascii="Times New Roman" w:eastAsia="Calibri" w:hAnsi="Times New Roman" w:cs="Times New Roman"/>
          <w:sz w:val="24"/>
          <w:szCs w:val="24"/>
        </w:rPr>
        <w:t>ov z dôvodu, že poisťovatelia</w:t>
      </w:r>
      <w:r w:rsidRPr="00B223A5">
        <w:rPr>
          <w:rFonts w:ascii="Times New Roman" w:eastAsia="Calibri" w:hAnsi="Times New Roman" w:cs="Times New Roman"/>
          <w:sz w:val="24"/>
          <w:szCs w:val="24"/>
        </w:rPr>
        <w:t xml:space="preserve"> </w:t>
      </w:r>
      <w:r w:rsidR="00CA2196">
        <w:rPr>
          <w:rFonts w:ascii="Times New Roman" w:eastAsia="Calibri" w:hAnsi="Times New Roman" w:cs="Times New Roman"/>
          <w:sz w:val="24"/>
          <w:szCs w:val="24"/>
        </w:rPr>
        <w:t>sú</w:t>
      </w:r>
      <w:r w:rsidRPr="00B223A5">
        <w:rPr>
          <w:rFonts w:ascii="Times New Roman" w:eastAsia="Calibri" w:hAnsi="Times New Roman" w:cs="Times New Roman"/>
          <w:sz w:val="24"/>
          <w:szCs w:val="24"/>
        </w:rPr>
        <w:t xml:space="preserve"> povinn</w:t>
      </w:r>
      <w:r w:rsidR="00CA2196">
        <w:rPr>
          <w:rFonts w:ascii="Times New Roman" w:eastAsia="Calibri" w:hAnsi="Times New Roman" w:cs="Times New Roman"/>
          <w:sz w:val="24"/>
          <w:szCs w:val="24"/>
        </w:rPr>
        <w:t>í</w:t>
      </w:r>
      <w:r w:rsidRPr="00B223A5">
        <w:rPr>
          <w:rFonts w:ascii="Times New Roman" w:eastAsia="Calibri" w:hAnsi="Times New Roman" w:cs="Times New Roman"/>
          <w:sz w:val="24"/>
          <w:szCs w:val="24"/>
        </w:rPr>
        <w:t xml:space="preserve"> informovať SKP o poskytnutí náhradného poistného plnenia alebo o dôvodoch, pre ktoré ho odmieta poskytnúť. Ide o úkony, ktoré sa vykonáva len</w:t>
      </w:r>
      <w:r>
        <w:rPr>
          <w:rFonts w:ascii="Times New Roman" w:eastAsia="Calibri" w:hAnsi="Times New Roman" w:cs="Times New Roman"/>
          <w:sz w:val="24"/>
          <w:szCs w:val="24"/>
        </w:rPr>
        <w:t xml:space="preserve"> poisťovateľ</w:t>
      </w:r>
      <w:r w:rsidRPr="00B223A5">
        <w:rPr>
          <w:rFonts w:ascii="Times New Roman" w:eastAsia="Calibri" w:hAnsi="Times New Roman" w:cs="Times New Roman"/>
          <w:sz w:val="24"/>
          <w:szCs w:val="24"/>
        </w:rPr>
        <w:t>, ktorý je v konkurze alebo v likvidácii. Takéto prípad</w:t>
      </w:r>
      <w:r w:rsidR="00CA2196">
        <w:rPr>
          <w:rFonts w:ascii="Times New Roman" w:eastAsia="Calibri" w:hAnsi="Times New Roman" w:cs="Times New Roman"/>
          <w:sz w:val="24"/>
          <w:szCs w:val="24"/>
        </w:rPr>
        <w:t xml:space="preserve">y, keď sa poisťovateľ dostane do konkurzu alebo likvidácie </w:t>
      </w:r>
      <w:r w:rsidRPr="00B223A5">
        <w:rPr>
          <w:rFonts w:ascii="Times New Roman" w:eastAsia="Calibri" w:hAnsi="Times New Roman" w:cs="Times New Roman"/>
          <w:sz w:val="24"/>
          <w:szCs w:val="24"/>
        </w:rPr>
        <w:t>však nastávajú len ojedinele</w:t>
      </w:r>
      <w:r w:rsidR="00CA2196">
        <w:rPr>
          <w:rFonts w:ascii="Times New Roman" w:eastAsia="Calibri" w:hAnsi="Times New Roman" w:cs="Times New Roman"/>
          <w:sz w:val="24"/>
          <w:szCs w:val="24"/>
        </w:rPr>
        <w:t>, pretože každý poisťovateľ počas svojej činnosti je povinný dodržiavať právne predpisy v oblasti poisťovníctva (vrátene solventnosti) a jeho činnosť je pod dohľadom Národnej banky Slovenska</w:t>
      </w:r>
      <w:r w:rsidRPr="00B223A5">
        <w:rPr>
          <w:rFonts w:ascii="Times New Roman" w:eastAsia="Calibri" w:hAnsi="Times New Roman" w:cs="Times New Roman"/>
          <w:sz w:val="24"/>
          <w:szCs w:val="24"/>
        </w:rPr>
        <w:t xml:space="preserve">. Časová náročnosť pre administratívne náklady bola </w:t>
      </w:r>
      <w:r w:rsidR="009D79BE">
        <w:rPr>
          <w:rFonts w:ascii="Times New Roman" w:eastAsia="Calibri" w:hAnsi="Times New Roman" w:cs="Times New Roman"/>
          <w:sz w:val="24"/>
          <w:szCs w:val="24"/>
        </w:rPr>
        <w:t xml:space="preserve">na základe expertného odhadu predkladateľa </w:t>
      </w:r>
      <w:r w:rsidRPr="00B223A5">
        <w:rPr>
          <w:rFonts w:ascii="Times New Roman" w:eastAsia="Calibri" w:hAnsi="Times New Roman" w:cs="Times New Roman"/>
          <w:sz w:val="24"/>
          <w:szCs w:val="24"/>
        </w:rPr>
        <w:t>odhadnutá na 1.200 minút (20 hodín). Frekvencia plnenia bola na základe vyššie uvedenej kvantifikácie určená ako nepravidelná.</w:t>
      </w:r>
    </w:p>
    <w:p w14:paraId="3A674C4B" w14:textId="5B6EAACF" w:rsidR="00FB5556" w:rsidRDefault="00FB5556" w:rsidP="00174B0B">
      <w:pPr>
        <w:pStyle w:val="Odsekzoznamu"/>
        <w:spacing w:line="240" w:lineRule="auto"/>
        <w:ind w:left="0"/>
        <w:jc w:val="both"/>
        <w:rPr>
          <w:rFonts w:ascii="Times New Roman" w:eastAsia="Calibri" w:hAnsi="Times New Roman" w:cs="Times New Roman"/>
          <w:sz w:val="24"/>
          <w:szCs w:val="24"/>
        </w:rPr>
      </w:pPr>
    </w:p>
    <w:p w14:paraId="3F9BA65C" w14:textId="4759D995" w:rsidR="00FB5556" w:rsidRPr="00FB5556" w:rsidRDefault="00FB5556" w:rsidP="00FB5556">
      <w:pPr>
        <w:pStyle w:val="Odsekzoznamu"/>
        <w:numPr>
          <w:ilvl w:val="0"/>
          <w:numId w:val="9"/>
        </w:numPr>
        <w:spacing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w:t>
      </w:r>
      <w:r w:rsidRPr="00FB5556">
        <w:rPr>
          <w:rFonts w:ascii="Times New Roman" w:eastAsia="Calibri" w:hAnsi="Times New Roman" w:cs="Times New Roman"/>
          <w:i/>
          <w:sz w:val="24"/>
          <w:szCs w:val="24"/>
        </w:rPr>
        <w:t>nformovanie o výške náhradného poistného plnenia</w:t>
      </w:r>
    </w:p>
    <w:p w14:paraId="5CFD0C55" w14:textId="0793A65C" w:rsidR="00FB5556" w:rsidRDefault="00FB5556" w:rsidP="00FB5556">
      <w:pPr>
        <w:pStyle w:val="Odsekzoznamu"/>
        <w:spacing w:line="240" w:lineRule="auto"/>
        <w:jc w:val="both"/>
        <w:rPr>
          <w:rFonts w:ascii="Times New Roman" w:eastAsia="Calibri" w:hAnsi="Times New Roman" w:cs="Times New Roman"/>
          <w:sz w:val="24"/>
          <w:szCs w:val="24"/>
        </w:rPr>
      </w:pPr>
    </w:p>
    <w:p w14:paraId="19307642" w14:textId="00189467" w:rsidR="00FB5556" w:rsidRDefault="00FB5556" w:rsidP="00FB5556">
      <w:pPr>
        <w:pStyle w:val="Odsekzoznamu"/>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Regulácia zvyšuje administratívnu záťaž SKP. SKP je povinná informovať poškodeného o výške náhradného plnenia alebo o dôvodoch pre ktoré odmieta poskytnúť náhradné plnenie. </w:t>
      </w:r>
      <w:r w:rsidRPr="006B3F7D">
        <w:rPr>
          <w:rFonts w:ascii="Times New Roman" w:eastAsia="Calibri" w:hAnsi="Times New Roman" w:cs="Times New Roman"/>
          <w:sz w:val="24"/>
          <w:szCs w:val="24"/>
        </w:rPr>
        <w:t>Časová náročnosť pre administratívne náklady bola</w:t>
      </w:r>
      <w:r w:rsidR="009D79BE">
        <w:rPr>
          <w:rFonts w:ascii="Times New Roman" w:eastAsia="Calibri" w:hAnsi="Times New Roman" w:cs="Times New Roman"/>
          <w:sz w:val="24"/>
          <w:szCs w:val="24"/>
        </w:rPr>
        <w:t xml:space="preserve"> na základe expertného odhadu predkladateľa</w:t>
      </w:r>
      <w:r w:rsidRPr="006B3F7D">
        <w:rPr>
          <w:rFonts w:ascii="Times New Roman" w:eastAsia="Calibri" w:hAnsi="Times New Roman" w:cs="Times New Roman"/>
          <w:sz w:val="24"/>
          <w:szCs w:val="24"/>
        </w:rPr>
        <w:t xml:space="preserve"> odhadnutá na 1.200 minút (20 hodín). Frekvencia plnenia bola na základe vyššie uvedenej kvantifikácie určená ako nepravidelná.</w:t>
      </w:r>
    </w:p>
    <w:p w14:paraId="216DC668" w14:textId="3BF5FC8D" w:rsidR="00FB5556" w:rsidRDefault="00FB5556" w:rsidP="00FB5556">
      <w:pPr>
        <w:pStyle w:val="Odsekzoznamu"/>
        <w:spacing w:after="0" w:line="240" w:lineRule="auto"/>
        <w:ind w:left="0"/>
        <w:jc w:val="both"/>
        <w:rPr>
          <w:rFonts w:ascii="Times New Roman" w:eastAsia="Calibri" w:hAnsi="Times New Roman" w:cs="Times New Roman"/>
          <w:sz w:val="24"/>
          <w:szCs w:val="24"/>
        </w:rPr>
      </w:pPr>
    </w:p>
    <w:p w14:paraId="66E67FB7" w14:textId="7911F4D3" w:rsidR="00FB5556" w:rsidRPr="00FB5556" w:rsidRDefault="00FB5556" w:rsidP="00FB5556">
      <w:pPr>
        <w:pStyle w:val="Odsekzoznamu"/>
        <w:numPr>
          <w:ilvl w:val="0"/>
          <w:numId w:val="9"/>
        </w:num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w:t>
      </w:r>
      <w:r w:rsidRPr="00FB5556">
        <w:rPr>
          <w:rFonts w:ascii="Times New Roman" w:eastAsia="Calibri" w:hAnsi="Times New Roman" w:cs="Times New Roman"/>
          <w:i/>
          <w:sz w:val="24"/>
          <w:szCs w:val="24"/>
        </w:rPr>
        <w:t>nformovanie o vyhlásení konkurzu</w:t>
      </w:r>
    </w:p>
    <w:p w14:paraId="4661BFA9" w14:textId="06EEE748" w:rsidR="00FB5556" w:rsidRDefault="00FB5556" w:rsidP="00FB5556">
      <w:pPr>
        <w:pStyle w:val="Odsekzoznamu"/>
        <w:spacing w:line="240" w:lineRule="auto"/>
        <w:jc w:val="both"/>
        <w:rPr>
          <w:rFonts w:ascii="Times New Roman" w:eastAsia="Calibri" w:hAnsi="Times New Roman" w:cs="Times New Roman"/>
          <w:sz w:val="24"/>
          <w:szCs w:val="24"/>
        </w:rPr>
      </w:pPr>
    </w:p>
    <w:p w14:paraId="162B6F01" w14:textId="2D15DB38" w:rsidR="00442AC4" w:rsidRDefault="00442AC4" w:rsidP="00442AC4">
      <w:pPr>
        <w:pStyle w:val="Odsekzoznamu"/>
        <w:spacing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Predmetná r</w:t>
      </w:r>
      <w:r w:rsidRPr="00442AC4">
        <w:rPr>
          <w:rFonts w:ascii="Times New Roman" w:eastAsia="Calibri" w:hAnsi="Times New Roman" w:cs="Times New Roman"/>
          <w:sz w:val="24"/>
          <w:szCs w:val="24"/>
        </w:rPr>
        <w:t>egulácia zvyšuje administratívnu záťaž SKP. SKP inform</w:t>
      </w:r>
      <w:r>
        <w:rPr>
          <w:rFonts w:ascii="Times New Roman" w:eastAsia="Calibri" w:hAnsi="Times New Roman" w:cs="Times New Roman"/>
          <w:sz w:val="24"/>
          <w:szCs w:val="24"/>
        </w:rPr>
        <w:t>uje v prípade, že na poisťovateľa sa sídlom na území Slovenskej republiky bude vyhlásený konkurz alebo začaté konanie o likvidácii, o</w:t>
      </w:r>
      <w:r w:rsidR="00EA0E8A">
        <w:rPr>
          <w:rFonts w:ascii="Times New Roman" w:eastAsia="Calibri" w:hAnsi="Times New Roman" w:cs="Times New Roman"/>
          <w:sz w:val="24"/>
          <w:szCs w:val="24"/>
        </w:rPr>
        <w:t> </w:t>
      </w:r>
      <w:r>
        <w:rPr>
          <w:rFonts w:ascii="Times New Roman" w:eastAsia="Calibri" w:hAnsi="Times New Roman" w:cs="Times New Roman"/>
          <w:sz w:val="24"/>
          <w:szCs w:val="24"/>
        </w:rPr>
        <w:t>te</w:t>
      </w:r>
      <w:r w:rsidR="00EA0E8A">
        <w:rPr>
          <w:rFonts w:ascii="Times New Roman" w:eastAsia="Calibri" w:hAnsi="Times New Roman" w:cs="Times New Roman"/>
          <w:sz w:val="24"/>
          <w:szCs w:val="24"/>
        </w:rPr>
        <w:t xml:space="preserve">jto skutočnosti ostatné subjekty zodpovedné za náhradu škody v iných členských štátoch. </w:t>
      </w:r>
      <w:r w:rsidRPr="00442AC4">
        <w:rPr>
          <w:rFonts w:ascii="Times New Roman" w:eastAsia="Calibri" w:hAnsi="Times New Roman" w:cs="Times New Roman"/>
          <w:sz w:val="24"/>
          <w:szCs w:val="24"/>
        </w:rPr>
        <w:t xml:space="preserve">Časová náročnosť pre administratívne náklady bola </w:t>
      </w:r>
      <w:r w:rsidR="009D79BE">
        <w:rPr>
          <w:rFonts w:ascii="Times New Roman" w:eastAsia="Calibri" w:hAnsi="Times New Roman" w:cs="Times New Roman"/>
          <w:sz w:val="24"/>
          <w:szCs w:val="24"/>
        </w:rPr>
        <w:t xml:space="preserve">na základe expertného </w:t>
      </w:r>
      <w:r w:rsidR="009D79BE">
        <w:rPr>
          <w:rFonts w:ascii="Times New Roman" w:eastAsia="Calibri" w:hAnsi="Times New Roman" w:cs="Times New Roman"/>
          <w:sz w:val="24"/>
          <w:szCs w:val="24"/>
        </w:rPr>
        <w:lastRenderedPageBreak/>
        <w:t xml:space="preserve">odhadu predkladateľa </w:t>
      </w:r>
      <w:r w:rsidRPr="00442AC4">
        <w:rPr>
          <w:rFonts w:ascii="Times New Roman" w:eastAsia="Calibri" w:hAnsi="Times New Roman" w:cs="Times New Roman"/>
          <w:sz w:val="24"/>
          <w:szCs w:val="24"/>
        </w:rPr>
        <w:t xml:space="preserve">odhadnutá na </w:t>
      </w:r>
      <w:r w:rsidR="00EA0E8A">
        <w:rPr>
          <w:rFonts w:ascii="Times New Roman" w:eastAsia="Calibri" w:hAnsi="Times New Roman" w:cs="Times New Roman"/>
          <w:sz w:val="24"/>
          <w:szCs w:val="24"/>
        </w:rPr>
        <w:t>180</w:t>
      </w:r>
      <w:r w:rsidRPr="00442AC4">
        <w:rPr>
          <w:rFonts w:ascii="Times New Roman" w:eastAsia="Calibri" w:hAnsi="Times New Roman" w:cs="Times New Roman"/>
          <w:sz w:val="24"/>
          <w:szCs w:val="24"/>
        </w:rPr>
        <w:t xml:space="preserve"> minút (</w:t>
      </w:r>
      <w:r w:rsidR="00EA0E8A">
        <w:rPr>
          <w:rFonts w:ascii="Times New Roman" w:eastAsia="Calibri" w:hAnsi="Times New Roman" w:cs="Times New Roman"/>
          <w:sz w:val="24"/>
          <w:szCs w:val="24"/>
        </w:rPr>
        <w:t>3</w:t>
      </w:r>
      <w:r w:rsidRPr="00442AC4">
        <w:rPr>
          <w:rFonts w:ascii="Times New Roman" w:eastAsia="Calibri" w:hAnsi="Times New Roman" w:cs="Times New Roman"/>
          <w:sz w:val="24"/>
          <w:szCs w:val="24"/>
        </w:rPr>
        <w:t xml:space="preserve"> hod</w:t>
      </w:r>
      <w:r w:rsidR="00EA0E8A">
        <w:rPr>
          <w:rFonts w:ascii="Times New Roman" w:eastAsia="Calibri" w:hAnsi="Times New Roman" w:cs="Times New Roman"/>
          <w:sz w:val="24"/>
          <w:szCs w:val="24"/>
        </w:rPr>
        <w:t>iny</w:t>
      </w:r>
      <w:r w:rsidRPr="00442AC4">
        <w:rPr>
          <w:rFonts w:ascii="Times New Roman" w:eastAsia="Calibri" w:hAnsi="Times New Roman" w:cs="Times New Roman"/>
          <w:sz w:val="24"/>
          <w:szCs w:val="24"/>
        </w:rPr>
        <w:t>). Frekvencia plnenia bola na základe vyššie uvedenej kvantifikácie určená ako nepravidelná.</w:t>
      </w:r>
    </w:p>
    <w:p w14:paraId="72257D97" w14:textId="77777777" w:rsidR="00CA2196" w:rsidRPr="00B223A5" w:rsidRDefault="00CA2196" w:rsidP="00174B0B">
      <w:pPr>
        <w:pStyle w:val="Odsekzoznamu"/>
        <w:spacing w:line="240" w:lineRule="auto"/>
        <w:ind w:left="0"/>
        <w:jc w:val="both"/>
        <w:rPr>
          <w:rFonts w:ascii="Times New Roman" w:eastAsia="Calibri" w:hAnsi="Times New Roman" w:cs="Times New Roman"/>
          <w:sz w:val="24"/>
          <w:szCs w:val="24"/>
        </w:rPr>
      </w:pPr>
    </w:p>
    <w:p w14:paraId="6310ACC5" w14:textId="58AC74BA" w:rsidR="00CC1E1F" w:rsidRDefault="00CC1E1F" w:rsidP="00CC1E1F">
      <w:pPr>
        <w:pStyle w:val="Odsekzoznamu"/>
        <w:numPr>
          <w:ilvl w:val="0"/>
          <w:numId w:val="9"/>
        </w:numPr>
        <w:jc w:val="both"/>
        <w:rPr>
          <w:rFonts w:ascii="Times New Roman" w:eastAsia="Calibri" w:hAnsi="Times New Roman" w:cs="Times New Roman"/>
          <w:i/>
          <w:sz w:val="24"/>
          <w:szCs w:val="24"/>
        </w:rPr>
      </w:pPr>
      <w:r>
        <w:rPr>
          <w:rFonts w:ascii="Times New Roman" w:eastAsia="Calibri" w:hAnsi="Times New Roman" w:cs="Times New Roman"/>
          <w:i/>
          <w:sz w:val="24"/>
          <w:szCs w:val="24"/>
        </w:rPr>
        <w:t>Prevádzkovanie registra</w:t>
      </w:r>
    </w:p>
    <w:p w14:paraId="513BB04D" w14:textId="6831B678" w:rsidR="00CC1E1F" w:rsidRDefault="00CC1E1F" w:rsidP="00CC1E1F">
      <w:pPr>
        <w:jc w:val="both"/>
        <w:rPr>
          <w:rFonts w:ascii="Times New Roman" w:eastAsia="Calibri" w:hAnsi="Times New Roman" w:cs="Times New Roman"/>
          <w:sz w:val="24"/>
          <w:szCs w:val="24"/>
        </w:rPr>
      </w:pPr>
      <w:r w:rsidRPr="00CC1E1F">
        <w:rPr>
          <w:rFonts w:ascii="Times New Roman" w:eastAsia="Calibri" w:hAnsi="Times New Roman" w:cs="Times New Roman"/>
          <w:sz w:val="24"/>
          <w:szCs w:val="24"/>
        </w:rPr>
        <w:t xml:space="preserve">Regulácia zvyšuje nepriame finančné náklady </w:t>
      </w:r>
      <w:r>
        <w:rPr>
          <w:rFonts w:ascii="Times New Roman" w:eastAsia="Calibri" w:hAnsi="Times New Roman" w:cs="Times New Roman"/>
          <w:sz w:val="24"/>
          <w:szCs w:val="24"/>
        </w:rPr>
        <w:t>S</w:t>
      </w:r>
      <w:r w:rsidR="006B3F7D">
        <w:rPr>
          <w:rFonts w:ascii="Times New Roman" w:eastAsia="Calibri" w:hAnsi="Times New Roman" w:cs="Times New Roman"/>
          <w:sz w:val="24"/>
          <w:szCs w:val="24"/>
        </w:rPr>
        <w:t>KP</w:t>
      </w:r>
      <w:r w:rsidRPr="00CC1E1F">
        <w:rPr>
          <w:rFonts w:ascii="Times New Roman" w:eastAsia="Calibri" w:hAnsi="Times New Roman" w:cs="Times New Roman"/>
          <w:sz w:val="24"/>
          <w:szCs w:val="24"/>
        </w:rPr>
        <w:t>.</w:t>
      </w:r>
      <w:r>
        <w:rPr>
          <w:rFonts w:ascii="Times New Roman" w:eastAsia="Calibri" w:hAnsi="Times New Roman" w:cs="Times New Roman"/>
          <w:sz w:val="24"/>
          <w:szCs w:val="24"/>
        </w:rPr>
        <w:t xml:space="preserve"> S</w:t>
      </w:r>
      <w:r w:rsidR="006B3F7D">
        <w:rPr>
          <w:rFonts w:ascii="Times New Roman" w:eastAsia="Calibri" w:hAnsi="Times New Roman" w:cs="Times New Roman"/>
          <w:sz w:val="24"/>
          <w:szCs w:val="24"/>
        </w:rPr>
        <w:t>KP</w:t>
      </w:r>
      <w:r w:rsidR="004808D7">
        <w:rPr>
          <w:rFonts w:ascii="Times New Roman" w:eastAsia="Calibri" w:hAnsi="Times New Roman" w:cs="Times New Roman"/>
          <w:sz w:val="24"/>
          <w:szCs w:val="24"/>
        </w:rPr>
        <w:t xml:space="preserve"> zabezpečuje činnosť informačného strediska a za týmto účelom vedie register, v ktorom eviduje údaje o motorových vozidlách, ich držiteľoch a vlastníkoch, poistení zodpovednosti a o poistných udalostiach. Register spracováva informácie medzi poisťovateľmi a orgánom evidencie vozidiel.</w:t>
      </w:r>
      <w:r w:rsidRPr="00CC1E1F">
        <w:rPr>
          <w:rFonts w:ascii="Times New Roman" w:eastAsia="Calibri" w:hAnsi="Times New Roman" w:cs="Times New Roman"/>
          <w:sz w:val="24"/>
          <w:szCs w:val="24"/>
        </w:rPr>
        <w:t xml:space="preserve"> Pri kvantifikácii bol zvolený postup </w:t>
      </w:r>
      <w:r w:rsidR="009D79BE">
        <w:rPr>
          <w:rFonts w:ascii="Times New Roman" w:eastAsia="Calibri" w:hAnsi="Times New Roman" w:cs="Times New Roman"/>
          <w:sz w:val="24"/>
          <w:szCs w:val="24"/>
        </w:rPr>
        <w:t xml:space="preserve">expertného </w:t>
      </w:r>
      <w:r w:rsidRPr="00CC1E1F">
        <w:rPr>
          <w:rFonts w:ascii="Times New Roman" w:eastAsia="Calibri" w:hAnsi="Times New Roman" w:cs="Times New Roman"/>
          <w:sz w:val="24"/>
          <w:szCs w:val="24"/>
        </w:rPr>
        <w:t>odhadu</w:t>
      </w:r>
      <w:r w:rsidR="009D79BE">
        <w:rPr>
          <w:rFonts w:ascii="Times New Roman" w:eastAsia="Calibri" w:hAnsi="Times New Roman" w:cs="Times New Roman"/>
          <w:sz w:val="24"/>
          <w:szCs w:val="24"/>
        </w:rPr>
        <w:t xml:space="preserve"> predkladateľa</w:t>
      </w:r>
      <w:r w:rsidRPr="00CC1E1F">
        <w:rPr>
          <w:rFonts w:ascii="Times New Roman" w:eastAsia="Calibri" w:hAnsi="Times New Roman" w:cs="Times New Roman"/>
          <w:sz w:val="24"/>
          <w:szCs w:val="24"/>
        </w:rPr>
        <w:t xml:space="preserve"> nepriamych finančných </w:t>
      </w:r>
      <w:r w:rsidR="00B031E3">
        <w:rPr>
          <w:rFonts w:ascii="Times New Roman" w:eastAsia="Calibri" w:hAnsi="Times New Roman" w:cs="Times New Roman"/>
          <w:sz w:val="24"/>
          <w:szCs w:val="24"/>
        </w:rPr>
        <w:t xml:space="preserve">nákladov </w:t>
      </w:r>
      <w:r w:rsidRPr="00CC1E1F">
        <w:rPr>
          <w:rFonts w:ascii="Times New Roman" w:eastAsia="Calibri" w:hAnsi="Times New Roman" w:cs="Times New Roman"/>
          <w:sz w:val="24"/>
          <w:szCs w:val="24"/>
        </w:rPr>
        <w:t xml:space="preserve">potrebných na </w:t>
      </w:r>
      <w:r w:rsidR="004808D7">
        <w:rPr>
          <w:rFonts w:ascii="Times New Roman" w:eastAsia="Calibri" w:hAnsi="Times New Roman" w:cs="Times New Roman"/>
          <w:sz w:val="24"/>
          <w:szCs w:val="24"/>
        </w:rPr>
        <w:t>jeho prevádzku</w:t>
      </w:r>
      <w:r w:rsidRPr="00CC1E1F">
        <w:rPr>
          <w:rFonts w:ascii="Times New Roman" w:eastAsia="Calibri" w:hAnsi="Times New Roman" w:cs="Times New Roman"/>
          <w:sz w:val="24"/>
          <w:szCs w:val="24"/>
        </w:rPr>
        <w:t xml:space="preserve"> v sume </w:t>
      </w:r>
      <w:r w:rsidR="004808D7">
        <w:rPr>
          <w:rFonts w:ascii="Times New Roman" w:eastAsia="Calibri" w:hAnsi="Times New Roman" w:cs="Times New Roman"/>
          <w:sz w:val="24"/>
          <w:szCs w:val="24"/>
        </w:rPr>
        <w:t>5</w:t>
      </w:r>
      <w:r w:rsidRPr="00CC1E1F">
        <w:rPr>
          <w:rFonts w:ascii="Times New Roman" w:eastAsia="Calibri" w:hAnsi="Times New Roman" w:cs="Times New Roman"/>
          <w:sz w:val="24"/>
          <w:szCs w:val="24"/>
        </w:rPr>
        <w:t xml:space="preserve">0.000 eur. Frekvencia plnenia bola </w:t>
      </w:r>
      <w:r w:rsidR="004808D7" w:rsidRPr="004808D7">
        <w:rPr>
          <w:rFonts w:ascii="Times New Roman" w:eastAsia="Calibri" w:hAnsi="Times New Roman" w:cs="Times New Roman"/>
          <w:sz w:val="24"/>
          <w:szCs w:val="24"/>
        </w:rPr>
        <w:t>na základe vyššie uvedenej kvantifikácie určená na 1-krát ročne.</w:t>
      </w:r>
    </w:p>
    <w:p w14:paraId="79DB1731" w14:textId="77777777" w:rsidR="00EA0E8A" w:rsidRDefault="00EA0E8A" w:rsidP="00054C41">
      <w:pPr>
        <w:jc w:val="both"/>
        <w:rPr>
          <w:rFonts w:ascii="Times New Roman" w:eastAsia="Calibri" w:hAnsi="Times New Roman" w:cs="Times New Roman"/>
          <w:b/>
          <w:sz w:val="24"/>
          <w:szCs w:val="24"/>
        </w:rPr>
      </w:pPr>
    </w:p>
    <w:p w14:paraId="42CD176F" w14:textId="4DBA299C"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50FC6718" w14:textId="77777777" w:rsidR="00054C41" w:rsidRPr="00D8247C" w:rsidRDefault="00054C41" w:rsidP="00054C41">
      <w:pPr>
        <w:spacing w:after="0"/>
        <w:jc w:val="both"/>
        <w:rPr>
          <w:rFonts w:ascii="Times New Roman" w:eastAsia="Calibri" w:hAnsi="Times New Roman" w:cs="Times New Roman"/>
          <w:i/>
          <w:sz w:val="24"/>
          <w:szCs w:val="24"/>
        </w:rPr>
      </w:pPr>
    </w:p>
    <w:p w14:paraId="2058D97A" w14:textId="0C57CF35" w:rsidR="00A65CEE" w:rsidRDefault="00AB2060" w:rsidP="00054C41">
      <w:pPr>
        <w:spacing w:after="0"/>
        <w:jc w:val="both"/>
        <w:rPr>
          <w:rFonts w:ascii="Times New Roman" w:eastAsia="Calibri" w:hAnsi="Times New Roman" w:cs="Times New Roman"/>
          <w:sz w:val="24"/>
          <w:szCs w:val="24"/>
        </w:rPr>
      </w:pPr>
      <w:r w:rsidRPr="00AB2060">
        <w:rPr>
          <w:rFonts w:ascii="Times New Roman" w:eastAsia="Calibri" w:hAnsi="Times New Roman" w:cs="Times New Roman"/>
          <w:sz w:val="24"/>
          <w:szCs w:val="24"/>
        </w:rPr>
        <w:t>Dňa 2</w:t>
      </w:r>
      <w:r>
        <w:rPr>
          <w:rFonts w:ascii="Times New Roman" w:eastAsia="Calibri" w:hAnsi="Times New Roman" w:cs="Times New Roman"/>
          <w:sz w:val="24"/>
          <w:szCs w:val="24"/>
        </w:rPr>
        <w:t>6. apríla</w:t>
      </w:r>
      <w:r w:rsidRPr="00AB2060">
        <w:rPr>
          <w:rFonts w:ascii="Times New Roman" w:eastAsia="Calibri" w:hAnsi="Times New Roman" w:cs="Times New Roman"/>
          <w:sz w:val="24"/>
          <w:szCs w:val="24"/>
        </w:rPr>
        <w:t xml:space="preserve"> 202</w:t>
      </w:r>
      <w:r>
        <w:rPr>
          <w:rFonts w:ascii="Times New Roman" w:eastAsia="Calibri" w:hAnsi="Times New Roman" w:cs="Times New Roman"/>
          <w:sz w:val="24"/>
          <w:szCs w:val="24"/>
        </w:rPr>
        <w:t>2</w:t>
      </w:r>
      <w:r w:rsidRPr="00AB2060">
        <w:rPr>
          <w:rFonts w:ascii="Times New Roman" w:eastAsia="Calibri" w:hAnsi="Times New Roman" w:cs="Times New Roman"/>
          <w:sz w:val="24"/>
          <w:szCs w:val="24"/>
        </w:rPr>
        <w:t xml:space="preserve"> bola zverejnená predbežná informácia </w:t>
      </w:r>
      <w:r w:rsidR="00A65CEE">
        <w:rPr>
          <w:rFonts w:ascii="Times New Roman" w:eastAsia="Calibri" w:hAnsi="Times New Roman" w:cs="Times New Roman"/>
          <w:sz w:val="24"/>
          <w:szCs w:val="24"/>
        </w:rPr>
        <w:t xml:space="preserve">(PI/2022/89) </w:t>
      </w:r>
      <w:r w:rsidRPr="00AB2060">
        <w:rPr>
          <w:rFonts w:ascii="Times New Roman" w:eastAsia="Calibri" w:hAnsi="Times New Roman" w:cs="Times New Roman"/>
          <w:sz w:val="24"/>
          <w:szCs w:val="24"/>
        </w:rPr>
        <w:t>podľa § 9 zákona č. 400/2015 Z. z. o tvorbe právnych predpisov a o Zbierke zákonov Slovenskej republiky a o zmene a doplnení niektorých zákonov k návrhu zákona, ktorým sa mení a dopĺňa zákon č. 381/2001 Z. z. o povinnom zmluvnom poistení zodpovednosti za škodu spôsobenú prevádzkou motorového vozidla  a o zmene a doplnení niektorých zákonov v znení neskorších predpisov</w:t>
      </w:r>
      <w:r>
        <w:rPr>
          <w:rFonts w:ascii="Times New Roman" w:eastAsia="Calibri" w:hAnsi="Times New Roman" w:cs="Times New Roman"/>
          <w:sz w:val="24"/>
          <w:szCs w:val="24"/>
        </w:rPr>
        <w:t xml:space="preserve"> (ďalej len „návrh zákona“). </w:t>
      </w:r>
      <w:r w:rsidRPr="00AB2060">
        <w:rPr>
          <w:rFonts w:ascii="Times New Roman" w:eastAsia="Calibri" w:hAnsi="Times New Roman" w:cs="Times New Roman"/>
          <w:sz w:val="24"/>
          <w:szCs w:val="24"/>
        </w:rPr>
        <w:t>Základným cieľom pripravovanej právnej úpravy má byť</w:t>
      </w:r>
      <w:r>
        <w:rPr>
          <w:rFonts w:ascii="Times New Roman" w:eastAsia="Calibri" w:hAnsi="Times New Roman" w:cs="Times New Roman"/>
          <w:sz w:val="24"/>
          <w:szCs w:val="24"/>
        </w:rPr>
        <w:t xml:space="preserve"> </w:t>
      </w:r>
      <w:r w:rsidR="00E312C6">
        <w:rPr>
          <w:rFonts w:ascii="Times New Roman" w:eastAsia="Calibri" w:hAnsi="Times New Roman" w:cs="Times New Roman"/>
          <w:sz w:val="24"/>
          <w:szCs w:val="24"/>
        </w:rPr>
        <w:t>transpozícia</w:t>
      </w:r>
      <w:r w:rsidRPr="00AB2060">
        <w:rPr>
          <w:rFonts w:ascii="Times New Roman" w:eastAsia="Calibri" w:hAnsi="Times New Roman" w:cs="Times New Roman"/>
          <w:sz w:val="24"/>
          <w:szCs w:val="24"/>
        </w:rPr>
        <w:t xml:space="preserve"> Smernice Európskeho parlamentu a Rady (EÚ) 2021/2118 z 24. novembra 2021, ktorou sa mení smernica 2009/103/ES o poistení zodpovednosti za škodu spôsobenú prevádzkou motorových vozidiel a o kontrole plnenia povinnosti poistenia takejto zodpovednosti</w:t>
      </w:r>
      <w:r>
        <w:rPr>
          <w:rFonts w:ascii="Times New Roman" w:eastAsia="Calibri" w:hAnsi="Times New Roman" w:cs="Times New Roman"/>
          <w:sz w:val="24"/>
          <w:szCs w:val="24"/>
        </w:rPr>
        <w:t xml:space="preserve">. </w:t>
      </w:r>
      <w:r w:rsidRPr="00AB2060">
        <w:rPr>
          <w:rFonts w:ascii="Times New Roman" w:eastAsia="Calibri" w:hAnsi="Times New Roman" w:cs="Times New Roman"/>
          <w:sz w:val="24"/>
          <w:szCs w:val="24"/>
        </w:rPr>
        <w:t xml:space="preserve">K predbežnej informácii </w:t>
      </w:r>
      <w:r>
        <w:rPr>
          <w:rFonts w:ascii="Times New Roman" w:eastAsia="Calibri" w:hAnsi="Times New Roman" w:cs="Times New Roman"/>
          <w:sz w:val="24"/>
          <w:szCs w:val="24"/>
        </w:rPr>
        <w:t>boli doručené podnety z</w:t>
      </w:r>
      <w:r w:rsidR="00A65CEE">
        <w:rPr>
          <w:rFonts w:ascii="Times New Roman" w:eastAsia="Calibri" w:hAnsi="Times New Roman" w:cs="Times New Roman"/>
          <w:sz w:val="24"/>
          <w:szCs w:val="24"/>
        </w:rPr>
        <w:t> </w:t>
      </w:r>
      <w:r>
        <w:rPr>
          <w:rFonts w:ascii="Times New Roman" w:eastAsia="Calibri" w:hAnsi="Times New Roman" w:cs="Times New Roman"/>
          <w:sz w:val="24"/>
          <w:szCs w:val="24"/>
        </w:rPr>
        <w:t>verejnosti</w:t>
      </w:r>
      <w:r w:rsidR="00A65CEE">
        <w:rPr>
          <w:rFonts w:ascii="Times New Roman" w:eastAsia="Calibri" w:hAnsi="Times New Roman" w:cs="Times New Roman"/>
          <w:sz w:val="24"/>
          <w:szCs w:val="24"/>
        </w:rPr>
        <w:t>, ktoré sa však nevzťahovali k problematike, ktorú mal návrh zákona upravovať.</w:t>
      </w:r>
    </w:p>
    <w:p w14:paraId="7C287675" w14:textId="77777777" w:rsidR="00A17A02" w:rsidRDefault="00A17A02" w:rsidP="00054C41">
      <w:pPr>
        <w:spacing w:after="0"/>
        <w:jc w:val="both"/>
        <w:rPr>
          <w:rFonts w:ascii="Times New Roman" w:eastAsia="Calibri" w:hAnsi="Times New Roman" w:cs="Times New Roman"/>
          <w:sz w:val="24"/>
          <w:szCs w:val="24"/>
        </w:rPr>
      </w:pPr>
    </w:p>
    <w:p w14:paraId="7E0BF3F5" w14:textId="311134EF" w:rsidR="00054C41" w:rsidRPr="00AB2060" w:rsidRDefault="00AB2060" w:rsidP="00054C41">
      <w:pPr>
        <w:spacing w:after="0"/>
        <w:jc w:val="both"/>
        <w:rPr>
          <w:rFonts w:ascii="Times New Roman" w:eastAsia="Calibri" w:hAnsi="Times New Roman" w:cs="Times New Roman"/>
          <w:sz w:val="24"/>
          <w:szCs w:val="24"/>
        </w:rPr>
      </w:pPr>
      <w:r w:rsidRPr="00AB2060">
        <w:rPr>
          <w:rFonts w:ascii="Times New Roman" w:eastAsia="Calibri" w:hAnsi="Times New Roman" w:cs="Times New Roman"/>
          <w:sz w:val="24"/>
          <w:szCs w:val="24"/>
        </w:rPr>
        <w:t xml:space="preserve">Pripravovaný právny predpis bol vypracovaný v rámci internej pracovnej skupiny Ministerstva </w:t>
      </w:r>
      <w:r w:rsidR="00A65CEE">
        <w:rPr>
          <w:rFonts w:ascii="Times New Roman" w:eastAsia="Calibri" w:hAnsi="Times New Roman" w:cs="Times New Roman"/>
          <w:sz w:val="24"/>
          <w:szCs w:val="24"/>
        </w:rPr>
        <w:t>financií</w:t>
      </w:r>
      <w:r w:rsidRPr="00AB2060">
        <w:rPr>
          <w:rFonts w:ascii="Times New Roman" w:eastAsia="Calibri" w:hAnsi="Times New Roman" w:cs="Times New Roman"/>
          <w:sz w:val="24"/>
          <w:szCs w:val="24"/>
        </w:rPr>
        <w:t xml:space="preserve"> Slovenskej republiky</w:t>
      </w:r>
      <w:r w:rsidR="00A65CEE">
        <w:rPr>
          <w:rFonts w:ascii="Times New Roman" w:eastAsia="Calibri" w:hAnsi="Times New Roman" w:cs="Times New Roman"/>
          <w:sz w:val="24"/>
          <w:szCs w:val="24"/>
        </w:rPr>
        <w:t xml:space="preserve"> za účasti Slovenskej asociácie poisťovní a Slovenskej kancelári</w:t>
      </w:r>
      <w:r w:rsidR="003C0524">
        <w:rPr>
          <w:rFonts w:ascii="Times New Roman" w:eastAsia="Calibri" w:hAnsi="Times New Roman" w:cs="Times New Roman"/>
          <w:sz w:val="24"/>
          <w:szCs w:val="24"/>
        </w:rPr>
        <w:t>e</w:t>
      </w:r>
      <w:r w:rsidR="00A65CEE">
        <w:rPr>
          <w:rFonts w:ascii="Times New Roman" w:eastAsia="Calibri" w:hAnsi="Times New Roman" w:cs="Times New Roman"/>
          <w:sz w:val="24"/>
          <w:szCs w:val="24"/>
        </w:rPr>
        <w:t xml:space="preserve"> poisťovateľov. </w:t>
      </w:r>
    </w:p>
    <w:p w14:paraId="28CA77B0" w14:textId="79025FD1" w:rsidR="00AB2060" w:rsidRDefault="00AB2060" w:rsidP="00054C41">
      <w:pPr>
        <w:spacing w:after="0"/>
        <w:jc w:val="both"/>
        <w:rPr>
          <w:rFonts w:ascii="Times New Roman" w:eastAsia="Calibri" w:hAnsi="Times New Roman" w:cs="Times New Roman"/>
          <w:i/>
          <w:sz w:val="24"/>
          <w:szCs w:val="24"/>
        </w:rPr>
      </w:pPr>
    </w:p>
    <w:p w14:paraId="6B22DDBE" w14:textId="77777777" w:rsidR="005C2293" w:rsidRPr="005C2293" w:rsidRDefault="005C2293" w:rsidP="00054C41">
      <w:pPr>
        <w:spacing w:after="0"/>
        <w:jc w:val="both"/>
        <w:rPr>
          <w:rFonts w:ascii="Times New Roman" w:eastAsia="Calibri" w:hAnsi="Times New Roman" w:cs="Times New Roman"/>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Bude sa s niektorými podnikmi alebo produktmi zaobchádzať v porovnateľnej situácii rôzne (napr. špeciálne režimy pre mikro, malé a stredné podniky tzv. MSP)? </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C7DB60C" w14:textId="77777777" w:rsidR="00054C41" w:rsidRPr="00D8247C" w:rsidRDefault="00054C41"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3E33230C" w:rsidR="00054C41" w:rsidRPr="00D8247C" w:rsidRDefault="00712CE7" w:rsidP="005C2293">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5C2293">
        <w:rPr>
          <w:rFonts w:ascii="Times New Roman" w:eastAsia="Calibri" w:hAnsi="Times New Roman" w:cs="Times New Roman"/>
          <w:i/>
          <w:sz w:val="24"/>
          <w:szCs w:val="24"/>
        </w:rPr>
        <w:t xml:space="preserve">     </w:t>
      </w:r>
      <w:r w:rsidR="005C2293" w:rsidRPr="005C2293">
        <w:rPr>
          <w:rFonts w:ascii="Segoe UI Symbol" w:eastAsia="Calibri" w:hAnsi="Segoe UI Symbol" w:cs="Segoe UI Symbol"/>
          <w:i/>
          <w:sz w:val="24"/>
          <w:szCs w:val="24"/>
        </w:rPr>
        <w:t>☒</w:t>
      </w:r>
      <w:r w:rsidR="005C2293">
        <w:rPr>
          <w:rFonts w:ascii="Segoe UI Symbol" w:eastAsia="Calibri" w:hAnsi="Segoe UI Symbol" w:cs="Segoe UI Symbol"/>
          <w:i/>
          <w:sz w:val="24"/>
          <w:szCs w:val="24"/>
        </w:rPr>
        <w:t xml:space="preserve"> </w:t>
      </w:r>
      <w:r w:rsidR="00054C41" w:rsidRPr="00D8247C">
        <w:rPr>
          <w:rFonts w:ascii="Times New Roman" w:eastAsia="Calibri" w:hAnsi="Times New Roman" w:cs="Times New Roman"/>
          <w:i/>
          <w:sz w:val="24"/>
          <w:szCs w:val="24"/>
        </w:rPr>
        <w:t>nemení</w:t>
      </w:r>
      <w:r w:rsidR="005C2293">
        <w:rPr>
          <w:rFonts w:ascii="Times New Roman" w:eastAsia="Calibri" w:hAnsi="Times New Roman" w:cs="Times New Roman"/>
          <w:i/>
          <w:sz w:val="24"/>
          <w:szCs w:val="24"/>
        </w:rPr>
        <w:t xml:space="preserve">      </w:t>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7D10EC9B" w:rsidR="00054C41" w:rsidRPr="00D8247C" w:rsidRDefault="00712CE7"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howingPlcHdr/>
            </w:sdtPr>
            <w:sdtEndPr/>
            <w:sdtContent>
              <w:r w:rsidR="005C2293">
                <w:rPr>
                  <w:rFonts w:ascii="Times New Roman" w:eastAsia="Calibri" w:hAnsi="Times New Roman" w:cs="Times New Roman"/>
                  <w:i/>
                  <w:sz w:val="24"/>
                  <w:szCs w:val="24"/>
                </w:rPr>
                <w:t xml:space="preserve">     </w:t>
              </w:r>
            </w:sdtContent>
          </w:sdt>
        </w:sdtContent>
      </w:sdt>
      <w:r w:rsidR="005C2293" w:rsidRPr="005C2293">
        <w:rPr>
          <w:rFonts w:ascii="Segoe UI Symbol" w:eastAsia="Calibri" w:hAnsi="Segoe UI Symbol" w:cs="Segoe UI Symbol"/>
          <w:i/>
          <w:sz w:val="24"/>
          <w:szCs w:val="24"/>
        </w:rPr>
        <w:t>☒</w:t>
      </w:r>
      <w:r w:rsidR="00054C41" w:rsidRPr="00D8247C">
        <w:rPr>
          <w:rFonts w:ascii="Times New Roman" w:eastAsia="Calibri" w:hAnsi="Times New Roman" w:cs="Times New Roman"/>
          <w:i/>
          <w:sz w:val="24"/>
          <w:szCs w:val="24"/>
        </w:rPr>
        <w:t xml:space="preserve"> nemení</w:t>
      </w:r>
      <w:r w:rsidR="005C2293">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28E4F647" w14:textId="77777777" w:rsidR="00054C41" w:rsidRDefault="00054C41"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18D138B8" w14:textId="6E29B00C" w:rsidR="005C2293" w:rsidRDefault="005C2293" w:rsidP="00054C41">
      <w:pPr>
        <w:spacing w:after="0"/>
        <w:jc w:val="both"/>
        <w:rPr>
          <w:rFonts w:ascii="Times New Roman" w:eastAsia="Calibri" w:hAnsi="Times New Roman" w:cs="Times New Roman"/>
          <w:i/>
          <w:color w:val="0070C0"/>
        </w:rPr>
      </w:pPr>
    </w:p>
    <w:p w14:paraId="145D670F" w14:textId="77F3A8D5" w:rsidR="00EE425F" w:rsidRDefault="00F87B67" w:rsidP="00054C41">
      <w:pPr>
        <w:spacing w:after="0"/>
        <w:jc w:val="both"/>
        <w:rPr>
          <w:rFonts w:ascii="Times New Roman" w:eastAsia="Calibri" w:hAnsi="Times New Roman" w:cs="Times New Roman"/>
        </w:rPr>
      </w:pPr>
      <w:r>
        <w:rPr>
          <w:rFonts w:ascii="Times New Roman" w:eastAsia="Calibri" w:hAnsi="Times New Roman" w:cs="Times New Roman"/>
        </w:rPr>
        <w:t>Na základe n</w:t>
      </w:r>
      <w:r w:rsidR="006E2E48">
        <w:rPr>
          <w:rFonts w:ascii="Times New Roman" w:eastAsia="Calibri" w:hAnsi="Times New Roman" w:cs="Times New Roman"/>
        </w:rPr>
        <w:t>ávrh zákona</w:t>
      </w:r>
      <w:r>
        <w:rPr>
          <w:rFonts w:ascii="Times New Roman" w:eastAsia="Calibri" w:hAnsi="Times New Roman" w:cs="Times New Roman"/>
        </w:rPr>
        <w:t xml:space="preserve"> sa</w:t>
      </w:r>
      <w:r w:rsidR="006E2E48">
        <w:rPr>
          <w:rFonts w:ascii="Times New Roman" w:eastAsia="Calibri" w:hAnsi="Times New Roman" w:cs="Times New Roman"/>
        </w:rPr>
        <w:t xml:space="preserve"> </w:t>
      </w:r>
      <w:r>
        <w:rPr>
          <w:rFonts w:ascii="Times New Roman" w:eastAsia="Calibri" w:hAnsi="Times New Roman" w:cs="Times New Roman"/>
        </w:rPr>
        <w:t xml:space="preserve">ustanovuje povinnosť organizátora </w:t>
      </w:r>
      <w:r w:rsidR="00AC4BFC" w:rsidRPr="00F43396">
        <w:rPr>
          <w:rFonts w:ascii="Times New Roman" w:eastAsia="Calibri" w:hAnsi="Times New Roman" w:cs="Times New Roman"/>
        </w:rPr>
        <w:t xml:space="preserve">motoristického preteku uzavrieť všeobecné poistenie zodpovednosti za škodu </w:t>
      </w:r>
      <w:r>
        <w:rPr>
          <w:rFonts w:ascii="Times New Roman" w:eastAsia="Calibri" w:hAnsi="Times New Roman" w:cs="Times New Roman"/>
        </w:rPr>
        <w:t xml:space="preserve">alebo inú záruku, ktorá pokrýva škodu spôsobenú prevádzkou motorového vozidla pri takomto podujatí účastníkom takéhoto podujatia. </w:t>
      </w:r>
      <w:r w:rsidR="00BA7E7C">
        <w:rPr>
          <w:rFonts w:ascii="Times New Roman" w:eastAsia="Calibri" w:hAnsi="Times New Roman" w:cs="Times New Roman"/>
        </w:rPr>
        <w:t xml:space="preserve">Uvedená povinnosť môže mať negatívny vplyv na organizátorov takýchto podujatí z dôvodu platenie poistného, ktorého výšku však nie je možné relevantne vyčísliť, lebo závisí od rôznych faktorov (počtu podujatí, počtu súťažiacich motorových vozidiel, typu motorových vozidiel, predpokladaného počtu účastníkov na podujatí a pod.). Zároveň </w:t>
      </w:r>
      <w:r w:rsidR="00EE425F">
        <w:rPr>
          <w:rFonts w:ascii="Times New Roman" w:eastAsia="Calibri" w:hAnsi="Times New Roman" w:cs="Times New Roman"/>
        </w:rPr>
        <w:t>za neplnenie tejto povinnosti okresný úrad môže organizátorovi uložiť sankciu až do výšky 50.000 eur.</w:t>
      </w:r>
    </w:p>
    <w:p w14:paraId="08E4673A" w14:textId="77777777" w:rsidR="00EE425F" w:rsidRDefault="00EE425F" w:rsidP="00054C41">
      <w:pPr>
        <w:spacing w:after="0"/>
        <w:jc w:val="both"/>
        <w:rPr>
          <w:rFonts w:ascii="Times New Roman" w:eastAsia="Calibri" w:hAnsi="Times New Roman" w:cs="Times New Roman"/>
        </w:rPr>
      </w:pPr>
    </w:p>
    <w:p w14:paraId="5053BDFC" w14:textId="6641AF84" w:rsidR="005C2293" w:rsidRDefault="00A17A02" w:rsidP="00054C41">
      <w:pPr>
        <w:spacing w:after="0"/>
        <w:jc w:val="both"/>
        <w:rPr>
          <w:rFonts w:ascii="Times New Roman" w:eastAsia="Calibri" w:hAnsi="Times New Roman" w:cs="Times New Roman"/>
        </w:rPr>
      </w:pPr>
      <w:r>
        <w:rPr>
          <w:rFonts w:ascii="Times New Roman" w:eastAsia="Calibri" w:hAnsi="Times New Roman" w:cs="Times New Roman"/>
        </w:rPr>
        <w:t>Držiteľovi, vlastníkovi a prevádzkovateľovi motorového vozidla, ktorý</w:t>
      </w:r>
      <w:r w:rsidR="00944CCE">
        <w:rPr>
          <w:rFonts w:ascii="Times New Roman" w:eastAsia="Calibri" w:hAnsi="Times New Roman" w:cs="Times New Roman"/>
        </w:rPr>
        <w:t xml:space="preserve"> je podnikateľský subjekt a</w:t>
      </w:r>
      <w:r>
        <w:rPr>
          <w:rFonts w:ascii="Times New Roman" w:eastAsia="Calibri" w:hAnsi="Times New Roman" w:cs="Times New Roman"/>
        </w:rPr>
        <w:t xml:space="preserve"> poruší povinnosť uzavrieť si poistenie zodpovednosti</w:t>
      </w:r>
      <w:r w:rsidR="00944CCE">
        <w:rPr>
          <w:rFonts w:ascii="Times New Roman" w:eastAsia="Calibri" w:hAnsi="Times New Roman" w:cs="Times New Roman"/>
        </w:rPr>
        <w:t>,</w:t>
      </w:r>
      <w:r>
        <w:rPr>
          <w:rFonts w:ascii="Times New Roman" w:eastAsia="Calibri" w:hAnsi="Times New Roman" w:cs="Times New Roman"/>
        </w:rPr>
        <w:t xml:space="preserve"> môže okresný úrad uložiť pokutu. </w:t>
      </w:r>
      <w:r w:rsidRPr="00A17A02">
        <w:rPr>
          <w:rFonts w:ascii="Times New Roman" w:eastAsia="Calibri" w:hAnsi="Times New Roman" w:cs="Times New Roman"/>
        </w:rPr>
        <w:t xml:space="preserve">Pri v súčasnosti platnom zákone boli pokuty stanovené v intervale od 16,60 eur do 3.319,40 eur. </w:t>
      </w:r>
      <w:r>
        <w:rPr>
          <w:rFonts w:ascii="Times New Roman" w:eastAsia="Calibri" w:hAnsi="Times New Roman" w:cs="Times New Roman"/>
        </w:rPr>
        <w:t>N</w:t>
      </w:r>
      <w:r w:rsidRPr="00A17A02">
        <w:rPr>
          <w:rFonts w:ascii="Times New Roman" w:eastAsia="Calibri" w:hAnsi="Times New Roman" w:cs="Times New Roman"/>
        </w:rPr>
        <w:t>ávrh zákona zvyšuje tento interval od 50 eur do 5.000 eur.</w:t>
      </w:r>
      <w:r w:rsidR="00EE425F">
        <w:rPr>
          <w:rFonts w:ascii="Times New Roman" w:eastAsia="Calibri" w:hAnsi="Times New Roman" w:cs="Times New Roman"/>
        </w:rPr>
        <w:t xml:space="preserve"> </w:t>
      </w:r>
      <w:r w:rsidR="00944CCE" w:rsidRPr="00944CCE">
        <w:rPr>
          <w:rFonts w:ascii="Times New Roman" w:eastAsia="Calibri" w:hAnsi="Times New Roman" w:cs="Times New Roman"/>
        </w:rPr>
        <w:t xml:space="preserve">Pri ukladaní pokuty okresný úrad berie do úvahy závažnosť </w:t>
      </w:r>
      <w:r w:rsidR="00944CCE" w:rsidRPr="00944CCE">
        <w:rPr>
          <w:rFonts w:ascii="Times New Roman" w:eastAsia="Calibri" w:hAnsi="Times New Roman" w:cs="Times New Roman"/>
        </w:rPr>
        <w:lastRenderedPageBreak/>
        <w:t>porušenia zákonom stanovenej povinnosti, dĺžku trvania protiprávneho stavu ako aj na druh motorového vozidla, ktoré nebolo poistené</w:t>
      </w:r>
      <w:r w:rsidR="00944CCE">
        <w:rPr>
          <w:rFonts w:ascii="Times New Roman" w:eastAsia="Calibri" w:hAnsi="Times New Roman" w:cs="Times New Roman"/>
        </w:rPr>
        <w:t>.</w:t>
      </w:r>
      <w:r w:rsidR="00BA7E7C">
        <w:rPr>
          <w:rFonts w:ascii="Times New Roman" w:eastAsia="Calibri" w:hAnsi="Times New Roman" w:cs="Times New Roman"/>
        </w:rPr>
        <w:t xml:space="preserve">  </w:t>
      </w:r>
      <w:r w:rsidR="00F87B67">
        <w:rPr>
          <w:rFonts w:ascii="Times New Roman" w:eastAsia="Calibri" w:hAnsi="Times New Roman" w:cs="Times New Roman"/>
        </w:rPr>
        <w:t xml:space="preserve"> </w:t>
      </w:r>
    </w:p>
    <w:p w14:paraId="42F255D0" w14:textId="77777777" w:rsidR="005C2293" w:rsidRPr="005C2293" w:rsidRDefault="005C2293" w:rsidP="00054C41">
      <w:pPr>
        <w:spacing w:after="0"/>
        <w:jc w:val="both"/>
        <w:rPr>
          <w:rFonts w:ascii="Times New Roman" w:eastAsia="Calibri" w:hAnsi="Times New Roman" w:cs="Times New Roman"/>
        </w:rPr>
      </w:pPr>
    </w:p>
    <w:sectPr w:rsidR="005C2293" w:rsidRPr="005C22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DE0A3" w14:textId="77777777" w:rsidR="00712CE7" w:rsidRDefault="00712CE7" w:rsidP="00054C41">
      <w:pPr>
        <w:spacing w:after="0" w:line="240" w:lineRule="auto"/>
      </w:pPr>
      <w:r>
        <w:separator/>
      </w:r>
    </w:p>
  </w:endnote>
  <w:endnote w:type="continuationSeparator" w:id="0">
    <w:p w14:paraId="3B805792" w14:textId="77777777" w:rsidR="00712CE7" w:rsidRDefault="00712CE7"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987974"/>
      <w:docPartObj>
        <w:docPartGallery w:val="Page Numbers (Bottom of Page)"/>
        <w:docPartUnique/>
      </w:docPartObj>
    </w:sdtPr>
    <w:sdtEndPr/>
    <w:sdtContent>
      <w:p w14:paraId="56DCBFD2" w14:textId="704BB797" w:rsidR="003F626E" w:rsidRDefault="003F626E">
        <w:pPr>
          <w:pStyle w:val="Pta"/>
          <w:jc w:val="center"/>
        </w:pPr>
        <w:r>
          <w:fldChar w:fldCharType="begin"/>
        </w:r>
        <w:r>
          <w:instrText>PAGE   \* MERGEFORMAT</w:instrText>
        </w:r>
        <w:r>
          <w:fldChar w:fldCharType="separate"/>
        </w:r>
        <w:r w:rsidR="002A36C0">
          <w:rPr>
            <w:noProof/>
          </w:rPr>
          <w:t>4</w:t>
        </w:r>
        <w:r>
          <w:fldChar w:fldCharType="end"/>
        </w:r>
      </w:p>
    </w:sdtContent>
  </w:sdt>
  <w:p w14:paraId="68AC3825" w14:textId="77777777" w:rsidR="00142154" w:rsidRDefault="001421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7A8D" w14:textId="77777777" w:rsidR="00712CE7" w:rsidRDefault="00712CE7" w:rsidP="00054C41">
      <w:pPr>
        <w:spacing w:after="0" w:line="240" w:lineRule="auto"/>
      </w:pPr>
      <w:r>
        <w:separator/>
      </w:r>
    </w:p>
  </w:footnote>
  <w:footnote w:type="continuationSeparator" w:id="0">
    <w:p w14:paraId="5233454A" w14:textId="77777777" w:rsidR="00712CE7" w:rsidRDefault="00712CE7" w:rsidP="00054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FF17159"/>
    <w:multiLevelType w:val="hybridMultilevel"/>
    <w:tmpl w:val="184A28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370F9"/>
    <w:rsid w:val="00054C41"/>
    <w:rsid w:val="00060DA1"/>
    <w:rsid w:val="000855FB"/>
    <w:rsid w:val="000C06B3"/>
    <w:rsid w:val="000C5E9A"/>
    <w:rsid w:val="000F0DB2"/>
    <w:rsid w:val="00142154"/>
    <w:rsid w:val="00174B0B"/>
    <w:rsid w:val="00186F65"/>
    <w:rsid w:val="001B0216"/>
    <w:rsid w:val="001B0485"/>
    <w:rsid w:val="001B0BC8"/>
    <w:rsid w:val="001B4C03"/>
    <w:rsid w:val="001C457D"/>
    <w:rsid w:val="001D1083"/>
    <w:rsid w:val="001D3FA0"/>
    <w:rsid w:val="001E53CB"/>
    <w:rsid w:val="001F6ECE"/>
    <w:rsid w:val="00225A83"/>
    <w:rsid w:val="002652AA"/>
    <w:rsid w:val="00270EA5"/>
    <w:rsid w:val="00286605"/>
    <w:rsid w:val="002A36C0"/>
    <w:rsid w:val="00340CFD"/>
    <w:rsid w:val="003435A6"/>
    <w:rsid w:val="0036632D"/>
    <w:rsid w:val="0038255E"/>
    <w:rsid w:val="00391648"/>
    <w:rsid w:val="0039304E"/>
    <w:rsid w:val="003C0524"/>
    <w:rsid w:val="003E58B8"/>
    <w:rsid w:val="003F06D7"/>
    <w:rsid w:val="003F626E"/>
    <w:rsid w:val="004143BA"/>
    <w:rsid w:val="00442AC4"/>
    <w:rsid w:val="00445638"/>
    <w:rsid w:val="00446432"/>
    <w:rsid w:val="00447A90"/>
    <w:rsid w:val="004808D7"/>
    <w:rsid w:val="004D20CB"/>
    <w:rsid w:val="00565471"/>
    <w:rsid w:val="00584118"/>
    <w:rsid w:val="005C2293"/>
    <w:rsid w:val="006071A9"/>
    <w:rsid w:val="00610F4E"/>
    <w:rsid w:val="00613117"/>
    <w:rsid w:val="006B3F7D"/>
    <w:rsid w:val="006E2E48"/>
    <w:rsid w:val="00705A51"/>
    <w:rsid w:val="00712CE7"/>
    <w:rsid w:val="007259CB"/>
    <w:rsid w:val="00735974"/>
    <w:rsid w:val="007472CC"/>
    <w:rsid w:val="00747953"/>
    <w:rsid w:val="00756B02"/>
    <w:rsid w:val="0077106D"/>
    <w:rsid w:val="00790132"/>
    <w:rsid w:val="00795FB6"/>
    <w:rsid w:val="007B40FB"/>
    <w:rsid w:val="007B7EC4"/>
    <w:rsid w:val="007E24B2"/>
    <w:rsid w:val="00802E43"/>
    <w:rsid w:val="008634E9"/>
    <w:rsid w:val="008801B5"/>
    <w:rsid w:val="008B4AA1"/>
    <w:rsid w:val="008C1C71"/>
    <w:rsid w:val="008F7E07"/>
    <w:rsid w:val="00911C4A"/>
    <w:rsid w:val="00923C0C"/>
    <w:rsid w:val="00944CCE"/>
    <w:rsid w:val="0096162B"/>
    <w:rsid w:val="009A4D56"/>
    <w:rsid w:val="009D79BE"/>
    <w:rsid w:val="009E09F7"/>
    <w:rsid w:val="00A000DA"/>
    <w:rsid w:val="00A1736E"/>
    <w:rsid w:val="00A17A02"/>
    <w:rsid w:val="00A5578B"/>
    <w:rsid w:val="00A65CEE"/>
    <w:rsid w:val="00AB2060"/>
    <w:rsid w:val="00AC4BFC"/>
    <w:rsid w:val="00AF06A3"/>
    <w:rsid w:val="00B031E3"/>
    <w:rsid w:val="00B223A5"/>
    <w:rsid w:val="00B66E33"/>
    <w:rsid w:val="00BA7E7C"/>
    <w:rsid w:val="00BD0EF7"/>
    <w:rsid w:val="00C00057"/>
    <w:rsid w:val="00C21399"/>
    <w:rsid w:val="00C479EF"/>
    <w:rsid w:val="00C53433"/>
    <w:rsid w:val="00C560C4"/>
    <w:rsid w:val="00C6748F"/>
    <w:rsid w:val="00CA2196"/>
    <w:rsid w:val="00CB1A50"/>
    <w:rsid w:val="00CB2F47"/>
    <w:rsid w:val="00CC1E1F"/>
    <w:rsid w:val="00D005F2"/>
    <w:rsid w:val="00D2624F"/>
    <w:rsid w:val="00D32352"/>
    <w:rsid w:val="00D34EDB"/>
    <w:rsid w:val="00D631FA"/>
    <w:rsid w:val="00D77144"/>
    <w:rsid w:val="00D82356"/>
    <w:rsid w:val="00D84EEE"/>
    <w:rsid w:val="00D90A61"/>
    <w:rsid w:val="00DF02CE"/>
    <w:rsid w:val="00E030DA"/>
    <w:rsid w:val="00E312C6"/>
    <w:rsid w:val="00E801E5"/>
    <w:rsid w:val="00EA0E8A"/>
    <w:rsid w:val="00EB2BEC"/>
    <w:rsid w:val="00EC0704"/>
    <w:rsid w:val="00ED6B5D"/>
    <w:rsid w:val="00EE425F"/>
    <w:rsid w:val="00EE4C99"/>
    <w:rsid w:val="00EF407E"/>
    <w:rsid w:val="00F43396"/>
    <w:rsid w:val="00F74C06"/>
    <w:rsid w:val="00F74FC9"/>
    <w:rsid w:val="00F87B67"/>
    <w:rsid w:val="00FB26C7"/>
    <w:rsid w:val="00FB5556"/>
    <w:rsid w:val="00FC1D91"/>
    <w:rsid w:val="00FD28CF"/>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8507">
      <w:bodyDiv w:val="1"/>
      <w:marLeft w:val="0"/>
      <w:marRight w:val="0"/>
      <w:marTop w:val="0"/>
      <w:marBottom w:val="0"/>
      <w:divBdr>
        <w:top w:val="none" w:sz="0" w:space="0" w:color="auto"/>
        <w:left w:val="none" w:sz="0" w:space="0" w:color="auto"/>
        <w:bottom w:val="none" w:sz="0" w:space="0" w:color="auto"/>
        <w:right w:val="none" w:sz="0" w:space="0" w:color="auto"/>
      </w:divBdr>
    </w:div>
    <w:div w:id="244071639">
      <w:bodyDiv w:val="1"/>
      <w:marLeft w:val="0"/>
      <w:marRight w:val="0"/>
      <w:marTop w:val="0"/>
      <w:marBottom w:val="0"/>
      <w:divBdr>
        <w:top w:val="none" w:sz="0" w:space="0" w:color="auto"/>
        <w:left w:val="none" w:sz="0" w:space="0" w:color="auto"/>
        <w:bottom w:val="none" w:sz="0" w:space="0" w:color="auto"/>
        <w:right w:val="none" w:sz="0" w:space="0" w:color="auto"/>
      </w:divBdr>
    </w:div>
    <w:div w:id="687875930">
      <w:bodyDiv w:val="1"/>
      <w:marLeft w:val="0"/>
      <w:marRight w:val="0"/>
      <w:marTop w:val="0"/>
      <w:marBottom w:val="0"/>
      <w:divBdr>
        <w:top w:val="none" w:sz="0" w:space="0" w:color="auto"/>
        <w:left w:val="none" w:sz="0" w:space="0" w:color="auto"/>
        <w:bottom w:val="none" w:sz="0" w:space="0" w:color="auto"/>
        <w:right w:val="none" w:sz="0" w:space="0" w:color="auto"/>
      </w:divBdr>
    </w:div>
    <w:div w:id="730734687">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 w:id="212699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https://ovdmasv601/sites/DMS/_layouts/15/DocIdRedir.aspx?ID=WKX3UHSAJ2R6-2-1279814</Url>
      <Description>WKX3UHSAJ2R6-2-1279814</Description>
    </_dlc_DocIdUrl>
    <_dlc_DocId xmlns="e60a29af-d413-48d4-bd90-fe9d2a897e4b">WKX3UHSAJ2R6-2-1279814</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932272-C6BD-4D5D-9DCC-AD6033B2003B}">
  <ds:schemaRefs>
    <ds:schemaRef ds:uri="http://schemas.openxmlformats.org/officeDocument/2006/bibliography"/>
  </ds:schemaRefs>
</ds:datastoreItem>
</file>

<file path=customXml/itemProps3.xml><?xml version="1.0" encoding="utf-8"?>
<ds:datastoreItem xmlns:ds="http://schemas.openxmlformats.org/officeDocument/2006/customXml" ds:itemID="{7360FFC5-9820-441C-962D-2E91BB3913FB}"/>
</file>

<file path=customXml/itemProps4.xml><?xml version="1.0" encoding="utf-8"?>
<ds:datastoreItem xmlns:ds="http://schemas.openxmlformats.org/officeDocument/2006/customXml" ds:itemID="{FDF92DED-A59C-4294-83B1-78C3697F3229}"/>
</file>

<file path=customXml/itemProps5.xml><?xml version="1.0" encoding="utf-8"?>
<ds:datastoreItem xmlns:ds="http://schemas.openxmlformats.org/officeDocument/2006/customXml" ds:itemID="{E5B443DB-D74C-44CE-AA5E-61C282FB0CF7}"/>
</file>

<file path=customXml/itemProps6.xml><?xml version="1.0" encoding="utf-8"?>
<ds:datastoreItem xmlns:ds="http://schemas.openxmlformats.org/officeDocument/2006/customXml" ds:itemID="{04A77949-B5F3-434A-B855-BEF70A30090B}"/>
</file>

<file path=docProps/app.xml><?xml version="1.0" encoding="utf-8"?>
<Properties xmlns="http://schemas.openxmlformats.org/officeDocument/2006/extended-properties" xmlns:vt="http://schemas.openxmlformats.org/officeDocument/2006/docPropsVTypes">
  <Template>Normal</Template>
  <TotalTime>3</TotalTime>
  <Pages>7</Pages>
  <Words>2052</Words>
  <Characters>11702</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Kucerova Dasa</cp:lastModifiedBy>
  <cp:revision>3</cp:revision>
  <cp:lastPrinted>2024-01-11T11:54:00Z</cp:lastPrinted>
  <dcterms:created xsi:type="dcterms:W3CDTF">2024-01-11T11:44:00Z</dcterms:created>
  <dcterms:modified xsi:type="dcterms:W3CDTF">2024-01-11T11:57:00Z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dd90fcc8-b966-47d9-82b8-799247977ef0</vt:lpwstr>
  </property>
</Properties>
</file>