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customXml/itemProps1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 xmlns:w15="http://schemas.microsoft.com/office/word/2012/wordml" xmlns:wpi="http://schemas.microsoft.com/office/word/2010/wordprocessingInk" xmlns:w16cid="http://schemas.microsoft.com/office/word/2016/wordml/cid" xmlns:am3d="http://schemas.microsoft.com/office/drawing/2017/model3d" xmlns:w16se="http://schemas.microsoft.com/office/word/2015/wordml/symex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mc:Ignorable="w14 wp14">
  <w:body>
    <w:p>
      <w:pPr>
        <w:pStyle w:val="PO155"/>
        <w:jc w:val="center"/>
        <w:rPr>
          <w:i w:val="1"/>
          <w:b w:val="1"/>
        </w:rPr>
      </w:pPr>
      <w:r>
        <w:rPr>
          <w:sz w:val="32"/>
          <w:szCs w:val="32"/>
        </w:rPr>
        <w:t xml:space="preserve">VLÁDA SLOVENSKEJ  REPUBLIKY</w:t>
      </w:r>
    </w:p>
    <w:p>
      <w:pPr>
        <w:jc w:val="center"/>
        <w:rPr/>
      </w:pPr>
      <w:r>
        <w:rPr>
          <w:sz w:val="20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9" type="#_x0000_t75" style="position:absolute;left:0;margin-left:200pt;mso-position-horizontal:absolute;mso-position-horizontal-relative:text;margin-top:24pt;mso-position-vertical:absolute;mso-position-vertical-relative:text;width:57.0pt;height:61.5pt;z-index:251624960" o:ole="" filled="t">
            <v:imagedata r:id="rId6" o:title=" "/>
            <w10:wrap type="topAndBottom"/>
          </v:shape>
          <o:OLEObject Type="Embed" ShapeID="_x0000_s9" DrawAspect="Content" ObjectID="9" ProgID="Package" r:id="rId7"/>
        </w:object>
      </w:r>
    </w:p>
    <w:p>
      <w:pPr>
        <w:pStyle w:val="PO155"/>
        <w:jc w:val="center"/>
        <w:rPr>
          <w:sz w:val="28"/>
          <w:szCs w:val="28"/>
        </w:rPr>
      </w:pPr>
      <w:r>
        <w:rPr>
          <w:sz w:val="28"/>
          <w:szCs w:val="28"/>
        </w:rPr>
        <w:t>(Návrh)</w:t>
      </w:r>
    </w:p>
    <w:p>
      <w:pPr>
        <w:pStyle w:val="PO155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UZNESENIE VLÁDY SLOVENSKEJ REPUBLIKY</w:t>
      </w:r>
    </w:p>
    <w:p>
      <w:pPr>
        <w:pStyle w:val="PO155"/>
        <w:jc w:val="center"/>
        <w:rPr>
          <w:b w:val="1"/>
          <w:sz w:val="32"/>
          <w:szCs w:val="32"/>
        </w:rPr>
      </w:pPr>
      <w:r>
        <w:rPr>
          <w:b w:val="1"/>
          <w:sz w:val="32"/>
          <w:szCs w:val="32"/>
        </w:rPr>
        <w:t xml:space="preserve">č. ...</w:t>
      </w:r>
    </w:p>
    <w:p>
      <w:pPr>
        <w:pStyle w:val="PO15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z ... </w:t>
      </w:r>
    </w:p>
    <w:p>
      <w:pPr>
        <w:pStyle w:val="PO155"/>
        <w:jc w:val="center"/>
        <w:rPr>
          <w:sz w:val="28"/>
          <w:szCs w:val="28"/>
        </w:rPr>
      </w:pPr>
    </w:p>
    <w:p>
      <w:pPr>
        <w:jc w:val="center"/>
        <w:spacing w:lineRule="auto" w:line="240" w:after="0"/>
        <w:rPr>
          <w:b w:val="1"/>
          <w:sz w:val="24"/>
          <w:szCs w:val="24"/>
          <w:rFonts w:ascii="Times New Roman" w:hAnsi="Times New Roman"/>
        </w:rPr>
      </w:pPr>
      <w:r>
        <w:rPr>
          <w:b w:val="1"/>
          <w:sz w:val="24"/>
          <w:szCs w:val="24"/>
          <w:rFonts w:ascii="Times New Roman" w:hAnsi="Times New Roman"/>
        </w:rPr>
        <w:t xml:space="preserve">k návrhu </w:t>
      </w:r>
      <w:bookmarkStart w:id="1" w:name="_Hlk60676888"/>
      <w:bookmarkStart w:id="2" w:name="_Hlk60675825"/>
      <w:r>
        <w:rPr>
          <w:b w:val="1"/>
          <w:sz w:val="24"/>
          <w:szCs w:val="24"/>
          <w:rFonts w:ascii="Times New Roman" w:hAnsi="Times New Roman"/>
        </w:rPr>
        <w:t xml:space="preserve">na použitie ozbrojených síl Slovenskej republiky na odstraňovanie následkov </w:t>
      </w:r>
      <w:r>
        <w:rPr>
          <w:b w:val="1"/>
          <w:sz w:val="24"/>
          <w:szCs w:val="24"/>
          <w:rFonts w:ascii="Times New Roman" w:hAnsi="Times New Roman"/>
        </w:rPr>
        <w:t xml:space="preserve">núdzového stavu </w:t>
      </w:r>
      <w:bookmarkEnd w:id="1"/>
      <w:bookmarkEnd w:id="2"/>
    </w:p>
    <w:p>
      <w:pPr>
        <w:pStyle w:val="PO153"/>
        <w:rPr>
          <w:b w:val="1"/>
        </w:rPr>
      </w:pPr>
    </w:p>
    <w:p>
      <w:pPr>
        <w:jc w:val="both"/>
        <w:spacing w:lineRule="auto" w:line="240" w:after="0"/>
        <w:rPr>
          <w:sz w:val="24"/>
          <w:szCs w:val="24"/>
          <w:rFonts w:ascii="Times New Roman" w:hAnsi="Times New Roman"/>
        </w:rPr>
      </w:pPr>
      <w:r>
        <w:rPr>
          <w:sz w:val="24"/>
          <w:szCs w:val="24"/>
          <w:rFonts w:ascii="Times New Roman" w:hAnsi="Times New Roman"/>
        </w:rPr>
        <w:t>Číslo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rFonts w:ascii="Times New Roman" w:hAnsi="Times New Roman"/>
        </w:rPr>
        <w:t>materiálu:</w:t>
      </w:r>
    </w:p>
    <w:p>
      <w:pPr>
        <w:jc w:val="both"/>
        <w:spacing w:lineRule="auto" w:line="240" w:after="120"/>
        <w:tabs>
          <w:tab w:val="left" w:pos="1701"/>
        </w:tabs>
        <w:rPr>
          <w:b w:val="1"/>
          <w:rFonts w:ascii="Times New Roman" w:hAnsi="Times New Roman"/>
        </w:rPr>
      </w:pPr>
      <w:r>
        <w:rPr>
          <w:sz w:val="24"/>
          <w:szCs w:val="24"/>
          <w:rFonts w:ascii="Times New Roman" w:hAnsi="Times New Roman"/>
        </w:rPr>
        <w:t>Predkladateľ:</w:t>
      </w:r>
      <w:r>
        <w:rPr>
          <w:sz w:val="24"/>
          <w:szCs w:val="24"/>
          <w:rFonts w:ascii="Times New Roman" w:hAnsi="Times New Roman"/>
        </w:rPr>
        <w:tab/>
      </w:r>
      <w:r>
        <w:rPr>
          <w:sz w:val="24"/>
          <w:szCs w:val="24"/>
          <w:rFonts w:ascii="Times New Roman" w:hAnsi="Times New Roman"/>
        </w:rPr>
        <w:t xml:space="preserve">minister obrany a minister zdravotníctva </w:t>
      </w:r>
    </w:p>
    <w:p>
      <w:pPr>
        <w:jc w:val="both"/>
        <w:pBdr>
          <w:top w:val="single" w:sz="6" w:space="1" w:color="000000"/>
        </w:pBdr>
        <w:rPr>
          <w:rFonts w:ascii="Times New Roman" w:hAnsi="Times New Roman"/>
        </w:rPr>
      </w:pPr>
    </w:p>
    <w:p>
      <w:pPr>
        <w:jc w:val="both"/>
        <w:rPr>
          <w:b w:val="1"/>
          <w:sz w:val="32"/>
          <w:szCs w:val="32"/>
          <w:rFonts w:ascii="Times New Roman" w:hAnsi="Times New Roman"/>
        </w:rPr>
      </w:pPr>
      <w:r>
        <w:rPr>
          <w:b w:val="1"/>
          <w:sz w:val="32"/>
          <w:szCs w:val="32"/>
          <w:rFonts w:ascii="Times New Roman" w:hAnsi="Times New Roman"/>
        </w:rPr>
        <w:t>Vláda</w:t>
      </w:r>
    </w:p>
    <w:p>
      <w:pPr>
        <w:pStyle w:val="PO7"/>
        <w:numPr>
          <w:ilvl w:val="0"/>
          <w:numId w:val="2"/>
        </w:numPr>
        <w:spacing w:lineRule="auto" w:line="240" w:before="0"/>
        <w:ind w:left="540" w:hanging="540"/>
        <w:tabs>
          <w:tab w:val="left" w:pos="567"/>
        </w:tabs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>schvaľuje</w:t>
      </w:r>
    </w:p>
    <w:p>
      <w:pPr>
        <w:pStyle w:val="PO26"/>
        <w:numPr>
          <w:ilvl w:val="0"/>
          <w:numId w:val="3"/>
        </w:numPr>
        <w:jc w:val="both"/>
        <w:spacing w:lineRule="auto" w:line="240" w:before="240" w:after="0"/>
        <w:ind w:left="1276" w:hanging="771"/>
        <w:tabs>
          <w:tab w:val="clear" w:pos="3041"/>
        </w:tabs>
        <w:rPr>
          <w:sz w:val="24"/>
          <w:szCs w:val="24"/>
          <w:rFonts w:ascii="Times New Roman" w:hAnsi="Times New Roman"/>
        </w:rPr>
      </w:pPr>
      <w:r>
        <w:rPr>
          <w:sz w:val="24"/>
          <w:szCs w:val="24"/>
          <w:rFonts w:ascii="Times New Roman" w:hAnsi="Times New Roman"/>
        </w:rPr>
        <w:t xml:space="preserve">návrh na použitie ozbrojených síl Slovenskej republiky na odstraňovanie </w:t>
      </w:r>
      <w:r>
        <w:rPr>
          <w:sz w:val="24"/>
          <w:szCs w:val="24"/>
          <w:rFonts w:ascii="Times New Roman" w:hAnsi="Times New Roman"/>
        </w:rPr>
        <w:t xml:space="preserve">následkov núdzového stavu;</w:t>
      </w:r>
    </w:p>
    <w:p>
      <w:pPr>
        <w:pStyle w:val="PO26"/>
        <w:jc w:val="both"/>
        <w:ind w:left="1276" w:firstLine="0"/>
        <w:rPr/>
      </w:pPr>
    </w:p>
    <w:p>
      <w:pPr>
        <w:pStyle w:val="PO7"/>
        <w:numPr>
          <w:ilvl w:val="0"/>
          <w:numId w:val="2"/>
        </w:numPr>
        <w:spacing w:lineRule="auto" w:line="240" w:before="0"/>
        <w:ind w:left="540" w:hanging="540"/>
        <w:tabs>
          <w:tab w:val="left" w:pos="567"/>
        </w:tabs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ukladá </w:t>
      </w:r>
    </w:p>
    <w:p>
      <w:pPr>
        <w:spacing w:lineRule="auto" w:line="240" w:after="0"/>
        <w:ind w:left="567" w:firstLine="0"/>
        <w:rPr>
          <w:b w:val="1"/>
          <w:sz w:val="24"/>
          <w:szCs w:val="24"/>
          <w:rFonts w:ascii="Times New Roman" w:hAnsi="Times New Roman"/>
        </w:rPr>
      </w:pPr>
      <w:r>
        <w:rPr>
          <w:b w:val="1"/>
          <w:sz w:val="24"/>
          <w:szCs w:val="24"/>
          <w:rFonts w:ascii="Times New Roman" w:hAnsi="Times New Roman"/>
        </w:rPr>
        <w:br/>
      </w:r>
      <w:r>
        <w:rPr>
          <w:b w:val="1"/>
          <w:sz w:val="24"/>
          <w:szCs w:val="24"/>
          <w:rFonts w:ascii="Times New Roman" w:hAnsi="Times New Roman"/>
        </w:rPr>
        <w:t xml:space="preserve">ministrovi obrany</w:t>
      </w:r>
    </w:p>
    <w:p>
      <w:pPr>
        <w:jc w:val="both"/>
        <w:spacing w:lineRule="auto" w:line="240" w:before="240" w:after="0"/>
        <w:ind w:left="1276" w:hanging="709"/>
        <w:tabs>
          <w:tab w:val="left" w:pos="1276"/>
        </w:tabs>
        <w:rPr>
          <w:sz w:val="24"/>
          <w:szCs w:val="24"/>
          <w:rFonts w:ascii="Times New Roman" w:hAnsi="Times New Roman"/>
        </w:rPr>
      </w:pPr>
      <w:r>
        <w:rPr>
          <w:sz w:val="24"/>
          <w:szCs w:val="24"/>
          <w:rFonts w:ascii="Times New Roman" w:hAnsi="Times New Roman"/>
        </w:rPr>
        <w:t>B.1.</w:t>
      </w:r>
      <w:r>
        <w:rPr>
          <w:sz w:val="24"/>
          <w:szCs w:val="24"/>
          <w:rFonts w:ascii="Times New Roman" w:hAnsi="Times New Roman"/>
        </w:rPr>
        <w:tab/>
      </w:r>
      <w:r>
        <w:rPr>
          <w:sz w:val="24"/>
          <w:szCs w:val="24"/>
          <w:rFonts w:ascii="Times New Roman" w:hAnsi="Times New Roman"/>
        </w:rPr>
        <w:t xml:space="preserve">vyčleniť na základe požiadaviek ministra zdravotníctva na nevyhnutný čas </w:t>
      </w:r>
      <w:r>
        <w:rPr>
          <w:sz w:val="24"/>
          <w:szCs w:val="24"/>
          <w:rFonts w:ascii="Times New Roman" w:hAnsi="Times New Roman"/>
        </w:rPr>
        <w:t xml:space="preserve">denne do 1 000 príslušníkov ozbrojených síl Slovenskej republiky,</w:t>
      </w:r>
      <w:r>
        <w:rPr>
          <w:sz w:val="24"/>
          <w:szCs w:val="24"/>
          <w:rFonts w:ascii="Times New Roman" w:hAnsi="Times New Roman"/>
        </w:rPr>
        <w:tab/>
      </w:r>
    </w:p>
    <w:p>
      <w:pPr>
        <w:jc w:val="both"/>
        <w:spacing w:lineRule="auto" w:line="240" w:before="240" w:after="0"/>
        <w:ind w:left="1276" w:firstLine="0"/>
        <w:tabs>
          <w:tab w:val="left" w:pos="1843"/>
        </w:tabs>
        <w:rPr>
          <w:i w:val="1"/>
          <w:sz w:val="24"/>
          <w:szCs w:val="24"/>
          <w:rFonts w:ascii="Times New Roman" w:hAnsi="Times New Roman"/>
        </w:rPr>
      </w:pPr>
      <w:r>
        <w:rPr>
          <w:i w:val="1"/>
          <w:sz w:val="24"/>
          <w:szCs w:val="24"/>
          <w:rFonts w:ascii="Times New Roman" w:hAnsi="Times New Roman"/>
        </w:rPr>
        <w:t xml:space="preserve">do 30. júna 2021</w:t>
      </w:r>
    </w:p>
    <w:p>
      <w:pPr>
        <w:jc w:val="both"/>
        <w:spacing w:lineRule="auto" w:line="240" w:before="240" w:after="0"/>
        <w:ind w:left="1276" w:hanging="709"/>
        <w:tabs>
          <w:tab w:val="left" w:pos="1276"/>
        </w:tabs>
        <w:rPr>
          <w:strike/>
          <w:color w:val="FF0000"/>
          <w:sz w:val="24"/>
          <w:szCs w:val="24"/>
          <w:rFonts w:ascii="Times New Roman" w:hAnsi="Times New Roman"/>
        </w:rPr>
      </w:pPr>
      <w:r>
        <w:rPr>
          <w:sz w:val="24"/>
          <w:szCs w:val="24"/>
          <w:rFonts w:ascii="Times New Roman" w:hAnsi="Times New Roman"/>
        </w:rPr>
        <w:t>B.2.</w:t>
      </w:r>
      <w:r>
        <w:rPr>
          <w:sz w:val="24"/>
          <w:szCs w:val="24"/>
          <w:rFonts w:ascii="Times New Roman" w:hAnsi="Times New Roman"/>
        </w:rPr>
        <w:tab/>
      </w:r>
      <w:r>
        <w:rPr>
          <w:sz w:val="24"/>
          <w:szCs w:val="24"/>
          <w:rFonts w:ascii="Times New Roman" w:hAnsi="Times New Roman"/>
        </w:rPr>
        <w:t xml:space="preserve">v spolupráci s ministrom zdravotníctva zabezpečiť potrebné logistické </w:t>
      </w:r>
      <w:r>
        <w:rPr>
          <w:sz w:val="24"/>
          <w:szCs w:val="24"/>
          <w:rFonts w:ascii="Times New Roman" w:hAnsi="Times New Roman"/>
        </w:rPr>
        <w:t xml:space="preserve">a materiálno-technické vybavenie pre vyčlenených príslušníkov ozbrojených síl </w:t>
      </w:r>
      <w:r>
        <w:rPr>
          <w:sz w:val="24"/>
          <w:szCs w:val="24"/>
          <w:rFonts w:ascii="Times New Roman" w:hAnsi="Times New Roman"/>
        </w:rPr>
        <w:t xml:space="preserve">Slovenskej republiky s dôrazom na dodržanie ochrany ich zdravia,</w:t>
      </w:r>
      <w:r>
        <w:rPr>
          <w:strike/>
          <w:color w:val="FF0000"/>
          <w:sz w:val="24"/>
          <w:szCs w:val="24"/>
          <w:rFonts w:ascii="Times New Roman" w:hAnsi="Times New Roman"/>
        </w:rPr>
        <w:t xml:space="preserve"> </w:t>
      </w:r>
    </w:p>
    <w:p>
      <w:pPr>
        <w:jc w:val="both"/>
        <w:spacing w:lineRule="auto" w:line="240" w:before="240" w:after="0"/>
        <w:ind w:left="1276" w:firstLine="0"/>
        <w:tabs>
          <w:tab w:val="left" w:pos="1843"/>
        </w:tabs>
        <w:rPr>
          <w:sz w:val="24"/>
          <w:szCs w:val="24"/>
          <w:rFonts w:ascii="Times New Roman" w:hAnsi="Times New Roman"/>
        </w:rPr>
      </w:pPr>
      <w:r>
        <w:rPr>
          <w:i w:val="1"/>
          <w:sz w:val="24"/>
          <w:szCs w:val="24"/>
          <w:rFonts w:ascii="Times New Roman" w:hAnsi="Times New Roman"/>
        </w:rPr>
        <w:t xml:space="preserve">do 30. júna 2021</w:t>
      </w:r>
    </w:p>
    <w:p>
      <w:pPr>
        <w:rPr>
          <w:strike/>
          <w:b w:val="1"/>
          <w:color w:val="FF0000"/>
          <w:sz w:val="24"/>
          <w:szCs w:val="24"/>
          <w:rFonts w:ascii="Times New Roman" w:hAnsi="Times New Roman"/>
        </w:rPr>
      </w:pPr>
    </w:p>
    <w:p>
      <w:pPr>
        <w:ind w:left="567" w:firstLine="0"/>
        <w:rPr>
          <w:b w:val="1"/>
          <w:sz w:val="24"/>
          <w:szCs w:val="24"/>
          <w:rFonts w:ascii="Times New Roman" w:hAnsi="Times New Roman"/>
        </w:rPr>
      </w:pPr>
      <w:r>
        <w:rPr>
          <w:b w:val="1"/>
          <w:sz w:val="24"/>
          <w:szCs w:val="24"/>
          <w:rFonts w:ascii="Times New Roman" w:hAnsi="Times New Roman"/>
        </w:rPr>
        <w:t xml:space="preserve">ministrovi zdravotníctva</w:t>
      </w:r>
    </w:p>
    <w:p>
      <w:pPr>
        <w:jc w:val="both"/>
        <w:spacing w:lineRule="auto" w:line="240" w:before="240" w:after="0"/>
        <w:ind w:left="1276" w:hanging="709"/>
        <w:tabs>
          <w:tab w:val="left" w:pos="1276"/>
        </w:tabs>
        <w:rPr>
          <w:sz w:val="24"/>
          <w:szCs w:val="24"/>
          <w:rFonts w:ascii="Times New Roman" w:hAnsi="Times New Roman"/>
        </w:rPr>
      </w:pPr>
      <w:r>
        <w:rPr>
          <w:sz w:val="24"/>
          <w:szCs w:val="24"/>
          <w:rFonts w:ascii="Times New Roman" w:hAnsi="Times New Roman"/>
        </w:rPr>
        <w:t>B.3.</w:t>
      </w:r>
      <w:r>
        <w:rPr>
          <w:sz w:val="24"/>
          <w:szCs w:val="24"/>
          <w:rFonts w:ascii="Times New Roman" w:hAnsi="Times New Roman"/>
        </w:rPr>
        <w:tab/>
      </w:r>
      <w:r>
        <w:rPr>
          <w:sz w:val="24"/>
          <w:szCs w:val="24"/>
          <w:rFonts w:ascii="Times New Roman" w:hAnsi="Times New Roman"/>
        </w:rPr>
        <w:t xml:space="preserve">vyčlenených príslušníkov ozbrojených síl Slovenskej republiky využiť </w:t>
      </w:r>
      <w:r>
        <w:rPr>
          <w:sz w:val="24"/>
          <w:szCs w:val="24"/>
          <w:rFonts w:ascii="Times New Roman" w:hAnsi="Times New Roman"/>
        </w:rPr>
        <w:t xml:space="preserve">na zabezpečenie zdravotníckej a sanitárnej podpory určeným zdravotníckym </w:t>
      </w:r>
      <w:r>
        <w:rPr>
          <w:sz w:val="24"/>
          <w:szCs w:val="24"/>
          <w:rFonts w:ascii="Times New Roman" w:hAnsi="Times New Roman"/>
        </w:rPr>
        <w:t>zariadeniam,</w:t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 xml:space="preserve">zabezpečiť ich poučenie a odborný dohľad nad ich činnosťou</w:t>
      </w:r>
      <w:r>
        <w:rPr>
          <w:sz w:val="24"/>
          <w:szCs w:val="24"/>
          <w:rFonts w:ascii="Times New Roman" w:hAnsi="Times New Roman"/>
        </w:rPr>
        <w:br/>
      </w:r>
      <w:r>
        <w:rPr>
          <w:i w:val="1"/>
          <w:sz w:val="24"/>
          <w:szCs w:val="24"/>
          <w:rFonts w:ascii="Times New Roman" w:hAnsi="Times New Roman"/>
        </w:rPr>
        <w:br/>
      </w:r>
      <w:r>
        <w:rPr>
          <w:i w:val="1"/>
          <w:sz w:val="24"/>
          <w:szCs w:val="24"/>
          <w:rFonts w:ascii="Times New Roman" w:hAnsi="Times New Roman"/>
        </w:rPr>
        <w:t xml:space="preserve">do 30. júna 2021</w:t>
      </w:r>
    </w:p>
    <w:p>
      <w:pPr>
        <w:jc w:val="both"/>
        <w:spacing w:lineRule="auto" w:line="240" w:before="240" w:after="0"/>
        <w:ind w:left="1276" w:hanging="709"/>
        <w:tabs>
          <w:tab w:val="left" w:pos="1276"/>
        </w:tabs>
        <w:rPr>
          <w:sz w:val="24"/>
          <w:szCs w:val="24"/>
          <w:rFonts w:ascii="Times New Roman" w:hAnsi="Times New Roman"/>
        </w:rPr>
      </w:pPr>
      <w:r>
        <w:rPr>
          <w:sz w:val="24"/>
          <w:szCs w:val="24"/>
          <w:rFonts w:ascii="Times New Roman" w:hAnsi="Times New Roman"/>
        </w:rPr>
        <w:t>B.4.</w:t>
      </w:r>
      <w:r>
        <w:rPr>
          <w:sz w:val="24"/>
          <w:szCs w:val="24"/>
          <w:rFonts w:ascii="Times New Roman" w:hAnsi="Times New Roman"/>
        </w:rPr>
        <w:tab/>
      </w:r>
      <w:r>
        <w:rPr>
          <w:sz w:val="24"/>
          <w:szCs w:val="24"/>
          <w:rFonts w:ascii="Times New Roman" w:hAnsi="Times New Roman"/>
        </w:rPr>
        <w:t xml:space="preserve">podľa požiadaviek ministra obrany zabezpečiť potrebné logistické a materiálno-</w:t>
      </w:r>
      <w:r>
        <w:rPr>
          <w:sz w:val="24"/>
          <w:szCs w:val="24"/>
          <w:rFonts w:ascii="Times New Roman" w:hAnsi="Times New Roman"/>
        </w:rPr>
        <w:t xml:space="preserve">technické vybavenie pre vyčlenených príslušníkov ozbrojených síl Slovenskej </w:t>
      </w:r>
      <w:r>
        <w:rPr>
          <w:sz w:val="24"/>
          <w:szCs w:val="24"/>
          <w:rFonts w:ascii="Times New Roman" w:hAnsi="Times New Roman"/>
        </w:rPr>
        <w:t xml:space="preserve">republiky s dôrazom na dodržanie ochrany ich zdravia;</w:t>
      </w:r>
    </w:p>
    <w:p>
      <w:pPr>
        <w:jc w:val="both"/>
        <w:spacing w:lineRule="auto" w:line="240" w:before="240" w:after="0"/>
        <w:ind w:left="1276" w:hanging="709"/>
        <w:tabs>
          <w:tab w:val="left" w:pos="1276"/>
        </w:tabs>
        <w:rPr>
          <w:sz w:val="24"/>
          <w:szCs w:val="24"/>
          <w:rFonts w:ascii="Times New Roman" w:hAnsi="Times New Roman"/>
        </w:rPr>
      </w:pPr>
      <w:r>
        <w:rPr>
          <w:sz w:val="24"/>
          <w:szCs w:val="24"/>
          <w:rFonts w:ascii="Times New Roman" w:hAnsi="Times New Roman"/>
        </w:rPr>
        <w:tab/>
      </w:r>
      <w:r>
        <w:rPr>
          <w:i w:val="1"/>
          <w:sz w:val="24"/>
          <w:szCs w:val="24"/>
          <w:rFonts w:ascii="Times New Roman" w:hAnsi="Times New Roman"/>
        </w:rPr>
        <w:t xml:space="preserve">do 30. júna 2021</w:t>
      </w:r>
    </w:p>
    <w:p>
      <w:pPr>
        <w:rPr/>
      </w:pPr>
    </w:p>
    <w:p>
      <w:pPr>
        <w:pStyle w:val="PO152"/>
        <w:jc w:val="both"/>
        <w:spacing w:before="0" w:after="0"/>
        <w:ind w:left="1225" w:hanging="1225"/>
        <w:rPr/>
      </w:pPr>
    </w:p>
    <w:p>
      <w:pPr>
        <w:pStyle w:val="PO152"/>
        <w:jc w:val="both"/>
        <w:spacing w:before="0" w:after="0"/>
        <w:ind w:left="1225" w:hanging="1225"/>
        <w:rPr/>
      </w:pPr>
      <w:r>
        <w:rPr>
          <w:b w:val="1"/>
        </w:rPr>
        <w:t>Vykonajú:</w:t>
      </w:r>
      <w:r>
        <w:rPr/>
        <w:t xml:space="preserve"> </w:t>
      </w:r>
      <w:r>
        <w:rPr/>
        <w:tab/>
      </w:r>
      <w:r>
        <w:rPr/>
        <w:tab/>
      </w:r>
      <w:r>
        <w:rPr/>
        <w:t xml:space="preserve">minister obrany</w:t>
      </w:r>
    </w:p>
    <w:p>
      <w:pPr>
        <w:jc w:val="both"/>
        <w:spacing w:lineRule="auto" w:line="240" w:after="0"/>
        <w:tabs>
          <w:tab w:val="left" w:pos="1134"/>
        </w:tabs>
        <w:rPr>
          <w:sz w:val="24"/>
          <w:szCs w:val="24"/>
          <w:rFonts w:ascii="Times New Roman" w:hAnsi="Times New Roman"/>
        </w:rPr>
      </w:pPr>
      <w:r>
        <w:rPr>
          <w:sz w:val="24"/>
          <w:szCs w:val="24"/>
          <w:rFonts w:ascii="Times New Roman" w:hAnsi="Times New Roman"/>
        </w:rPr>
        <w:tab/>
      </w:r>
      <w:r>
        <w:rPr>
          <w:sz w:val="24"/>
          <w:szCs w:val="24"/>
          <w:rFonts w:ascii="Times New Roman" w:hAnsi="Times New Roman"/>
        </w:rPr>
        <w:t xml:space="preserve"> </w:t>
      </w:r>
      <w:r>
        <w:rPr>
          <w:sz w:val="24"/>
          <w:szCs w:val="24"/>
          <w:rFonts w:ascii="Times New Roman" w:hAnsi="Times New Roman"/>
        </w:rPr>
        <w:tab/>
      </w:r>
      <w:r>
        <w:rPr>
          <w:sz w:val="24"/>
          <w:szCs w:val="24"/>
          <w:rFonts w:ascii="Times New Roman" w:hAnsi="Times New Roman"/>
        </w:rPr>
        <w:t xml:space="preserve">minister zdravotníctva   </w:t>
      </w:r>
    </w:p>
    <w:p>
      <w:pPr>
        <w:jc w:val="both"/>
        <w:tabs>
          <w:tab w:val="left" w:pos="1134"/>
        </w:tabs>
        <w:rPr>
          <w:b w:val="1"/>
          <w:sz w:val="24"/>
          <w:szCs w:val="24"/>
          <w:rFonts w:ascii="Times New Roman" w:hAnsi="Times New Roman"/>
        </w:rPr>
      </w:pPr>
      <w:r>
        <w:rPr>
          <w:sz w:val="24"/>
          <w:szCs w:val="24"/>
          <w:rFonts w:ascii="Times New Roman" w:hAnsi="Times New Roman"/>
        </w:rPr>
        <w:t xml:space="preserve">                  </w:t>
      </w:r>
    </w:p>
    <w:p>
      <w:pPr>
        <w:rPr/>
      </w:pPr>
    </w:p>
    <w:p>
      <w:pPr>
        <w:rPr/>
      </w:pPr>
    </w:p>
    <w:sectPr>
      <w:pgSz w:w="11906" w:h="16838"/>
      <w:pgMar w:top="1361" w:left="1418" w:bottom="1134" w:right="1418" w:header="709" w:footer="709" w:gutter="0"/>
      <w:pgNumType w:fmt="decimal"/>
      <w:docGrid w:type="default" w:linePitch="360" w:charSpace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238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238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238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238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 xmlns:w14="http://schemas.microsoft.com/office/word/2010/wordml">
  <w:abstractNum w:abstractNumId="0">
    <w:multiLevelType w:val="hybridMultilevel"/>
    <w:nsid w:val="2F000000"/>
    <w:tmpl w:val="36C4209B"/>
    <w:lvl w:ilvl="0">
      <w:lvlJc w:val="left"/>
      <w:numFmt w:val="decimal"/>
      <w:start w:val="1"/>
      <w:suff w:val="tab"/>
      <w:pPr>
        <w:ind w:left="720" w:hanging="360"/>
        <w:rPr/>
      </w:pPr>
      <w:rPr>
        <w:rFonts w:hint="default"/>
      </w:rPr>
      <w:lvlText w:val="%1."/>
    </w:lvl>
    <w:lvl w:ilvl="1">
      <w:lvlJc w:val="left"/>
      <w:numFmt w:val="lowerLetter"/>
      <w:start w:val="1"/>
      <w:suff w:val="tab"/>
      <w:pPr>
        <w:ind w:left="1440" w:hanging="360"/>
        <w:rPr/>
      </w:pPr>
      <w:rPr/>
      <w:lvlText w:val="%2."/>
    </w:lvl>
    <w:lvl w:ilvl="2">
      <w:lvlJc w:val="right"/>
      <w:numFmt w:val="lowerRoman"/>
      <w:start w:val="1"/>
      <w:suff w:val="tab"/>
      <w:pPr>
        <w:ind w:left="2160" w:hanging="180"/>
        <w:rPr/>
      </w:pPr>
      <w:rPr/>
      <w:lvlText w:val="%3."/>
    </w:lvl>
    <w:lvl w:ilvl="3">
      <w:lvlJc w:val="left"/>
      <w:numFmt w:val="decimal"/>
      <w:start w:val="1"/>
      <w:suff w:val="tab"/>
      <w:pPr>
        <w:ind w:left="2880" w:hanging="360"/>
        <w:rPr/>
      </w:pPr>
      <w:rPr/>
      <w:lvlText w:val="%4."/>
    </w:lvl>
    <w:lvl w:ilvl="4">
      <w:lvlJc w:val="left"/>
      <w:numFmt w:val="lowerLetter"/>
      <w:start w:val="1"/>
      <w:suff w:val="tab"/>
      <w:pPr>
        <w:ind w:left="3600" w:hanging="360"/>
        <w:rPr/>
      </w:pPr>
      <w:rPr/>
      <w:lvlText w:val="%5."/>
    </w:lvl>
    <w:lvl w:ilvl="5">
      <w:lvlJc w:val="right"/>
      <w:numFmt w:val="lowerRoman"/>
      <w:start w:val="1"/>
      <w:suff w:val="tab"/>
      <w:pPr>
        <w:ind w:left="4320" w:hanging="180"/>
        <w:rPr/>
      </w:pPr>
      <w:rPr/>
      <w:lvlText w:val="%6."/>
    </w:lvl>
    <w:lvl w:ilvl="6">
      <w:lvlJc w:val="left"/>
      <w:numFmt w:val="decimal"/>
      <w:start w:val="1"/>
      <w:suff w:val="tab"/>
      <w:pPr>
        <w:ind w:left="5040" w:hanging="360"/>
        <w:rPr/>
      </w:pPr>
      <w:rPr/>
      <w:lvlText w:val="%7."/>
    </w:lvl>
    <w:lvl w:ilvl="7">
      <w:lvlJc w:val="left"/>
      <w:numFmt w:val="lowerLetter"/>
      <w:start w:val="1"/>
      <w:suff w:val="tab"/>
      <w:pPr>
        <w:ind w:left="5760" w:hanging="360"/>
        <w:rPr/>
      </w:pPr>
      <w:rPr/>
      <w:lvlText w:val="%8."/>
    </w:lvl>
    <w:lvl w:ilvl="8">
      <w:lvlJc w:val="right"/>
      <w:numFmt w:val="lowerRoman"/>
      <w:start w:val="1"/>
      <w:suff w:val="tab"/>
      <w:pPr>
        <w:ind w:left="6480" w:hanging="180"/>
        <w:rPr/>
      </w:pPr>
      <w:rPr/>
      <w:lvlText w:val="%9."/>
    </w:lvl>
  </w:abstractNum>
  <w:abstractNum w:abstractNumId="1">
    <w:multiLevelType w:val="hybridMultilevel"/>
    <w:nsid w:val="2F000001"/>
    <w:tmpl w:val="4E7FD7E6"/>
    <w:lvl w:ilvl="0">
      <w:lvlJc w:val="left"/>
      <w:numFmt w:val="upperLetter"/>
      <w:start w:val="1"/>
      <w:suff w:val="tab"/>
      <w:pPr>
        <w:ind w:left="930" w:hanging="570"/>
        <w:tabs>
          <w:tab w:val="left" w:pos="930"/>
        </w:tabs>
        <w:rPr/>
      </w:pPr>
      <w:rPr>
        <w:b w:val="1"/>
        <w:color w:val="000000" w:themeColor="text1"/>
        <w:sz w:val="28"/>
        <w:szCs w:val="28"/>
        <w:rFonts w:cs="Times New Roman"/>
      </w:rPr>
      <w:lvlText w:val="%1."/>
    </w:lvl>
    <w:lvl w:ilvl="1">
      <w:lvlJc w:val="left"/>
      <w:numFmt w:val="decimal"/>
      <w:start w:val="1"/>
      <w:suff w:val="tab"/>
      <w:pPr>
        <w:ind w:left="1440" w:hanging="360"/>
        <w:tabs>
          <w:tab w:val="left" w:pos="1440"/>
        </w:tabs>
        <w:rPr/>
      </w:pPr>
      <w:rPr>
        <w:rFonts w:cs="Times New Roman"/>
      </w:rPr>
      <w:lvlText w:val="%2."/>
    </w:lvl>
    <w:lvl w:ilvl="2">
      <w:lvlJc w:val="left"/>
      <w:numFmt w:val="decimal"/>
      <w:start w:val="1"/>
      <w:suff w:val="tab"/>
      <w:pPr>
        <w:ind w:left="2160" w:hanging="360"/>
        <w:tabs>
          <w:tab w:val="left" w:pos="2160"/>
        </w:tabs>
        <w:rPr/>
      </w:pPr>
      <w:rPr>
        <w:rFonts w:cs="Times New Roman"/>
      </w:rPr>
      <w:lvlText w:val="%3."/>
    </w:lvl>
    <w:lvl w:ilvl="3">
      <w:lvlJc w:val="left"/>
      <w:numFmt w:val="decimal"/>
      <w:start w:val="1"/>
      <w:suff w:val="tab"/>
      <w:pPr>
        <w:ind w:left="2880" w:hanging="360"/>
        <w:tabs>
          <w:tab w:val="left" w:pos="2880"/>
        </w:tabs>
        <w:rPr/>
      </w:pPr>
      <w:rPr>
        <w:rFonts w:cs="Times New Roman"/>
      </w:rPr>
      <w:lvlText w:val="%4."/>
    </w:lvl>
    <w:lvl w:ilvl="4">
      <w:lvlJc w:val="left"/>
      <w:numFmt w:val="decimal"/>
      <w:start w:val="1"/>
      <w:suff w:val="tab"/>
      <w:pPr>
        <w:ind w:left="3600" w:hanging="360"/>
        <w:tabs>
          <w:tab w:val="left" w:pos="3600"/>
        </w:tabs>
        <w:rPr/>
      </w:pPr>
      <w:rPr>
        <w:rFonts w:cs="Times New Roman"/>
      </w:rPr>
      <w:lvlText w:val="%5."/>
    </w:lvl>
    <w:lvl w:ilvl="5">
      <w:lvlJc w:val="left"/>
      <w:numFmt w:val="decimal"/>
      <w:start w:val="1"/>
      <w:suff w:val="tab"/>
      <w:pPr>
        <w:ind w:left="4320" w:hanging="360"/>
        <w:tabs>
          <w:tab w:val="left" w:pos="4320"/>
        </w:tabs>
        <w:rPr/>
      </w:pPr>
      <w:rPr>
        <w:rFonts w:cs="Times New Roman"/>
      </w:rPr>
      <w:lvlText w:val="%6."/>
    </w:lvl>
    <w:lvl w:ilvl="6">
      <w:lvlJc w:val="left"/>
      <w:numFmt w:val="decimal"/>
      <w:start w:val="1"/>
      <w:suff w:val="tab"/>
      <w:pPr>
        <w:ind w:left="5040" w:hanging="360"/>
        <w:tabs>
          <w:tab w:val="left" w:pos="5040"/>
        </w:tabs>
        <w:rPr/>
      </w:pPr>
      <w:rPr>
        <w:rFonts w:cs="Times New Roman"/>
      </w:rPr>
      <w:lvlText w:val="%7."/>
    </w:lvl>
    <w:lvl w:ilvl="7">
      <w:lvlJc w:val="left"/>
      <w:numFmt w:val="decimal"/>
      <w:start w:val="1"/>
      <w:suff w:val="tab"/>
      <w:pPr>
        <w:ind w:left="5760" w:hanging="360"/>
        <w:tabs>
          <w:tab w:val="left" w:pos="5760"/>
        </w:tabs>
        <w:rPr/>
      </w:pPr>
      <w:rPr>
        <w:rFonts w:cs="Times New Roman"/>
      </w:rPr>
      <w:lvlText w:val="%8."/>
    </w:lvl>
    <w:lvl w:ilvl="8">
      <w:lvlJc w:val="left"/>
      <w:numFmt w:val="decimal"/>
      <w:start w:val="1"/>
      <w:suff w:val="tab"/>
      <w:pPr>
        <w:ind w:left="6480" w:hanging="360"/>
        <w:tabs>
          <w:tab w:val="left" w:pos="6480"/>
        </w:tabs>
        <w:rPr/>
      </w:pPr>
      <w:rPr>
        <w:rFonts w:cs="Times New Roman"/>
      </w:rPr>
      <w:lvlText w:val="%9."/>
    </w:lvl>
  </w:abstractNum>
  <w:abstractNum w:abstractNumId="2">
    <w:multiLevelType w:val="hybridMultilevel"/>
    <w:nsid w:val="2F000002"/>
    <w:tmpl w:val="5C1356A1"/>
    <w:lvl w:ilvl="0">
      <w:lvlJc w:val="left"/>
      <w:numFmt w:val="decimal"/>
      <w:start w:val="1"/>
      <w:suff w:val="tab"/>
      <w:pPr>
        <w:ind w:left="3041" w:hanging="360"/>
        <w:tabs>
          <w:tab w:val="left" w:pos="3041"/>
        </w:tabs>
        <w:rPr/>
      </w:pPr>
      <w:rPr>
        <w:b w:val="0"/>
        <w:sz w:val="24"/>
        <w:szCs w:val="24"/>
        <w:rFonts w:ascii="Times New Roman" w:hAnsi="Times New Roman" w:cs="Times New Roman" w:hint="default"/>
      </w:rPr>
      <w:lvlText w:val="A.%1."/>
    </w:lvl>
    <w:lvl w:ilvl="1">
      <w:lvlJc w:val="left"/>
      <w:numFmt w:val="decimal"/>
      <w:start w:val="1"/>
      <w:suff w:val="tab"/>
      <w:pPr>
        <w:ind w:left="3412" w:hanging="360"/>
        <w:tabs>
          <w:tab w:val="left" w:pos="3412"/>
        </w:tabs>
        <w:rPr/>
      </w:pPr>
      <w:rPr>
        <w:rFonts w:cs="Times New Roman"/>
      </w:rPr>
      <w:lvlText w:val="%2."/>
    </w:lvl>
    <w:lvl w:ilvl="2">
      <w:lvlJc w:val="left"/>
      <w:numFmt w:val="decimal"/>
      <w:start w:val="1"/>
      <w:suff w:val="tab"/>
      <w:pPr>
        <w:ind w:left="4132" w:hanging="360"/>
        <w:tabs>
          <w:tab w:val="left" w:pos="4132"/>
        </w:tabs>
        <w:rPr/>
      </w:pPr>
      <w:rPr>
        <w:rFonts w:cs="Times New Roman"/>
      </w:rPr>
      <w:lvlText w:val="%3."/>
    </w:lvl>
    <w:lvl w:ilvl="3">
      <w:lvlJc w:val="left"/>
      <w:numFmt w:val="decimal"/>
      <w:start w:val="1"/>
      <w:suff w:val="tab"/>
      <w:pPr>
        <w:ind w:left="4852" w:hanging="360"/>
        <w:tabs>
          <w:tab w:val="left" w:pos="4852"/>
        </w:tabs>
        <w:rPr/>
      </w:pPr>
      <w:rPr>
        <w:rFonts w:cs="Times New Roman"/>
      </w:rPr>
      <w:lvlText w:val="%4."/>
    </w:lvl>
    <w:lvl w:ilvl="4">
      <w:lvlJc w:val="left"/>
      <w:numFmt w:val="decimal"/>
      <w:start w:val="1"/>
      <w:suff w:val="tab"/>
      <w:pPr>
        <w:ind w:left="5572" w:hanging="360"/>
        <w:tabs>
          <w:tab w:val="left" w:pos="5572"/>
        </w:tabs>
        <w:rPr/>
      </w:pPr>
      <w:rPr>
        <w:rFonts w:cs="Times New Roman"/>
      </w:rPr>
      <w:lvlText w:val="%5."/>
    </w:lvl>
    <w:lvl w:ilvl="5">
      <w:lvlJc w:val="left"/>
      <w:numFmt w:val="decimal"/>
      <w:start w:val="1"/>
      <w:suff w:val="tab"/>
      <w:pPr>
        <w:ind w:left="6292" w:hanging="360"/>
        <w:tabs>
          <w:tab w:val="left" w:pos="6292"/>
        </w:tabs>
        <w:rPr/>
      </w:pPr>
      <w:rPr>
        <w:rFonts w:cs="Times New Roman"/>
      </w:rPr>
      <w:lvlText w:val="%6."/>
    </w:lvl>
    <w:lvl w:ilvl="6">
      <w:lvlJc w:val="left"/>
      <w:numFmt w:val="decimal"/>
      <w:start w:val="1"/>
      <w:suff w:val="tab"/>
      <w:pPr>
        <w:ind w:left="7012" w:hanging="360"/>
        <w:tabs>
          <w:tab w:val="left" w:pos="7012"/>
        </w:tabs>
        <w:rPr/>
      </w:pPr>
      <w:rPr>
        <w:rFonts w:cs="Times New Roman"/>
      </w:rPr>
      <w:lvlText w:val="%7."/>
    </w:lvl>
    <w:lvl w:ilvl="7">
      <w:lvlJc w:val="left"/>
      <w:numFmt w:val="decimal"/>
      <w:start w:val="1"/>
      <w:suff w:val="tab"/>
      <w:pPr>
        <w:ind w:left="7732" w:hanging="360"/>
        <w:tabs>
          <w:tab w:val="left" w:pos="7732"/>
        </w:tabs>
        <w:rPr/>
      </w:pPr>
      <w:rPr>
        <w:rFonts w:cs="Times New Roman"/>
      </w:rPr>
      <w:lvlText w:val="%8."/>
    </w:lvl>
    <w:lvl w:ilvl="8">
      <w:lvlJc w:val="left"/>
      <w:numFmt w:val="decimal"/>
      <w:start w:val="1"/>
      <w:suff w:val="tab"/>
      <w:pPr>
        <w:ind w:left="8452" w:hanging="360"/>
        <w:tabs>
          <w:tab w:val="left" w:pos="8452"/>
        </w:tabs>
        <w:rPr/>
      </w:pPr>
      <w:rPr>
        <w:rFonts w:cs="Times New Roman"/>
      </w:rPr>
      <w:lvlText w:val="%9."/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avePreviewPicture/>
  <w:proofState w:spelling="clean" w:grammar="clean"/>
  <w:defaultTabStop w:val="708"/>
  <w:displayHorizontalDrawingGridEvery w:val="0"/>
  <w:displayVerticalDrawingGridEvery w:val="2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5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docDefaults>
    <w:pPrDefault>
      <w:pPr>
        <w:spacing w:lineRule="auto" w:line="259" w:after="160"/>
        <w:rPr/>
      </w:pPr>
    </w:pPrDefault>
    <w:rPrDefault>
      <w:rPr>
        <w:sz w:val="22"/>
        <w:szCs w:val="22"/>
        <w:rFonts w:asciiTheme="minorHAnsi" w:eastAsiaTheme="minorHAnsi" w:hAnsiTheme="minorHAnsi" w:cstheme="minorBidi"/>
        <w:lang w:bidi="ar-SA" w:eastAsia="en-US" w:val="sk-SK"/>
      </w:rPr>
    </w:rPrDefault>
  </w:docDefaults>
  <w:style w:default="1" w:styleId="PO1" w:type="paragraph">
    <w:name w:val="Normal"/>
    <w:qFormat/>
    <w:uiPriority w:val="1"/>
    <w:pPr>
      <w:spacing w:lineRule="auto" w:line="275" w:after="200"/>
      <w:rPr/>
    </w:pPr>
    <w:rPr>
      <w:rFonts w:eastAsia="Times New Roman" w:cs="Times New Roman"/>
    </w:rPr>
  </w:style>
  <w:style w:default="1" w:styleId="PO2" w:type="character">
    <w:name w:val="Default Paragraph Font"/>
    <w:uiPriority w:val="2"/>
    <w:semiHidden/>
    <w:unhideWhenUsed/>
  </w:style>
  <w:style w:default="1" w:styleId="PO3" w:type="table">
    <w:name w:val="Normal Table"/>
    <w:uiPriority w:val="3"/>
    <w:semiHidden/>
    <w:unhideWhenUsed/>
    <w:tblPr>
      <w:tblCellMar>
        <w:bottom w:type="dxa" w:w="0"/>
        <w:left w:type="dxa" w:w="108"/>
        <w:right w:type="dxa" w:w="108"/>
        <w:top w:type="dxa" w:w="0"/>
      </w:tblCellMar>
      <w:tblInd w:type="dxa" w:w="0"/>
    </w:tblPr>
  </w:style>
  <w:style w:default="1" w:styleId="PO4" w:type="numbering">
    <w:name w:val="No List"/>
    <w:uiPriority w:val="4"/>
    <w:semiHidden/>
    <w:unhideWhenUsed/>
  </w:style>
  <w:style w:styleId="PO7" w:type="paragraph">
    <w:name w:val="heading 1"/>
    <w:basedOn w:val="PO1"/>
    <w:next w:val="PO1"/>
    <w:link w:val="PO151"/>
    <w:qFormat/>
    <w:uiPriority w:val="7"/>
    <w:pPr>
      <w:spacing w:before="480" w:after="0"/>
      <w:rPr/>
      <w:outlineLvl w:val="0"/>
    </w:pPr>
    <w:rPr>
      <w:b w:val="1"/>
      <w:color w:val="2F5496" w:themeColor="accent1" w:themeShade="BF"/>
      <w:sz w:val="28"/>
      <w:szCs w:val="28"/>
      <w:rFonts w:asciiTheme="majorHAnsi" w:eastAsiaTheme="majorEastAsia" w:hAnsiTheme="majorHAnsi"/>
    </w:rPr>
  </w:style>
  <w:style w:styleId="PO26" w:type="paragraph">
    <w:name w:val="List Paragraph"/>
    <w:basedOn w:val="PO1"/>
    <w:qFormat/>
    <w:uiPriority w:val="26"/>
    <w:pPr>
      <w:contextualSpacing w:val="1"/>
      <w:ind w:left="720" w:firstLine="0"/>
      <w:rPr/>
    </w:pPr>
  </w:style>
  <w:style w:styleId="PO37" w:type="table">
    <w:name w:val="Table Grid"/>
    <w:basedOn w:val="PO3"/>
    <w:uiPriority w:val="37"/>
    <w:pPr>
      <w:spacing w:lineRule="auto" w:line="240" w:after="0"/>
      <w:rPr/>
    </w:pPr>
    <w:tblPr>
      <w:tblBorders>
        <w:bottom w:val="single" w:color="auto" w:sz="4"/>
        <w:insideH w:val="single" w:color="auto" w:sz="4"/>
        <w:insideV w:val="single" w:color="auto" w:sz="4"/>
        <w:left w:val="single" w:color="auto" w:sz="4"/>
        <w:right w:val="single" w:color="auto" w:sz="4"/>
        <w:top w:val="single" w:color="auto" w:sz="4"/>
      </w:tblBorders>
    </w:tblPr>
  </w:style>
  <w:style w:customStyle="1" w:styleId="PO151" w:type="character">
    <w:name w:val="Nadpis 1 Char"/>
    <w:basedOn w:val="PO2"/>
    <w:link w:val="PO7"/>
    <w:uiPriority w:val="151"/>
    <w:rPr>
      <w:b w:val="1"/>
      <w:color w:val="2F5496" w:themeColor="accent1" w:themeShade="BF"/>
      <w:sz w:val="28"/>
      <w:szCs w:val="28"/>
      <w:rFonts w:cs="Times New Roman" w:asciiTheme="majorHAnsi" w:eastAsiaTheme="majorEastAsia" w:hAnsiTheme="majorHAnsi"/>
    </w:rPr>
  </w:style>
  <w:style w:styleId="PO152" w:type="paragraph">
    <w:name w:val="Normal (Web)"/>
    <w:basedOn w:val="PO1"/>
    <w:uiPriority w:val="152"/>
    <w:semiHidden/>
    <w:unhideWhenUsed/>
    <w:pPr>
      <w:spacing w:lineRule="auto" w:line="240" w:before="100" w:beforeAutospacing="1" w:afterAutospacing="1" w:after="100"/>
      <w:rPr/>
    </w:pPr>
    <w:rPr>
      <w:sz w:val="24"/>
      <w:szCs w:val="24"/>
      <w:rFonts w:ascii="Times New Roman" w:hAnsi="Times New Roman"/>
      <w:lang w:eastAsia="sk-SK"/>
    </w:rPr>
  </w:style>
  <w:style w:styleId="PO153" w:type="paragraph">
    <w:name w:val="Body Text"/>
    <w:basedOn w:val="PO1"/>
    <w:link w:val="PO154"/>
    <w:uiPriority w:val="153"/>
    <w:unhideWhenUsed/>
    <w:pPr>
      <w:jc w:val="center"/>
      <w:spacing w:lineRule="auto" w:line="240" w:after="0"/>
      <w:tabs>
        <w:tab w:val="left" w:pos="851"/>
      </w:tabs>
      <w:rPr/>
    </w:pPr>
    <w:rPr>
      <w:sz w:val="24"/>
      <w:szCs w:val="24"/>
      <w:rFonts w:ascii="Times New Roman" w:hAnsi="Times New Roman"/>
      <w:lang w:eastAsia="sk-SK"/>
    </w:rPr>
  </w:style>
  <w:style w:customStyle="1" w:styleId="PO154" w:type="character">
    <w:name w:val="Základný text Char"/>
    <w:basedOn w:val="PO2"/>
    <w:link w:val="PO153"/>
    <w:uiPriority w:val="154"/>
    <w:rPr>
      <w:sz w:val="24"/>
      <w:szCs w:val="24"/>
      <w:rFonts w:ascii="Times New Roman" w:eastAsia="Times New Roman" w:hAnsi="Times New Roman" w:cs="Times New Roman"/>
      <w:lang w:eastAsia="sk-SK"/>
    </w:rPr>
  </w:style>
  <w:style w:customStyle="1" w:styleId="PO155" w:type="paragraph">
    <w:name w:val="Zakladny styl"/>
    <w:uiPriority w:val="155"/>
    <w:pPr>
      <w:spacing w:lineRule="auto" w:line="240" w:after="0"/>
      <w:rPr/>
      <w:autoSpaceDE w:val="0"/>
      <w:autoSpaceDN w:val="0"/>
    </w:pPr>
    <w:rPr>
      <w:sz w:val="24"/>
      <w:szCs w:val="24"/>
      <w:rFonts w:ascii="Times New Roman" w:eastAsia="Times New Roman" w:hAnsi="Times New Roman" w:cs="Times New Roman"/>
      <w:lang w:eastAsia="sk-SK"/>
    </w:rPr>
  </w:style>
  <w:style w:styleId="PO156" w:type="character">
    <w:name w:val="annotation reference"/>
    <w:basedOn w:val="PO2"/>
    <w:uiPriority w:val="156"/>
    <w:semiHidden/>
    <w:unhideWhenUsed/>
    <w:rPr>
      <w:sz w:val="16"/>
      <w:szCs w:val="16"/>
    </w:rPr>
  </w:style>
  <w:style w:styleId="PO157" w:type="paragraph">
    <w:name w:val="annotation text"/>
    <w:basedOn w:val="PO1"/>
    <w:link w:val="PO158"/>
    <w:uiPriority w:val="157"/>
    <w:semiHidden/>
    <w:unhideWhenUsed/>
    <w:pPr>
      <w:spacing w:lineRule="auto" w:line="240"/>
      <w:rPr/>
    </w:pPr>
    <w:rPr>
      <w:sz w:val="20"/>
      <w:szCs w:val="20"/>
    </w:rPr>
  </w:style>
  <w:style w:customStyle="1" w:styleId="PO158" w:type="character">
    <w:name w:val="Text komentára Char"/>
    <w:basedOn w:val="PO2"/>
    <w:link w:val="PO157"/>
    <w:uiPriority w:val="158"/>
    <w:semiHidden/>
    <w:rPr>
      <w:sz w:val="20"/>
      <w:szCs w:val="20"/>
      <w:rFonts w:eastAsia="Times New Roman" w:cs="Times New Roman"/>
    </w:rPr>
  </w:style>
  <w:style w:styleId="PO159" w:type="paragraph">
    <w:name w:val="annotation subject"/>
    <w:basedOn w:val="PO157"/>
    <w:next w:val="PO157"/>
    <w:link w:val="PO160"/>
    <w:uiPriority w:val="159"/>
    <w:semiHidden/>
    <w:unhideWhenUsed/>
    <w:rPr>
      <w:b w:val="1"/>
    </w:rPr>
  </w:style>
  <w:style w:customStyle="1" w:styleId="PO160" w:type="character">
    <w:name w:val="Predmet komentára Char"/>
    <w:basedOn w:val="PO158"/>
    <w:link w:val="PO159"/>
    <w:uiPriority w:val="160"/>
    <w:semiHidden/>
    <w:rPr>
      <w:b w:val="1"/>
      <w:sz w:val="20"/>
      <w:szCs w:val="20"/>
      <w:rFonts w:eastAsia="Times New Roman" w:cs="Times New Roman"/>
    </w:rPr>
  </w:style>
  <w:style w:styleId="PO161" w:type="paragraph">
    <w:name w:val="Balloon Text"/>
    <w:basedOn w:val="PO1"/>
    <w:link w:val="PO162"/>
    <w:uiPriority w:val="161"/>
    <w:semiHidden/>
    <w:unhideWhenUsed/>
    <w:pPr>
      <w:spacing w:lineRule="auto" w:line="240" w:after="0"/>
      <w:rPr/>
    </w:pPr>
    <w:rPr>
      <w:sz w:val="18"/>
      <w:szCs w:val="18"/>
      <w:rFonts w:ascii="Segoe UI" w:hAnsi="Segoe UI" w:cs="Segoe UI"/>
    </w:rPr>
  </w:style>
  <w:style w:customStyle="1" w:styleId="PO162" w:type="character">
    <w:name w:val="Text bubliny Char"/>
    <w:basedOn w:val="PO2"/>
    <w:link w:val="PO161"/>
    <w:uiPriority w:val="162"/>
    <w:semiHidden/>
    <w:rPr>
      <w:sz w:val="18"/>
      <w:szCs w:val="18"/>
      <w:rFonts w:ascii="Segoe UI" w:eastAsia="Times New Roman" w:hAnsi="Segoe UI" w:cs="Segoe U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Relationship Id="rId5" Type="http://schemas.openxmlformats.org/officeDocument/2006/relationships/customXml" Target="../customXml/item1.xml"></Relationship><Relationship Id="rId6" Type="http://schemas.openxmlformats.org/officeDocument/2006/relationships/image" Target="media/image1.png"></Relationship><Relationship Id="rId7" Type="http://schemas.openxmlformats.org/officeDocument/2006/relationships/oleObject" Target="embeddings/oleObject1.bin"></Relationship><Relationship Id="rId8" Type="http://schemas.openxmlformats.org/officeDocument/2006/relationships/numbering" Target="numbering.xml"></Relationship><Relationship Id="rId9" Type="http://schemas.openxmlformats.org/officeDocument/2006/relationships/theme" Target="theme/theme1.xml"></Relationship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56150-28F6-49AF-BF8C-8DE1FCBE7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1321</Characters>
  <CharactersWithSpaces>0</CharactersWithSpaces>
  <DocSecurity>0</DocSecurity>
  <HyperlinksChanged>false</HyperlinksChanged>
  <Lines>9</Lines>
  <LinksUpToDate>false</LinksUpToDate>
  <Pages>2</Pages>
  <Paragraphs>2</Paragraphs>
  <Words>197</Words>
  <TotalTime>0</TotalTime>
  <MMClips>0</MMClips>
  <ScaleCrop>false</ScaleCrop>
  <HeadingPairs>
    <vt:vector size="2" baseType="variant">
      <vt:variant>
        <vt:lpstr>f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MM</dc:creator>
  <cp:lastModifiedBy>Polaris Office</cp:lastModifiedBy>
  <dcterms:modified xsi:type="dcterms:W3CDTF">2021-01-05T15:06:00Z</dcterms:modified>
</cp:coreProperties>
</file>