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915" w:rsidRPr="004D2915" w:rsidRDefault="004D2915" w:rsidP="004D2915">
      <w:pPr>
        <w:spacing w:after="0" w:line="240" w:lineRule="auto"/>
        <w:ind w:left="-1134" w:right="-1134"/>
        <w:jc w:val="center"/>
        <w:rPr>
          <w:rFonts w:ascii="Times New Roman" w:eastAsia="Times New Roman" w:hAnsi="Times New Roman" w:cs="Times New Roman"/>
          <w:b/>
          <w:sz w:val="24"/>
          <w:szCs w:val="24"/>
        </w:rPr>
      </w:pPr>
      <w:r w:rsidRPr="004D2915">
        <w:rPr>
          <w:rFonts w:ascii="Times New Roman" w:eastAsia="Times New Roman" w:hAnsi="Times New Roman" w:cs="Times New Roman"/>
          <w:b/>
          <w:sz w:val="24"/>
          <w:szCs w:val="24"/>
        </w:rPr>
        <w:t xml:space="preserve">PRÍLOHA I. – Závery, ktoré prijala Európska rada </w:t>
      </w:r>
    </w:p>
    <w:p w:rsidR="004D2915" w:rsidRPr="004D2915" w:rsidRDefault="004D2915" w:rsidP="004D2915">
      <w:pPr>
        <w:spacing w:after="0" w:line="240" w:lineRule="auto"/>
        <w:ind w:left="-1134" w:right="-1134"/>
        <w:jc w:val="center"/>
        <w:rPr>
          <w:rFonts w:ascii="Times New Roman" w:eastAsia="Times New Roman" w:hAnsi="Times New Roman" w:cs="Times New Roman"/>
          <w:b/>
          <w:sz w:val="24"/>
          <w:szCs w:val="24"/>
        </w:rPr>
      </w:pPr>
      <w:r w:rsidRPr="004D2915">
        <w:rPr>
          <w:rFonts w:ascii="Times New Roman" w:eastAsia="Times New Roman" w:hAnsi="Times New Roman" w:cs="Times New Roman"/>
          <w:b/>
          <w:sz w:val="24"/>
          <w:szCs w:val="24"/>
        </w:rPr>
        <w:t>na zasadnutí 17.-18. marca 2016</w:t>
      </w:r>
    </w:p>
    <w:p w:rsidR="004D2915" w:rsidRPr="004D2915" w:rsidRDefault="004D2915" w:rsidP="004D2915">
      <w:pPr>
        <w:spacing w:after="240" w:line="240" w:lineRule="auto"/>
        <w:ind w:left="-1134" w:right="-1134"/>
        <w:jc w:val="center"/>
        <w:rPr>
          <w:rFonts w:ascii="Times New Roman" w:eastAsia="Times New Roman" w:hAnsi="Times New Roman" w:cs="Times New Roman"/>
          <w:sz w:val="24"/>
          <w:szCs w:val="24"/>
        </w:rPr>
      </w:pPr>
    </w:p>
    <w:p w:rsidR="004D2915" w:rsidRPr="004D2915" w:rsidRDefault="004D2915" w:rsidP="004D2915">
      <w:pPr>
        <w:spacing w:after="240" w:line="240" w:lineRule="auto"/>
        <w:ind w:left="-1134" w:right="-1134"/>
        <w:jc w:val="center"/>
        <w:rPr>
          <w:rFonts w:ascii="Times New Roman" w:eastAsia="Times New Roman" w:hAnsi="Times New Roman" w:cs="Times New Roman"/>
          <w:sz w:val="24"/>
          <w:szCs w:val="24"/>
        </w:rPr>
      </w:pPr>
      <w:bookmarkStart w:id="0" w:name="DW_BM_COVERPAGE"/>
      <w:r>
        <w:rPr>
          <w:rFonts w:ascii="Times New Roman" w:eastAsia="Times New Roman" w:hAnsi="Times New Roman" w:cs="Times New Roman"/>
          <w:noProof/>
          <w:sz w:val="24"/>
          <w:szCs w:val="24"/>
          <w:lang w:eastAsia="sk-SK"/>
        </w:rPr>
        <w:drawing>
          <wp:inline distT="0" distB="0" distL="0" distR="0">
            <wp:extent cx="6114415" cy="3670935"/>
            <wp:effectExtent l="0" t="0" r="0" b="5715"/>
            <wp:docPr id="4" name="Obrázok 4" descr="af0d367f-811e-47d6-9dbf-ec523d04e6fb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f0d367f-811e-47d6-9dbf-ec523d04e6fb_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4415" cy="3670935"/>
                    </a:xfrm>
                    <a:prstGeom prst="rect">
                      <a:avLst/>
                    </a:prstGeom>
                    <a:noFill/>
                    <a:ln>
                      <a:noFill/>
                    </a:ln>
                  </pic:spPr>
                </pic:pic>
              </a:graphicData>
            </a:graphic>
          </wp:inline>
        </w:drawing>
      </w:r>
      <w:bookmarkEnd w:id="0"/>
    </w:p>
    <w:p w:rsidR="004D2915" w:rsidRPr="004D2915" w:rsidRDefault="004D2915" w:rsidP="004D2915">
      <w:pPr>
        <w:spacing w:after="0" w:line="240" w:lineRule="auto"/>
        <w:rPr>
          <w:rFonts w:ascii="Times New Roman" w:eastAsia="Times New Roman" w:hAnsi="Times New Roman" w:cs="Times New Roman"/>
          <w:sz w:val="24"/>
          <w:szCs w:val="24"/>
          <w:lang w:eastAsia="sk-SK"/>
        </w:rPr>
      </w:pPr>
      <w:bookmarkStart w:id="1" w:name="TBDW_b88d21e22ea84f6585be979201678e36"/>
      <w:r w:rsidRPr="004D2915">
        <w:rPr>
          <w:rFonts w:ascii="Times New Roman" w:eastAsia="Times New Roman" w:hAnsi="Times New Roman" w:cs="Times New Roman"/>
          <w:sz w:val="24"/>
          <w:szCs w:val="24"/>
          <w:lang w:eastAsia="sk-SK"/>
        </w:rPr>
        <w:t>Delegáciám v prílohe zasielame závery, ktoré prijala Európska rada na uvedenom zasadnutí.</w:t>
      </w:r>
      <w:bookmarkEnd w:id="1"/>
    </w:p>
    <w:p w:rsidR="004D2915" w:rsidRPr="004D2915" w:rsidRDefault="004D2915" w:rsidP="004D2915">
      <w:pPr>
        <w:pBdr>
          <w:bottom w:val="single" w:sz="4" w:space="0" w:color="000000"/>
        </w:pBdr>
        <w:spacing w:before="360" w:after="120" w:line="360" w:lineRule="auto"/>
        <w:ind w:left="3400" w:right="3400"/>
        <w:jc w:val="center"/>
        <w:rPr>
          <w:rFonts w:ascii="Times New Roman" w:eastAsia="Times New Roman" w:hAnsi="Times New Roman" w:cs="Times New Roman"/>
          <w:b/>
          <w:sz w:val="24"/>
          <w:szCs w:val="24"/>
        </w:rPr>
      </w:pPr>
    </w:p>
    <w:p w:rsidR="004D2915" w:rsidRPr="004D2915" w:rsidRDefault="004D2915" w:rsidP="004D2915">
      <w:pPr>
        <w:spacing w:after="0" w:line="240" w:lineRule="auto"/>
        <w:rPr>
          <w:rFonts w:ascii="Times New Roman" w:eastAsia="Times New Roman" w:hAnsi="Times New Roman" w:cs="Times New Roman"/>
          <w:sz w:val="24"/>
          <w:szCs w:val="24"/>
          <w:lang w:eastAsia="sk-SK"/>
        </w:rPr>
        <w:sectPr w:rsidR="004D2915" w:rsidRPr="004D2915" w:rsidSect="00365F01">
          <w:headerReference w:type="even" r:id="rId10"/>
          <w:headerReference w:type="default" r:id="rId11"/>
          <w:footerReference w:type="even" r:id="rId12"/>
          <w:footerReference w:type="default" r:id="rId13"/>
          <w:headerReference w:type="first" r:id="rId14"/>
          <w:footerReference w:type="first" r:id="rId15"/>
          <w:pgSz w:w="11907" w:h="16840" w:code="9"/>
          <w:pgMar w:top="624" w:right="1134" w:bottom="1134" w:left="1134" w:header="567" w:footer="567" w:gutter="0"/>
          <w:pgNumType w:start="1"/>
          <w:cols w:space="708"/>
          <w:titlePg/>
          <w:docGrid w:linePitch="360"/>
        </w:sectPr>
      </w:pPr>
    </w:p>
    <w:p w:rsidR="004D2915" w:rsidRPr="004D2915" w:rsidRDefault="004D2915" w:rsidP="004D2915">
      <w:pPr>
        <w:tabs>
          <w:tab w:val="left" w:pos="720"/>
        </w:tabs>
        <w:spacing w:before="360" w:after="240" w:line="360" w:lineRule="auto"/>
        <w:outlineLvl w:val="0"/>
        <w:rPr>
          <w:rFonts w:ascii="Times New Roman" w:eastAsia="Times New Roman" w:hAnsi="Times New Roman" w:cs="Times New Roman"/>
          <w:b/>
          <w:bCs/>
          <w:caps/>
          <w:sz w:val="24"/>
          <w:szCs w:val="24"/>
          <w:u w:val="single"/>
          <w:lang w:val="en-GB"/>
        </w:rPr>
      </w:pPr>
      <w:r w:rsidRPr="004D2915">
        <w:rPr>
          <w:rFonts w:ascii="Times New Roman" w:eastAsia="Times New Roman" w:hAnsi="Times New Roman" w:cs="Times New Roman"/>
          <w:b/>
          <w:caps/>
          <w:sz w:val="24"/>
          <w:szCs w:val="24"/>
          <w:lang w:val="en-GB"/>
        </w:rPr>
        <w:lastRenderedPageBreak/>
        <w:t>I.</w:t>
      </w:r>
      <w:r w:rsidRPr="004D2915">
        <w:rPr>
          <w:rFonts w:ascii="Times New Roman" w:eastAsia="Times New Roman" w:hAnsi="Times New Roman" w:cs="Times New Roman"/>
          <w:b/>
          <w:caps/>
          <w:sz w:val="24"/>
          <w:szCs w:val="24"/>
          <w:lang w:val="en-GB"/>
        </w:rPr>
        <w:tab/>
      </w:r>
      <w:r w:rsidRPr="004D2915">
        <w:rPr>
          <w:rFonts w:ascii="Times New Roman" w:eastAsia="Times New Roman" w:hAnsi="Times New Roman" w:cs="Times New Roman"/>
          <w:b/>
          <w:caps/>
          <w:sz w:val="24"/>
          <w:szCs w:val="24"/>
          <w:u w:val="single"/>
          <w:lang w:val="en-GB"/>
        </w:rPr>
        <w:t>MIGRÁCIA</w:t>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Európska rada potvrdzuje svoju komplexnú stratégiu na riešenie migračnej krízy. Niekoľko prvkov našej spoločnej európskej reakcie už funguje a prináša výsledky. V práci na ďalších prvkoch sa usilovne pokračuje, aby ich bolo možné vykonávať čo najskôr. Prioritou bude i naďalej opätovné získanie kontroly nad našimi vonkajšími hranicami.</w:t>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Na základe rozhodnutia hláv štátov alebo predsedov vlád zo 7. marca a v súvislosti so spoločným akčným plánom s Tureckom a jeho rozšírením, Európska rada vyzýva na:</w:t>
      </w:r>
    </w:p>
    <w:p w:rsidR="004D2915" w:rsidRPr="004D2915" w:rsidRDefault="004D2915" w:rsidP="004D2915">
      <w:pPr>
        <w:numPr>
          <w:ilvl w:val="1"/>
          <w:numId w:val="2"/>
        </w:numPr>
        <w:spacing w:before="120" w:after="0" w:line="360" w:lineRule="auto"/>
        <w:ind w:left="851" w:hanging="284"/>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 xml:space="preserve">ďalšiu prácu na </w:t>
      </w:r>
      <w:proofErr w:type="spellStart"/>
      <w:r w:rsidRPr="004D2915">
        <w:rPr>
          <w:rFonts w:ascii="Times New Roman" w:eastAsia="Times New Roman" w:hAnsi="Times New Roman" w:cs="Times New Roman"/>
          <w:sz w:val="24"/>
          <w:szCs w:val="24"/>
          <w:lang w:eastAsia="sk-SK"/>
        </w:rPr>
        <w:t>hotspotoch</w:t>
      </w:r>
      <w:proofErr w:type="spellEnd"/>
      <w:r w:rsidRPr="004D2915">
        <w:rPr>
          <w:rFonts w:ascii="Times New Roman" w:eastAsia="Times New Roman" w:hAnsi="Times New Roman" w:cs="Times New Roman"/>
          <w:sz w:val="24"/>
          <w:szCs w:val="24"/>
          <w:lang w:eastAsia="sk-SK"/>
        </w:rPr>
        <w:t xml:space="preserve">; dosiahol sa veľký pokrok v tom, aby boli všetky </w:t>
      </w:r>
      <w:proofErr w:type="spellStart"/>
      <w:r w:rsidRPr="004D2915">
        <w:rPr>
          <w:rFonts w:ascii="Times New Roman" w:eastAsia="Times New Roman" w:hAnsi="Times New Roman" w:cs="Times New Roman"/>
          <w:sz w:val="24"/>
          <w:szCs w:val="24"/>
          <w:lang w:eastAsia="sk-SK"/>
        </w:rPr>
        <w:t>hotspoty</w:t>
      </w:r>
      <w:proofErr w:type="spellEnd"/>
      <w:r w:rsidRPr="004D2915">
        <w:rPr>
          <w:rFonts w:ascii="Times New Roman" w:eastAsia="Times New Roman" w:hAnsi="Times New Roman" w:cs="Times New Roman"/>
          <w:sz w:val="24"/>
          <w:szCs w:val="24"/>
          <w:lang w:eastAsia="sk-SK"/>
        </w:rPr>
        <w:t xml:space="preserve"> plne funkčné a aby sa zvýšili prijímacie kapacity. V tomto úsilí by sa malo pokračovať za plnej pomoci zo strany EÚ vrátane podpory pre grécke azylové štruktúry;</w:t>
      </w:r>
    </w:p>
    <w:p w:rsidR="004D2915" w:rsidRPr="004D2915" w:rsidRDefault="004D2915" w:rsidP="004D2915">
      <w:pPr>
        <w:numPr>
          <w:ilvl w:val="1"/>
          <w:numId w:val="2"/>
        </w:numPr>
        <w:spacing w:before="120" w:after="0" w:line="360" w:lineRule="auto"/>
        <w:ind w:left="851" w:hanging="284"/>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využitie všetkých prostriedkov na podporu kapacity Grécka na navracanie neregulárnych migrantov do Turecka v kontexte grécko-tureckého protokolu o readmisii a dohody medzi EÚ a Tureckom o readmisii od 1. júna 2016. Členské štáty vyjadrujú svoju ochotu poskytnúť Grécku v krátkom čase potrebné prostriedky vrátane pohraničnej stráže, odborníkov v oblasti azylu a tlmočníkov. Európska rada žiada Komisiu, aby koordinovala všetku potrebnú podporu Grécku na účely vykonávania vyhlásenia EÚ a Turecka v plnom rozsahu a aby vypracovala operačný plán. Komisia bude spolu s členskými štátmi a agentúrami koordinovať a organizovať štruktúry nevyhnutné na podporu jeho účinného vykonávania. Komisia bude Rade pravidelne podávať správu o jeho vykonávaní;</w:t>
      </w:r>
    </w:p>
    <w:p w:rsidR="004D2915" w:rsidRPr="004D2915" w:rsidRDefault="004D2915" w:rsidP="004D2915">
      <w:pPr>
        <w:spacing w:after="0" w:line="240" w:lineRule="auto"/>
        <w:ind w:left="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br w:type="page"/>
      </w:r>
    </w:p>
    <w:p w:rsidR="004D2915" w:rsidRPr="004D2915" w:rsidRDefault="004D2915" w:rsidP="004D2915">
      <w:pPr>
        <w:numPr>
          <w:ilvl w:val="1"/>
          <w:numId w:val="2"/>
        </w:numPr>
        <w:spacing w:before="120" w:after="0" w:line="360" w:lineRule="auto"/>
        <w:ind w:left="851" w:hanging="284"/>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lastRenderedPageBreak/>
        <w:t>poskytnutie núdzovej podpory s cieľom pomôcť Grécku zvládať humanitárnu situáciu. Rýchle prijatie nariadenia o núdzovej podpore je v tomto smere dôležitým krokom. Návrh opravného rozpočtu, ktorý predložila Komisia, by sa mal bezodkladne prijať. Členské štáty sa vyzývajú, aby bezodkladne poskytli ďalšie príspevky v rámci mechanizmu v oblasti civilnej ochrany, ako aj k tomu, aby poskytli bilaterálnu humanitárnu pomoc;</w:t>
      </w:r>
    </w:p>
    <w:p w:rsidR="004D2915" w:rsidRPr="004D2915" w:rsidRDefault="004D2915" w:rsidP="004D2915">
      <w:pPr>
        <w:numPr>
          <w:ilvl w:val="1"/>
          <w:numId w:val="2"/>
        </w:numPr>
        <w:spacing w:before="120" w:after="0" w:line="360" w:lineRule="auto"/>
        <w:ind w:left="851" w:hanging="284"/>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urýchlené premiestňovanie z Grécka, ktorého súčasťou je aj vykonávanie potrebných bezpečnostných preverovaní; keďže počet žiadostí teraz prekračuje počet ponúknutých miest, ako to vyplýva zo správy Komisie zo 16. marca, členské štáty by mali pohotovo ponúknuť viac miest v súlade s existujúcimi záväzkami.</w:t>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 xml:space="preserve">Európska rada berie na vedomie oznámenie Komisie s názvom Ďalšie operatívne kroky v spolupráci EÚ a Turecka v oblasti migrácie, predovšetkým postup, akým sa žiadosť o azyl migranta prichádzajúceho z Turecka do Grécka môže </w:t>
      </w:r>
      <w:r w:rsidRPr="004D2915">
        <w:rPr>
          <w:rFonts w:ascii="Times New Roman" w:eastAsia="Times New Roman" w:hAnsi="Times New Roman" w:cs="Times New Roman"/>
          <w:color w:val="000000"/>
          <w:sz w:val="24"/>
          <w:szCs w:val="24"/>
          <w:lang w:eastAsia="sk-SK"/>
        </w:rPr>
        <w:t>v súlade s európskym a medzinárodným právom</w:t>
      </w:r>
      <w:r w:rsidRPr="004D2915">
        <w:rPr>
          <w:rFonts w:ascii="Times New Roman" w:eastAsia="Times New Roman" w:hAnsi="Times New Roman" w:cs="Times New Roman"/>
          <w:sz w:val="24"/>
          <w:szCs w:val="24"/>
          <w:lang w:eastAsia="sk-SK"/>
        </w:rPr>
        <w:t xml:space="preserve"> vyhlásiť za neprípustnú na základe koncepcie </w:t>
      </w:r>
      <w:r w:rsidRPr="004D2915">
        <w:rPr>
          <w:rFonts w:ascii="Times New Roman" w:eastAsia="Times New Roman" w:hAnsi="Times New Roman" w:cs="Times New Roman"/>
          <w:color w:val="000000"/>
          <w:sz w:val="24"/>
          <w:szCs w:val="24"/>
          <w:lang w:eastAsia="sk-SK"/>
        </w:rPr>
        <w:t xml:space="preserve">„prvej krajiny azylu“ alebo „bezpečnej tretej krajiny“. </w:t>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Európska rada opätovne zdôrazňuje, že vyhlásením EÚ a Turecka sa pre členské štáty nestanovujú žiadne nové záväzky, pokiaľ ide o premiestnenie a presídlenie.</w:t>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color w:val="000000"/>
          <w:sz w:val="24"/>
          <w:szCs w:val="24"/>
          <w:lang w:eastAsia="sk-SK"/>
        </w:rPr>
        <w:t>EÚ opätovne potvrdzuje, že očakáva, že Turecko bude dodržiavať najvyššie štandardy, pokiaľ ide o demokraciu, zásady právneho štátu, dodržiavanie základných slobôd vrátane slobody prejavu.</w:t>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color w:val="000000"/>
          <w:sz w:val="24"/>
          <w:szCs w:val="24"/>
          <w:lang w:eastAsia="sk-SK"/>
        </w:rPr>
        <w:t>Európska rada opätovne potvrdzuje svoju podporu Jordánsku a Libanonu. Vyzýva na urýchlenú úhradu prisľúbených finančných prostriedkov a finalizáciu dohôd s EÚ s cieľom zvýšiť podporu pre utečencov a hostiteľské komunity v oboch krajinách.</w:t>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color w:val="000000"/>
          <w:sz w:val="24"/>
          <w:szCs w:val="24"/>
          <w:lang w:eastAsia="sk-SK"/>
        </w:rPr>
        <w:t>Európska rada vyzýva na posilnenie spolupráce s krajinami západného Balkánu pri riešení migračnej krízy a na prispievanie k cieľom Európskej rady.</w:t>
      </w:r>
    </w:p>
    <w:p w:rsidR="004D2915" w:rsidRPr="004D2915" w:rsidRDefault="004D2915" w:rsidP="004D2915">
      <w:pPr>
        <w:spacing w:after="0" w:line="240" w:lineRule="auto"/>
        <w:rPr>
          <w:rFonts w:ascii="Times New Roman" w:eastAsia="Times New Roman" w:hAnsi="Times New Roman" w:cs="Times New Roman"/>
          <w:sz w:val="24"/>
          <w:szCs w:val="24"/>
          <w:lang w:eastAsia="sk-SK"/>
        </w:rPr>
      </w:pPr>
      <w:r w:rsidRPr="004D2915">
        <w:rPr>
          <w:rFonts w:ascii="Times New Roman" w:eastAsia="Times New Roman" w:hAnsi="Times New Roman" w:cs="Times New Roman"/>
          <w:color w:val="000000"/>
          <w:sz w:val="24"/>
          <w:szCs w:val="24"/>
          <w:lang w:eastAsia="sk-SK"/>
        </w:rPr>
        <w:br w:type="page"/>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lastRenderedPageBreak/>
        <w:t>Európska rada v nadväznosti na svoje závery z februára 2016 vyzýva Európsku investičnú banku, aby na jej júnovom zasadnutí predložila konkrétnu iniciatívu zameranú na rýchlu mobilizáciu dodatočných finančných prostriedkov na podporu udržateľného rastu, dôležitej infraštruktúry a sociálnej súdržnosti v krajinách južného susedstva a západného Balkánu.</w:t>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Európska rada je mimoriadne ostražitá, pokiaľ ide o možné nové trasy neregulárnych migrantov, a žiada, aby sa prijali všetky opatrenia, ktoré sa môžu v tomto ohľade ukázať ako potrebné. V tejto súvislosti je aj naďalej kľúčový boj proti prevádzačom všade a všetkými vhodnými prostriedkami. EÚ je pripravená podporiť vládu národnej jednoty ako jedinú legitímnu vládu v Líbyi vrátane obnovenia stability, boja proti terorizmu a riadenia migrácie v centrálnom Stredozemí na jej žiadosť.</w:t>
      </w:r>
    </w:p>
    <w:p w:rsidR="004D2915" w:rsidRPr="004D2915" w:rsidRDefault="004D2915" w:rsidP="004D2915">
      <w:pPr>
        <w:numPr>
          <w:ilvl w:val="0"/>
          <w:numId w:val="2"/>
        </w:numPr>
        <w:spacing w:before="120" w:after="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Európska rada opätovne potvrdzuje svoje predchádzajúce závery o rôznych prvkoch komplexnej stratégie a je spokojná s pokrokom, ktorý sa dosiahol v súvislosti s návrhom týkajúcim sa európskej pohraničnej a pobrežnej stráže, ktorý by sa mal prijať čo najskôr. Bude sa tiež pokračovať v práci na budúcej štruktúre migračnej politiky EÚ vrátane dublinského nariadenia.</w:t>
      </w:r>
    </w:p>
    <w:p w:rsidR="004D2915" w:rsidRPr="004D2915" w:rsidRDefault="004D2915" w:rsidP="004D2915">
      <w:pPr>
        <w:spacing w:before="360" w:after="240" w:line="360" w:lineRule="auto"/>
        <w:outlineLvl w:val="0"/>
        <w:rPr>
          <w:rFonts w:ascii="Times New Roman" w:eastAsia="Times New Roman" w:hAnsi="Times New Roman" w:cs="Times New Roman"/>
          <w:b/>
          <w:caps/>
          <w:sz w:val="24"/>
          <w:szCs w:val="24"/>
          <w:u w:val="single"/>
          <w:lang w:val="en-GB"/>
        </w:rPr>
      </w:pPr>
      <w:r w:rsidRPr="004D2915">
        <w:rPr>
          <w:rFonts w:ascii="Times New Roman" w:eastAsia="Times New Roman" w:hAnsi="Times New Roman" w:cs="Times New Roman"/>
          <w:b/>
          <w:caps/>
          <w:sz w:val="24"/>
          <w:szCs w:val="24"/>
          <w:lang w:val="en-GB"/>
        </w:rPr>
        <w:t>II.</w:t>
      </w:r>
      <w:r w:rsidRPr="004D2915">
        <w:rPr>
          <w:rFonts w:ascii="Times New Roman" w:eastAsia="Times New Roman" w:hAnsi="Times New Roman" w:cs="Times New Roman"/>
          <w:b/>
          <w:caps/>
          <w:sz w:val="24"/>
          <w:szCs w:val="24"/>
          <w:lang w:val="en-GB"/>
        </w:rPr>
        <w:tab/>
      </w:r>
      <w:r w:rsidRPr="004D2915">
        <w:rPr>
          <w:rFonts w:ascii="Times New Roman" w:eastAsia="Times New Roman" w:hAnsi="Times New Roman" w:cs="Times New Roman"/>
          <w:b/>
          <w:caps/>
          <w:sz w:val="24"/>
          <w:szCs w:val="24"/>
          <w:u w:val="single"/>
          <w:lang w:val="en-GB"/>
        </w:rPr>
        <w:t>ZAMESTNANOSŤ, RAST A KONKURENCIESCHOPNOSŤ</w:t>
      </w:r>
    </w:p>
    <w:p w:rsidR="004D2915" w:rsidRPr="004D2915" w:rsidRDefault="004D2915" w:rsidP="004D2915">
      <w:pPr>
        <w:numPr>
          <w:ilvl w:val="0"/>
          <w:numId w:val="1"/>
        </w:numPr>
        <w:spacing w:before="120" w:after="0" w:line="360" w:lineRule="auto"/>
        <w:ind w:left="567" w:hanging="567"/>
        <w:rPr>
          <w:rFonts w:ascii="Times New Roman" w:eastAsia="Calibri" w:hAnsi="Times New Roman" w:cs="Times New Roman"/>
          <w:sz w:val="24"/>
          <w:szCs w:val="24"/>
          <w:lang w:eastAsia="sk-SK"/>
        </w:rPr>
      </w:pPr>
      <w:r w:rsidRPr="004D2915">
        <w:rPr>
          <w:rFonts w:ascii="Times New Roman" w:eastAsia="Times New Roman" w:hAnsi="Times New Roman" w:cs="Times New Roman"/>
          <w:sz w:val="24"/>
          <w:szCs w:val="24"/>
          <w:lang w:eastAsia="sk-SK"/>
        </w:rPr>
        <w:t>V snahe usmerniť rokovania Rady o európskom semestri 2016 Európska rada schválila prioritné oblasti politiky v ročnom prieskume rastu: opätovné naštartovanie investícií, uskutočňovanie štrukturálnych reforiem s cieľom modernizovať naše ekonomiky a vykonávanie zodpovedných fiškálnych politík. Členské štáty premietnu uvedené priority do svojich nadchádzajúcich národných programov reforiem a programov stability alebo konvergenčných programov. Takýmito politikami sa prispeje k udržateľnejšiemu základu súčasného oživenia a k podpore rastu a zamestnanosti. Európska rada berie na vedomie konzultácie Komisie v oblasti sociálnych otázok a vyzdvihuje význam fungovania trhov práce a systémov sociálneho zabezpečenia.</w:t>
      </w:r>
    </w:p>
    <w:p w:rsidR="004D2915" w:rsidRPr="004D2915" w:rsidRDefault="004D2915" w:rsidP="004D2915">
      <w:pPr>
        <w:spacing w:after="0" w:line="240" w:lineRule="auto"/>
        <w:rPr>
          <w:rFonts w:ascii="Times New Roman" w:eastAsia="Calibri" w:hAnsi="Times New Roman" w:cs="Times New Roman"/>
          <w:sz w:val="24"/>
          <w:szCs w:val="24"/>
          <w:lang w:eastAsia="sk-SK"/>
        </w:rPr>
      </w:pPr>
      <w:r w:rsidRPr="004D2915">
        <w:rPr>
          <w:rFonts w:ascii="Times New Roman" w:eastAsia="Times New Roman" w:hAnsi="Times New Roman" w:cs="Times New Roman"/>
          <w:sz w:val="24"/>
          <w:szCs w:val="24"/>
          <w:lang w:eastAsia="sk-SK"/>
        </w:rPr>
        <w:br w:type="page"/>
      </w:r>
    </w:p>
    <w:p w:rsidR="004D2915" w:rsidRPr="004D2915" w:rsidRDefault="004D2915" w:rsidP="004D2915">
      <w:pPr>
        <w:numPr>
          <w:ilvl w:val="0"/>
          <w:numId w:val="1"/>
        </w:numPr>
        <w:spacing w:before="120" w:after="0" w:line="360" w:lineRule="auto"/>
        <w:ind w:left="567" w:hanging="567"/>
        <w:rPr>
          <w:rFonts w:ascii="Times New Roman" w:eastAsia="Calibri" w:hAnsi="Times New Roman" w:cs="Times New Roman"/>
          <w:sz w:val="24"/>
          <w:szCs w:val="24"/>
          <w:lang w:eastAsia="sk-SK"/>
        </w:rPr>
      </w:pPr>
      <w:r w:rsidRPr="004D2915">
        <w:rPr>
          <w:rFonts w:ascii="Times New Roman" w:eastAsia="Times New Roman" w:hAnsi="Times New Roman" w:cs="Times New Roman"/>
          <w:sz w:val="24"/>
          <w:szCs w:val="24"/>
          <w:lang w:eastAsia="sk-SK"/>
        </w:rPr>
        <w:lastRenderedPageBreak/>
        <w:t>Európska rada bude na svojom júnovom zasadnutí diskutovať o pokroku, ktorý sa dosiahol v práci na dobudovaní hospodárskej a menovej únie. Prijme tiež program vykonávania všetkých aspektov jednotného trhu vrátane napĺňania stratégií Komisie týkajúcich sa jednotného trhu, jednotného digitálneho trhu a únie kapitálových trhov, aby sa v plnej miere využil jeho nevyužitý potenciál v oblasti rastu a produktivity.</w:t>
      </w:r>
    </w:p>
    <w:p w:rsidR="004D2915" w:rsidRPr="004D2915" w:rsidRDefault="004D2915" w:rsidP="004D2915">
      <w:pPr>
        <w:numPr>
          <w:ilvl w:val="0"/>
          <w:numId w:val="1"/>
        </w:numPr>
        <w:spacing w:before="120" w:after="0" w:line="360" w:lineRule="auto"/>
        <w:ind w:left="567" w:hanging="567"/>
        <w:rPr>
          <w:rFonts w:ascii="Times New Roman" w:eastAsia="Calibri" w:hAnsi="Times New Roman" w:cs="Times New Roman"/>
          <w:sz w:val="24"/>
          <w:szCs w:val="24"/>
          <w:lang w:eastAsia="sk-SK"/>
        </w:rPr>
      </w:pPr>
      <w:r w:rsidRPr="004D2915">
        <w:rPr>
          <w:rFonts w:ascii="Times New Roman" w:eastAsia="Times New Roman" w:hAnsi="Times New Roman" w:cs="Times New Roman"/>
          <w:sz w:val="24"/>
          <w:szCs w:val="24"/>
          <w:lang w:eastAsia="sk-SK"/>
        </w:rPr>
        <w:t>Európska rada v súvislosti s ťažkou situáciou európskeho oceliarskeho priemyslu v kontexte nadmernej výrobnej kapacity na celosvetovej úrovni vyzýva Radu, aby urýchlene preskúmala oznámenie Komisie s cieľom podniknúť v reakcii na túto výzvu rozhodné kroky.</w:t>
      </w:r>
    </w:p>
    <w:p w:rsidR="004D2915" w:rsidRPr="004D2915" w:rsidRDefault="004D2915" w:rsidP="004D2915">
      <w:pPr>
        <w:numPr>
          <w:ilvl w:val="0"/>
          <w:numId w:val="1"/>
        </w:numPr>
        <w:spacing w:before="120" w:after="0" w:line="360" w:lineRule="auto"/>
        <w:ind w:left="567" w:hanging="567"/>
        <w:rPr>
          <w:rFonts w:ascii="Times New Roman" w:eastAsia="Calibri" w:hAnsi="Times New Roman" w:cs="Times New Roman"/>
          <w:sz w:val="24"/>
          <w:szCs w:val="24"/>
          <w:lang w:eastAsia="sk-SK"/>
        </w:rPr>
      </w:pPr>
      <w:r w:rsidRPr="004D2915">
        <w:rPr>
          <w:rFonts w:ascii="Times New Roman" w:eastAsia="Times New Roman" w:hAnsi="Times New Roman" w:cs="Times New Roman"/>
          <w:sz w:val="24"/>
          <w:szCs w:val="24"/>
          <w:lang w:eastAsia="sk-SK"/>
        </w:rPr>
        <w:t>Európska rada berie na vedomie situáciu poľnohospodárov, najmä v sektore mlieka a mliečnych výrobkov a v sektore ošípaných, ktorých vážne ovplyvňuje pokles cien. Vyzýva Komisiu, aby rýchlo konala na základe výsledkov zasadnutia Rady pre poľnohospodárstvo zo 14. marca. Bude pozorne sledovať vývoj v tomto sektore, ktorý je pre Európu tak dôležitý.</w:t>
      </w:r>
    </w:p>
    <w:p w:rsidR="004D2915" w:rsidRPr="004D2915" w:rsidRDefault="004D2915" w:rsidP="004D2915">
      <w:pPr>
        <w:numPr>
          <w:ilvl w:val="0"/>
          <w:numId w:val="1"/>
        </w:numPr>
        <w:spacing w:before="120" w:after="240" w:line="360" w:lineRule="auto"/>
        <w:ind w:left="567" w:hanging="567"/>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t>Európska rada berie na vedomie, že Komisia má v úmysle onedlho uverejniť oznámenie o akčnom pláne týkajúcom sa DPH. Víta zámer Komisie zahrnúť návrhy na zvýšenie flexibility členských štátov, pokiaľ ide o znížené sadzby DPH, ktoré by členským štátom poskytli možnosť stanoviť nulovú sadzbu DPH na hygienické výrobky.</w:t>
      </w:r>
    </w:p>
    <w:p w:rsidR="004D2915" w:rsidRPr="004D2915" w:rsidRDefault="004D2915" w:rsidP="004D2915">
      <w:pPr>
        <w:spacing w:after="240" w:line="240" w:lineRule="auto"/>
        <w:rPr>
          <w:rFonts w:ascii="Times New Roman" w:eastAsia="Times New Roman" w:hAnsi="Times New Roman" w:cs="Times New Roman"/>
          <w:sz w:val="24"/>
          <w:szCs w:val="24"/>
          <w:lang w:eastAsia="sk-SK"/>
        </w:rPr>
      </w:pPr>
      <w:r w:rsidRPr="004D2915">
        <w:rPr>
          <w:rFonts w:ascii="Times New Roman" w:eastAsia="Times New Roman" w:hAnsi="Times New Roman" w:cs="Times New Roman"/>
          <w:sz w:val="24"/>
          <w:szCs w:val="24"/>
          <w:lang w:eastAsia="sk-SK"/>
        </w:rPr>
        <w:br w:type="page"/>
      </w:r>
    </w:p>
    <w:p w:rsidR="004D2915" w:rsidRPr="004D2915" w:rsidRDefault="004D2915" w:rsidP="004D2915">
      <w:pPr>
        <w:spacing w:before="360" w:after="240" w:line="360" w:lineRule="auto"/>
        <w:ind w:left="567" w:hanging="567"/>
        <w:outlineLvl w:val="0"/>
        <w:rPr>
          <w:rFonts w:ascii="Times New Roman" w:eastAsia="Times New Roman" w:hAnsi="Times New Roman" w:cs="Times New Roman"/>
          <w:b/>
          <w:caps/>
          <w:sz w:val="24"/>
          <w:szCs w:val="24"/>
          <w:u w:val="single"/>
          <w:lang w:val="en-GB"/>
        </w:rPr>
      </w:pPr>
      <w:r w:rsidRPr="004D2915">
        <w:rPr>
          <w:rFonts w:ascii="Times New Roman" w:eastAsia="Times New Roman" w:hAnsi="Times New Roman" w:cs="Times New Roman"/>
          <w:b/>
          <w:caps/>
          <w:sz w:val="24"/>
          <w:szCs w:val="24"/>
          <w:lang w:val="en-GB"/>
        </w:rPr>
        <w:lastRenderedPageBreak/>
        <w:t>III.</w:t>
      </w:r>
      <w:r w:rsidRPr="004D2915">
        <w:rPr>
          <w:rFonts w:ascii="Times New Roman" w:eastAsia="Times New Roman" w:hAnsi="Times New Roman" w:cs="Times New Roman"/>
          <w:b/>
          <w:caps/>
          <w:sz w:val="24"/>
          <w:szCs w:val="24"/>
          <w:lang w:val="en-GB"/>
        </w:rPr>
        <w:tab/>
      </w:r>
      <w:r w:rsidRPr="004D2915">
        <w:rPr>
          <w:rFonts w:ascii="Times New Roman" w:eastAsia="Times New Roman" w:hAnsi="Times New Roman" w:cs="Times New Roman"/>
          <w:b/>
          <w:caps/>
          <w:sz w:val="24"/>
          <w:szCs w:val="24"/>
          <w:u w:val="single"/>
          <w:lang w:val="en-GB"/>
        </w:rPr>
        <w:t>KLÍMA A ENERGETIKA</w:t>
      </w:r>
    </w:p>
    <w:p w:rsidR="004D2915" w:rsidRPr="004D2915" w:rsidRDefault="004D2915" w:rsidP="004D2915">
      <w:pPr>
        <w:numPr>
          <w:ilvl w:val="0"/>
          <w:numId w:val="1"/>
        </w:numPr>
        <w:spacing w:before="120" w:after="0" w:line="360" w:lineRule="auto"/>
        <w:ind w:left="567" w:hanging="567"/>
        <w:rPr>
          <w:rFonts w:ascii="Times New Roman" w:eastAsia="Calibri" w:hAnsi="Times New Roman" w:cs="Times New Roman"/>
          <w:sz w:val="24"/>
          <w:szCs w:val="24"/>
          <w:lang w:eastAsia="sk-SK"/>
        </w:rPr>
      </w:pPr>
      <w:r w:rsidRPr="004D2915">
        <w:rPr>
          <w:rFonts w:ascii="Times New Roman" w:eastAsia="Times New Roman" w:hAnsi="Times New Roman" w:cs="Times New Roman"/>
          <w:sz w:val="24"/>
          <w:szCs w:val="24"/>
          <w:lang w:eastAsia="sk-SK"/>
        </w:rPr>
        <w:t>Európska rada víta skutočnosť, že Komisia predložila balík opatrení v oblasti bezpečnosti dodávok energie, ako aj oznámenie s názvom Po parížskej konferencii. Vyzýva zákonodarcov, aby prednostne pokračovali v práci na návrhoch na posilnenie energetickej bezpečnosti EÚ na základe predchádzajúcich záverov Európskej rady a príslušných stratégií, ktoré Európska rada schválila. Pripomína aj význam plne funkčného a vzájomne prepojeného trhu s energiou. Na základe oznámenia o klíme zdôrazňuje odhodlanie EÚ znížiť emisie skleníkových plynov na vnútroštátnej úrovni a zvýšiť podiel energie z obnoviteľných zdrojov a zvýšiť energetickú efektívnosť, ako sa dohodlo na zasadnutí Európskej rady v októbri 2014. Prioritou zostáva úprava právnych predpisov s cieľom zaviesť tento rámec. Európska rada vyzýva Komisiu, aby na tento účel urýchlene predložila všetky zostávajúce príslušné návrhy tak, aby sa rýchlo začal legislatívny postup. Európska rada so záujmom očakáva podpísanie parížskej dohody 22. apríla v New Yorku a zdôrazňuje, že je potrebné, aby Európska únia a jej členské štáty mohli ratifikovať parížsku dohodu čo najskôr a včas tak, aby sa mohli stať zmluvnými stranami od jej nadobudnutia platnosti.</w:t>
      </w:r>
    </w:p>
    <w:p w:rsidR="004D2915" w:rsidRPr="004D2915" w:rsidRDefault="004D2915" w:rsidP="004D2915">
      <w:pPr>
        <w:pBdr>
          <w:bottom w:val="single" w:sz="4" w:space="0" w:color="000000"/>
        </w:pBdr>
        <w:spacing w:before="360" w:after="120" w:line="360" w:lineRule="auto"/>
        <w:ind w:left="3400" w:right="3400"/>
        <w:jc w:val="center"/>
        <w:rPr>
          <w:rFonts w:ascii="Times New Roman" w:eastAsia="Times New Roman" w:hAnsi="Times New Roman" w:cs="Times New Roman"/>
          <w:b/>
          <w:sz w:val="24"/>
          <w:szCs w:val="24"/>
        </w:rPr>
      </w:pPr>
    </w:p>
    <w:p w:rsidR="004D2915" w:rsidRPr="004D2915" w:rsidRDefault="004D2915" w:rsidP="004D2915">
      <w:pPr>
        <w:spacing w:after="0" w:line="240" w:lineRule="auto"/>
        <w:rPr>
          <w:rFonts w:ascii="Times New Roman" w:eastAsia="Times New Roman" w:hAnsi="Times New Roman" w:cs="Times New Roman"/>
          <w:sz w:val="24"/>
          <w:szCs w:val="24"/>
        </w:rPr>
      </w:pPr>
    </w:p>
    <w:p w:rsidR="004D2915" w:rsidRPr="004D2915" w:rsidRDefault="004D2915" w:rsidP="004D2915">
      <w:pPr>
        <w:keepNext/>
        <w:tabs>
          <w:tab w:val="left" w:pos="3310"/>
        </w:tabs>
        <w:spacing w:after="0" w:line="240" w:lineRule="auto"/>
        <w:contextualSpacing/>
        <w:jc w:val="center"/>
        <w:outlineLvl w:val="0"/>
        <w:rPr>
          <w:rFonts w:ascii="Times New Roman" w:eastAsia="Times New Roman" w:hAnsi="Times New Roman" w:cs="Times New Roman"/>
          <w:b/>
          <w:bCs/>
          <w:sz w:val="24"/>
          <w:szCs w:val="24"/>
          <w:lang w:eastAsia="sk-SK"/>
        </w:rPr>
      </w:pPr>
    </w:p>
    <w:p w:rsidR="004D2915" w:rsidRPr="004D2915" w:rsidRDefault="004D2915" w:rsidP="004D2915">
      <w:pPr>
        <w:keepNext/>
        <w:tabs>
          <w:tab w:val="left" w:pos="3310"/>
        </w:tabs>
        <w:spacing w:after="0" w:line="240" w:lineRule="auto"/>
        <w:contextualSpacing/>
        <w:jc w:val="center"/>
        <w:outlineLvl w:val="0"/>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P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pPr>
    </w:p>
    <w:p w:rsidR="004D2915" w:rsidRDefault="004D2915" w:rsidP="004D2915">
      <w:pPr>
        <w:spacing w:after="0" w:line="240" w:lineRule="auto"/>
        <w:contextualSpacing/>
        <w:jc w:val="center"/>
        <w:rPr>
          <w:rFonts w:ascii="Times New Roman" w:eastAsia="Times New Roman" w:hAnsi="Times New Roman" w:cs="Times New Roman"/>
          <w:b/>
          <w:bCs/>
          <w:sz w:val="24"/>
          <w:szCs w:val="24"/>
          <w:lang w:eastAsia="sk-SK"/>
        </w:rPr>
        <w:sectPr w:rsidR="004D2915" w:rsidSect="00365F01">
          <w:headerReference w:type="default" r:id="rId16"/>
          <w:footerReference w:type="default" r:id="rId17"/>
          <w:pgSz w:w="11906" w:h="16838"/>
          <w:pgMar w:top="1417" w:right="1417" w:bottom="1417" w:left="1417" w:header="708" w:footer="708" w:gutter="0"/>
          <w:pgNumType w:start="2"/>
          <w:cols w:space="708"/>
          <w:docGrid w:linePitch="360"/>
        </w:sectPr>
      </w:pPr>
    </w:p>
    <w:p w:rsidR="004D2915" w:rsidRDefault="004D2915" w:rsidP="004D2915">
      <w:pPr>
        <w:pStyle w:val="TechnicalBlock"/>
        <w:tabs>
          <w:tab w:val="left" w:pos="1701"/>
        </w:tabs>
        <w:spacing w:after="0"/>
        <w:ind w:left="-1134" w:right="-1134"/>
        <w:rPr>
          <w:b/>
        </w:rPr>
      </w:pPr>
      <w:r w:rsidRPr="00FC668E">
        <w:rPr>
          <w:b/>
        </w:rPr>
        <w:lastRenderedPageBreak/>
        <w:t>PRÍLOHA I</w:t>
      </w:r>
      <w:r>
        <w:rPr>
          <w:b/>
        </w:rPr>
        <w:t>I</w:t>
      </w:r>
      <w:r w:rsidRPr="00FC668E">
        <w:rPr>
          <w:b/>
        </w:rPr>
        <w:t>.</w:t>
      </w:r>
      <w:r>
        <w:rPr>
          <w:b/>
        </w:rPr>
        <w:t xml:space="preserve"> – Spoločné vyhlásenie EÚ – Turecko</w:t>
      </w:r>
    </w:p>
    <w:p w:rsidR="004D2915" w:rsidRPr="00753F75" w:rsidRDefault="004D2915" w:rsidP="004D2915">
      <w:pPr>
        <w:spacing w:before="120" w:after="120" w:line="360" w:lineRule="auto"/>
        <w:jc w:val="center"/>
        <w:rPr>
          <w:rFonts w:ascii="Times New Roman" w:hAnsi="Times New Roman" w:cs="Times New Roman"/>
          <w:b/>
          <w:bCs/>
          <w:sz w:val="24"/>
          <w:szCs w:val="24"/>
          <w:u w:val="single"/>
          <w:lang w:val="en-GB"/>
        </w:rPr>
      </w:pPr>
      <w:r>
        <w:rPr>
          <w:noProof/>
          <w:lang w:eastAsia="sk-SK"/>
        </w:rPr>
        <w:drawing>
          <wp:anchor distT="0" distB="0" distL="114300" distR="114300" simplePos="0" relativeHeight="251659264" behindDoc="1" locked="0" layoutInCell="1" allowOverlap="1" wp14:anchorId="45DC2270" wp14:editId="2921FA21">
            <wp:simplePos x="0" y="0"/>
            <wp:positionH relativeFrom="column">
              <wp:posOffset>0</wp:posOffset>
            </wp:positionH>
            <wp:positionV relativeFrom="paragraph">
              <wp:posOffset>85725</wp:posOffset>
            </wp:positionV>
            <wp:extent cx="5756910" cy="2767330"/>
            <wp:effectExtent l="0" t="0" r="0" b="0"/>
            <wp:wrapNone/>
            <wp:docPr id="1" name="Obrázok 1" descr="319351d5-be9e-4fd0-a201-3a2ad5296416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19351d5-be9e-4fd0-a201-3a2ad5296416_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6910" cy="2767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70DD">
        <w:br w:type="page"/>
      </w:r>
      <w:r w:rsidRPr="00753F75">
        <w:rPr>
          <w:rFonts w:ascii="Times New Roman" w:hAnsi="Times New Roman" w:cs="Times New Roman"/>
          <w:b/>
          <w:bCs/>
          <w:sz w:val="24"/>
          <w:szCs w:val="24"/>
          <w:u w:val="single"/>
          <w:lang w:val="en-GB"/>
        </w:rPr>
        <w:lastRenderedPageBreak/>
        <w:t>EU - Turkey Statement</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Today the Members of the European Council met with their Turkish counterpart. This was the third meeting since November 2015 dedicated to deepening Turkey-EU relations as well as addressing the migration crisis.</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The Members of the European Council expressed their deepest condolences to the people of Turkey following the bomb attack in Ankara on Sunday. They strongly condemned this heinous act and reiterated their continued support to fight terrorism in all its forms.</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Turkey and the European Union reconfirmed their commitment to the implementation of their joint action plan activated on 29 November 2015. Much progress has been achieved already, including Turkey's opening of its labour market to Syrians under temporary protection, the introduction of new visa requirements for Syrians and other nationalities, stepped up security efforts by the Turkish coast guard and police and enhanced information sharing. Moreover, the European Union has begun disbursing the 3 billion euro of the Facility for Refugees in Turkey for concrete projects and work has advanced on visa liberalisation and in the accession talks, including the opening of Chapter 17 last December. On 7 March 2016, Turkey furthermore agreed to accept the rapid return of all migrants not in need of international protection crossing from Turkey into Greece and to take back all irregular migrants intercepted in Turkish waters. Turkey and the EU also agreed to continue stepping up measures against migrant smugglers and welcomed the establishment of the NATO activity on the Aegean Sea. At the same time Turkey and the EU recognise that further, swift and determined efforts are needed.</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In order to break the business model of the smugglers and to offer migrants an alternative to putting their lives at risk, the EU and Turkey today decided to end the irregular migration from Turkey to the EU. In order to achieve this goal, they agreed on the following additional action points:</w:t>
      </w:r>
    </w:p>
    <w:p w:rsidR="004D2915" w:rsidRPr="00753F75" w:rsidRDefault="004D2915" w:rsidP="004D2915">
      <w:pPr>
        <w:spacing w:before="120" w:after="120" w:line="360" w:lineRule="auto"/>
        <w:rPr>
          <w:rFonts w:ascii="Times New Roman" w:hAnsi="Times New Roman" w:cs="Times New Roman"/>
          <w:sz w:val="24"/>
          <w:szCs w:val="24"/>
          <w:lang w:val="en-GB"/>
        </w:rPr>
      </w:pPr>
    </w:p>
    <w:p w:rsidR="004D2915" w:rsidRPr="00753F75" w:rsidRDefault="004D2915" w:rsidP="004D2915">
      <w:pPr>
        <w:spacing w:before="120" w:after="120" w:line="360" w:lineRule="auto"/>
        <w:rPr>
          <w:rFonts w:ascii="Times New Roman" w:hAnsi="Times New Roman" w:cs="Times New Roman"/>
          <w:sz w:val="24"/>
          <w:szCs w:val="24"/>
          <w:lang w:val="en-GB"/>
        </w:rPr>
      </w:pPr>
    </w:p>
    <w:p w:rsidR="004D2915" w:rsidRPr="00753F75" w:rsidRDefault="004D2915" w:rsidP="004D2915">
      <w:pPr>
        <w:spacing w:before="120" w:after="120" w:line="360" w:lineRule="auto"/>
        <w:rPr>
          <w:rFonts w:ascii="Times New Roman" w:hAnsi="Times New Roman" w:cs="Times New Roman"/>
          <w:sz w:val="24"/>
          <w:szCs w:val="24"/>
          <w:lang w:val="en-GB"/>
        </w:rPr>
      </w:pPr>
    </w:p>
    <w:p w:rsidR="004D2915" w:rsidRPr="00753F75" w:rsidRDefault="004D2915" w:rsidP="004D2915">
      <w:pPr>
        <w:spacing w:before="120" w:after="120" w:line="360" w:lineRule="auto"/>
        <w:rPr>
          <w:rFonts w:ascii="Times New Roman" w:hAnsi="Times New Roman" w:cs="Times New Roman"/>
          <w:sz w:val="24"/>
          <w:szCs w:val="24"/>
          <w:lang w:val="en-GB"/>
        </w:rPr>
      </w:pPr>
    </w:p>
    <w:p w:rsidR="004D2915" w:rsidRPr="00753F75" w:rsidRDefault="004D2915" w:rsidP="004D2915">
      <w:pPr>
        <w:spacing w:before="120" w:after="120" w:line="360" w:lineRule="auto"/>
        <w:rPr>
          <w:rFonts w:ascii="Times New Roman" w:hAnsi="Times New Roman" w:cs="Times New Roman"/>
          <w:i/>
          <w:sz w:val="24"/>
          <w:szCs w:val="24"/>
          <w:lang w:val="en-GB"/>
        </w:rPr>
      </w:pPr>
      <w:r w:rsidRPr="00753F75">
        <w:rPr>
          <w:rFonts w:ascii="Times New Roman" w:hAnsi="Times New Roman" w:cs="Times New Roman"/>
          <w:sz w:val="24"/>
          <w:szCs w:val="24"/>
          <w:lang w:val="en-GB"/>
        </w:rPr>
        <w:lastRenderedPageBreak/>
        <w:t>1) All new irregular migrants crossing from Turkey into Greek islands as from 20 March 2016 will be returned to Turkey. This will take place in full accordance with EU and international law, thus excluding any kind of collective expulsion. All migrants will be protected in accordance with the relevant international standards and in respect of the principle of non-</w:t>
      </w:r>
      <w:proofErr w:type="spellStart"/>
      <w:r w:rsidRPr="00753F75">
        <w:rPr>
          <w:rFonts w:ascii="Times New Roman" w:hAnsi="Times New Roman" w:cs="Times New Roman"/>
          <w:sz w:val="24"/>
          <w:szCs w:val="24"/>
          <w:lang w:val="en-GB"/>
        </w:rPr>
        <w:t>refoulement</w:t>
      </w:r>
      <w:proofErr w:type="spellEnd"/>
      <w:r w:rsidRPr="00753F75">
        <w:rPr>
          <w:rFonts w:ascii="Times New Roman" w:hAnsi="Times New Roman" w:cs="Times New Roman"/>
          <w:sz w:val="24"/>
          <w:szCs w:val="24"/>
          <w:lang w:val="en-GB"/>
        </w:rPr>
        <w:t>. It will be a temporary and extraordinary measure which is necessary to end the human suffering and restore public order. Migrants arriving in the Greek islands will be duly registered and any application for asylum will be processed individually by the Greek authorities in accordance with the Asylum Procedures Directive, in cooperation with UNHCR. Migrants not applying for asylum or whose application has been found unfounded or inadmissible in accordance with the said directive will be returned to Turkey. Turkey and Greece, assisted by EU institutions and agencies, will take the necessary steps and agree any necessary bilateral arrangements, including the presence of Turkish officials on Greek islands and Greek officials in Turkey as from 20 March 2016, to ensure liaison and thereby facilitate the smooth functioning of these arrangements. The costs of the return operations of irregular migrants will be covered by the EU.</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 xml:space="preserve">2) For every Syrian being returned to Turkey from Greek islands, another Syrian will be resettled from Turkey to the EU taking into account the UN Vulnerability Criteria. A mechanism will be established, with the assistance of the Commission, EU agencies and other Member States, as well as the UNHCR, to ensure that this principle will be implemented as from the same day the returns start. Priority will be given to migrants who have not previously entered or tried to enter the EU irregularly. On the EU side, resettlement under this mechanism will take place, in the first instance, by honouring the commitments taken by Member States in the conclusions of Representatives of the Governments of Member States meeting within the Council on 20 July 2015, of which 18.000 places for resettlement remain. Any further need for resettlement will be carried out through a similar voluntary arrangement up to a limit of an additional 54.000 persons. The Members of the European Council welcome the Commission’s intention to propose an amendment to the relocation decision of 22 September 2015 to allow for any resettlement commitment undertaken in the framework of this arrangement to be offset from non-allocated places under the decision. Should these arrangements not meet the objective of ending the irregular migration and the </w:t>
      </w:r>
      <w:proofErr w:type="gramStart"/>
      <w:r w:rsidRPr="00753F75">
        <w:rPr>
          <w:rFonts w:ascii="Times New Roman" w:hAnsi="Times New Roman" w:cs="Times New Roman"/>
          <w:sz w:val="24"/>
          <w:szCs w:val="24"/>
          <w:lang w:val="en-GB"/>
        </w:rPr>
        <w:t>number of returns come</w:t>
      </w:r>
      <w:proofErr w:type="gramEnd"/>
      <w:r w:rsidRPr="00753F75">
        <w:rPr>
          <w:rFonts w:ascii="Times New Roman" w:hAnsi="Times New Roman" w:cs="Times New Roman"/>
          <w:sz w:val="24"/>
          <w:szCs w:val="24"/>
          <w:lang w:val="en-GB"/>
        </w:rPr>
        <w:t xml:space="preserve"> close to the numbers provided for above, this mechanism will be reviewed. </w:t>
      </w:r>
      <w:r w:rsidRPr="00753F75">
        <w:rPr>
          <w:rFonts w:ascii="Times New Roman" w:hAnsi="Times New Roman" w:cs="Times New Roman"/>
          <w:sz w:val="24"/>
          <w:szCs w:val="24"/>
          <w:lang w:val="en-GB"/>
        </w:rPr>
        <w:lastRenderedPageBreak/>
        <w:t>Should the number of returns exceed the numbers provided for above, this mechanism will be discontinued.</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3) Turkey will take any necessary measures to prevent new sea or land routes for illegal migration opening from Turkey to the EU, and will cooperate with neighbouring states as well as the EU to this effect.</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4) Once irregular crossings between Turkey and the EU are ending or at least have been substantially and sustainably reduced, a Voluntary Humanitarian Admission Scheme will be activated. EU Member States will contribute on a voluntary basis to this scheme.</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5) The fulfilment of the visa liberalisation roadmap will be accelerated vis-à-vis all participating Member States with a view to lifting the visa requirements for Turkish citizens at the latest by the end of June 2016, provided that all benchmarks have been met. To this end Turkey will take the necessary steps to fulfil the remaining requirements to allow the Commission to make, following the required assessment of compliance with the benchmarks, an appropriate proposal by the end of April on the basis of which the European Parliament and the Council can make a final decision.</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 xml:space="preserve">6) The EU, in close cooperation with Turkey, will further speed up the disbursement of the initially allocated 3 billion euros under the Facility for Refugees in Turkey and ensure funding of further projects for persons under temporary protection identified with swift input from Turkey before the end of March. A first list of concrete projects for refugees, notably in the field of health, education, infrastructure, food and other living </w:t>
      </w:r>
      <w:proofErr w:type="gramStart"/>
      <w:r w:rsidRPr="00753F75">
        <w:rPr>
          <w:rFonts w:ascii="Times New Roman" w:hAnsi="Times New Roman" w:cs="Times New Roman"/>
          <w:sz w:val="24"/>
          <w:szCs w:val="24"/>
          <w:lang w:val="en-GB"/>
        </w:rPr>
        <w:t>costs, that can be swiftly financed from the Facility,</w:t>
      </w:r>
      <w:proofErr w:type="gramEnd"/>
      <w:r w:rsidRPr="00753F75">
        <w:rPr>
          <w:rFonts w:ascii="Times New Roman" w:hAnsi="Times New Roman" w:cs="Times New Roman"/>
          <w:sz w:val="24"/>
          <w:szCs w:val="24"/>
          <w:lang w:val="en-GB"/>
        </w:rPr>
        <w:t xml:space="preserve"> will be jointly identified within a week. Once these resources are about to be used to the full, and provided the above commitments are met, the EU will mobilise additional funding for the Facility of an additional 3 billion euro up to the end of 2018.</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 xml:space="preserve">7) The EU and Turkey welcomed the </w:t>
      </w:r>
      <w:proofErr w:type="spellStart"/>
      <w:proofErr w:type="gramStart"/>
      <w:r w:rsidRPr="00753F75">
        <w:rPr>
          <w:rFonts w:ascii="Times New Roman" w:hAnsi="Times New Roman" w:cs="Times New Roman"/>
          <w:sz w:val="24"/>
          <w:szCs w:val="24"/>
          <w:lang w:val="en-GB"/>
        </w:rPr>
        <w:t>ongoing</w:t>
      </w:r>
      <w:proofErr w:type="spellEnd"/>
      <w:r w:rsidRPr="00753F75">
        <w:rPr>
          <w:rFonts w:ascii="Times New Roman" w:hAnsi="Times New Roman" w:cs="Times New Roman"/>
          <w:sz w:val="24"/>
          <w:szCs w:val="24"/>
          <w:lang w:val="en-GB"/>
        </w:rPr>
        <w:t xml:space="preserve">  work</w:t>
      </w:r>
      <w:proofErr w:type="gramEnd"/>
      <w:r w:rsidRPr="00753F75">
        <w:rPr>
          <w:rFonts w:ascii="Times New Roman" w:hAnsi="Times New Roman" w:cs="Times New Roman"/>
          <w:sz w:val="24"/>
          <w:szCs w:val="24"/>
          <w:lang w:val="en-GB"/>
        </w:rPr>
        <w:t xml:space="preserve"> on the upgrading of the Customs Union.</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 xml:space="preserve">8) The EU and Turkey reconfirmed their commitment to re-energise the accession process as set out in their joint statement of 29 November 2015. They welcomed the opening of Chapter 17 on 14 December 2015 and decided, as a next step, to open Chapter 33 during the Netherlands presidency. They welcomed that the Commission will put forward a proposal to this effect in April. Preparatory work for the opening of other Chapters will continue at an </w:t>
      </w:r>
      <w:r w:rsidRPr="00753F75">
        <w:rPr>
          <w:rFonts w:ascii="Times New Roman" w:hAnsi="Times New Roman" w:cs="Times New Roman"/>
          <w:sz w:val="24"/>
          <w:szCs w:val="24"/>
          <w:lang w:val="en-GB"/>
        </w:rPr>
        <w:lastRenderedPageBreak/>
        <w:t>accelerated pace without prejudice to Member States' positions in accordance with the existing rules.</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 xml:space="preserve">9) The EU and its Member States will work with Turkey in any joint endeavour to improve humanitarian conditions inside Syria, in particular in certain areas near the Turkish border which would allow for the local population and refugees to live in areas which will be </w:t>
      </w:r>
      <w:proofErr w:type="gramStart"/>
      <w:r w:rsidRPr="00753F75">
        <w:rPr>
          <w:rFonts w:ascii="Times New Roman" w:hAnsi="Times New Roman" w:cs="Times New Roman"/>
          <w:sz w:val="24"/>
          <w:szCs w:val="24"/>
          <w:lang w:val="en-GB"/>
        </w:rPr>
        <w:t>more safe</w:t>
      </w:r>
      <w:proofErr w:type="gramEnd"/>
      <w:r w:rsidRPr="00753F75">
        <w:rPr>
          <w:rFonts w:ascii="Times New Roman" w:hAnsi="Times New Roman" w:cs="Times New Roman"/>
          <w:sz w:val="24"/>
          <w:szCs w:val="24"/>
          <w:lang w:val="en-GB"/>
        </w:rPr>
        <w:t>.</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All these elements will be taken forward in parallel and monitored jointly on a monthly basis.</w:t>
      </w:r>
    </w:p>
    <w:p w:rsidR="004D2915" w:rsidRPr="00753F75" w:rsidRDefault="004D2915" w:rsidP="004D2915">
      <w:pPr>
        <w:spacing w:before="120" w:after="120" w:line="360" w:lineRule="auto"/>
        <w:rPr>
          <w:rFonts w:ascii="Times New Roman" w:hAnsi="Times New Roman" w:cs="Times New Roman"/>
          <w:sz w:val="24"/>
          <w:szCs w:val="24"/>
          <w:lang w:val="en-GB"/>
        </w:rPr>
      </w:pPr>
      <w:r w:rsidRPr="00753F75">
        <w:rPr>
          <w:rFonts w:ascii="Times New Roman" w:hAnsi="Times New Roman" w:cs="Times New Roman"/>
          <w:sz w:val="24"/>
          <w:szCs w:val="24"/>
          <w:lang w:val="en-GB"/>
        </w:rPr>
        <w:t>The EU and Turkey decided to meet again as necessary in accordance with the joint statement of 29 November 2015.</w:t>
      </w:r>
    </w:p>
    <w:p w:rsidR="004D2915" w:rsidRPr="00753F75" w:rsidRDefault="004D2915" w:rsidP="004D2915">
      <w:pPr>
        <w:contextualSpacing/>
        <w:jc w:val="center"/>
        <w:rPr>
          <w:rFonts w:ascii="Times New Roman" w:hAnsi="Times New Roman" w:cs="Times New Roman"/>
          <w:b/>
          <w:bCs/>
          <w:sz w:val="24"/>
          <w:szCs w:val="24"/>
          <w:lang w:val="en-GB"/>
        </w:rPr>
      </w:pPr>
    </w:p>
    <w:p w:rsidR="00B4754C" w:rsidRPr="00753F75" w:rsidRDefault="00B4754C">
      <w:pPr>
        <w:rPr>
          <w:rFonts w:ascii="Times New Roman" w:hAnsi="Times New Roman" w:cs="Times New Roman"/>
          <w:sz w:val="24"/>
          <w:szCs w:val="24"/>
          <w:lang w:val="en-GB"/>
        </w:rPr>
      </w:pPr>
    </w:p>
    <w:sectPr w:rsidR="00B4754C" w:rsidRPr="00753F75" w:rsidSect="00753F75">
      <w:footerReference w:type="default" r:id="rId1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915" w:rsidRDefault="004D2915" w:rsidP="004D2915">
      <w:pPr>
        <w:spacing w:after="0" w:line="240" w:lineRule="auto"/>
      </w:pPr>
      <w:r>
        <w:separator/>
      </w:r>
    </w:p>
  </w:endnote>
  <w:endnote w:type="continuationSeparator" w:id="0">
    <w:p w:rsidR="004D2915" w:rsidRDefault="004D2915" w:rsidP="004D2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F01" w:rsidRDefault="00365F01">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Layout w:type="fixed"/>
      <w:tblCellMar>
        <w:left w:w="0" w:type="dxa"/>
        <w:right w:w="0" w:type="dxa"/>
      </w:tblCellMar>
      <w:tblLook w:val="01E0" w:firstRow="1" w:lastRow="1" w:firstColumn="1" w:lastColumn="1" w:noHBand="0" w:noVBand="0"/>
    </w:tblPr>
    <w:tblGrid>
      <w:gridCol w:w="3420"/>
      <w:gridCol w:w="1400"/>
      <w:gridCol w:w="1205"/>
      <w:gridCol w:w="200"/>
      <w:gridCol w:w="2211"/>
      <w:gridCol w:w="69"/>
      <w:gridCol w:w="1134"/>
    </w:tblGrid>
    <w:tr w:rsidR="004D2915" w:rsidRPr="00D94637" w:rsidTr="004D2915">
      <w:trPr>
        <w:jc w:val="center"/>
      </w:trPr>
      <w:tc>
        <w:tcPr>
          <w:tcW w:w="5000" w:type="pct"/>
          <w:gridSpan w:val="7"/>
          <w:shd w:val="clear" w:color="auto" w:fill="auto"/>
          <w:tcMar>
            <w:top w:w="57" w:type="dxa"/>
          </w:tcMar>
        </w:tcPr>
        <w:p w:rsidR="004D2915" w:rsidRPr="00D94637" w:rsidRDefault="004D2915" w:rsidP="004D2915">
          <w:pPr>
            <w:pStyle w:val="FooterText"/>
            <w:pBdr>
              <w:top w:val="single" w:sz="4" w:space="1" w:color="auto"/>
            </w:pBdr>
            <w:spacing w:before="200"/>
            <w:rPr>
              <w:sz w:val="2"/>
              <w:szCs w:val="2"/>
            </w:rPr>
          </w:pPr>
          <w:bookmarkStart w:id="2" w:name="FOOTER_STANDARD"/>
        </w:p>
      </w:tc>
    </w:tr>
    <w:tr w:rsidR="004D2915" w:rsidRPr="00B310DC" w:rsidTr="004D2915">
      <w:trPr>
        <w:jc w:val="center"/>
      </w:trPr>
      <w:tc>
        <w:tcPr>
          <w:tcW w:w="2500" w:type="pct"/>
          <w:gridSpan w:val="2"/>
          <w:shd w:val="clear" w:color="auto" w:fill="auto"/>
          <w:tcMar>
            <w:top w:w="0" w:type="dxa"/>
          </w:tcMar>
        </w:tcPr>
        <w:p w:rsidR="004D2915" w:rsidRPr="00AD7BF2" w:rsidRDefault="004D2915" w:rsidP="004D2915">
          <w:pPr>
            <w:pStyle w:val="FooterText"/>
          </w:pPr>
          <w:r>
            <w:t>EUCO 12/1/16</w:t>
          </w:r>
          <w:r w:rsidRPr="002511D8">
            <w:t xml:space="preserve"> </w:t>
          </w:r>
          <w:r>
            <w:t>REV 1</w:t>
          </w:r>
        </w:p>
      </w:tc>
      <w:tc>
        <w:tcPr>
          <w:tcW w:w="625" w:type="pct"/>
          <w:shd w:val="clear" w:color="auto" w:fill="auto"/>
          <w:tcMar>
            <w:top w:w="0" w:type="dxa"/>
          </w:tcMar>
        </w:tcPr>
        <w:p w:rsidR="004D2915" w:rsidRPr="00AD7BF2" w:rsidRDefault="004D2915" w:rsidP="004D2915">
          <w:pPr>
            <w:pStyle w:val="FooterText"/>
            <w:jc w:val="center"/>
          </w:pPr>
        </w:p>
      </w:tc>
      <w:tc>
        <w:tcPr>
          <w:tcW w:w="1287" w:type="pct"/>
          <w:gridSpan w:val="3"/>
          <w:shd w:val="clear" w:color="auto" w:fill="auto"/>
          <w:tcMar>
            <w:top w:w="0" w:type="dxa"/>
          </w:tcMar>
        </w:tcPr>
        <w:p w:rsidR="004D2915" w:rsidRPr="002511D8" w:rsidRDefault="004D2915" w:rsidP="004D2915">
          <w:pPr>
            <w:pStyle w:val="FooterText"/>
            <w:jc w:val="center"/>
          </w:pPr>
        </w:p>
      </w:tc>
      <w:tc>
        <w:tcPr>
          <w:tcW w:w="588" w:type="pct"/>
          <w:shd w:val="clear" w:color="auto" w:fill="auto"/>
          <w:tcMar>
            <w:top w:w="0" w:type="dxa"/>
          </w:tcMar>
        </w:tcPr>
        <w:p w:rsidR="004D2915" w:rsidRPr="00B310DC" w:rsidRDefault="004D2915" w:rsidP="004D2915">
          <w:pPr>
            <w:pStyle w:val="FooterText"/>
            <w:jc w:val="right"/>
          </w:pPr>
          <w:r>
            <w:fldChar w:fldCharType="begin"/>
          </w:r>
          <w:r>
            <w:instrText xml:space="preserve"> PAGE  \* MERGEFORMAT </w:instrText>
          </w:r>
          <w:r>
            <w:fldChar w:fldCharType="separate"/>
          </w:r>
          <w:r>
            <w:rPr>
              <w:noProof/>
            </w:rPr>
            <w:t>5</w:t>
          </w:r>
          <w:r>
            <w:fldChar w:fldCharType="end"/>
          </w:r>
        </w:p>
      </w:tc>
    </w:tr>
    <w:tr w:rsidR="004D2915" w:rsidRPr="00D94637" w:rsidTr="004D2915">
      <w:trPr>
        <w:jc w:val="center"/>
      </w:trPr>
      <w:tc>
        <w:tcPr>
          <w:tcW w:w="1774" w:type="pct"/>
          <w:shd w:val="clear" w:color="auto" w:fill="auto"/>
        </w:tcPr>
        <w:p w:rsidR="004D2915" w:rsidRPr="00AD7BF2" w:rsidRDefault="004D2915" w:rsidP="004D2915">
          <w:pPr>
            <w:pStyle w:val="FooterText"/>
            <w:spacing w:before="40"/>
          </w:pPr>
        </w:p>
      </w:tc>
      <w:tc>
        <w:tcPr>
          <w:tcW w:w="1455" w:type="pct"/>
          <w:gridSpan w:val="3"/>
          <w:shd w:val="clear" w:color="auto" w:fill="auto"/>
        </w:tcPr>
        <w:p w:rsidR="004D2915" w:rsidRPr="00AD7BF2" w:rsidRDefault="004D2915" w:rsidP="004D2915">
          <w:pPr>
            <w:pStyle w:val="FooterText"/>
            <w:spacing w:before="40"/>
            <w:jc w:val="center"/>
          </w:pPr>
        </w:p>
      </w:tc>
      <w:tc>
        <w:tcPr>
          <w:tcW w:w="1147" w:type="pct"/>
          <w:shd w:val="clear" w:color="auto" w:fill="auto"/>
        </w:tcPr>
        <w:p w:rsidR="004D2915" w:rsidRPr="00D94637" w:rsidRDefault="004D2915" w:rsidP="004D2915">
          <w:pPr>
            <w:pStyle w:val="FooterText"/>
            <w:jc w:val="right"/>
            <w:rPr>
              <w:b/>
              <w:position w:val="-4"/>
              <w:sz w:val="36"/>
            </w:rPr>
          </w:pPr>
        </w:p>
      </w:tc>
      <w:tc>
        <w:tcPr>
          <w:tcW w:w="625" w:type="pct"/>
          <w:gridSpan w:val="2"/>
          <w:shd w:val="clear" w:color="auto" w:fill="auto"/>
        </w:tcPr>
        <w:p w:rsidR="004D2915" w:rsidRPr="00D94637" w:rsidRDefault="004D2915" w:rsidP="004D2915">
          <w:pPr>
            <w:pStyle w:val="FooterText"/>
            <w:jc w:val="right"/>
            <w:rPr>
              <w:sz w:val="16"/>
            </w:rPr>
          </w:pPr>
          <w:r>
            <w:rPr>
              <w:b/>
              <w:position w:val="-4"/>
              <w:sz w:val="36"/>
            </w:rPr>
            <w:t>SK</w:t>
          </w:r>
        </w:p>
      </w:tc>
    </w:tr>
    <w:bookmarkEnd w:id="2"/>
  </w:tbl>
  <w:p w:rsidR="004D2915" w:rsidRPr="0034715E" w:rsidRDefault="004D2915" w:rsidP="004D2915">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204950"/>
      <w:docPartObj>
        <w:docPartGallery w:val="Page Numbers (Bottom of Page)"/>
        <w:docPartUnique/>
      </w:docPartObj>
    </w:sdtPr>
    <w:sdtEndPr/>
    <w:sdtContent>
      <w:p w:rsidR="007307FB" w:rsidRDefault="007307FB">
        <w:pPr>
          <w:pStyle w:val="Pta"/>
          <w:jc w:val="right"/>
        </w:pPr>
      </w:p>
      <w:tbl>
        <w:tblPr>
          <w:tblW w:w="5000" w:type="pct"/>
          <w:jc w:val="center"/>
          <w:tblLayout w:type="fixed"/>
          <w:tblCellMar>
            <w:left w:w="0" w:type="dxa"/>
            <w:right w:w="0" w:type="dxa"/>
          </w:tblCellMar>
          <w:tblLook w:val="01E0" w:firstRow="1" w:lastRow="1" w:firstColumn="1" w:lastColumn="1" w:noHBand="0" w:noVBand="0"/>
        </w:tblPr>
        <w:tblGrid>
          <w:gridCol w:w="9639"/>
        </w:tblGrid>
        <w:tr w:rsidR="007307FB" w:rsidRPr="00D94637" w:rsidTr="00950B25">
          <w:trPr>
            <w:jc w:val="center"/>
          </w:trPr>
          <w:tc>
            <w:tcPr>
              <w:tcW w:w="5000" w:type="pct"/>
              <w:shd w:val="clear" w:color="auto" w:fill="auto"/>
              <w:tcMar>
                <w:top w:w="57" w:type="dxa"/>
              </w:tcMar>
            </w:tcPr>
            <w:p w:rsidR="007307FB" w:rsidRPr="00D94637" w:rsidRDefault="007307FB" w:rsidP="00950B25">
              <w:pPr>
                <w:pStyle w:val="FooterText"/>
                <w:pBdr>
                  <w:top w:val="single" w:sz="4" w:space="1" w:color="auto"/>
                </w:pBdr>
                <w:spacing w:before="200"/>
                <w:rPr>
                  <w:sz w:val="2"/>
                  <w:szCs w:val="2"/>
                </w:rPr>
              </w:pPr>
            </w:p>
          </w:tc>
        </w:tr>
      </w:tbl>
      <w:p w:rsidR="00365F01" w:rsidRDefault="00365F01">
        <w:pPr>
          <w:pStyle w:val="Pta"/>
          <w:jc w:val="right"/>
        </w:pPr>
        <w:r>
          <w:fldChar w:fldCharType="begin"/>
        </w:r>
        <w:r>
          <w:instrText>PAGE   \* MERGEFORMAT</w:instrText>
        </w:r>
        <w:r>
          <w:fldChar w:fldCharType="separate"/>
        </w:r>
        <w:r w:rsidR="007307FB">
          <w:rPr>
            <w:noProof/>
          </w:rPr>
          <w:t>1</w:t>
        </w:r>
        <w:r>
          <w:fldChar w:fldCharType="end"/>
        </w:r>
      </w:p>
      <w:p w:rsidR="00365F01" w:rsidRDefault="00365F01">
        <w:pPr>
          <w:pStyle w:val="Pta"/>
          <w:jc w:val="right"/>
        </w:pPr>
        <w:r>
          <w:rPr>
            <w:b/>
            <w:position w:val="-4"/>
            <w:sz w:val="36"/>
          </w:rPr>
          <w:t>SK</w:t>
        </w:r>
      </w:p>
    </w:sdtContent>
  </w:sdt>
  <w:p w:rsidR="004D2915" w:rsidRPr="0034715E" w:rsidRDefault="004D2915" w:rsidP="004D2915">
    <w:pPr>
      <w:pStyle w:val="FooterCouncil"/>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346088"/>
      <w:docPartObj>
        <w:docPartGallery w:val="Page Numbers (Bottom of Page)"/>
        <w:docPartUnique/>
      </w:docPartObj>
    </w:sdtPr>
    <w:sdtEndPr/>
    <w:sdtContent>
      <w:p w:rsidR="007307FB" w:rsidRDefault="007307FB">
        <w:pPr>
          <w:pStyle w:val="Pta"/>
          <w:jc w:val="right"/>
        </w:pPr>
      </w:p>
      <w:tbl>
        <w:tblPr>
          <w:tblW w:w="5000" w:type="pct"/>
          <w:jc w:val="center"/>
          <w:tblLayout w:type="fixed"/>
          <w:tblCellMar>
            <w:left w:w="0" w:type="dxa"/>
            <w:right w:w="0" w:type="dxa"/>
          </w:tblCellMar>
          <w:tblLook w:val="01E0" w:firstRow="1" w:lastRow="1" w:firstColumn="1" w:lastColumn="1" w:noHBand="0" w:noVBand="0"/>
        </w:tblPr>
        <w:tblGrid>
          <w:gridCol w:w="9072"/>
        </w:tblGrid>
        <w:tr w:rsidR="007307FB" w:rsidRPr="00D94637" w:rsidTr="00950B25">
          <w:trPr>
            <w:jc w:val="center"/>
          </w:trPr>
          <w:tc>
            <w:tcPr>
              <w:tcW w:w="5000" w:type="pct"/>
              <w:shd w:val="clear" w:color="auto" w:fill="auto"/>
              <w:tcMar>
                <w:top w:w="57" w:type="dxa"/>
              </w:tcMar>
            </w:tcPr>
            <w:p w:rsidR="007307FB" w:rsidRPr="00D94637" w:rsidRDefault="007307FB" w:rsidP="00950B25">
              <w:pPr>
                <w:pStyle w:val="FooterText"/>
                <w:pBdr>
                  <w:top w:val="single" w:sz="4" w:space="1" w:color="auto"/>
                </w:pBdr>
                <w:spacing w:before="200"/>
                <w:rPr>
                  <w:sz w:val="2"/>
                  <w:szCs w:val="2"/>
                </w:rPr>
              </w:pPr>
            </w:p>
          </w:tc>
        </w:tr>
      </w:tbl>
      <w:p w:rsidR="00365F01" w:rsidRDefault="00365F01">
        <w:pPr>
          <w:pStyle w:val="Pta"/>
          <w:jc w:val="right"/>
        </w:pPr>
        <w:r>
          <w:fldChar w:fldCharType="begin"/>
        </w:r>
        <w:r>
          <w:instrText>PAGE   \* MERGEFORMAT</w:instrText>
        </w:r>
        <w:r>
          <w:fldChar w:fldCharType="separate"/>
        </w:r>
        <w:r w:rsidR="007307FB">
          <w:rPr>
            <w:noProof/>
          </w:rPr>
          <w:t>2</w:t>
        </w:r>
        <w:r>
          <w:fldChar w:fldCharType="end"/>
        </w:r>
      </w:p>
      <w:p w:rsidR="004D2915" w:rsidRDefault="00365F01" w:rsidP="00365F01">
        <w:pPr>
          <w:pStyle w:val="Pta"/>
          <w:jc w:val="right"/>
        </w:pPr>
        <w:r>
          <w:rPr>
            <w:b/>
            <w:position w:val="-4"/>
            <w:sz w:val="36"/>
          </w:rPr>
          <w:t>SK</w: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6369817"/>
      <w:docPartObj>
        <w:docPartGallery w:val="Page Numbers (Bottom of Page)"/>
        <w:docPartUnique/>
      </w:docPartObj>
    </w:sdtPr>
    <w:sdtEndPr/>
    <w:sdtContent>
      <w:p w:rsidR="007307FB" w:rsidRDefault="007307FB">
        <w:pPr>
          <w:pStyle w:val="Pta"/>
          <w:jc w:val="right"/>
        </w:pPr>
      </w:p>
      <w:tbl>
        <w:tblPr>
          <w:tblW w:w="5000" w:type="pct"/>
          <w:jc w:val="center"/>
          <w:tblLayout w:type="fixed"/>
          <w:tblCellMar>
            <w:left w:w="0" w:type="dxa"/>
            <w:right w:w="0" w:type="dxa"/>
          </w:tblCellMar>
          <w:tblLook w:val="01E0" w:firstRow="1" w:lastRow="1" w:firstColumn="1" w:lastColumn="1" w:noHBand="0" w:noVBand="0"/>
        </w:tblPr>
        <w:tblGrid>
          <w:gridCol w:w="9072"/>
        </w:tblGrid>
        <w:tr w:rsidR="007307FB" w:rsidRPr="00D94637" w:rsidTr="00950B25">
          <w:trPr>
            <w:jc w:val="center"/>
          </w:trPr>
          <w:tc>
            <w:tcPr>
              <w:tcW w:w="5000" w:type="pct"/>
              <w:shd w:val="clear" w:color="auto" w:fill="auto"/>
              <w:tcMar>
                <w:top w:w="57" w:type="dxa"/>
              </w:tcMar>
            </w:tcPr>
            <w:p w:rsidR="007307FB" w:rsidRPr="00D94637" w:rsidRDefault="007307FB" w:rsidP="00950B25">
              <w:pPr>
                <w:pStyle w:val="FooterText"/>
                <w:pBdr>
                  <w:top w:val="single" w:sz="4" w:space="1" w:color="auto"/>
                </w:pBdr>
                <w:spacing w:before="200"/>
                <w:rPr>
                  <w:sz w:val="2"/>
                  <w:szCs w:val="2"/>
                </w:rPr>
              </w:pPr>
            </w:p>
          </w:tc>
        </w:tr>
      </w:tbl>
      <w:bookmarkStart w:id="3" w:name="_GoBack"/>
      <w:bookmarkEnd w:id="3"/>
      <w:p w:rsidR="00753F75" w:rsidRDefault="00753F75">
        <w:pPr>
          <w:pStyle w:val="Pta"/>
          <w:jc w:val="right"/>
        </w:pPr>
        <w:r>
          <w:fldChar w:fldCharType="begin"/>
        </w:r>
        <w:r>
          <w:instrText>PAGE   \* MERGEFORMAT</w:instrText>
        </w:r>
        <w:r>
          <w:fldChar w:fldCharType="separate"/>
        </w:r>
        <w:r w:rsidR="007307FB">
          <w:rPr>
            <w:noProof/>
          </w:rPr>
          <w:t>1</w:t>
        </w:r>
        <w:r>
          <w:fldChar w:fldCharType="end"/>
        </w:r>
      </w:p>
      <w:p w:rsidR="004D2915" w:rsidRDefault="00753F75" w:rsidP="00365F01">
        <w:pPr>
          <w:pStyle w:val="Pta"/>
          <w:jc w:val="right"/>
        </w:pPr>
        <w:r>
          <w:rPr>
            <w:b/>
            <w:position w:val="-4"/>
            <w:sz w:val="36"/>
          </w:rPr>
          <w:t>EN</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915" w:rsidRDefault="004D2915" w:rsidP="004D2915">
      <w:pPr>
        <w:spacing w:after="0" w:line="240" w:lineRule="auto"/>
      </w:pPr>
      <w:r>
        <w:separator/>
      </w:r>
    </w:p>
  </w:footnote>
  <w:footnote w:type="continuationSeparator" w:id="0">
    <w:p w:rsidR="004D2915" w:rsidRDefault="004D2915" w:rsidP="004D2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F01" w:rsidRDefault="00365F01">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F01" w:rsidRDefault="00365F01">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F01" w:rsidRDefault="00365F01">
    <w:pPr>
      <w:pStyle w:val="Hlavik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915" w:rsidRPr="0028522D" w:rsidRDefault="004D2915" w:rsidP="004D2915">
    <w:pPr>
      <w:pStyle w:val="HeaderCouncil"/>
    </w:pPr>
  </w:p>
  <w:p w:rsidR="004D2915" w:rsidRDefault="004D2915"/>
  <w:p w:rsidR="004D2915" w:rsidRDefault="004D291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63024"/>
    <w:multiLevelType w:val="hybridMultilevel"/>
    <w:tmpl w:val="9D60FB66"/>
    <w:lvl w:ilvl="0" w:tplc="287A35E4">
      <w:start w:val="1"/>
      <w:numFmt w:val="decimal"/>
      <w:lvlText w:val="%1."/>
      <w:lvlJc w:val="left"/>
      <w:pPr>
        <w:ind w:left="360" w:hanging="360"/>
      </w:pPr>
      <w:rPr>
        <w:b w:val="0"/>
        <w:bCs w:val="0"/>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0"/>
  </w:num>
  <w:num w:numId="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1BC"/>
    <w:rsid w:val="00196956"/>
    <w:rsid w:val="00365F01"/>
    <w:rsid w:val="003A7AF3"/>
    <w:rsid w:val="004D2915"/>
    <w:rsid w:val="007021BC"/>
    <w:rsid w:val="007307FB"/>
    <w:rsid w:val="00753F75"/>
    <w:rsid w:val="00B4754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D291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4D2915"/>
    <w:pPr>
      <w:tabs>
        <w:tab w:val="center" w:pos="4536"/>
        <w:tab w:val="right" w:pos="9072"/>
      </w:tabs>
      <w:spacing w:after="0" w:line="240" w:lineRule="auto"/>
    </w:pPr>
    <w:rPr>
      <w:rFonts w:ascii="Times New Roman" w:eastAsia="Times New Roman" w:hAnsi="Times New Roman" w:cs="Times New Roman"/>
      <w:sz w:val="24"/>
      <w:szCs w:val="24"/>
      <w:lang w:eastAsia="sk-SK"/>
    </w:rPr>
  </w:style>
  <w:style w:type="character" w:customStyle="1" w:styleId="PtaChar">
    <w:name w:val="Päta Char"/>
    <w:basedOn w:val="Predvolenpsmoodseku"/>
    <w:link w:val="Pta"/>
    <w:uiPriority w:val="99"/>
    <w:rsid w:val="004D2915"/>
    <w:rPr>
      <w:rFonts w:ascii="Times New Roman" w:eastAsia="Times New Roman" w:hAnsi="Times New Roman" w:cs="Times New Roman"/>
      <w:sz w:val="24"/>
      <w:szCs w:val="24"/>
      <w:lang w:eastAsia="sk-SK"/>
    </w:rPr>
  </w:style>
  <w:style w:type="paragraph" w:customStyle="1" w:styleId="HeaderCouncil">
    <w:name w:val="Header Council"/>
    <w:basedOn w:val="Normlny"/>
    <w:rsid w:val="004D2915"/>
    <w:pPr>
      <w:spacing w:after="0" w:line="240" w:lineRule="auto"/>
    </w:pPr>
    <w:rPr>
      <w:rFonts w:ascii="Times New Roman" w:eastAsia="Times New Roman" w:hAnsi="Times New Roman" w:cs="Times New Roman"/>
      <w:sz w:val="2"/>
      <w:szCs w:val="24"/>
    </w:rPr>
  </w:style>
  <w:style w:type="paragraph" w:customStyle="1" w:styleId="FooterCouncil">
    <w:name w:val="Footer Council"/>
    <w:basedOn w:val="Normlny"/>
    <w:rsid w:val="004D2915"/>
    <w:pPr>
      <w:spacing w:after="0" w:line="240" w:lineRule="auto"/>
    </w:pPr>
    <w:rPr>
      <w:rFonts w:ascii="Times New Roman" w:eastAsia="Times New Roman" w:hAnsi="Times New Roman" w:cs="Times New Roman"/>
      <w:sz w:val="2"/>
      <w:szCs w:val="24"/>
    </w:rPr>
  </w:style>
  <w:style w:type="paragraph" w:customStyle="1" w:styleId="FooterText">
    <w:name w:val="Footer Text"/>
    <w:basedOn w:val="Normlny"/>
    <w:rsid w:val="004D2915"/>
    <w:pPr>
      <w:spacing w:after="0" w:line="240" w:lineRule="auto"/>
    </w:pPr>
    <w:rPr>
      <w:rFonts w:ascii="Times New Roman" w:eastAsia="Times New Roman" w:hAnsi="Times New Roman" w:cs="Times New Roman"/>
      <w:sz w:val="24"/>
      <w:szCs w:val="24"/>
    </w:rPr>
  </w:style>
  <w:style w:type="paragraph" w:styleId="Textbubliny">
    <w:name w:val="Balloon Text"/>
    <w:basedOn w:val="Normlny"/>
    <w:link w:val="TextbublinyChar"/>
    <w:uiPriority w:val="99"/>
    <w:semiHidden/>
    <w:unhideWhenUsed/>
    <w:rsid w:val="004D291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D2915"/>
    <w:rPr>
      <w:rFonts w:ascii="Tahoma" w:hAnsi="Tahoma" w:cs="Tahoma"/>
      <w:sz w:val="16"/>
      <w:szCs w:val="16"/>
    </w:rPr>
  </w:style>
  <w:style w:type="paragraph" w:customStyle="1" w:styleId="TechnicalBlock">
    <w:name w:val="Technical Block"/>
    <w:basedOn w:val="Normlny"/>
    <w:next w:val="Normlny"/>
    <w:link w:val="TechnicalBlockChar"/>
    <w:rsid w:val="004D2915"/>
    <w:pPr>
      <w:spacing w:after="240" w:line="240" w:lineRule="auto"/>
      <w:jc w:val="center"/>
    </w:pPr>
    <w:rPr>
      <w:rFonts w:ascii="Times New Roman" w:eastAsia="Times New Roman" w:hAnsi="Times New Roman" w:cs="Times New Roman"/>
      <w:sz w:val="24"/>
      <w:szCs w:val="24"/>
    </w:rPr>
  </w:style>
  <w:style w:type="character" w:customStyle="1" w:styleId="TechnicalBlockChar">
    <w:name w:val="Technical Block Char"/>
    <w:link w:val="TechnicalBlock"/>
    <w:rsid w:val="004D2915"/>
    <w:rPr>
      <w:rFonts w:ascii="Times New Roman" w:eastAsia="Times New Roman" w:hAnsi="Times New Roman" w:cs="Times New Roman"/>
      <w:sz w:val="24"/>
      <w:szCs w:val="24"/>
    </w:rPr>
  </w:style>
  <w:style w:type="paragraph" w:styleId="Hlavika">
    <w:name w:val="header"/>
    <w:basedOn w:val="Normlny"/>
    <w:link w:val="HlavikaChar"/>
    <w:uiPriority w:val="99"/>
    <w:unhideWhenUsed/>
    <w:rsid w:val="004D291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D29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D291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4D2915"/>
    <w:pPr>
      <w:tabs>
        <w:tab w:val="center" w:pos="4536"/>
        <w:tab w:val="right" w:pos="9072"/>
      </w:tabs>
      <w:spacing w:after="0" w:line="240" w:lineRule="auto"/>
    </w:pPr>
    <w:rPr>
      <w:rFonts w:ascii="Times New Roman" w:eastAsia="Times New Roman" w:hAnsi="Times New Roman" w:cs="Times New Roman"/>
      <w:sz w:val="24"/>
      <w:szCs w:val="24"/>
      <w:lang w:eastAsia="sk-SK"/>
    </w:rPr>
  </w:style>
  <w:style w:type="character" w:customStyle="1" w:styleId="PtaChar">
    <w:name w:val="Päta Char"/>
    <w:basedOn w:val="Predvolenpsmoodseku"/>
    <w:link w:val="Pta"/>
    <w:uiPriority w:val="99"/>
    <w:rsid w:val="004D2915"/>
    <w:rPr>
      <w:rFonts w:ascii="Times New Roman" w:eastAsia="Times New Roman" w:hAnsi="Times New Roman" w:cs="Times New Roman"/>
      <w:sz w:val="24"/>
      <w:szCs w:val="24"/>
      <w:lang w:eastAsia="sk-SK"/>
    </w:rPr>
  </w:style>
  <w:style w:type="paragraph" w:customStyle="1" w:styleId="HeaderCouncil">
    <w:name w:val="Header Council"/>
    <w:basedOn w:val="Normlny"/>
    <w:rsid w:val="004D2915"/>
    <w:pPr>
      <w:spacing w:after="0" w:line="240" w:lineRule="auto"/>
    </w:pPr>
    <w:rPr>
      <w:rFonts w:ascii="Times New Roman" w:eastAsia="Times New Roman" w:hAnsi="Times New Roman" w:cs="Times New Roman"/>
      <w:sz w:val="2"/>
      <w:szCs w:val="24"/>
    </w:rPr>
  </w:style>
  <w:style w:type="paragraph" w:customStyle="1" w:styleId="FooterCouncil">
    <w:name w:val="Footer Council"/>
    <w:basedOn w:val="Normlny"/>
    <w:rsid w:val="004D2915"/>
    <w:pPr>
      <w:spacing w:after="0" w:line="240" w:lineRule="auto"/>
    </w:pPr>
    <w:rPr>
      <w:rFonts w:ascii="Times New Roman" w:eastAsia="Times New Roman" w:hAnsi="Times New Roman" w:cs="Times New Roman"/>
      <w:sz w:val="2"/>
      <w:szCs w:val="24"/>
    </w:rPr>
  </w:style>
  <w:style w:type="paragraph" w:customStyle="1" w:styleId="FooterText">
    <w:name w:val="Footer Text"/>
    <w:basedOn w:val="Normlny"/>
    <w:rsid w:val="004D2915"/>
    <w:pPr>
      <w:spacing w:after="0" w:line="240" w:lineRule="auto"/>
    </w:pPr>
    <w:rPr>
      <w:rFonts w:ascii="Times New Roman" w:eastAsia="Times New Roman" w:hAnsi="Times New Roman" w:cs="Times New Roman"/>
      <w:sz w:val="24"/>
      <w:szCs w:val="24"/>
    </w:rPr>
  </w:style>
  <w:style w:type="paragraph" w:styleId="Textbubliny">
    <w:name w:val="Balloon Text"/>
    <w:basedOn w:val="Normlny"/>
    <w:link w:val="TextbublinyChar"/>
    <w:uiPriority w:val="99"/>
    <w:semiHidden/>
    <w:unhideWhenUsed/>
    <w:rsid w:val="004D291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D2915"/>
    <w:rPr>
      <w:rFonts w:ascii="Tahoma" w:hAnsi="Tahoma" w:cs="Tahoma"/>
      <w:sz w:val="16"/>
      <w:szCs w:val="16"/>
    </w:rPr>
  </w:style>
  <w:style w:type="paragraph" w:customStyle="1" w:styleId="TechnicalBlock">
    <w:name w:val="Technical Block"/>
    <w:basedOn w:val="Normlny"/>
    <w:next w:val="Normlny"/>
    <w:link w:val="TechnicalBlockChar"/>
    <w:rsid w:val="004D2915"/>
    <w:pPr>
      <w:spacing w:after="240" w:line="240" w:lineRule="auto"/>
      <w:jc w:val="center"/>
    </w:pPr>
    <w:rPr>
      <w:rFonts w:ascii="Times New Roman" w:eastAsia="Times New Roman" w:hAnsi="Times New Roman" w:cs="Times New Roman"/>
      <w:sz w:val="24"/>
      <w:szCs w:val="24"/>
    </w:rPr>
  </w:style>
  <w:style w:type="character" w:customStyle="1" w:styleId="TechnicalBlockChar">
    <w:name w:val="Technical Block Char"/>
    <w:link w:val="TechnicalBlock"/>
    <w:rsid w:val="004D2915"/>
    <w:rPr>
      <w:rFonts w:ascii="Times New Roman" w:eastAsia="Times New Roman" w:hAnsi="Times New Roman" w:cs="Times New Roman"/>
      <w:sz w:val="24"/>
      <w:szCs w:val="24"/>
    </w:rPr>
  </w:style>
  <w:style w:type="paragraph" w:styleId="Hlavika">
    <w:name w:val="header"/>
    <w:basedOn w:val="Normlny"/>
    <w:link w:val="HlavikaChar"/>
    <w:uiPriority w:val="99"/>
    <w:unhideWhenUsed/>
    <w:rsid w:val="004D291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D2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customXml" Target="../customXml/item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e60a29af-d413-48d4-bd90-fe9d2a897e4b">WKX3UHSAJ2R6-2-438432</_dlc_DocId>
    <_dlc_DocIdUrl xmlns="e60a29af-d413-48d4-bd90-fe9d2a897e4b">
      <Url>https://ovdmasv601/sites/DMS/_layouts/15/DocIdRedir.aspx?ID=WKX3UHSAJ2R6-2-438432</Url>
      <Description>WKX3UHSAJ2R6-2-438432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03208-D9A4-40CD-9D90-F85023F51FC6}"/>
</file>

<file path=customXml/itemProps2.xml><?xml version="1.0" encoding="utf-8"?>
<ds:datastoreItem xmlns:ds="http://schemas.openxmlformats.org/officeDocument/2006/customXml" ds:itemID="{BBEDD27A-F73D-4CED-AF99-124B9E8F1EDD}"/>
</file>

<file path=customXml/itemProps3.xml><?xml version="1.0" encoding="utf-8"?>
<ds:datastoreItem xmlns:ds="http://schemas.openxmlformats.org/officeDocument/2006/customXml" ds:itemID="{E3430AD3-CD1B-4309-AC3C-C657854B5F08}"/>
</file>

<file path=customXml/itemProps4.xml><?xml version="1.0" encoding="utf-8"?>
<ds:datastoreItem xmlns:ds="http://schemas.openxmlformats.org/officeDocument/2006/customXml" ds:itemID="{351C53B8-45B5-475E-9E90-E1EA24DB650F}"/>
</file>

<file path=customXml/itemProps5.xml><?xml version="1.0" encoding="utf-8"?>
<ds:datastoreItem xmlns:ds="http://schemas.openxmlformats.org/officeDocument/2006/customXml" ds:itemID="{5B946E4E-7276-4AA3-8C80-910D2F91800C}"/>
</file>

<file path=docProps/app.xml><?xml version="1.0" encoding="utf-8"?>
<Properties xmlns="http://schemas.openxmlformats.org/officeDocument/2006/extended-properties" xmlns:vt="http://schemas.openxmlformats.org/officeDocument/2006/docPropsVTypes">
  <Template>Normal.dotm</Template>
  <TotalTime>56</TotalTime>
  <Pages>11</Pages>
  <Words>2366</Words>
  <Characters>13490</Characters>
  <Application>Microsoft Office Word</Application>
  <DocSecurity>0</DocSecurity>
  <Lines>112</Lines>
  <Paragraphs>31</Paragraphs>
  <ScaleCrop>false</ScaleCrop>
  <HeadingPairs>
    <vt:vector size="2" baseType="variant">
      <vt:variant>
        <vt:lpstr>Názov</vt:lpstr>
      </vt:variant>
      <vt:variant>
        <vt:i4>1</vt:i4>
      </vt:variant>
    </vt:vector>
  </HeadingPairs>
  <TitlesOfParts>
    <vt:vector size="1" baseType="lpstr">
      <vt:lpstr/>
    </vt:vector>
  </TitlesOfParts>
  <Company>MZV SR</Company>
  <LinksUpToDate>false</LinksUpToDate>
  <CharactersWithSpaces>15825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2016-03-30T10:05:00Z</dcterms:created>
  <dcterms:modified xsi:type="dcterms:W3CDTF">2016-03-30T11:18:00Z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136cf70d-8c68-41aa-8d9d-80d7e4584b0a</vt:lpwstr>
  </property>
</Properties>
</file>