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9062"/>
      </w:tblGrid>
      <w:tr w:rsidR="009F2DFA" w:rsidRPr="00F04CCD" w:rsidTr="007B71A4">
        <w:trPr>
          <w:trHeight w:val="567"/>
        </w:trPr>
        <w:tc>
          <w:tcPr>
            <w:tcW w:w="9212" w:type="dxa"/>
            <w:shd w:val="clear" w:color="auto" w:fill="D9D9D9" w:themeFill="background1" w:themeFillShade="D9"/>
          </w:tcPr>
          <w:p w:rsidR="009F2DFA" w:rsidRPr="00042C66" w:rsidRDefault="008A1252" w:rsidP="007B71A4">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7B71A4">
        <w:trPr>
          <w:trHeight w:val="567"/>
        </w:trPr>
        <w:tc>
          <w:tcPr>
            <w:tcW w:w="9212" w:type="dxa"/>
            <w:shd w:val="clear" w:color="auto" w:fill="D9D9D9" w:themeFill="background1" w:themeFillShade="D9"/>
          </w:tcPr>
          <w:p w:rsidR="009F2DFA" w:rsidRPr="00042C66" w:rsidRDefault="009F2DFA" w:rsidP="007B71A4">
            <w:pPr>
              <w:rPr>
                <w:b/>
                <w:sz w:val="24"/>
              </w:rPr>
            </w:pPr>
            <w:r w:rsidRPr="00042C66">
              <w:rPr>
                <w:b/>
                <w:sz w:val="24"/>
              </w:rPr>
              <w:t>Materiál bude mať vplyv s ohľadom na veľkostnú kategóriu podnikov:</w:t>
            </w:r>
          </w:p>
        </w:tc>
      </w:tr>
      <w:tr w:rsidR="009F2DFA" w:rsidRPr="00F04CCD" w:rsidTr="007B71A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9F2DFA" w:rsidRPr="00F04CCD" w:rsidTr="007B71A4">
              <w:sdt>
                <w:sdtPr>
                  <w:id w:val="43339831"/>
                  <w14:checkbox>
                    <w14:checked w14:val="0"/>
                    <w14:checkedState w14:val="2612" w14:font="MS Gothic"/>
                    <w14:uncheckedState w14:val="2610" w14:font="MS Gothic"/>
                  </w14:checkbox>
                </w:sdtPr>
                <w:sdtEndPr/>
                <w:sdtContent>
                  <w:tc>
                    <w:tcPr>
                      <w:tcW w:w="436" w:type="dxa"/>
                    </w:tcPr>
                    <w:p w:rsidR="009F2DFA" w:rsidRPr="00F04CCD" w:rsidRDefault="00D74C6E" w:rsidP="007B71A4">
                      <w:pPr>
                        <w:jc w:val="center"/>
                      </w:pPr>
                      <w:r>
                        <w:rPr>
                          <w:rFonts w:ascii="MS Gothic" w:eastAsia="MS Gothic" w:hAnsi="MS Gothic" w:hint="eastAsia"/>
                        </w:rPr>
                        <w:t>☐</w:t>
                      </w:r>
                    </w:p>
                  </w:tc>
                </w:sdtContent>
              </w:sdt>
              <w:tc>
                <w:tcPr>
                  <w:tcW w:w="8545" w:type="dxa"/>
                </w:tcPr>
                <w:p w:rsidR="009F2DFA" w:rsidRPr="00F04CCD" w:rsidRDefault="009F2DFA" w:rsidP="007B71A4">
                  <w:pPr>
                    <w:rPr>
                      <w:b/>
                    </w:rPr>
                  </w:pPr>
                  <w:r w:rsidRPr="00F04CCD">
                    <w:rPr>
                      <w:b/>
                    </w:rPr>
                    <w:t xml:space="preserve">iba na MSP (0 - 249 zamestnancov) </w:t>
                  </w:r>
                </w:p>
              </w:tc>
            </w:tr>
            <w:tr w:rsidR="009F2DFA" w:rsidRPr="00F04CCD" w:rsidTr="007B71A4">
              <w:sdt>
                <w:sdtPr>
                  <w:id w:val="-79453833"/>
                  <w14:checkbox>
                    <w14:checked w14:val="0"/>
                    <w14:checkedState w14:val="2612" w14:font="MS Gothic"/>
                    <w14:uncheckedState w14:val="2610" w14:font="MS Gothic"/>
                  </w14:checkbox>
                </w:sdtPr>
                <w:sdtEndPr/>
                <w:sdtContent>
                  <w:tc>
                    <w:tcPr>
                      <w:tcW w:w="436" w:type="dxa"/>
                    </w:tcPr>
                    <w:p w:rsidR="009F2DFA" w:rsidRPr="00F04CCD" w:rsidRDefault="00D74C6E" w:rsidP="007B71A4">
                      <w:pPr>
                        <w:jc w:val="center"/>
                      </w:pPr>
                      <w:r>
                        <w:rPr>
                          <w:rFonts w:ascii="MS Gothic" w:eastAsia="MS Gothic" w:hAnsi="MS Gothic" w:hint="eastAsia"/>
                        </w:rPr>
                        <w:t>☐</w:t>
                      </w:r>
                    </w:p>
                  </w:tc>
                </w:sdtContent>
              </w:sdt>
              <w:tc>
                <w:tcPr>
                  <w:tcW w:w="8545" w:type="dxa"/>
                </w:tcPr>
                <w:p w:rsidR="009F2DFA" w:rsidRPr="00F04CCD" w:rsidRDefault="009F2DFA" w:rsidP="007B71A4">
                  <w:pPr>
                    <w:rPr>
                      <w:b/>
                    </w:rPr>
                  </w:pPr>
                  <w:r w:rsidRPr="00F04CCD">
                    <w:rPr>
                      <w:b/>
                    </w:rPr>
                    <w:t>iba na veľké podniky (250 a viac zamestnancov)</w:t>
                  </w:r>
                </w:p>
              </w:tc>
            </w:tr>
            <w:tr w:rsidR="009F2DFA" w:rsidRPr="00F04CCD" w:rsidTr="007B71A4">
              <w:sdt>
                <w:sdtPr>
                  <w:id w:val="1290634502"/>
                  <w14:checkbox>
                    <w14:checked w14:val="1"/>
                    <w14:checkedState w14:val="2612" w14:font="MS Gothic"/>
                    <w14:uncheckedState w14:val="2610" w14:font="MS Gothic"/>
                  </w14:checkbox>
                </w:sdtPr>
                <w:sdtEndPr/>
                <w:sdtContent>
                  <w:tc>
                    <w:tcPr>
                      <w:tcW w:w="436" w:type="dxa"/>
                    </w:tcPr>
                    <w:p w:rsidR="009F2DFA" w:rsidRPr="00F04CCD" w:rsidRDefault="00D74C6E" w:rsidP="007B71A4">
                      <w:pPr>
                        <w:jc w:val="center"/>
                      </w:pPr>
                      <w:r>
                        <w:rPr>
                          <w:rFonts w:ascii="MS Gothic" w:eastAsia="MS Gothic" w:hAnsi="MS Gothic" w:hint="eastAsia"/>
                        </w:rPr>
                        <w:t>☒</w:t>
                      </w:r>
                    </w:p>
                  </w:tc>
                </w:sdtContent>
              </w:sdt>
              <w:tc>
                <w:tcPr>
                  <w:tcW w:w="8545" w:type="dxa"/>
                </w:tcPr>
                <w:p w:rsidR="009F2DFA" w:rsidRPr="00F04CCD" w:rsidRDefault="009F2DFA" w:rsidP="007B71A4">
                  <w:r w:rsidRPr="00F04CCD">
                    <w:rPr>
                      <w:b/>
                    </w:rPr>
                    <w:t xml:space="preserve">na všetky </w:t>
                  </w:r>
                  <w:r>
                    <w:rPr>
                      <w:b/>
                    </w:rPr>
                    <w:t>kategórie</w:t>
                  </w:r>
                  <w:r w:rsidRPr="00F04CCD">
                    <w:rPr>
                      <w:b/>
                    </w:rPr>
                    <w:t xml:space="preserve"> podnikov</w:t>
                  </w:r>
                </w:p>
              </w:tc>
            </w:tr>
          </w:tbl>
          <w:p w:rsidR="009F2DFA" w:rsidRPr="00F04CCD" w:rsidRDefault="009F2DFA" w:rsidP="007B71A4">
            <w:pPr>
              <w:rPr>
                <w:b/>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.1 Dotknuté podnikateľské subjekty</w:t>
            </w:r>
          </w:p>
          <w:p w:rsidR="009F2DFA" w:rsidRPr="00F04CCD" w:rsidRDefault="009F2DFA" w:rsidP="007B71A4">
            <w:pPr>
              <w:ind w:left="284"/>
              <w:rPr>
                <w:b/>
              </w:rPr>
            </w:pPr>
            <w:r w:rsidRPr="00042C66">
              <w:rPr>
                <w:sz w:val="24"/>
              </w:rPr>
              <w:t xml:space="preserve"> -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9F2DFA" w:rsidP="007B71A4">
            <w:pPr>
              <w:rPr>
                <w:i/>
              </w:rPr>
            </w:pPr>
            <w:r w:rsidRPr="00F04CCD">
              <w:rPr>
                <w:i/>
              </w:rPr>
              <w:t>Uveďte, aké podnikateľské subjekty budú predkladaným návrhom ovplyvnené.</w:t>
            </w:r>
          </w:p>
          <w:p w:rsidR="009F2DFA" w:rsidRPr="00F04CCD" w:rsidRDefault="009F2DFA" w:rsidP="007B71A4">
            <w:pPr>
              <w:rPr>
                <w:i/>
              </w:rPr>
            </w:pPr>
            <w:r w:rsidRPr="00F04CCD">
              <w:rPr>
                <w:i/>
              </w:rPr>
              <w:t>Aký je ich počet?</w:t>
            </w:r>
          </w:p>
        </w:tc>
      </w:tr>
      <w:tr w:rsidR="009F2DFA" w:rsidRPr="00F04CCD" w:rsidTr="007B71A4">
        <w:trPr>
          <w:trHeight w:val="1440"/>
        </w:trPr>
        <w:tc>
          <w:tcPr>
            <w:tcW w:w="9212" w:type="dxa"/>
            <w:tcBorders>
              <w:bottom w:val="single" w:sz="4" w:space="0" w:color="auto"/>
            </w:tcBorders>
          </w:tcPr>
          <w:p w:rsidR="00D66206" w:rsidRPr="007231AB" w:rsidRDefault="00D66206" w:rsidP="00D66206">
            <w:pPr>
              <w:numPr>
                <w:ilvl w:val="0"/>
                <w:numId w:val="1"/>
              </w:numPr>
              <w:spacing w:after="200" w:line="276" w:lineRule="auto"/>
              <w:ind w:left="714" w:hanging="357"/>
              <w:jc w:val="both"/>
              <w:rPr>
                <w:b/>
                <w:sz w:val="24"/>
                <w:szCs w:val="24"/>
              </w:rPr>
            </w:pPr>
            <w:r w:rsidRPr="007231AB">
              <w:rPr>
                <w:b/>
                <w:sz w:val="24"/>
                <w:szCs w:val="24"/>
              </w:rPr>
              <w:t>podnikateľského prostredia vo všeobecnosti</w:t>
            </w:r>
          </w:p>
          <w:p w:rsidR="009F2DFA" w:rsidRPr="00F04CCD" w:rsidRDefault="00D66206" w:rsidP="00D66206">
            <w:pPr>
              <w:rPr>
                <w:i/>
              </w:rPr>
            </w:pPr>
            <w:r w:rsidRPr="007231AB">
              <w:rPr>
                <w:b/>
                <w:i/>
              </w:rPr>
              <w:t>teoreticky, potenciálne každý subjekt, ktorý v komínových plynoch produkuje CO</w:t>
            </w:r>
            <w:r w:rsidRPr="007231AB">
              <w:rPr>
                <w:b/>
                <w:i/>
                <w:vertAlign w:val="subscript"/>
              </w:rPr>
              <w:t>2</w:t>
            </w:r>
            <w:r w:rsidRPr="007231AB">
              <w:rPr>
                <w:b/>
                <w:i/>
              </w:rPr>
              <w:t>. Počet takýchto subjektov nie je možné kvantifikovať, lebo to závisí od technickej, geologickej a ekonomickej dostupnosti príslušnej infraštruktúry a technológií.</w:t>
            </w:r>
            <w:r>
              <w:rPr>
                <w:i/>
              </w:rPr>
              <w:t xml:space="preserve"> </w:t>
            </w:r>
          </w:p>
        </w:tc>
      </w:tr>
      <w:tr w:rsidR="009F2DFA" w:rsidRPr="00F04CCD" w:rsidTr="007B71A4">
        <w:trPr>
          <w:trHeight w:val="339"/>
        </w:trPr>
        <w:tc>
          <w:tcPr>
            <w:tcW w:w="9212" w:type="dxa"/>
            <w:tcBorders>
              <w:bottom w:val="single" w:sz="4" w:space="0" w:color="auto"/>
            </w:tcBorders>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.2 Vyhodnotenie konzultácií</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rPr>
          <w:trHeight w:val="557"/>
        </w:trPr>
        <w:tc>
          <w:tcPr>
            <w:tcW w:w="9212" w:type="dxa"/>
            <w:tcBorders>
              <w:bottom w:val="single" w:sz="4" w:space="0" w:color="auto"/>
            </w:tcBorders>
          </w:tcPr>
          <w:p w:rsidR="009F2DFA" w:rsidRPr="00F04CCD" w:rsidRDefault="009F2DFA" w:rsidP="007B71A4">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7B71A4">
            <w:pPr>
              <w:rPr>
                <w:i/>
              </w:rPr>
            </w:pPr>
            <w:r w:rsidRPr="00F04CCD">
              <w:rPr>
                <w:i/>
              </w:rPr>
              <w:t>Ako dlho trvali konzultácie?</w:t>
            </w:r>
          </w:p>
          <w:p w:rsidR="009F2DFA" w:rsidRPr="000D2622" w:rsidRDefault="009F2DFA" w:rsidP="007B71A4">
            <w:pPr>
              <w:rPr>
                <w:i/>
              </w:rPr>
            </w:pPr>
            <w:r w:rsidRPr="00F04CCD">
              <w:rPr>
                <w:i/>
              </w:rPr>
              <w:t xml:space="preserve">Uveďte hlavné body konzultácií a výsledky konzultácií. </w:t>
            </w:r>
          </w:p>
        </w:tc>
      </w:tr>
      <w:tr w:rsidR="009F2DFA" w:rsidRPr="00F04CCD" w:rsidTr="007B71A4">
        <w:trPr>
          <w:trHeight w:val="1440"/>
        </w:trPr>
        <w:tc>
          <w:tcPr>
            <w:tcW w:w="9212" w:type="dxa"/>
            <w:tcBorders>
              <w:bottom w:val="single" w:sz="4" w:space="0" w:color="auto"/>
            </w:tcBorders>
          </w:tcPr>
          <w:p w:rsidR="007231AB" w:rsidRPr="007231AB" w:rsidRDefault="00D66206" w:rsidP="007231AB">
            <w:pPr>
              <w:rPr>
                <w:b/>
                <w:i/>
              </w:rPr>
            </w:pPr>
            <w:r w:rsidRPr="007231AB">
              <w:rPr>
                <w:b/>
                <w:i/>
              </w:rPr>
              <w:t>Konzultácie k predmetu legislatívnej úpravy boli realizované najmä v roku 2011 v rámci transpozície predmetnej smernice formou pracovnej skupiny v ktorej boli zástupcovia podnikateľskej a geologickej sféry.</w:t>
            </w:r>
            <w:r w:rsidR="007231AB" w:rsidRPr="007231AB">
              <w:rPr>
                <w:b/>
                <w:i/>
              </w:rPr>
              <w:t xml:space="preserve"> Ich pripomienky a návrhy boli priamo zakomponovanej do nového zákona. </w:t>
            </w:r>
          </w:p>
          <w:p w:rsidR="009F2DFA" w:rsidRPr="00F04CCD" w:rsidRDefault="007231AB" w:rsidP="007231AB">
            <w:pPr>
              <w:rPr>
                <w:i/>
              </w:rPr>
            </w:pPr>
            <w:r w:rsidRPr="007231AB">
              <w:rPr>
                <w:b/>
                <w:i/>
              </w:rPr>
              <w:t>V súčasnom období, keďže priamo geologické ukladanie CO2 sa nerealizuje, sme formou geologickej úlohy riešili možnosti „minerálnej sekvestrácie CO2“s významnými pozitívnymi výsledkami.</w:t>
            </w:r>
            <w:r>
              <w:rPr>
                <w:i/>
              </w:rPr>
              <w:t xml:space="preserve">   </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.3 Náklady regulácie</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.3.1 Priame finančné náklady</w:t>
            </w:r>
          </w:p>
          <w:p w:rsidR="009F2DFA" w:rsidRPr="00F04CCD" w:rsidRDefault="009F2DFA" w:rsidP="007B71A4">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7B71A4">
        <w:tc>
          <w:tcPr>
            <w:tcW w:w="9212" w:type="dxa"/>
            <w:tcBorders>
              <w:bottom w:val="single" w:sz="4" w:space="0" w:color="auto"/>
            </w:tcBorders>
          </w:tcPr>
          <w:p w:rsidR="009F2DFA" w:rsidRPr="00F04CCD" w:rsidRDefault="009F2DFA" w:rsidP="007B71A4">
            <w:pPr>
              <w:rPr>
                <w:b/>
                <w:i/>
              </w:rPr>
            </w:pPr>
          </w:p>
          <w:p w:rsidR="009F2DFA" w:rsidRPr="00F04CCD" w:rsidRDefault="007231AB" w:rsidP="007B71A4">
            <w:pPr>
              <w:rPr>
                <w:b/>
                <w:i/>
              </w:rPr>
            </w:pPr>
            <w:r>
              <w:rPr>
                <w:b/>
                <w:i/>
              </w:rPr>
              <w:t xml:space="preserve">Vyčíslenie akýchkoľvek finančných nákladov je v súčasnosti nereálne. Všetko sa odvíja od ceny povoleniek, ktoré sú dnes na </w:t>
            </w:r>
            <w:r w:rsidR="0017263E">
              <w:rPr>
                <w:b/>
                <w:i/>
              </w:rPr>
              <w:t>úrovni 5€ (s výhľadom do 8 €),</w:t>
            </w:r>
            <w:r>
              <w:rPr>
                <w:b/>
                <w:i/>
              </w:rPr>
              <w:t xml:space="preserve"> </w:t>
            </w:r>
            <w:r w:rsidR="0017263E">
              <w:rPr>
                <w:b/>
                <w:i/>
              </w:rPr>
              <w:t>ktoré sú oproti predpokladaným nákladom na ukladanie 1 tony CO2 (50 až 90 €) kriticky nízke. Pokiaľ sa nepodarí ukladanie realizovať v priemyselnom rozsahu s ekonomickým efektom tak realizácia geologického ukladania je nereálna.</w:t>
            </w: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.3.2 Nepriame finančné náklady</w:t>
            </w:r>
          </w:p>
          <w:p w:rsidR="009F2DFA" w:rsidRPr="00F04CCD" w:rsidRDefault="009F2DFA" w:rsidP="00B31A8E">
            <w:pPr>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rsidTr="007B71A4">
        <w:tc>
          <w:tcPr>
            <w:tcW w:w="9212" w:type="dxa"/>
            <w:tcBorders>
              <w:bottom w:val="single" w:sz="4" w:space="0" w:color="auto"/>
            </w:tcBorders>
          </w:tcPr>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.3.3 Administratívne náklady</w:t>
            </w:r>
          </w:p>
          <w:p w:rsidR="009F2DFA" w:rsidRPr="00F04CCD" w:rsidRDefault="009F2DFA" w:rsidP="007B71A4">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rsidTr="007B71A4">
        <w:tc>
          <w:tcPr>
            <w:tcW w:w="9212" w:type="dxa"/>
            <w:tcBorders>
              <w:bottom w:val="single" w:sz="4" w:space="0" w:color="auto"/>
            </w:tcBorders>
          </w:tcPr>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tc>
      </w:tr>
      <w:tr w:rsidR="009F2DFA" w:rsidRPr="00F04CCD" w:rsidTr="007B71A4">
        <w:trPr>
          <w:trHeight w:val="2318"/>
        </w:trPr>
        <w:tc>
          <w:tcPr>
            <w:tcW w:w="9212" w:type="dxa"/>
            <w:tcBorders>
              <w:bottom w:val="single" w:sz="4" w:space="0" w:color="auto"/>
            </w:tcBorders>
          </w:tcPr>
          <w:p w:rsidR="009F2DFA" w:rsidRPr="00F04CCD" w:rsidRDefault="002B1108" w:rsidP="007B71A4">
            <w:pPr>
              <w:rPr>
                <w:i/>
              </w:rPr>
            </w:pPr>
            <w:r>
              <w:rPr>
                <w:b/>
                <w:i/>
              </w:rPr>
              <w:lastRenderedPageBreak/>
              <w:t>3</w:t>
            </w:r>
            <w:r w:rsidR="009F2DFA" w:rsidRPr="00F04CCD">
              <w:rPr>
                <w:b/>
                <w:i/>
              </w:rPr>
              <w:t>.3.4 Súhrnná tabuľka nákladov regulácie</w:t>
            </w:r>
          </w:p>
          <w:p w:rsidR="009F2DFA" w:rsidRPr="00F04CCD" w:rsidRDefault="009F2DFA" w:rsidP="007B71A4">
            <w:pPr>
              <w:rPr>
                <w:i/>
              </w:rPr>
            </w:pPr>
          </w:p>
          <w:tbl>
            <w:tblPr>
              <w:tblStyle w:val="Mriekatabuky"/>
              <w:tblW w:w="0" w:type="auto"/>
              <w:tblLook w:val="04A0" w:firstRow="1" w:lastRow="0" w:firstColumn="1" w:lastColumn="0" w:noHBand="0" w:noVBand="1"/>
            </w:tblPr>
            <w:tblGrid>
              <w:gridCol w:w="2949"/>
              <w:gridCol w:w="2941"/>
              <w:gridCol w:w="2946"/>
            </w:tblGrid>
            <w:tr w:rsidR="009F2DFA" w:rsidRPr="00F04CCD" w:rsidTr="007B71A4">
              <w:tc>
                <w:tcPr>
                  <w:tcW w:w="2993" w:type="dxa"/>
                </w:tcPr>
                <w:p w:rsidR="009F2DFA" w:rsidRPr="00F04CCD" w:rsidRDefault="009F2DFA" w:rsidP="007B71A4">
                  <w:pPr>
                    <w:rPr>
                      <w:i/>
                    </w:rPr>
                  </w:pPr>
                </w:p>
              </w:tc>
              <w:tc>
                <w:tcPr>
                  <w:tcW w:w="2994" w:type="dxa"/>
                </w:tcPr>
                <w:p w:rsidR="009F2DFA" w:rsidRPr="00F04CCD" w:rsidRDefault="009F2DFA" w:rsidP="007B71A4">
                  <w:pPr>
                    <w:jc w:val="center"/>
                    <w:rPr>
                      <w:i/>
                    </w:rPr>
                  </w:pPr>
                  <w:r w:rsidRPr="00F04CCD">
                    <w:rPr>
                      <w:i/>
                    </w:rPr>
                    <w:t>Náklady na 1 podnikateľa</w:t>
                  </w:r>
                </w:p>
              </w:tc>
              <w:tc>
                <w:tcPr>
                  <w:tcW w:w="2994" w:type="dxa"/>
                </w:tcPr>
                <w:p w:rsidR="009F2DFA" w:rsidRPr="00F04CCD" w:rsidRDefault="009F2DFA" w:rsidP="007B71A4">
                  <w:pPr>
                    <w:jc w:val="center"/>
                    <w:rPr>
                      <w:i/>
                    </w:rPr>
                  </w:pPr>
                  <w:r w:rsidRPr="00F04CCD">
                    <w:rPr>
                      <w:i/>
                    </w:rPr>
                    <w:t>Náklady na celé podnikateľské prostredie</w:t>
                  </w:r>
                </w:p>
              </w:tc>
            </w:tr>
            <w:tr w:rsidR="009F2DFA" w:rsidRPr="00F04CCD" w:rsidTr="007B71A4">
              <w:tc>
                <w:tcPr>
                  <w:tcW w:w="2993" w:type="dxa"/>
                </w:tcPr>
                <w:p w:rsidR="009F2DFA" w:rsidRPr="00F04CCD" w:rsidRDefault="009F2DFA" w:rsidP="007B71A4">
                  <w:pPr>
                    <w:rPr>
                      <w:i/>
                    </w:rPr>
                  </w:pPr>
                  <w:r w:rsidRPr="00F04CCD">
                    <w:rPr>
                      <w:i/>
                    </w:rPr>
                    <w:t>Priame finančné náklady</w:t>
                  </w:r>
                </w:p>
              </w:tc>
              <w:tc>
                <w:tcPr>
                  <w:tcW w:w="2994" w:type="dxa"/>
                </w:tcPr>
                <w:p w:rsidR="009F2DFA" w:rsidRPr="00F04CCD" w:rsidRDefault="009F2DFA" w:rsidP="007B71A4">
                  <w:pPr>
                    <w:jc w:val="center"/>
                    <w:rPr>
                      <w:i/>
                    </w:rPr>
                  </w:pPr>
                  <w:r w:rsidRPr="00F04CCD">
                    <w:rPr>
                      <w:i/>
                    </w:rPr>
                    <w:t>0</w:t>
                  </w:r>
                </w:p>
              </w:tc>
              <w:tc>
                <w:tcPr>
                  <w:tcW w:w="2994" w:type="dxa"/>
                </w:tcPr>
                <w:p w:rsidR="009F2DFA" w:rsidRPr="00F04CCD" w:rsidRDefault="009F2DFA" w:rsidP="007B71A4">
                  <w:pPr>
                    <w:jc w:val="center"/>
                    <w:rPr>
                      <w:i/>
                    </w:rPr>
                  </w:pPr>
                  <w:r w:rsidRPr="00F04CCD">
                    <w:rPr>
                      <w:i/>
                    </w:rPr>
                    <w:t>0</w:t>
                  </w:r>
                </w:p>
              </w:tc>
            </w:tr>
            <w:tr w:rsidR="009F2DFA" w:rsidRPr="00F04CCD" w:rsidTr="007B71A4">
              <w:tc>
                <w:tcPr>
                  <w:tcW w:w="2993" w:type="dxa"/>
                </w:tcPr>
                <w:p w:rsidR="009F2DFA" w:rsidRPr="00F04CCD" w:rsidRDefault="009F2DFA" w:rsidP="007B71A4">
                  <w:pPr>
                    <w:rPr>
                      <w:i/>
                    </w:rPr>
                  </w:pPr>
                  <w:r w:rsidRPr="00F04CCD">
                    <w:rPr>
                      <w:i/>
                    </w:rPr>
                    <w:t>Nepriame finančné náklady</w:t>
                  </w:r>
                </w:p>
              </w:tc>
              <w:tc>
                <w:tcPr>
                  <w:tcW w:w="2994" w:type="dxa"/>
                </w:tcPr>
                <w:p w:rsidR="009F2DFA" w:rsidRPr="00F04CCD" w:rsidRDefault="009F2DFA" w:rsidP="007B71A4">
                  <w:pPr>
                    <w:jc w:val="center"/>
                    <w:rPr>
                      <w:i/>
                    </w:rPr>
                  </w:pPr>
                  <w:r w:rsidRPr="00F04CCD">
                    <w:rPr>
                      <w:i/>
                    </w:rPr>
                    <w:t>0</w:t>
                  </w:r>
                </w:p>
              </w:tc>
              <w:tc>
                <w:tcPr>
                  <w:tcW w:w="2994" w:type="dxa"/>
                </w:tcPr>
                <w:p w:rsidR="009F2DFA" w:rsidRPr="00F04CCD" w:rsidRDefault="009F2DFA" w:rsidP="007B71A4">
                  <w:pPr>
                    <w:jc w:val="center"/>
                    <w:rPr>
                      <w:i/>
                    </w:rPr>
                  </w:pPr>
                  <w:r w:rsidRPr="00F04CCD">
                    <w:rPr>
                      <w:i/>
                    </w:rPr>
                    <w:t>0</w:t>
                  </w:r>
                </w:p>
              </w:tc>
            </w:tr>
            <w:tr w:rsidR="009F2DFA" w:rsidRPr="00F04CCD" w:rsidTr="007B71A4">
              <w:tc>
                <w:tcPr>
                  <w:tcW w:w="2993" w:type="dxa"/>
                </w:tcPr>
                <w:p w:rsidR="009F2DFA" w:rsidRPr="00F04CCD" w:rsidRDefault="009F2DFA" w:rsidP="007B71A4">
                  <w:pPr>
                    <w:rPr>
                      <w:i/>
                    </w:rPr>
                  </w:pPr>
                  <w:r w:rsidRPr="00F04CCD">
                    <w:rPr>
                      <w:i/>
                    </w:rPr>
                    <w:t>Administratívne náklady</w:t>
                  </w:r>
                </w:p>
              </w:tc>
              <w:tc>
                <w:tcPr>
                  <w:tcW w:w="2994" w:type="dxa"/>
                </w:tcPr>
                <w:p w:rsidR="009F2DFA" w:rsidRPr="00F04CCD" w:rsidRDefault="009F2DFA" w:rsidP="007B71A4">
                  <w:pPr>
                    <w:jc w:val="center"/>
                    <w:rPr>
                      <w:i/>
                    </w:rPr>
                  </w:pPr>
                  <w:r w:rsidRPr="00F04CCD">
                    <w:rPr>
                      <w:i/>
                    </w:rPr>
                    <w:t>0</w:t>
                  </w:r>
                </w:p>
              </w:tc>
              <w:tc>
                <w:tcPr>
                  <w:tcW w:w="2994" w:type="dxa"/>
                </w:tcPr>
                <w:p w:rsidR="009F2DFA" w:rsidRPr="00F04CCD" w:rsidRDefault="009F2DFA" w:rsidP="007B71A4">
                  <w:pPr>
                    <w:jc w:val="center"/>
                    <w:rPr>
                      <w:i/>
                    </w:rPr>
                  </w:pPr>
                  <w:r w:rsidRPr="00F04CCD">
                    <w:rPr>
                      <w:i/>
                    </w:rPr>
                    <w:t>0</w:t>
                  </w:r>
                </w:p>
              </w:tc>
            </w:tr>
            <w:tr w:rsidR="009F2DFA" w:rsidRPr="00F04CCD" w:rsidTr="007B71A4">
              <w:tc>
                <w:tcPr>
                  <w:tcW w:w="2993" w:type="dxa"/>
                </w:tcPr>
                <w:p w:rsidR="009F2DFA" w:rsidRPr="00F04CCD" w:rsidRDefault="009F2DFA" w:rsidP="007B71A4">
                  <w:pPr>
                    <w:rPr>
                      <w:b/>
                      <w:i/>
                    </w:rPr>
                  </w:pPr>
                  <w:r w:rsidRPr="00F04CCD">
                    <w:rPr>
                      <w:b/>
                      <w:i/>
                    </w:rPr>
                    <w:t>Celkové náklady regulácie</w:t>
                  </w:r>
                </w:p>
              </w:tc>
              <w:tc>
                <w:tcPr>
                  <w:tcW w:w="2994" w:type="dxa"/>
                </w:tcPr>
                <w:p w:rsidR="009F2DFA" w:rsidRPr="00F04CCD" w:rsidRDefault="009F2DFA" w:rsidP="007B71A4">
                  <w:pPr>
                    <w:jc w:val="center"/>
                    <w:rPr>
                      <w:b/>
                      <w:i/>
                    </w:rPr>
                  </w:pPr>
                  <w:r w:rsidRPr="00F04CCD">
                    <w:rPr>
                      <w:b/>
                      <w:i/>
                    </w:rPr>
                    <w:t>0</w:t>
                  </w:r>
                </w:p>
              </w:tc>
              <w:tc>
                <w:tcPr>
                  <w:tcW w:w="2994" w:type="dxa"/>
                </w:tcPr>
                <w:p w:rsidR="009F2DFA" w:rsidRPr="00F04CCD" w:rsidRDefault="009F2DFA" w:rsidP="007B71A4">
                  <w:pPr>
                    <w:jc w:val="center"/>
                    <w:rPr>
                      <w:b/>
                      <w:i/>
                    </w:rPr>
                  </w:pPr>
                  <w:r w:rsidRPr="00F04CCD">
                    <w:rPr>
                      <w:b/>
                      <w:i/>
                    </w:rPr>
                    <w:t>0</w:t>
                  </w:r>
                </w:p>
              </w:tc>
            </w:tr>
          </w:tbl>
          <w:p w:rsidR="009F2DFA" w:rsidRPr="00F04CCD" w:rsidRDefault="009F2DFA" w:rsidP="007B71A4">
            <w:pPr>
              <w:rPr>
                <w:i/>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.4 Konkurencieschopnosť a správanie sa podnikov na trhu</w:t>
            </w:r>
          </w:p>
          <w:p w:rsidR="009F2DFA" w:rsidRPr="00F04CCD" w:rsidRDefault="009F2DFA" w:rsidP="007B71A4">
            <w:r w:rsidRPr="00042C66">
              <w:rPr>
                <w:b/>
                <w:sz w:val="24"/>
              </w:rPr>
              <w:t xml:space="preserve">       </w:t>
            </w:r>
            <w:r w:rsidRPr="00042C66">
              <w:rPr>
                <w:sz w:val="24"/>
              </w:rPr>
              <w:t xml:space="preserve">-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9F2DFA" w:rsidP="007B71A4">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RDefault="009F2DFA" w:rsidP="007B71A4">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7B71A4">
            <w:pPr>
              <w:rPr>
                <w:i/>
              </w:rPr>
            </w:pPr>
            <w:r w:rsidRPr="00F04CCD">
              <w:rPr>
                <w:i/>
              </w:rPr>
              <w:t>Ako ovplyvní cenu alebo dostupnosť základných zdrojov (suroviny, mechanizmy, pracovná sila, energie atď.)?</w:t>
            </w:r>
          </w:p>
          <w:p w:rsidR="009F2DFA" w:rsidRPr="00F04CCD" w:rsidRDefault="009F2DFA" w:rsidP="007B71A4">
            <w:pPr>
              <w:rPr>
                <w:i/>
              </w:rPr>
            </w:pPr>
            <w:r w:rsidRPr="00F04CCD">
              <w:rPr>
                <w:i/>
              </w:rPr>
              <w:t>Ovplyvňuje prístup k financiám? Ak áno, ako?</w:t>
            </w:r>
          </w:p>
        </w:tc>
      </w:tr>
      <w:tr w:rsidR="009F2DFA" w:rsidRPr="00F04CCD" w:rsidTr="007B71A4">
        <w:trPr>
          <w:trHeight w:val="1282"/>
        </w:trPr>
        <w:tc>
          <w:tcPr>
            <w:tcW w:w="9212" w:type="dxa"/>
            <w:tcBorders>
              <w:bottom w:val="single" w:sz="4" w:space="0" w:color="auto"/>
            </w:tcBorders>
          </w:tcPr>
          <w:p w:rsidR="009F2DFA" w:rsidRPr="00B87302" w:rsidRDefault="00B87302" w:rsidP="007B71A4">
            <w:pPr>
              <w:rPr>
                <w:b/>
                <w:i/>
              </w:rPr>
            </w:pPr>
            <w:r w:rsidRPr="00B87302">
              <w:rPr>
                <w:b/>
                <w:i/>
              </w:rPr>
              <w:t>Predkladaná legislatívna úprava priamo upravuje prístup na trh – v pozitívnom smere ako aj cezhraničné vplyvy. Jediná regulácia sa týka čistoty vtláčaného prúdu CO2, čiže je regulované len environmentálne hľadisko.</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 xml:space="preserve">.5 Inovácie </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Pr>
          <w:p w:rsidR="009F2DFA" w:rsidRPr="00F04CCD" w:rsidRDefault="009F2DFA" w:rsidP="007B71A4">
            <w:pPr>
              <w:rPr>
                <w:i/>
              </w:rPr>
            </w:pPr>
            <w:r w:rsidRPr="00F04CCD">
              <w:rPr>
                <w:i/>
              </w:rPr>
              <w:t>Uveďte, ako podporuje navrhovaná zmena inovácie.</w:t>
            </w:r>
          </w:p>
          <w:p w:rsidR="009F2DFA" w:rsidRPr="00F04CCD" w:rsidRDefault="009F2DFA" w:rsidP="007B71A4">
            <w:pPr>
              <w:rPr>
                <w:i/>
              </w:rPr>
            </w:pPr>
            <w:r w:rsidRPr="00F04CCD">
              <w:rPr>
                <w:i/>
              </w:rPr>
              <w:t>Zjednodušuje uvedenie alebo rozšírenie nových výrobných metód, technológií a výrobkov na trh?</w:t>
            </w:r>
          </w:p>
          <w:p w:rsidR="009F2DFA" w:rsidRPr="00F04CCD" w:rsidRDefault="009F2DFA" w:rsidP="007B71A4">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vlastníctvo know-how).</w:t>
            </w:r>
          </w:p>
          <w:p w:rsidR="009F2DFA" w:rsidRDefault="009F2DFA" w:rsidP="007B71A4">
            <w:pPr>
              <w:rPr>
                <w:i/>
              </w:rPr>
            </w:pPr>
            <w:r w:rsidRPr="00F04CCD">
              <w:rPr>
                <w:i/>
              </w:rPr>
              <w:t>Podporuje vyššiu efektivitu výroby/využívania zdrojov? Ak áno, ako?</w:t>
            </w:r>
          </w:p>
          <w:p w:rsidR="00837639" w:rsidRPr="00F04CCD" w:rsidRDefault="00837639" w:rsidP="007B71A4">
            <w:r w:rsidRPr="00154881">
              <w:rPr>
                <w:i/>
              </w:rPr>
              <w:t>Vytvorí zmena nové pracovné miesta pre zamestnancov výskumu a vývoja v</w:t>
            </w:r>
            <w:r>
              <w:rPr>
                <w:i/>
              </w:rPr>
              <w:t> </w:t>
            </w:r>
            <w:r w:rsidRPr="00154881">
              <w:rPr>
                <w:i/>
              </w:rPr>
              <w:t>SR</w:t>
            </w:r>
            <w:r>
              <w:rPr>
                <w:i/>
              </w:rPr>
              <w:t>?</w:t>
            </w:r>
          </w:p>
        </w:tc>
      </w:tr>
      <w:tr w:rsidR="009F2DFA" w:rsidRPr="00F04CCD" w:rsidTr="007B71A4">
        <w:trPr>
          <w:trHeight w:val="1747"/>
        </w:trPr>
        <w:tc>
          <w:tcPr>
            <w:tcW w:w="9212" w:type="dxa"/>
          </w:tcPr>
          <w:p w:rsidR="009F2DFA" w:rsidRPr="00B87302" w:rsidRDefault="00B87302" w:rsidP="00B87302">
            <w:pPr>
              <w:rPr>
                <w:b/>
                <w:i/>
              </w:rPr>
            </w:pPr>
            <w:r w:rsidRPr="00B87302">
              <w:rPr>
                <w:b/>
                <w:i/>
              </w:rPr>
              <w:t>Podpora BAT technológií je zakom</w:t>
            </w:r>
            <w:bookmarkStart w:id="0" w:name="_GoBack"/>
            <w:bookmarkEnd w:id="0"/>
            <w:r w:rsidRPr="00B87302">
              <w:rPr>
                <w:b/>
                <w:i/>
              </w:rPr>
              <w:t>ponovaná priamo</w:t>
            </w:r>
            <w:r>
              <w:rPr>
                <w:b/>
                <w:i/>
              </w:rPr>
              <w:t xml:space="preserve"> </w:t>
            </w:r>
            <w:r w:rsidRPr="00B87302">
              <w:rPr>
                <w:b/>
                <w:i/>
              </w:rPr>
              <w:t>v legislatívnej norme.</w:t>
            </w:r>
          </w:p>
        </w:tc>
      </w:tr>
    </w:tbl>
    <w:p w:rsidR="009F2DFA" w:rsidRPr="00F04CCD"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Pr>
        <w:rPr>
          <w:b/>
          <w:sz w:val="24"/>
        </w:rPr>
      </w:pPr>
      <w:r>
        <w:rPr>
          <w:b/>
          <w:sz w:val="24"/>
        </w:rPr>
        <w:br w:type="page"/>
      </w:r>
    </w:p>
    <w:p w:rsidR="009F2DFA" w:rsidRPr="00074919" w:rsidRDefault="009F2DFA" w:rsidP="009F2DFA">
      <w:pPr>
        <w:spacing w:before="240"/>
        <w:jc w:val="center"/>
        <w:rPr>
          <w:b/>
          <w:sz w:val="28"/>
          <w:szCs w:val="24"/>
        </w:rPr>
      </w:pPr>
      <w:r w:rsidRPr="00074919">
        <w:rPr>
          <w:b/>
          <w:sz w:val="28"/>
          <w:szCs w:val="24"/>
        </w:rPr>
        <w:lastRenderedPageBreak/>
        <w:t>Metodický postup pre analýzu vplyvov na podnikateľské prostredie</w:t>
      </w:r>
    </w:p>
    <w:p w:rsidR="009F2DFA" w:rsidRPr="00042C66" w:rsidRDefault="009F2DFA" w:rsidP="009F2DFA">
      <w:pPr>
        <w:spacing w:before="240"/>
        <w:jc w:val="both"/>
        <w:rPr>
          <w:sz w:val="24"/>
          <w:szCs w:val="24"/>
        </w:rPr>
      </w:pPr>
      <w:r w:rsidRPr="00042C66">
        <w:rPr>
          <w:sz w:val="24"/>
          <w:szCs w:val="24"/>
        </w:rPr>
        <w:t>V členských štátoch EÚ sa neprestajne zvyšuje povedomie o nákladoch spojených s</w:t>
      </w:r>
      <w:r>
        <w:rPr>
          <w:sz w:val="24"/>
          <w:szCs w:val="24"/>
        </w:rPr>
        <w:t> </w:t>
      </w:r>
      <w:r w:rsidRPr="00042C66">
        <w:rPr>
          <w:sz w:val="24"/>
          <w:szCs w:val="24"/>
        </w:rPr>
        <w:t xml:space="preserve">regulačnou záťažou a o potrebe maximálne zjednodušiť požiadavky vyplývajúce z regulácie, pričom je potrebné rešpektovať jej ciele. Zásah štátu predstavuje pre podnikateľov zvyčajne istú sumu </w:t>
      </w:r>
      <w:r>
        <w:rPr>
          <w:sz w:val="24"/>
          <w:szCs w:val="24"/>
        </w:rPr>
        <w:t>nákladov, ktorú musia vynaložiť</w:t>
      </w:r>
      <w:r w:rsidRPr="00042C66">
        <w:rPr>
          <w:sz w:val="24"/>
          <w:szCs w:val="24"/>
        </w:rPr>
        <w:t xml:space="preserve"> v snahe naplniť požiadavky implementovaných regulácií, pričom časť z nich predstavujú aj administratívne náklady.</w:t>
      </w:r>
    </w:p>
    <w:p w:rsidR="009F2DFA" w:rsidRPr="00042C66" w:rsidRDefault="009F2DFA" w:rsidP="009F2DFA">
      <w:pPr>
        <w:jc w:val="both"/>
        <w:rPr>
          <w:sz w:val="24"/>
          <w:szCs w:val="24"/>
        </w:rPr>
      </w:pPr>
      <w:r w:rsidRPr="00042C66">
        <w:rPr>
          <w:sz w:val="24"/>
          <w:szCs w:val="24"/>
        </w:rPr>
        <w:t xml:space="preserve">V prvom kroku je potrebné určiť, na ktorú z veľkostných kategórií podnikov bude mať navrhovaný materiál vplyv. V prípade, ak nie je možné určiť, či materiál bude mať vplyv iba na jednu z veľkostných kategórií , treba označiť vplyvy na všetky kategórie. Tento údaj je potrebný pre vypracovanie a vyhodnotenie testu MSP vrátane SZČO. Test MSP tvorí súčasť analýzy vplyvov na podnikateľské prostredie. </w:t>
      </w:r>
    </w:p>
    <w:p w:rsidR="009F2DFA" w:rsidRPr="00042C66" w:rsidRDefault="009F2DFA" w:rsidP="009F2DFA">
      <w:pPr>
        <w:jc w:val="both"/>
        <w:rPr>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.1 Dotknuté podnikateľské subjekty</w:t>
      </w:r>
    </w:p>
    <w:p w:rsidR="009F2DFA" w:rsidRPr="00042C66" w:rsidRDefault="009F2DFA" w:rsidP="009F2DFA">
      <w:pPr>
        <w:jc w:val="both"/>
        <w:rPr>
          <w:sz w:val="24"/>
          <w:szCs w:val="24"/>
        </w:rPr>
      </w:pPr>
      <w:r w:rsidRPr="00042C66">
        <w:rPr>
          <w:sz w:val="24"/>
          <w:szCs w:val="24"/>
        </w:rPr>
        <w:t xml:space="preserve">Pri posudzovaní vplyvov na podnikateľské prostredie je dôležité identifikovať, či sa daný návrh dotýka: </w:t>
      </w:r>
    </w:p>
    <w:p w:rsidR="009F2DFA" w:rsidRPr="00042C66" w:rsidRDefault="009F2DFA" w:rsidP="009F2DFA">
      <w:pPr>
        <w:numPr>
          <w:ilvl w:val="0"/>
          <w:numId w:val="1"/>
        </w:numPr>
        <w:spacing w:after="200" w:line="276" w:lineRule="auto"/>
        <w:ind w:left="714" w:hanging="357"/>
        <w:jc w:val="both"/>
        <w:rPr>
          <w:sz w:val="24"/>
          <w:szCs w:val="24"/>
        </w:rPr>
      </w:pPr>
      <w:r w:rsidRPr="00042C66">
        <w:rPr>
          <w:sz w:val="24"/>
          <w:szCs w:val="24"/>
        </w:rPr>
        <w:t>podnikateľského prostredia vo všeobecnosti</w:t>
      </w:r>
    </w:p>
    <w:p w:rsidR="009F2DFA" w:rsidRPr="00042C66" w:rsidRDefault="009F2DFA" w:rsidP="009F2DFA">
      <w:pPr>
        <w:numPr>
          <w:ilvl w:val="0"/>
          <w:numId w:val="1"/>
        </w:numPr>
        <w:spacing w:after="200" w:line="276" w:lineRule="auto"/>
        <w:ind w:left="714" w:hanging="357"/>
        <w:jc w:val="both"/>
        <w:rPr>
          <w:sz w:val="24"/>
          <w:szCs w:val="24"/>
        </w:rPr>
      </w:pPr>
      <w:r w:rsidRPr="00042C66">
        <w:rPr>
          <w:sz w:val="24"/>
          <w:szCs w:val="24"/>
        </w:rPr>
        <w:t>niektorých právnych foriem podnikania (samostatne zárobkovo činná osoba, slobodné povolanie, samostatne hospodáriaci roľník, spoločnosť s ručením obmedzeným, akciová spoločnosť, družstvo, verejná obchodná spoločnosť a iné)</w:t>
      </w:r>
    </w:p>
    <w:p w:rsidR="009F2DFA" w:rsidRPr="00042C66" w:rsidRDefault="009F2DFA" w:rsidP="009F2DFA">
      <w:pPr>
        <w:numPr>
          <w:ilvl w:val="0"/>
          <w:numId w:val="1"/>
        </w:numPr>
        <w:spacing w:after="200" w:line="276" w:lineRule="auto"/>
        <w:ind w:left="714" w:hanging="357"/>
        <w:jc w:val="both"/>
        <w:rPr>
          <w:sz w:val="24"/>
          <w:szCs w:val="24"/>
        </w:rPr>
      </w:pPr>
      <w:r w:rsidRPr="00042C66">
        <w:rPr>
          <w:sz w:val="24"/>
          <w:szCs w:val="24"/>
        </w:rPr>
        <w:t xml:space="preserve">niektorých odvetví hospodárstva (napr. podľa </w:t>
      </w:r>
      <w:hyperlink r:id="rId7" w:history="1">
        <w:r w:rsidRPr="00042C66">
          <w:rPr>
            <w:sz w:val="24"/>
            <w:szCs w:val="24"/>
          </w:rPr>
          <w:t>SK NACE - klasifikácia ekonomických činností</w:t>
        </w:r>
      </w:hyperlink>
      <w:r w:rsidRPr="00042C66">
        <w:rPr>
          <w:sz w:val="24"/>
          <w:szCs w:val="24"/>
        </w:rPr>
        <w:t xml:space="preserve"> dostupnej na stránke Štatistického úradu SR).</w:t>
      </w:r>
    </w:p>
    <w:p w:rsidR="009F2DFA" w:rsidRPr="00042C66" w:rsidRDefault="009F2DFA" w:rsidP="009F2DFA">
      <w:pPr>
        <w:jc w:val="both"/>
        <w:rPr>
          <w:sz w:val="24"/>
          <w:szCs w:val="24"/>
        </w:rPr>
      </w:pPr>
      <w:r w:rsidRPr="00042C66">
        <w:rPr>
          <w:sz w:val="24"/>
          <w:szCs w:val="24"/>
        </w:rPr>
        <w:t xml:space="preserve">Na základe identifikovania dotknutých subjektov je nutné kvantifikovať približný počet dotknutých podnikateľov s využitím dostupných štatistík a evidencií. V prípade špecifickej povinnosti je možné určiť predpokladaný počet dotknutých podnikateľov na základe priemerného počtu podnikateľov za posledné obdobie plniacich podobnú povinnosť. V prípade vzniku úplne novej povinnosti možno určiť očakávané množstvo plnení. </w:t>
      </w:r>
    </w:p>
    <w:p w:rsidR="009F2DFA" w:rsidRDefault="009F2DFA" w:rsidP="009F2DFA">
      <w:pPr>
        <w:jc w:val="both"/>
        <w:rPr>
          <w:b/>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.2 Vyhodnotenie konzultácií</w:t>
      </w:r>
    </w:p>
    <w:p w:rsidR="009F2DFA" w:rsidRPr="00042C66" w:rsidRDefault="009F2DFA" w:rsidP="009F2DFA">
      <w:pPr>
        <w:jc w:val="both"/>
        <w:rPr>
          <w:sz w:val="24"/>
          <w:szCs w:val="24"/>
        </w:rPr>
      </w:pPr>
      <w:r w:rsidRPr="00042C66">
        <w:rPr>
          <w:sz w:val="24"/>
          <w:szCs w:val="24"/>
        </w:rPr>
        <w:t>Efektívne konzultácie s dotknutými subjektmi zvyšujú transparentnosť prípravy materiálu a tým zvyšujú jeho legitimitu. Pre tento účel je v tejto časti nutné uviesť formu konzultácie, ktorú predkladateľ zvolil spolu s odôvodnením tohto výberu, a</w:t>
      </w:r>
      <w:r>
        <w:rPr>
          <w:sz w:val="24"/>
          <w:szCs w:val="24"/>
        </w:rPr>
        <w:t> </w:t>
      </w:r>
      <w:r w:rsidRPr="00042C66">
        <w:rPr>
          <w:sz w:val="24"/>
          <w:szCs w:val="24"/>
        </w:rPr>
        <w:t>subjekty</w:t>
      </w:r>
      <w:r>
        <w:rPr>
          <w:sz w:val="24"/>
          <w:szCs w:val="24"/>
        </w:rPr>
        <w:t>,</w:t>
      </w:r>
      <w:r w:rsidRPr="00042C66">
        <w:rPr>
          <w:sz w:val="24"/>
          <w:szCs w:val="24"/>
        </w:rPr>
        <w:t xml:space="preserve"> ktoré boli do konzultácie zapojené. V prípade veľkého počtu zúčastnených ich možno iba typovo popísať.</w:t>
      </w:r>
    </w:p>
    <w:p w:rsidR="009F2DFA" w:rsidRPr="00042C66" w:rsidRDefault="009F2DFA" w:rsidP="009F2DFA">
      <w:pPr>
        <w:jc w:val="both"/>
        <w:rPr>
          <w:sz w:val="24"/>
          <w:szCs w:val="24"/>
        </w:rPr>
      </w:pPr>
      <w:r w:rsidRPr="00042C66">
        <w:rPr>
          <w:sz w:val="24"/>
          <w:szCs w:val="24"/>
        </w:rPr>
        <w:t>Predkladateľ uvedie dĺžku konzultácií v prípade elektronickej konzultácie. V prípade konzultácií osobnou formou (seminár, verejné prerokovania a pod.) uvedie, koľko dní vopred bolo oznámené uskutočnenie konzultácie. Predkladateľ uvedie link na webovú stránku, na ktorej boli konzultácie zverejnené.</w:t>
      </w:r>
    </w:p>
    <w:p w:rsidR="009F2DFA" w:rsidRPr="00042C66" w:rsidRDefault="009F2DFA" w:rsidP="009F2DFA">
      <w:pPr>
        <w:jc w:val="both"/>
        <w:rPr>
          <w:sz w:val="24"/>
          <w:szCs w:val="24"/>
        </w:rPr>
      </w:pPr>
      <w:r w:rsidRPr="00042C66">
        <w:rPr>
          <w:sz w:val="24"/>
          <w:szCs w:val="24"/>
        </w:rPr>
        <w:t>Predkladateľ tiež uvedie formulované otázky alebo témy diskusie, ktoré boli predmetom konzultácie a odpovede, prípadne stanoviská zúčastnených strán. Odpovede a názory konzultujúcich je možné uviesť aj v skrátenej forme zo zachovaním hlavnej myšlienky. Podrobnosť tejto časti je potrebné zvoliť s ohľadom na rozsah navrhovaných zmien podľa princípu proporcionality.</w:t>
      </w:r>
    </w:p>
    <w:p w:rsidR="009F2DFA" w:rsidRPr="00042C66" w:rsidRDefault="009F2DFA" w:rsidP="009F2DFA">
      <w:pPr>
        <w:jc w:val="both"/>
        <w:rPr>
          <w:sz w:val="24"/>
          <w:szCs w:val="24"/>
        </w:rPr>
      </w:pPr>
      <w:r w:rsidRPr="00042C66">
        <w:rPr>
          <w:sz w:val="24"/>
          <w:szCs w:val="24"/>
        </w:rPr>
        <w:t>Predkladateľ zhodnotí, či boli splnené ciele, ktoré si stanovil pri príprave konzultácií spolu s odôvodnením, resp. či získal potrebné informácie. Tiež uvedie, ako boli odpovede zúčastnených strán využité pri príprave navrhovaného materiálu. Táto časť slúži ako spätná väzba pre zúčastnených, od ktorej závisí aj ich ochota participovať na ďalších konzultáciách.</w:t>
      </w:r>
    </w:p>
    <w:p w:rsidR="009F2DFA" w:rsidRPr="00042C66" w:rsidRDefault="009F2DFA" w:rsidP="009F2DFA">
      <w:pPr>
        <w:jc w:val="both"/>
        <w:rPr>
          <w:sz w:val="24"/>
          <w:szCs w:val="24"/>
        </w:rPr>
      </w:pPr>
      <w:r w:rsidRPr="00042C66">
        <w:rPr>
          <w:sz w:val="24"/>
          <w:szCs w:val="24"/>
        </w:rPr>
        <w:lastRenderedPageBreak/>
        <w:t>Pre uskutočnenie konzultácií je vhodné využiť odporúčania ku konzultáciám v časti III. Jednotnej metodiky.</w:t>
      </w:r>
    </w:p>
    <w:p w:rsidR="009F2DFA" w:rsidRDefault="009F2DFA" w:rsidP="009F2DFA">
      <w:pPr>
        <w:jc w:val="both"/>
        <w:rPr>
          <w:b/>
          <w:sz w:val="28"/>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.3 Náklady regulácie</w:t>
      </w:r>
    </w:p>
    <w:p w:rsidR="009F2DFA" w:rsidRPr="00042C66" w:rsidRDefault="009F2DFA" w:rsidP="009F2DFA">
      <w:pPr>
        <w:pStyle w:val="BodyText1"/>
        <w:spacing w:line="276" w:lineRule="auto"/>
        <w:jc w:val="both"/>
        <w:rPr>
          <w:rFonts w:ascii="Times New Roman" w:eastAsiaTheme="minorHAnsi" w:hAnsi="Times New Roman"/>
          <w:color w:val="auto"/>
          <w:sz w:val="24"/>
          <w:szCs w:val="24"/>
        </w:rPr>
      </w:pPr>
      <w:r w:rsidRPr="00042C66">
        <w:rPr>
          <w:rFonts w:ascii="Times New Roman" w:eastAsiaTheme="minorHAnsi" w:hAnsi="Times New Roman"/>
          <w:color w:val="auto"/>
          <w:sz w:val="24"/>
          <w:szCs w:val="24"/>
        </w:rPr>
        <w:t xml:space="preserve">S implementáciou novej regulácie ovplyvňujúcej podnikateľské prostredie sú spojené povinnosti, ktoré musia podnikatelia plniť za účelom zabezpečenia súladu s danou reguláciou. Významnú časť z týchto povinností tvoria tzv. </w:t>
      </w:r>
      <w:r w:rsidRPr="00042C66">
        <w:rPr>
          <w:rFonts w:ascii="Times New Roman" w:eastAsiaTheme="minorHAnsi" w:hAnsi="Times New Roman"/>
          <w:b/>
          <w:color w:val="auto"/>
          <w:sz w:val="24"/>
          <w:szCs w:val="24"/>
        </w:rPr>
        <w:t>informačné povinnosti (IP)</w:t>
      </w:r>
      <w:r w:rsidRPr="00042C66">
        <w:rPr>
          <w:rFonts w:ascii="Times New Roman" w:eastAsiaTheme="minorHAnsi" w:hAnsi="Times New Roman"/>
          <w:color w:val="auto"/>
          <w:sz w:val="24"/>
          <w:szCs w:val="24"/>
        </w:rPr>
        <w:t xml:space="preserve"> spojené s  výkonom určitých administratívnych úkonov zo strany podnikateľa na zabezpečenie súladu s reguláciou.  Príkladom IP je</w:t>
      </w:r>
      <w:r>
        <w:rPr>
          <w:rFonts w:ascii="Times New Roman" w:eastAsiaTheme="minorHAnsi" w:hAnsi="Times New Roman"/>
          <w:color w:val="auto"/>
          <w:sz w:val="24"/>
          <w:szCs w:val="24"/>
        </w:rPr>
        <w:t xml:space="preserve"> povinnosť poskytovať informácie</w:t>
      </w:r>
      <w:r w:rsidRPr="00042C66">
        <w:rPr>
          <w:rFonts w:ascii="Times New Roman" w:eastAsiaTheme="minorHAnsi" w:hAnsi="Times New Roman"/>
          <w:color w:val="auto"/>
          <w:sz w:val="24"/>
          <w:szCs w:val="24"/>
        </w:rPr>
        <w:t xml:space="preserve"> a dáta verejnému sektoru a</w:t>
      </w:r>
      <w:r>
        <w:rPr>
          <w:rFonts w:ascii="Times New Roman" w:eastAsiaTheme="minorHAnsi" w:hAnsi="Times New Roman"/>
          <w:color w:val="auto"/>
          <w:sz w:val="24"/>
          <w:szCs w:val="24"/>
        </w:rPr>
        <w:t> </w:t>
      </w:r>
      <w:r w:rsidRPr="00042C66">
        <w:rPr>
          <w:rFonts w:ascii="Times New Roman" w:eastAsiaTheme="minorHAnsi" w:hAnsi="Times New Roman"/>
          <w:color w:val="auto"/>
          <w:sz w:val="24"/>
          <w:szCs w:val="24"/>
        </w:rPr>
        <w:t>tretím stranám, povinnosť mať informácie zverejnené či poskytnúť alebo sprístupniť ich na požiadanie, predkladať dokumenty a hlásenia, viesť dokumentáciu, evidovať a archivovať, podať žiadosť, vypracovať správu a pod.</w:t>
      </w:r>
    </w:p>
    <w:p w:rsidR="009F2DFA" w:rsidRPr="00042C66" w:rsidRDefault="009F2DFA" w:rsidP="009F2DFA">
      <w:pPr>
        <w:pStyle w:val="BodyText1"/>
        <w:jc w:val="both"/>
        <w:rPr>
          <w:rFonts w:ascii="Times New Roman" w:eastAsiaTheme="minorHAnsi" w:hAnsi="Times New Roman"/>
          <w:color w:val="auto"/>
          <w:sz w:val="24"/>
          <w:szCs w:val="24"/>
        </w:rPr>
      </w:pPr>
      <w:r w:rsidRPr="00042C66">
        <w:rPr>
          <w:rFonts w:ascii="Times New Roman" w:eastAsiaTheme="minorHAnsi" w:hAnsi="Times New Roman"/>
          <w:color w:val="auto"/>
          <w:sz w:val="24"/>
          <w:szCs w:val="24"/>
        </w:rPr>
        <w:t xml:space="preserve">Okrem vyššie uvedených informačných povinností vyplývajú podnikateľom z regulácie aj ďalšie, tzv. </w:t>
      </w:r>
      <w:r w:rsidRPr="00042C66">
        <w:rPr>
          <w:rFonts w:ascii="Times New Roman" w:eastAsiaTheme="minorHAnsi" w:hAnsi="Times New Roman"/>
          <w:b/>
          <w:color w:val="auto"/>
          <w:sz w:val="24"/>
          <w:szCs w:val="24"/>
        </w:rPr>
        <w:t>regulačné povinnosti</w:t>
      </w:r>
      <w:r w:rsidRPr="00042C66">
        <w:rPr>
          <w:rFonts w:ascii="Times New Roman" w:eastAsiaTheme="minorHAnsi" w:hAnsi="Times New Roman"/>
          <w:color w:val="auto"/>
          <w:sz w:val="24"/>
          <w:szCs w:val="24"/>
        </w:rPr>
        <w:t xml:space="preserve">, vyvolávajúce na strane podnikateľov priame alebo nepriame finančné náklady. Príkladom je povinnosť absolvovať školenie; používať a teda zakúpiť elektronickú registračnú pokladňu, ochranné odevy, uhradiť registračný poplatok, poistné, daň a iné. </w:t>
      </w:r>
    </w:p>
    <w:p w:rsidR="009F2DFA" w:rsidRPr="00042C66" w:rsidRDefault="009F2DFA" w:rsidP="009F2DFA">
      <w:pPr>
        <w:jc w:val="both"/>
        <w:rPr>
          <w:sz w:val="24"/>
          <w:szCs w:val="24"/>
        </w:rPr>
      </w:pPr>
      <w:r w:rsidRPr="00042C66">
        <w:rPr>
          <w:sz w:val="24"/>
          <w:szCs w:val="24"/>
        </w:rPr>
        <w:t xml:space="preserve">S ohľadom na charakter povinností vyplývajúcich z regulácie členíme náklady spojené s ich plnením do 3 kategórií: </w:t>
      </w:r>
    </w:p>
    <w:p w:rsidR="009F2DFA" w:rsidRPr="00042C66" w:rsidRDefault="009F2DFA" w:rsidP="009F2DFA">
      <w:pPr>
        <w:pStyle w:val="Odsekzoznamu"/>
        <w:numPr>
          <w:ilvl w:val="0"/>
          <w:numId w:val="2"/>
        </w:numPr>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Administratívne náklady</w:t>
      </w:r>
      <w:r w:rsidRPr="00042C66">
        <w:rPr>
          <w:rFonts w:ascii="Times New Roman" w:hAnsi="Times New Roman" w:cs="Times New Roman"/>
          <w:sz w:val="24"/>
          <w:szCs w:val="24"/>
        </w:rPr>
        <w:t xml:space="preserve"> – náklady spojené s administratívnymi úkonmi pri plnení informačnej povinnosti, ktoré musí podnikateľ vykonať na zabezpečenie súladu s</w:t>
      </w:r>
      <w:r>
        <w:rPr>
          <w:rFonts w:ascii="Times New Roman" w:hAnsi="Times New Roman" w:cs="Times New Roman"/>
          <w:sz w:val="24"/>
          <w:szCs w:val="24"/>
        </w:rPr>
        <w:t> </w:t>
      </w:r>
      <w:r w:rsidRPr="00042C66">
        <w:rPr>
          <w:rFonts w:ascii="Times New Roman" w:hAnsi="Times New Roman" w:cs="Times New Roman"/>
          <w:sz w:val="24"/>
          <w:szCs w:val="24"/>
        </w:rPr>
        <w:t>reguláciou. Ide o nákladové vyjadrenie času, ktorý strávi podnikateľ realizáciou konkrétnych činností vyžadovaných reguláciou  (napr. vypracovanie dokumentu, vedenie evidencie a archivácia, oznamovanie skutočností, predloženie dokladov, spracovanie žiadosti a iné).</w:t>
      </w:r>
    </w:p>
    <w:p w:rsidR="009F2DFA" w:rsidRPr="00042C66" w:rsidRDefault="009F2DFA" w:rsidP="009F2DFA">
      <w:pPr>
        <w:pStyle w:val="Odsekzoznamu"/>
        <w:numPr>
          <w:ilvl w:val="0"/>
          <w:numId w:val="2"/>
        </w:numPr>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Priame finančné náklady</w:t>
      </w:r>
      <w:r w:rsidRPr="00042C66">
        <w:rPr>
          <w:rFonts w:ascii="Times New Roman" w:hAnsi="Times New Roman" w:cs="Times New Roman"/>
          <w:sz w:val="24"/>
          <w:szCs w:val="24"/>
        </w:rPr>
        <w:t xml:space="preserve"> – sú odvodené z konkrétnej priamej povinnosti previesť určitú sumu peňazí štátu alebo príslušnému orgánu verejnej správy (napr. poplatok za vystavenie stavebného povolenia, správne poplatky, registračný poplatok, poistné, dane, clá a iné).</w:t>
      </w:r>
    </w:p>
    <w:p w:rsidR="009F2DFA" w:rsidRPr="00042C66" w:rsidRDefault="009F2DFA" w:rsidP="009F2DFA">
      <w:pPr>
        <w:pStyle w:val="Odsekzoznamu"/>
        <w:numPr>
          <w:ilvl w:val="0"/>
          <w:numId w:val="2"/>
        </w:numPr>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Nepriame finančné náklady</w:t>
      </w:r>
      <w:r w:rsidRPr="00042C66">
        <w:rPr>
          <w:rFonts w:ascii="Times New Roman" w:hAnsi="Times New Roman" w:cs="Times New Roman"/>
          <w:sz w:val="24"/>
          <w:szCs w:val="24"/>
        </w:rPr>
        <w:t xml:space="preserve"> – sú náklady, ktoré musí podnikateľ vynaložiť pre účely zabezpečenia súladu výrobku, služieb, interných procesov, vybavenia prevádzky s</w:t>
      </w:r>
      <w:r>
        <w:rPr>
          <w:rFonts w:ascii="Times New Roman" w:hAnsi="Times New Roman" w:cs="Times New Roman"/>
          <w:sz w:val="24"/>
          <w:szCs w:val="24"/>
        </w:rPr>
        <w:t> </w:t>
      </w:r>
      <w:r w:rsidRPr="00042C66">
        <w:rPr>
          <w:rFonts w:ascii="Times New Roman" w:hAnsi="Times New Roman" w:cs="Times New Roman"/>
          <w:sz w:val="24"/>
          <w:szCs w:val="24"/>
        </w:rPr>
        <w:t>požiadavkami regulácie (napr. náklady spojené so zabezpečením ochranných pracovných odevov, náklady na zabezpečenie pitného režimu, náklady na vybavenie prevádzky elektronickou registračnou pokladňou, náklady na získanie potrebných vedomostí nevyhnutných pre získanie osvedčenia a iné)</w:t>
      </w:r>
      <w:r w:rsidR="0052297F">
        <w:rPr>
          <w:rFonts w:ascii="Times New Roman" w:hAnsi="Times New Roman" w:cs="Times New Roman"/>
          <w:sz w:val="24"/>
          <w:szCs w:val="24"/>
        </w:rPr>
        <w:t xml:space="preserve"> a náklady spojené so zamestnávaním</w:t>
      </w:r>
      <w:r w:rsidRPr="00042C66">
        <w:rPr>
          <w:rFonts w:ascii="Times New Roman" w:hAnsi="Times New Roman" w:cs="Times New Roman"/>
          <w:sz w:val="24"/>
          <w:szCs w:val="24"/>
        </w:rPr>
        <w:t>.</w:t>
      </w:r>
    </w:p>
    <w:p w:rsidR="009F2DFA" w:rsidRPr="00D2017D" w:rsidRDefault="009F2DFA" w:rsidP="009F2DFA">
      <w:pPr>
        <w:pStyle w:val="BodyText1"/>
        <w:jc w:val="both"/>
        <w:rPr>
          <w:rFonts w:ascii="Times New Roman" w:eastAsiaTheme="minorHAnsi" w:hAnsi="Times New Roman"/>
          <w:color w:val="auto"/>
          <w:sz w:val="20"/>
          <w:szCs w:val="22"/>
        </w:rPr>
      </w:pPr>
    </w:p>
    <w:p w:rsidR="009F2DFA" w:rsidRDefault="009F2DFA" w:rsidP="009F2DFA">
      <w:pPr>
        <w:pStyle w:val="BodyText1"/>
      </w:pPr>
      <w:r w:rsidRPr="00781353">
        <w:rPr>
          <w:noProof/>
          <w:lang w:eastAsia="sk-SK"/>
        </w:rPr>
        <w:lastRenderedPageBreak/>
        <mc:AlternateContent>
          <mc:Choice Requires="wpg">
            <w:drawing>
              <wp:inline distT="0" distB="0" distL="0" distR="0" wp14:anchorId="13C6321C" wp14:editId="357D0D40">
                <wp:extent cx="4348716" cy="2541181"/>
                <wp:effectExtent l="0" t="0" r="0" b="0"/>
                <wp:docPr id="405" name="Group 4"/>
                <wp:cNvGraphicFramePr/>
                <a:graphic xmlns:a="http://schemas.openxmlformats.org/drawingml/2006/main">
                  <a:graphicData uri="http://schemas.microsoft.com/office/word/2010/wordprocessingGroup">
                    <wpg:wgp>
                      <wpg:cNvGrpSpPr/>
                      <wpg:grpSpPr>
                        <a:xfrm>
                          <a:off x="0" y="0"/>
                          <a:ext cx="4348716" cy="2541181"/>
                          <a:chOff x="0" y="-32276"/>
                          <a:chExt cx="7403620" cy="2469001"/>
                        </a:xfrm>
                      </wpg:grpSpPr>
                      <wps:wsp>
                        <wps:cNvPr id="406" name="Rectangle 14"/>
                        <wps:cNvSpPr>
                          <a:spLocks noChangeArrowheads="1"/>
                        </wps:cNvSpPr>
                        <wps:spPr bwMode="auto">
                          <a:xfrm>
                            <a:off x="0" y="842820"/>
                            <a:ext cx="2003448" cy="710527"/>
                          </a:xfrm>
                          <a:prstGeom prst="rect">
                            <a:avLst/>
                          </a:prstGeom>
                          <a:solidFill>
                            <a:srgbClr val="00A0DE"/>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wps:txbx>
                        <wps:bodyPr wrap="square" lIns="36000" tIns="36000" rIns="36000" bIns="36000" anchor="ctr"/>
                      </wps:wsp>
                      <wps:wsp>
                        <wps:cNvPr id="407" name="Rectangle 16"/>
                        <wps:cNvSpPr>
                          <a:spLocks noChangeArrowheads="1"/>
                        </wps:cNvSpPr>
                        <wps:spPr bwMode="auto">
                          <a:xfrm>
                            <a:off x="2468955" y="98172"/>
                            <a:ext cx="1837171" cy="457380"/>
                          </a:xfrm>
                          <a:prstGeom prst="rect">
                            <a:avLst/>
                          </a:prstGeom>
                          <a:solidFill>
                            <a:srgbClr val="81BC00"/>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wps:txbx>
                        <wps:bodyPr wrap="square" lIns="36000" tIns="36000" rIns="36000" bIns="36000" anchor="ctr"/>
                      </wps:wsp>
                      <wps:wsp>
                        <wps:cNvPr id="408" name="Rectangle 21"/>
                        <wps:cNvSpPr>
                          <a:spLocks noChangeArrowheads="1"/>
                        </wps:cNvSpPr>
                        <wps:spPr bwMode="auto">
                          <a:xfrm>
                            <a:off x="2468954" y="969393"/>
                            <a:ext cx="1837172" cy="457380"/>
                          </a:xfrm>
                          <a:prstGeom prst="rect">
                            <a:avLst/>
                          </a:prstGeom>
                          <a:solidFill>
                            <a:srgbClr val="00A0DE"/>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wps:txbx>
                        <wps:bodyPr wrap="square" lIns="36000" tIns="36000" rIns="36000" bIns="36000" anchor="ctr"/>
                      </wps:wsp>
                      <wps:wsp>
                        <wps:cNvPr id="409" name="Rectangle 23"/>
                        <wps:cNvSpPr>
                          <a:spLocks noChangeArrowheads="1"/>
                        </wps:cNvSpPr>
                        <wps:spPr bwMode="auto">
                          <a:xfrm>
                            <a:off x="2468955" y="1873185"/>
                            <a:ext cx="1837171" cy="457380"/>
                          </a:xfrm>
                          <a:prstGeom prst="rect">
                            <a:avLst/>
                          </a:prstGeom>
                          <a:solidFill>
                            <a:srgbClr val="00A0DE"/>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wps:txbx>
                        <wps:bodyPr wrap="square" lIns="36000" tIns="36000" rIns="36000" bIns="36000" anchor="ctr"/>
                      </wps:wsp>
                      <wps:wsp>
                        <wps:cNvPr id="410" name="Elbow Connector 24"/>
                        <wps:cNvCnPr>
                          <a:stCxn id="406" idx="3"/>
                          <a:endCxn id="409" idx="1"/>
                        </wps:cNvCnPr>
                        <wps:spPr bwMode="auto">
                          <a:xfrm>
                            <a:off x="2003449" y="1198084"/>
                            <a:ext cx="465506" cy="903791"/>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1" name="Elbow Connector 25"/>
                        <wps:cNvCnPr>
                          <a:stCxn id="406" idx="3"/>
                          <a:endCxn id="408" idx="1"/>
                        </wps:cNvCnPr>
                        <wps:spPr bwMode="auto">
                          <a:xfrm flipV="1">
                            <a:off x="2003448" y="1198083"/>
                            <a:ext cx="465506" cy="1"/>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2" name="Elbow Connector 26"/>
                        <wps:cNvCnPr>
                          <a:stCxn id="406" idx="3"/>
                          <a:endCxn id="407" idx="1"/>
                        </wps:cNvCnPr>
                        <wps:spPr bwMode="auto">
                          <a:xfrm flipV="1">
                            <a:off x="2003449" y="326862"/>
                            <a:ext cx="465506" cy="871222"/>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3" name="Rectangle 27"/>
                        <wps:cNvSpPr>
                          <a:spLocks noChangeArrowheads="1"/>
                        </wps:cNvSpPr>
                        <wps:spPr bwMode="auto">
                          <a:xfrm>
                            <a:off x="4477540" y="1680607"/>
                            <a:ext cx="2926080" cy="756118"/>
                          </a:xfrm>
                          <a:prstGeom prst="rect">
                            <a:avLst/>
                          </a:prstGeom>
                          <a:solidFill>
                            <a:srgbClr val="00A0DE"/>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wps:txbx>
                        <wps:bodyPr wrap="square" lIns="36000" tIns="36000" rIns="36000" bIns="36000" anchor="ctr"/>
                      </wps:wsp>
                      <wps:wsp>
                        <wps:cNvPr id="414" name="Rectangle 28"/>
                        <wps:cNvSpPr>
                          <a:spLocks noChangeArrowheads="1"/>
                        </wps:cNvSpPr>
                        <wps:spPr bwMode="auto">
                          <a:xfrm>
                            <a:off x="4476905" y="820024"/>
                            <a:ext cx="2925446" cy="756118"/>
                          </a:xfrm>
                          <a:prstGeom prst="rect">
                            <a:avLst/>
                          </a:prstGeom>
                          <a:solidFill>
                            <a:srgbClr val="00A0DE"/>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wps:txbx>
                        <wps:bodyPr wrap="square" lIns="36000" tIns="36000" rIns="36000" bIns="36000" anchor="ctr"/>
                      </wps:wsp>
                      <wps:wsp>
                        <wps:cNvPr id="415" name="Rectangle 29"/>
                        <wps:cNvSpPr>
                          <a:spLocks noChangeArrowheads="1"/>
                        </wps:cNvSpPr>
                        <wps:spPr bwMode="auto">
                          <a:xfrm>
                            <a:off x="4477540" y="-32276"/>
                            <a:ext cx="2925445" cy="756118"/>
                          </a:xfrm>
                          <a:prstGeom prst="rect">
                            <a:avLst/>
                          </a:prstGeom>
                          <a:solidFill>
                            <a:srgbClr val="81BC00"/>
                          </a:solidFill>
                          <a:ln w="9525">
                            <a:noFill/>
                            <a:miter lim="800000"/>
                            <a:headEnd/>
                            <a:tailEnd/>
                          </a:ln>
                        </wps:spPr>
                        <wps:txbx>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wps:txbx>
                        <wps:bodyPr wrap="square" lIns="36000" tIns="36000" rIns="36000" bIns="36000" anchor="ctr"/>
                      </wps:wsp>
                    </wpg:wgp>
                  </a:graphicData>
                </a:graphic>
              </wp:inline>
            </w:drawing>
          </mc:Choice>
          <mc:Fallback>
            <w:pict>
              <v:group w14:anchorId="13C6321C" id="Group 4" o:spid="_x0000_s1026" style="width:342.4pt;height:200.1pt;mso-position-horizontal-relative:char;mso-position-vertical-relative:line" coordorigin=",-322" coordsize="74036,2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">
                <v:rect id="Rectangle 14" o:spid="_x0000_s1027" style="position:absolute;top:8428;width:20034;height:7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y8YA&#10;AADcAAAADwAAAGRycy9kb3ducmV2LnhtbESPT2vCQBTE70K/w/KE3nRXKbFGV0mFloJ40Prv+Mg+&#10;k2D2bchuNf32bqHQ4zAzv2Hmy87W4katrxxrGA0VCOLcmYoLDfuv98ErCB+QDdaOScMPeVgunnpz&#10;TI2785Zuu1CICGGfooYyhCaV0uclWfRD1xBH7+JaiyHKtpCmxXuE21qOlUqkxYrjQokNrUrKr7tv&#10;q+G08W/nyfpjfdweptnmPL1meaK0fu532QxEoC78h//an0bDi0r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b+y8YAAADcAAAADwAAAAAAAAAAAAAAAACYAgAAZHJz&#10;L2Rvd25yZXYueG1sUEsFBgAAAAAEAAQA9QAAAIsDAAAAAA==&#10;" fillcolor="#00a0de"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v:textbox>
                </v:rect>
                <v:rect id="Rectangle 16" o:spid="_x0000_s1028" style="position:absolute;left:24689;top:981;width:18372;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VRMYA&#10;AADcAAAADwAAAGRycy9kb3ducmV2LnhtbESPQWvCQBSE70L/w/IKvUjdVK2W1E0QS1EQhEah10f2&#10;NQnNvo3ZbRL/vSsIPQ4z8w2zSgdTi45aV1lW8DKJQBDnVldcKDgdP5/fQDiPrLG2TAou5CBNHkYr&#10;jLXt+Yu6zBciQNjFqKD0vomldHlJBt3ENsTB+7GtQR9kW0jdYh/gppbTKFpIgxWHhRIb2pSU/2Z/&#10;RsEh84vxx/SwnJ3P/b4ztP22r6zU0+OwfgfhafD/4Xt7pxXMoyX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XVRMYAAADcAAAADwAAAAAAAAAAAAAAAACYAgAAZHJz&#10;L2Rvd25yZXYueG1sUEsFBgAAAAAEAAQA9QAAAIsDAAAAAA==&#10;" fillcolor="#81bc00"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v:textbox>
                </v:rect>
                <v:rect id="Rectangle 21" o:spid="_x0000_s1029" style="position:absolute;left:24689;top:9693;width:18372;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PIsQA&#10;AADcAAAADwAAAGRycy9kb3ducmV2LnhtbERPy2rCQBTdC/2H4Rbc6UxLsTV1ImmhIogLU1/LS+Y2&#10;CWbuhMwY07/vLAouD+e9WA62ET11vnas4WmqQBAXztRcath/f03eQPiAbLBxTBp+ycMyfRgtMDHu&#10;xjvq81CKGMI+QQ1VCG0ipS8qsuinriWO3I/rLIYIu1KaDm8x3DbyWamZtFhzbKiwpc+Kikt+tRpO&#10;W/9xft2sNsfdYZ5tz/NLVsyU1uPHIXsHEWgId/G/e200vKi4Np6JR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FzyLEAAAA3AAAAA8AAAAAAAAAAAAAAAAAmAIAAGRycy9k&#10;b3ducmV2LnhtbFBLBQYAAAAABAAEAPUAAACJAwAAAAA=&#10;" fillcolor="#00a0de"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v:textbox>
                </v:rect>
                <v:rect id="Rectangle 23" o:spid="_x0000_s1030" style="position:absolute;left:24689;top:18731;width:18372;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qucYA&#10;AADcAAAADwAAAGRycy9kb3ducmV2LnhtbESPT2vCQBTE70K/w/KE3nRXKdpEV0mFloJ40Prv+Mg+&#10;k2D2bchuNf32bqHQ4zAzv2Hmy87W4katrxxrGA0VCOLcmYoLDfuv98ErCB+QDdaOScMPeVgunnpz&#10;TI2785Zuu1CICGGfooYyhCaV0uclWfRD1xBH7+JaiyHKtpCmxXuE21qOlZpIixXHhRIbWpWUX3ff&#10;VsNp49/O0/XH+rg9JNnmnFyzfKK0fu532QxEoC78h//an0bDi0r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lqucYAAADcAAAADwAAAAAAAAAAAAAAAACYAgAAZHJz&#10;L2Rvd25yZXYueG1sUEsFBgAAAAAEAAQA9QAAAIsDAAAAAA==&#10;" fillcolor="#00a0de"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31" type="#_x0000_t34" style="position:absolute;left:20034;top:11980;width:4655;height:903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Wnr0AAADcAAAADwAAAGRycy9kb3ducmV2LnhtbERPuwrCMBTdBf8hXMFNU0VEalMRQXBR&#10;8LG4XZprW2xuShPb6tebQXA8nHey6U0lWmpcaVnBbBqBIM6sLjlXcLvuJysQziNrrCyTgjc52KTD&#10;QYKxth2fqb34XIQQdjEqKLyvYyldVpBBN7U1ceAetjHoA2xyqRvsQrip5DyKltJgyaGhwJp2BWXP&#10;y8soaCO81117XJ7MFd/3j9tmznRKjUf9dg3CU+//4p/7oBUsZ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MTFp69AAAA3AAAAA8AAAAAAAAAAAAAAAAAoQIA&#10;AGRycy9kb3ducmV2LnhtbFBLBQYAAAAABAAEAPkAAACLAwAAAAA=&#10;" strokecolor="#006">
                  <v:stroke endarrow="open" joinstyle="round"/>
                </v:shape>
                <v:shape id="Elbow Connector 25" o:spid="_x0000_s1032" type="#_x0000_t34" style="position:absolute;left:20034;top:11980;width:4655;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qSsUAAADcAAAADwAAAGRycy9kb3ducmV2LnhtbESP0WrCQBRE3wv+w3ILvtVNgtiauopW&#10;BOlLifoBl+xtEpq9m2S3MfHru4LQx2FmzjCrzWBq0VPnKssK4lkEgji3uuJCweV8eHkD4Tyyxtoy&#10;KRjJwWY9eVphqu2VM+pPvhABwi5FBaX3TSqly0sy6Ga2IQ7et+0M+iC7QuoOrwFuaplE0UIarDgs&#10;lNjQR0n5z+nXKPhaZu1uf+y3WXuLXy/4ObZJMio1fR627yA8Df4//GgftYJ5HMP9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uqSsUAAADcAAAADwAAAAAAAAAA&#10;AAAAAAChAgAAZHJzL2Rvd25yZXYueG1sUEsFBgAAAAAEAAQA+QAAAJMDAAAAAA==&#10;" strokecolor="#006">
                  <v:stroke endarrow="open" joinstyle="round"/>
                </v:shape>
                <v:shape id="Elbow Connector 26" o:spid="_x0000_s1033" type="#_x0000_t34" style="position:absolute;left:20034;top:3268;width:4655;height:871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0PcUAAADcAAAADwAAAGRycy9kb3ducmV2LnhtbESP0WrCQBRE3wv+w3ILvtVNgtiauopW&#10;BOlLifoBl+xtEpq9m2S3MfHru4LQx2FmzjCrzWBq0VPnKssK4lkEgji3uuJCweV8eHkD4Tyyxtoy&#10;KRjJwWY9eVphqu2VM+pPvhABwi5FBaX3TSqly0sy6Ga2IQ7et+0M+iC7QuoOrwFuaplE0UIarDgs&#10;lNjQR0n5z+nXKPhaZu1uf+y3WXuLXy/4ObZJMio1fR627yA8Df4//GgftYJ5nMD9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k0PcUAAADcAAAADwAAAAAAAAAA&#10;AAAAAAChAgAAZHJzL2Rvd25yZXYueG1sUEsFBgAAAAAEAAQA+QAAAJMDAAAAAA==&#10;" strokecolor="#006">
                  <v:stroke endarrow="open" joinstyle="round"/>
                </v:shape>
                <v:rect id="Rectangle 27" o:spid="_x0000_s1034" style="position:absolute;left:44775;top:16806;width:29261;height:7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jscA&#10;AADcAAAADwAAAGRycy9kb3ducmV2LnhtbESPT2vCQBTE7wW/w/IKvdWNVrRGV0kLFUE8GOuf4yP7&#10;mgSzb0N2q/Hbu4LgcZiZ3zDTeWsqcabGlZYV9LoRCOLM6pJzBb/bn/dPEM4ja6wsk4IrOZjPOi9T&#10;jLW98IbOqc9FgLCLUUHhfR1L6bKCDLqurYmD92cbgz7IJpe6wUuAm0r2o2goDZYcFgqs6bug7JT+&#10;GwWHtfs6jlaL1X6zGyfr4/iUZMNIqbfXNpmA8NT6Z/jRXmoFg94H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4y47HAAAA3AAAAA8AAAAAAAAAAAAAAAAAmAIAAGRy&#10;cy9kb3ducmV2LnhtbFBLBQYAAAAABAAEAPUAAACMAwAAAAA=&#10;" fillcolor="#00a0de"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v:textbox>
                </v:rect>
                <v:rect id="Rectangle 28" o:spid="_x0000_s1035" style="position:absolute;left:44769;top:8200;width:29254;height:7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T+sUA&#10;AADcAAAADwAAAGRycy9kb3ducmV2LnhtbESPS4vCQBCE74L/YWhhbzpxER9ZR8kKiiAefHtsMr1J&#10;MNMTMrOa/ffOguCxqKqvqOm8MaW4U+0Kywr6vQgEcWp1wZmC42HZHYNwHlljaZkU/JGD+azdmmKs&#10;7YN3dN/7TAQIuxgV5N5XsZQuzcmg69mKOHg/tjbog6wzqWt8BLgp5WcUDaXBgsNCjhUtckpv+1+j&#10;4LJ139fRZrU5706TZHud3JJ0GCn10WmSLxCeGv8Ov9prrWDQH8D/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VP6xQAAANwAAAAPAAAAAAAAAAAAAAAAAJgCAABkcnMv&#10;ZG93bnJldi54bWxQSwUGAAAAAAQABAD1AAAAigMAAAAA&#10;" fillcolor="#00a0de"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v:textbox>
                </v:rect>
                <v:rect id="Rectangle 29" o:spid="_x0000_s1036" style="position:absolute;left:44775;top:-322;width:29254;height:7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4dcYA&#10;AADcAAAADwAAAGRycy9kb3ducmV2LnhtbESPQWvCQBSE74L/YXlCL6IbbbUS3YTSUioUBKPQ6yP7&#10;TILZtzG7TdJ/3xUKPQ4z8w2zSwdTi45aV1lWsJhHIIhzqysuFJxP77MNCOeRNdaWScEPOUiT8WiH&#10;sbY9H6nLfCEChF2MCkrvm1hKl5dk0M1tQxy8i20N+iDbQuoW+wA3tVxG0VoarDgslNjQa0n5Nfs2&#10;Cg6ZX0/flofnx9ut/+wMfXzZFSv1MBletiA8Df4//NfeawVPixXcz4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J4dcYAAADcAAAADwAAAAAAAAAAAAAAAACYAgAAZHJz&#10;L2Rvd25yZXYueG1sUEsFBgAAAAAEAAQA9QAAAIsDAAAAAA==&#10;" fillcolor="#81bc00" stroked="f">
                  <v:textbox inset="1mm,1mm,1mm,1mm">
                    <w:txbxContent>
                      <w:p w:rsidR="009F2DFA" w:rsidRPr="00042C66" w:rsidRDefault="009F2DFA"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v:textbox>
                </v:rect>
                <w10:anchorlock/>
              </v:group>
            </w:pict>
          </mc:Fallback>
        </mc:AlternateConten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hAnsi="Times New Roman"/>
          <w:sz w:val="24"/>
        </w:rPr>
        <w:t>Kalkulácia nákladov regulácie vychádza z metodiky štandardného nákladového modelu (SCM).</w:t>
      </w:r>
      <w:r w:rsidRPr="00042C66">
        <w:rPr>
          <w:rFonts w:ascii="Times New Roman" w:eastAsiaTheme="minorHAnsi" w:hAnsi="Times New Roman"/>
          <w:color w:val="auto"/>
          <w:sz w:val="24"/>
          <w:szCs w:val="22"/>
        </w:rPr>
        <w:t xml:space="preserve"> Jej podstatou je rozklad regulácie a paragrafového znenia do súboru menších, ľahšie merateľných komponentov – povinností, s následným nákladovým vyjadrením ich plnenia. </w:t>
      </w:r>
    </w:p>
    <w:p w:rsidR="009F2DFA" w:rsidRPr="00042C66" w:rsidRDefault="009F2DFA" w:rsidP="009F2DFA">
      <w:pPr>
        <w:pStyle w:val="BodyText1"/>
        <w:spacing w:after="240"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Vyčíslenie nákladov jednej povinnosti je založené na postupnosti štyroch jednoduchých krokov, ktoré musí predkladateľ v rámci kalkulácie vykonať:</w: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b/>
          <w:color w:val="auto"/>
          <w:sz w:val="24"/>
          <w:szCs w:val="22"/>
        </w:rPr>
        <w:t>Krok 1 – Stanovenie časovej náročnosti plnenia povinností</w:t>
      </w:r>
    </w:p>
    <w:p w:rsidR="009F2DFA" w:rsidRPr="00042C66" w:rsidRDefault="009F2DFA" w:rsidP="009F2DFA">
      <w:pPr>
        <w:pStyle w:val="BodyText1"/>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Pri priraďovaní časovej náročnosti plnenia povinnosti je možné využiť dva základné prístupy:</w:t>
      </w:r>
    </w:p>
    <w:p w:rsidR="009F2DFA" w:rsidRPr="00042C66" w:rsidRDefault="009F2DFA" w:rsidP="009F2DFA">
      <w:pPr>
        <w:pStyle w:val="BodyText1"/>
        <w:numPr>
          <w:ilvl w:val="0"/>
          <w:numId w:val="5"/>
        </w:numPr>
        <w:jc w:val="both"/>
        <w:rPr>
          <w:rFonts w:ascii="Times New Roman" w:eastAsiaTheme="minorHAnsi" w:hAnsi="Times New Roman"/>
          <w:i/>
          <w:color w:val="auto"/>
          <w:sz w:val="24"/>
          <w:szCs w:val="22"/>
        </w:rPr>
      </w:pPr>
      <w:r w:rsidRPr="00042C66">
        <w:rPr>
          <w:rFonts w:ascii="Times New Roman" w:eastAsiaTheme="minorHAnsi" w:hAnsi="Times New Roman"/>
          <w:i/>
          <w:color w:val="auto"/>
          <w:sz w:val="24"/>
          <w:szCs w:val="22"/>
        </w:rPr>
        <w:t xml:space="preserve">Štandardná časová náročnosť povinnosti (min.)  </w:t>
      </w:r>
    </w:p>
    <w:p w:rsidR="009F2DFA" w:rsidRDefault="009F2DFA" w:rsidP="00780BA6">
      <w:pPr>
        <w:pStyle w:val="BodyText1"/>
        <w:spacing w:line="276" w:lineRule="auto"/>
        <w:ind w:left="708"/>
        <w:jc w:val="both"/>
        <w:rPr>
          <w:i/>
        </w:rPr>
      </w:pPr>
      <w:r w:rsidRPr="00042C66">
        <w:rPr>
          <w:rFonts w:ascii="Times New Roman" w:eastAsiaTheme="minorHAnsi" w:hAnsi="Times New Roman"/>
          <w:color w:val="auto"/>
          <w:sz w:val="24"/>
          <w:szCs w:val="22"/>
        </w:rPr>
        <w:t>Predkladateľ vyberie jednu z 10  typických informačných povinností, ktorým sú priradené štandardizované časové náročnosti uvedené v tabuľke. V prípade, že by sa jednalo o obšírnejšiu povinnosť, je možné v rámci jednej povinnosti zvoliť kombináciu až troch typických informačných povinností (napr. povinnosť vypracovania dokumentu a jeho predloženie príslušnému úradu).</w:t>
      </w:r>
      <w:r>
        <w:rPr>
          <w:i/>
        </w:rPr>
        <w:br w:type="page"/>
      </w:r>
    </w:p>
    <w:tbl>
      <w:tblPr>
        <w:tblpPr w:leftFromText="181" w:rightFromText="181" w:vertAnchor="page" w:horzAnchor="margin" w:tblpY="1711"/>
        <w:tblOverlap w:val="never"/>
        <w:tblW w:w="5000" w:type="pct"/>
        <w:tblLayout w:type="fixed"/>
        <w:tblCellMar>
          <w:left w:w="28" w:type="dxa"/>
          <w:right w:w="28" w:type="dxa"/>
        </w:tblCellMar>
        <w:tblLook w:val="04A0" w:firstRow="1" w:lastRow="0" w:firstColumn="1" w:lastColumn="0" w:noHBand="0" w:noVBand="1"/>
      </w:tblPr>
      <w:tblGrid>
        <w:gridCol w:w="3701"/>
        <w:gridCol w:w="947"/>
        <w:gridCol w:w="1597"/>
        <w:gridCol w:w="1250"/>
        <w:gridCol w:w="1577"/>
      </w:tblGrid>
      <w:tr w:rsidR="009F2DFA" w:rsidRPr="00042C66" w:rsidTr="007B71A4">
        <w:trPr>
          <w:trHeight w:val="170"/>
        </w:trPr>
        <w:tc>
          <w:tcPr>
            <w:tcW w:w="2040" w:type="pct"/>
            <w:shd w:val="clear" w:color="auto" w:fill="92D400"/>
            <w:vAlign w:val="center"/>
            <w:hideMark/>
          </w:tcPr>
          <w:p w:rsidR="009F2DFA" w:rsidRPr="00074919" w:rsidRDefault="009F2DFA" w:rsidP="007B71A4">
            <w:pPr>
              <w:jc w:val="center"/>
              <w:rPr>
                <w:b/>
                <w:color w:val="FFFFFF" w:themeColor="background1"/>
                <w:szCs w:val="16"/>
              </w:rPr>
            </w:pPr>
            <w:r w:rsidRPr="00074919">
              <w:rPr>
                <w:b/>
                <w:color w:val="FFFFFF" w:themeColor="background1"/>
                <w:szCs w:val="16"/>
              </w:rPr>
              <w:lastRenderedPageBreak/>
              <w:t>Typické IP</w:t>
            </w:r>
          </w:p>
        </w:tc>
        <w:tc>
          <w:tcPr>
            <w:tcW w:w="522" w:type="pct"/>
            <w:shd w:val="clear" w:color="auto" w:fill="92D400"/>
            <w:vAlign w:val="center"/>
          </w:tcPr>
          <w:p w:rsidR="009F2DFA" w:rsidRPr="00074919" w:rsidRDefault="009F2DFA" w:rsidP="007B71A4">
            <w:pPr>
              <w:jc w:val="center"/>
              <w:rPr>
                <w:b/>
                <w:color w:val="FFFFFF" w:themeColor="background1"/>
                <w:szCs w:val="16"/>
              </w:rPr>
            </w:pPr>
            <w:r w:rsidRPr="00074919">
              <w:rPr>
                <w:b/>
                <w:color w:val="FFFFFF" w:themeColor="background1"/>
                <w:szCs w:val="16"/>
              </w:rPr>
              <w:t>Mikro</w:t>
            </w:r>
          </w:p>
        </w:tc>
        <w:tc>
          <w:tcPr>
            <w:tcW w:w="880" w:type="pct"/>
            <w:shd w:val="clear" w:color="auto" w:fill="92D400"/>
            <w:vAlign w:val="center"/>
          </w:tcPr>
          <w:p w:rsidR="009F2DFA" w:rsidRPr="00074919" w:rsidRDefault="009F2DFA" w:rsidP="007B71A4">
            <w:pPr>
              <w:jc w:val="center"/>
              <w:rPr>
                <w:b/>
                <w:color w:val="FFFFFF" w:themeColor="background1"/>
                <w:szCs w:val="16"/>
              </w:rPr>
            </w:pPr>
            <w:r w:rsidRPr="00074919">
              <w:rPr>
                <w:b/>
                <w:color w:val="FFFFFF" w:themeColor="background1"/>
                <w:szCs w:val="16"/>
              </w:rPr>
              <w:t>Malé a stredné</w:t>
            </w:r>
          </w:p>
        </w:tc>
        <w:tc>
          <w:tcPr>
            <w:tcW w:w="689" w:type="pct"/>
            <w:tcBorders>
              <w:right w:val="single" w:sz="8" w:space="0" w:color="92D050"/>
            </w:tcBorders>
            <w:shd w:val="clear" w:color="auto" w:fill="92D400"/>
            <w:vAlign w:val="center"/>
          </w:tcPr>
          <w:p w:rsidR="009F2DFA" w:rsidRPr="00074919" w:rsidRDefault="009F2DFA" w:rsidP="007B71A4">
            <w:pPr>
              <w:jc w:val="center"/>
              <w:rPr>
                <w:b/>
                <w:color w:val="FFFFFF" w:themeColor="background1"/>
                <w:szCs w:val="16"/>
              </w:rPr>
            </w:pPr>
            <w:r w:rsidRPr="00074919">
              <w:rPr>
                <w:b/>
                <w:color w:val="FFFFFF" w:themeColor="background1"/>
                <w:szCs w:val="16"/>
              </w:rPr>
              <w:t>Veľké</w:t>
            </w:r>
          </w:p>
        </w:tc>
        <w:tc>
          <w:tcPr>
            <w:tcW w:w="869" w:type="pct"/>
            <w:tcBorders>
              <w:left w:val="single" w:sz="8" w:space="0" w:color="92D050"/>
            </w:tcBorders>
            <w:shd w:val="clear" w:color="auto" w:fill="92D400"/>
            <w:vAlign w:val="center"/>
            <w:hideMark/>
          </w:tcPr>
          <w:p w:rsidR="009F2DFA" w:rsidRPr="00074919" w:rsidRDefault="009F2DFA" w:rsidP="007B71A4">
            <w:pPr>
              <w:jc w:val="center"/>
              <w:rPr>
                <w:b/>
                <w:color w:val="FFFFFF" w:themeColor="background1"/>
                <w:szCs w:val="16"/>
              </w:rPr>
            </w:pPr>
            <w:r w:rsidRPr="00074919">
              <w:rPr>
                <w:b/>
                <w:color w:val="FFFFFF" w:themeColor="background1"/>
                <w:szCs w:val="16"/>
              </w:rPr>
              <w:t>Vážený priemer použitý pre kalkuláciu</w:t>
            </w:r>
          </w:p>
        </w:tc>
      </w:tr>
      <w:tr w:rsidR="009F2DFA" w:rsidRPr="00042C66" w:rsidTr="007B71A4">
        <w:trPr>
          <w:trHeight w:val="170"/>
        </w:trPr>
        <w:tc>
          <w:tcPr>
            <w:tcW w:w="2040" w:type="pct"/>
            <w:tcBorders>
              <w:top w:val="nil"/>
              <w:left w:val="nil"/>
              <w:bottom w:val="single" w:sz="4" w:space="0" w:color="92D400"/>
              <w:right w:val="nil"/>
            </w:tcBorders>
            <w:vAlign w:val="center"/>
            <w:hideMark/>
          </w:tcPr>
          <w:p w:rsidR="009F2DFA" w:rsidRPr="00042C66" w:rsidRDefault="009F2DFA" w:rsidP="007B71A4">
            <w:pPr>
              <w:rPr>
                <w:sz w:val="16"/>
                <w:szCs w:val="16"/>
              </w:rPr>
            </w:pPr>
            <w:r w:rsidRPr="00042C66">
              <w:rPr>
                <w:bCs/>
                <w:color w:val="000000"/>
                <w:sz w:val="16"/>
                <w:szCs w:val="16"/>
              </w:rPr>
              <w:t>Archivácia</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45</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90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180</w:t>
            </w:r>
          </w:p>
        </w:tc>
        <w:tc>
          <w:tcPr>
            <w:tcW w:w="869" w:type="pct"/>
            <w:tcBorders>
              <w:top w:val="nil"/>
              <w:left w:val="single" w:sz="8" w:space="0" w:color="92D050"/>
              <w:bottom w:val="single" w:sz="4" w:space="0" w:color="92D400"/>
              <w:right w:val="nil"/>
            </w:tcBorders>
            <w:vAlign w:val="center"/>
            <w:hideMark/>
          </w:tcPr>
          <w:p w:rsidR="009F2DFA" w:rsidRPr="00042C66" w:rsidRDefault="009F2DFA" w:rsidP="007B71A4">
            <w:pPr>
              <w:jc w:val="center"/>
              <w:rPr>
                <w:b/>
                <w:sz w:val="16"/>
                <w:szCs w:val="16"/>
              </w:rPr>
            </w:pPr>
            <w:r>
              <w:rPr>
                <w:b/>
                <w:sz w:val="16"/>
                <w:szCs w:val="16"/>
              </w:rPr>
              <w:t xml:space="preserve">  </w:t>
            </w:r>
            <w:r w:rsidRPr="00042C66">
              <w:rPr>
                <w:b/>
                <w:sz w:val="16"/>
                <w:szCs w:val="16"/>
              </w:rPr>
              <w:t>60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Evidencia, vedenie dokumentácie</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240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480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720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sidRPr="00042C66">
              <w:rPr>
                <w:b/>
                <w:sz w:val="16"/>
                <w:szCs w:val="16"/>
              </w:rPr>
              <w:t>300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Inventarizácia</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360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720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sidRPr="00042C66">
              <w:rPr>
                <w:sz w:val="16"/>
                <w:szCs w:val="16"/>
              </w:rPr>
              <w:t>1 200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sidRPr="00042C66">
              <w:rPr>
                <w:b/>
                <w:sz w:val="16"/>
                <w:szCs w:val="16"/>
              </w:rPr>
              <w:t>460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Ohlásenie, oznámenie, poskytnutie informácie</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60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60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60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Pr>
                <w:b/>
                <w:sz w:val="16"/>
                <w:szCs w:val="16"/>
              </w:rPr>
              <w:t xml:space="preserve">  </w:t>
            </w:r>
            <w:r w:rsidRPr="00042C66">
              <w:rPr>
                <w:b/>
                <w:sz w:val="16"/>
                <w:szCs w:val="16"/>
              </w:rPr>
              <w:t>60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Overenie súladu</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120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480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960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sidRPr="00042C66">
              <w:rPr>
                <w:b/>
                <w:sz w:val="16"/>
                <w:szCs w:val="16"/>
              </w:rPr>
              <w:t>220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Poskytnutie súčinnosti</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100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100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100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sidRPr="00042C66">
              <w:rPr>
                <w:b/>
                <w:sz w:val="16"/>
                <w:szCs w:val="16"/>
              </w:rPr>
              <w:t>100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Predloženie dokladu/ dokumentu elektronicky</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30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30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30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Pr>
                <w:b/>
                <w:sz w:val="16"/>
                <w:szCs w:val="16"/>
              </w:rPr>
              <w:t xml:space="preserve">  </w:t>
            </w:r>
            <w:r w:rsidRPr="00042C66">
              <w:rPr>
                <w:b/>
                <w:sz w:val="16"/>
                <w:szCs w:val="16"/>
              </w:rPr>
              <w:t>30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Predloženie dokladu/ dokumentu papierovo</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50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50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50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Pr>
                <w:b/>
                <w:sz w:val="16"/>
                <w:szCs w:val="16"/>
              </w:rPr>
              <w:t xml:space="preserve">  </w:t>
            </w:r>
            <w:r w:rsidRPr="00042C66">
              <w:rPr>
                <w:b/>
                <w:sz w:val="16"/>
                <w:szCs w:val="16"/>
              </w:rPr>
              <w:t>50 min.</w:t>
            </w:r>
          </w:p>
        </w:tc>
      </w:tr>
      <w:tr w:rsidR="009F2DFA" w:rsidRPr="00042C66" w:rsidTr="007B71A4">
        <w:trPr>
          <w:trHeight w:val="170"/>
        </w:trPr>
        <w:tc>
          <w:tcPr>
            <w:tcW w:w="2040" w:type="pct"/>
            <w:tcBorders>
              <w:top w:val="nil"/>
              <w:left w:val="nil"/>
              <w:bottom w:val="single" w:sz="4" w:space="0" w:color="92D400"/>
              <w:right w:val="nil"/>
            </w:tcBorders>
            <w:vAlign w:val="center"/>
          </w:tcPr>
          <w:p w:rsidR="009F2DFA" w:rsidRPr="00042C66" w:rsidRDefault="009F2DFA" w:rsidP="007B71A4">
            <w:pPr>
              <w:rPr>
                <w:sz w:val="16"/>
                <w:szCs w:val="16"/>
              </w:rPr>
            </w:pPr>
            <w:r w:rsidRPr="00042C66">
              <w:rPr>
                <w:sz w:val="16"/>
                <w:szCs w:val="16"/>
              </w:rPr>
              <w:t>Vypracovanie dokumentu/ správy</w:t>
            </w:r>
          </w:p>
        </w:tc>
        <w:tc>
          <w:tcPr>
            <w:tcW w:w="522"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480</w:t>
            </w:r>
          </w:p>
        </w:tc>
        <w:tc>
          <w:tcPr>
            <w:tcW w:w="880" w:type="pct"/>
            <w:tcBorders>
              <w:top w:val="nil"/>
              <w:left w:val="nil"/>
              <w:bottom w:val="single" w:sz="4" w:space="0" w:color="92D400"/>
              <w:right w:val="nil"/>
            </w:tcBorders>
            <w:vAlign w:val="center"/>
          </w:tcPr>
          <w:p w:rsidR="009F2DFA" w:rsidRPr="00042C66" w:rsidRDefault="009F2DFA" w:rsidP="007B71A4">
            <w:pPr>
              <w:jc w:val="center"/>
              <w:rPr>
                <w:sz w:val="16"/>
                <w:szCs w:val="16"/>
              </w:rPr>
            </w:pPr>
            <w:r w:rsidRPr="00042C66">
              <w:rPr>
                <w:sz w:val="16"/>
                <w:szCs w:val="16"/>
              </w:rPr>
              <w:t>960</w:t>
            </w:r>
          </w:p>
        </w:tc>
        <w:tc>
          <w:tcPr>
            <w:tcW w:w="689" w:type="pct"/>
            <w:tcBorders>
              <w:top w:val="nil"/>
              <w:left w:val="nil"/>
              <w:bottom w:val="single" w:sz="4" w:space="0" w:color="92D400"/>
              <w:right w:val="single" w:sz="8" w:space="0" w:color="92D050"/>
            </w:tcBorders>
            <w:vAlign w:val="center"/>
          </w:tcPr>
          <w:p w:rsidR="009F2DFA" w:rsidRPr="00042C66" w:rsidRDefault="009F2DFA" w:rsidP="007B71A4">
            <w:pPr>
              <w:jc w:val="center"/>
              <w:rPr>
                <w:sz w:val="16"/>
                <w:szCs w:val="16"/>
              </w:rPr>
            </w:pPr>
            <w:r w:rsidRPr="00042C66">
              <w:rPr>
                <w:sz w:val="16"/>
                <w:szCs w:val="16"/>
              </w:rPr>
              <w:t>2 400</w:t>
            </w:r>
          </w:p>
        </w:tc>
        <w:tc>
          <w:tcPr>
            <w:tcW w:w="869" w:type="pct"/>
            <w:tcBorders>
              <w:top w:val="nil"/>
              <w:left w:val="single" w:sz="8" w:space="0" w:color="92D050"/>
              <w:bottom w:val="single" w:sz="4" w:space="0" w:color="92D400"/>
              <w:right w:val="nil"/>
            </w:tcBorders>
            <w:vAlign w:val="center"/>
          </w:tcPr>
          <w:p w:rsidR="009F2DFA" w:rsidRPr="00042C66" w:rsidRDefault="009F2DFA" w:rsidP="007B71A4">
            <w:pPr>
              <w:jc w:val="center"/>
              <w:rPr>
                <w:b/>
                <w:sz w:val="16"/>
                <w:szCs w:val="16"/>
              </w:rPr>
            </w:pPr>
            <w:r w:rsidRPr="00042C66">
              <w:rPr>
                <w:b/>
                <w:sz w:val="16"/>
                <w:szCs w:val="16"/>
              </w:rPr>
              <w:t>650 min.</w:t>
            </w:r>
          </w:p>
        </w:tc>
      </w:tr>
      <w:tr w:rsidR="009F2DFA" w:rsidRPr="00042C66" w:rsidTr="007B71A4">
        <w:trPr>
          <w:trHeight w:val="170"/>
        </w:trPr>
        <w:tc>
          <w:tcPr>
            <w:tcW w:w="2040" w:type="pct"/>
            <w:tcBorders>
              <w:top w:val="single" w:sz="4" w:space="0" w:color="92D400"/>
              <w:left w:val="nil"/>
              <w:bottom w:val="single" w:sz="4" w:space="0" w:color="C0504D" w:themeColor="accent2"/>
              <w:right w:val="nil"/>
            </w:tcBorders>
            <w:vAlign w:val="center"/>
          </w:tcPr>
          <w:p w:rsidR="009F2DFA" w:rsidRPr="00042C66" w:rsidRDefault="009F2DFA" w:rsidP="007B71A4">
            <w:pPr>
              <w:rPr>
                <w:sz w:val="16"/>
                <w:szCs w:val="16"/>
              </w:rPr>
            </w:pPr>
            <w:r>
              <w:rPr>
                <w:sz w:val="16"/>
                <w:szCs w:val="16"/>
              </w:rPr>
              <w:t>Ž</w:t>
            </w:r>
            <w:r w:rsidRPr="00042C66">
              <w:rPr>
                <w:sz w:val="16"/>
                <w:szCs w:val="16"/>
              </w:rPr>
              <w:t>iadosť/ návrh</w:t>
            </w:r>
          </w:p>
        </w:tc>
        <w:tc>
          <w:tcPr>
            <w:tcW w:w="522" w:type="pct"/>
            <w:tcBorders>
              <w:top w:val="single" w:sz="4" w:space="0" w:color="92D400"/>
              <w:left w:val="nil"/>
              <w:bottom w:val="single" w:sz="4" w:space="0" w:color="C0504D" w:themeColor="accent2"/>
              <w:right w:val="nil"/>
            </w:tcBorders>
            <w:vAlign w:val="center"/>
          </w:tcPr>
          <w:p w:rsidR="009F2DFA" w:rsidRPr="00042C66" w:rsidRDefault="009F2DFA" w:rsidP="007B71A4">
            <w:pPr>
              <w:jc w:val="center"/>
              <w:rPr>
                <w:sz w:val="16"/>
                <w:szCs w:val="16"/>
              </w:rPr>
            </w:pPr>
            <w:r w:rsidRPr="00042C66">
              <w:rPr>
                <w:sz w:val="16"/>
                <w:szCs w:val="16"/>
              </w:rPr>
              <w:t>180</w:t>
            </w:r>
          </w:p>
        </w:tc>
        <w:tc>
          <w:tcPr>
            <w:tcW w:w="880" w:type="pct"/>
            <w:tcBorders>
              <w:top w:val="single" w:sz="4" w:space="0" w:color="92D400"/>
              <w:left w:val="nil"/>
              <w:bottom w:val="single" w:sz="4" w:space="0" w:color="C0504D" w:themeColor="accent2"/>
              <w:right w:val="nil"/>
            </w:tcBorders>
            <w:vAlign w:val="center"/>
          </w:tcPr>
          <w:p w:rsidR="009F2DFA" w:rsidRPr="00042C66" w:rsidRDefault="009F2DFA" w:rsidP="007B71A4">
            <w:pPr>
              <w:jc w:val="center"/>
              <w:rPr>
                <w:sz w:val="16"/>
                <w:szCs w:val="16"/>
              </w:rPr>
            </w:pPr>
            <w:r w:rsidRPr="00042C66">
              <w:rPr>
                <w:sz w:val="16"/>
                <w:szCs w:val="16"/>
              </w:rPr>
              <w:t>240</w:t>
            </w:r>
          </w:p>
        </w:tc>
        <w:tc>
          <w:tcPr>
            <w:tcW w:w="689" w:type="pct"/>
            <w:tcBorders>
              <w:top w:val="single" w:sz="4" w:space="0" w:color="92D400"/>
              <w:left w:val="nil"/>
              <w:bottom w:val="single" w:sz="4" w:space="0" w:color="C0504D" w:themeColor="accent2"/>
              <w:right w:val="single" w:sz="8" w:space="0" w:color="92D050"/>
            </w:tcBorders>
            <w:vAlign w:val="center"/>
          </w:tcPr>
          <w:p w:rsidR="009F2DFA" w:rsidRPr="00042C66" w:rsidRDefault="009F2DFA" w:rsidP="007B71A4">
            <w:pPr>
              <w:jc w:val="center"/>
              <w:rPr>
                <w:sz w:val="16"/>
                <w:szCs w:val="16"/>
              </w:rPr>
            </w:pPr>
            <w:r>
              <w:rPr>
                <w:sz w:val="16"/>
                <w:szCs w:val="16"/>
              </w:rPr>
              <w:t xml:space="preserve">  </w:t>
            </w:r>
            <w:r w:rsidRPr="00042C66">
              <w:rPr>
                <w:sz w:val="16"/>
                <w:szCs w:val="16"/>
              </w:rPr>
              <w:t>480</w:t>
            </w:r>
          </w:p>
        </w:tc>
        <w:tc>
          <w:tcPr>
            <w:tcW w:w="869" w:type="pct"/>
            <w:tcBorders>
              <w:top w:val="single" w:sz="4" w:space="0" w:color="92D400"/>
              <w:left w:val="single" w:sz="8" w:space="0" w:color="92D050"/>
              <w:bottom w:val="single" w:sz="4" w:space="0" w:color="C0504D" w:themeColor="accent2"/>
              <w:right w:val="nil"/>
            </w:tcBorders>
            <w:vAlign w:val="center"/>
          </w:tcPr>
          <w:p w:rsidR="009F2DFA" w:rsidRPr="00042C66" w:rsidRDefault="009F2DFA" w:rsidP="007B71A4">
            <w:pPr>
              <w:jc w:val="center"/>
              <w:rPr>
                <w:b/>
                <w:sz w:val="16"/>
                <w:szCs w:val="16"/>
              </w:rPr>
            </w:pPr>
            <w:r w:rsidRPr="00042C66">
              <w:rPr>
                <w:b/>
                <w:sz w:val="16"/>
                <w:szCs w:val="16"/>
              </w:rPr>
              <w:t>200 min.</w:t>
            </w:r>
          </w:p>
        </w:tc>
      </w:tr>
    </w:tbl>
    <w:p w:rsidR="009F2DFA" w:rsidRDefault="009F2DFA" w:rsidP="009F2DFA">
      <w:pPr>
        <w:pStyle w:val="BodyText1"/>
        <w:spacing w:after="0"/>
        <w:ind w:right="-426"/>
        <w:rPr>
          <w:rFonts w:ascii="Times New Roman" w:hAnsi="Times New Roman"/>
          <w:i/>
          <w:sz w:val="20"/>
          <w:szCs w:val="20"/>
        </w:rPr>
      </w:pPr>
      <w:r w:rsidRPr="00042C66">
        <w:rPr>
          <w:rFonts w:ascii="Times New Roman" w:hAnsi="Times New Roman"/>
          <w:i/>
          <w:sz w:val="20"/>
          <w:szCs w:val="20"/>
        </w:rPr>
        <w:t>Tabuľka štandardných časových náročností typických informačných povinností podľa veľkosti podniku (v minútach)</w:t>
      </w:r>
    </w:p>
    <w:p w:rsidR="009F2DFA" w:rsidRDefault="009F2DFA" w:rsidP="009F2DFA">
      <w:pPr>
        <w:pStyle w:val="BodyText1"/>
        <w:spacing w:after="0"/>
        <w:rPr>
          <w:rFonts w:ascii="Times New Roman" w:hAnsi="Times New Roman"/>
          <w:i/>
          <w:sz w:val="20"/>
          <w:szCs w:val="20"/>
        </w:rPr>
      </w:pPr>
    </w:p>
    <w:p w:rsidR="009F2DFA" w:rsidRDefault="009F2DFA" w:rsidP="009F2DFA">
      <w:pPr>
        <w:pStyle w:val="BodyText1"/>
        <w:spacing w:after="0"/>
        <w:rPr>
          <w:rFonts w:ascii="Times New Roman" w:hAnsi="Times New Roman"/>
          <w:i/>
          <w:sz w:val="20"/>
          <w:szCs w:val="20"/>
        </w:rPr>
      </w:pPr>
    </w:p>
    <w:p w:rsidR="009F2DFA" w:rsidRPr="00042C66" w:rsidRDefault="009F2DFA" w:rsidP="009F2DFA">
      <w:pPr>
        <w:pStyle w:val="BodyText1"/>
        <w:spacing w:after="0"/>
        <w:rPr>
          <w:rFonts w:ascii="Times New Roman" w:hAnsi="Times New Roman"/>
          <w:sz w:val="24"/>
          <w:szCs w:val="20"/>
        </w:rPr>
      </w:pPr>
      <w:r w:rsidRPr="00042C66">
        <w:rPr>
          <w:rFonts w:ascii="Times New Roman" w:hAnsi="Times New Roman"/>
          <w:sz w:val="24"/>
          <w:szCs w:val="20"/>
        </w:rPr>
        <w:t xml:space="preserve">Príklady konkrétnych typických informačných povinností podľa jednotlivých kategórií sú uvedené v nasledovnej tabuľke. </w:t>
      </w:r>
    </w:p>
    <w:p w:rsidR="009F2DFA" w:rsidRDefault="009F2DFA" w:rsidP="009F2DFA">
      <w:pPr>
        <w:pStyle w:val="BodyText1"/>
        <w:spacing w:after="0"/>
        <w:rPr>
          <w:rFonts w:ascii="Times New Roman" w:hAnsi="Times New Roman"/>
          <w:i/>
          <w:sz w:val="20"/>
          <w:szCs w:val="20"/>
        </w:rPr>
      </w:pPr>
    </w:p>
    <w:p w:rsidR="009F2DFA" w:rsidRPr="00042C66" w:rsidRDefault="009F2DFA" w:rsidP="009F2DFA">
      <w:pPr>
        <w:pStyle w:val="BodyText1"/>
        <w:spacing w:after="0"/>
        <w:rPr>
          <w:rFonts w:ascii="Times New Roman" w:hAnsi="Times New Roman"/>
          <w:i/>
          <w:sz w:val="20"/>
          <w:szCs w:val="20"/>
        </w:rPr>
      </w:pPr>
      <w:r w:rsidRPr="00042C66">
        <w:rPr>
          <w:rFonts w:ascii="Times New Roman" w:hAnsi="Times New Roman"/>
          <w:i/>
          <w:sz w:val="20"/>
          <w:szCs w:val="20"/>
        </w:rPr>
        <w:t>Prehľad kategórií typických informačných povinností</w:t>
      </w:r>
    </w:p>
    <w:tbl>
      <w:tblPr>
        <w:tblW w:w="5000" w:type="pct"/>
        <w:tblLook w:val="01E0" w:firstRow="1" w:lastRow="1" w:firstColumn="1" w:lastColumn="1" w:noHBand="0" w:noVBand="0"/>
      </w:tblPr>
      <w:tblGrid>
        <w:gridCol w:w="1624"/>
        <w:gridCol w:w="7448"/>
      </w:tblGrid>
      <w:tr w:rsidR="009F2DFA" w:rsidRPr="00042C66" w:rsidTr="007B71A4">
        <w:trPr>
          <w:trHeight w:val="288"/>
        </w:trPr>
        <w:tc>
          <w:tcPr>
            <w:tcW w:w="895" w:type="pct"/>
            <w:shd w:val="clear" w:color="auto" w:fill="92D400"/>
            <w:vAlign w:val="center"/>
            <w:hideMark/>
          </w:tcPr>
          <w:p w:rsidR="009F2DFA" w:rsidRPr="00042C66" w:rsidRDefault="009F2DFA" w:rsidP="007B71A4">
            <w:pPr>
              <w:pStyle w:val="TableColumnheader"/>
              <w:spacing w:before="60" w:after="60"/>
              <w:jc w:val="center"/>
              <w:rPr>
                <w:rFonts w:ascii="Times New Roman" w:hAnsi="Times New Roman"/>
                <w:sz w:val="16"/>
                <w:szCs w:val="16"/>
                <w:lang w:val="sk-SK"/>
              </w:rPr>
            </w:pPr>
            <w:r w:rsidRPr="00042C66">
              <w:rPr>
                <w:rFonts w:ascii="Times New Roman" w:hAnsi="Times New Roman"/>
                <w:sz w:val="16"/>
                <w:szCs w:val="16"/>
                <w:lang w:val="sk-SK"/>
              </w:rPr>
              <w:t>Kategória</w:t>
            </w:r>
          </w:p>
        </w:tc>
        <w:tc>
          <w:tcPr>
            <w:tcW w:w="4105" w:type="pct"/>
            <w:shd w:val="clear" w:color="auto" w:fill="92D400"/>
            <w:vAlign w:val="center"/>
            <w:hideMark/>
          </w:tcPr>
          <w:p w:rsidR="009F2DFA" w:rsidRPr="00042C66" w:rsidRDefault="009F2DFA" w:rsidP="007B71A4">
            <w:pPr>
              <w:pStyle w:val="TableColumnheader"/>
              <w:spacing w:before="60" w:after="60"/>
              <w:jc w:val="center"/>
              <w:rPr>
                <w:rFonts w:ascii="Times New Roman" w:hAnsi="Times New Roman"/>
                <w:sz w:val="16"/>
                <w:szCs w:val="16"/>
                <w:lang w:val="sk-SK"/>
              </w:rPr>
            </w:pPr>
            <w:r w:rsidRPr="00042C66">
              <w:rPr>
                <w:rFonts w:ascii="Times New Roman" w:hAnsi="Times New Roman"/>
                <w:sz w:val="16"/>
                <w:szCs w:val="16"/>
                <w:lang w:val="sk-SK"/>
              </w:rPr>
              <w:t>Príklad IP</w:t>
            </w:r>
          </w:p>
        </w:tc>
      </w:tr>
      <w:tr w:rsidR="009F2DFA" w:rsidRPr="00042C66" w:rsidTr="007B71A4">
        <w:trPr>
          <w:trHeight w:val="288"/>
        </w:trPr>
        <w:tc>
          <w:tcPr>
            <w:tcW w:w="895" w:type="pct"/>
            <w:tcBorders>
              <w:top w:val="nil"/>
              <w:left w:val="nil"/>
              <w:bottom w:val="single" w:sz="4" w:space="0" w:color="92D400"/>
              <w:right w:val="nil"/>
            </w:tcBorders>
            <w:vAlign w:val="center"/>
            <w:hideMark/>
          </w:tcPr>
          <w:p w:rsidR="009F2DFA" w:rsidRPr="00042C66" w:rsidRDefault="009F2DFA" w:rsidP="007B71A4">
            <w:pPr>
              <w:rPr>
                <w:b/>
                <w:sz w:val="16"/>
                <w:szCs w:val="16"/>
              </w:rPr>
            </w:pPr>
            <w:r w:rsidRPr="00042C66">
              <w:rPr>
                <w:b/>
                <w:sz w:val="16"/>
                <w:szCs w:val="16"/>
              </w:rPr>
              <w:t>Archivácia</w:t>
            </w:r>
          </w:p>
        </w:tc>
        <w:tc>
          <w:tcPr>
            <w:tcW w:w="4105" w:type="pct"/>
            <w:tcBorders>
              <w:top w:val="nil"/>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Uchovávanie dokumentácie po dobu päť rokov po skončení prítomnosti jadrových materiálov;</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Uchovávanie posudkov z posudzovania rizika desať rokov odo dňa zatriedenia do rizikovej triedy;</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uchovávať počas desiatich rokov od uvedenia hračky na trh kópiu ES certifikátu;</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hideMark/>
          </w:tcPr>
          <w:p w:rsidR="009F2DFA" w:rsidRPr="00042C66" w:rsidRDefault="009F2DFA" w:rsidP="007B71A4">
            <w:pPr>
              <w:rPr>
                <w:b/>
                <w:sz w:val="16"/>
                <w:szCs w:val="16"/>
              </w:rPr>
            </w:pPr>
            <w:r w:rsidRPr="00042C66">
              <w:rPr>
                <w:b/>
                <w:sz w:val="16"/>
                <w:szCs w:val="16"/>
              </w:rPr>
              <w:t>Evidencia, vedenie dokumentácie</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viesť evidenciu používaných určených meradiel s uvedením dátumov ich overenia;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viesť samostatnú evidenciu o zmenách na jadrovom zariadení;</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Držiteľ povolenia vedie evidenciu odborne spôsobilých zamestnancov;</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Inventarizácia</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Vykonať inventarizáciu omamných a psychotropných látok do 31. decembra každého roka;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Pri uzatvorení dohody o hmotnej zodpovednosti, pri jej zániku, pri preradení zamestnanca na inú prácu alebo na iné pracovisko, pri jeho preložení a pri skončení pracovného pomeru sa musí vykonať inventarizácia;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Účtovná jednotka je povinná inventarizovať majetok, záväzky a rozdiel majetku a záväzkov;</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Ohlásenie, oznámenie, poskytnutie informácie</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Oznámenie o zmene údajov uvedených v ohlásení živnosti;</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Bezodkladne informovať orgán dohľadu, že zariadenie sprístupnené na trhu nespĺňa technické požiadavky;</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Informovať o pripravovanej zmene druhu opakovane použiteľného obalu najmenej tri mesiace pred vykonaním takejto zmeny;</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Overenie súladu</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Vykonávať pravidelné kontroly výrobnej činnosti na zistenie koncentrácie ťažkých kovov; </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Osoba, ktorá podpisuje návrh na zápis elektronickým podpisom, je povinná zabezpečiť overenie svojich osobných údajov na účely elektronického konania; </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Pred začiatkom spúšťania musí držiteľ povolenia skontrolovať pripravenosť jadrového zariadenia na spúšťanie tak, že preverí a protokolárne zaznamená splnenie kritérií úspešnosti pomontážnych skúšok systémov, konštrukcií a komponentov; </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Prehodnocovať a aktualizovať bezpečnostnú správu najmenej raz za päť rokov ako aj pri závažnej zmene v podniku;</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Poskytnutie súčinnosti</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Prijímateľ, partner a osoba k nim majúca vzťah dodávateľa je povinná poskytnúť súčinnosť riadiacemu orgánu;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Na základe vyžiadania dodať príslušné materiály a technickú dokumentáciu o meradle v štátnom jazyku;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poskytnúť súčinnosť správe katastra pri revízii údajov katastra;</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Predloženie dokladu/ dokumentu elektronicky</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Poskytnúť elektronickú verziu technickej dokumentácie do desiatich pracovných dní od doručenia žiadosti orgánu dohľadu nad trhom;</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Odovzdanie štatistických údajov spravodajskou jednotkou;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zasielať zoznamy vydaných a zoznamy zrušených kvalifikovaných certifikátov;</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Predloženie dokladu/ dokumentu papierovo</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pri skončení činnosti, ktorá je predmetom registrácie, odovzdať úradu rozhodnutie o registrácii;</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Predloženie auditnej správy ako náhrady kontroly;</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Predkladať NBS výkaz o vykonávaní finančného sprostredkovania a výkaz o vykonávaní finančného poradenstva;</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t>Vypracovanie dokumentu/ správy</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zostaviť konsolidovanú účtovnú závierku;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daňové priznanie k dani z motorových vozidiel</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lastRenderedPageBreak/>
              <w:t>Vypracovanie písomného dokumentu o posúdení rizika pri všetkých činnostiach vykonávaných zamestnancami;</w:t>
            </w:r>
          </w:p>
        </w:tc>
      </w:tr>
      <w:tr w:rsidR="009F2DFA" w:rsidRPr="00042C66" w:rsidTr="007B71A4">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7B71A4">
            <w:pPr>
              <w:rPr>
                <w:b/>
                <w:sz w:val="16"/>
                <w:szCs w:val="16"/>
              </w:rPr>
            </w:pPr>
            <w:r w:rsidRPr="00042C66">
              <w:rPr>
                <w:b/>
                <w:sz w:val="16"/>
                <w:szCs w:val="16"/>
              </w:rPr>
              <w:lastRenderedPageBreak/>
              <w:t>Žiadosť/ návrh</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žiadosť o akreditáciu;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Žiadosť o schválenie systému odbornej prípravy zamestnancov držiteľov povolenia;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žiadosť o povolenie na vypúšťanie skleníkových plynov do ovzdušia.</w:t>
            </w:r>
          </w:p>
        </w:tc>
      </w:tr>
    </w:tbl>
    <w:p w:rsidR="009F2DFA" w:rsidRPr="00042C66" w:rsidRDefault="009F2DFA" w:rsidP="009F2DFA">
      <w:pPr>
        <w:pStyle w:val="BodyText1"/>
        <w:rPr>
          <w:rFonts w:ascii="Times New Roman" w:hAnsi="Times New Roman"/>
          <w:i/>
        </w:rPr>
      </w:pPr>
    </w:p>
    <w:p w:rsidR="009F2DFA" w:rsidRPr="00042C66" w:rsidRDefault="009F2DFA" w:rsidP="009F2DFA">
      <w:pPr>
        <w:pStyle w:val="BodyText1"/>
        <w:numPr>
          <w:ilvl w:val="0"/>
          <w:numId w:val="5"/>
        </w:numPr>
        <w:rPr>
          <w:rFonts w:ascii="Times New Roman" w:eastAsiaTheme="minorHAnsi" w:hAnsi="Times New Roman"/>
          <w:i/>
          <w:color w:val="auto"/>
          <w:sz w:val="24"/>
          <w:szCs w:val="22"/>
        </w:rPr>
      </w:pPr>
      <w:r w:rsidRPr="00042C66">
        <w:rPr>
          <w:rFonts w:ascii="Times New Roman" w:eastAsiaTheme="minorHAnsi" w:hAnsi="Times New Roman"/>
          <w:i/>
          <w:color w:val="auto"/>
          <w:sz w:val="24"/>
          <w:szCs w:val="22"/>
        </w:rPr>
        <w:t>Expertný odhad trvania povinnosti (</w:t>
      </w:r>
      <w:r>
        <w:rPr>
          <w:rFonts w:ascii="Times New Roman" w:eastAsiaTheme="minorHAnsi" w:hAnsi="Times New Roman"/>
          <w:i/>
          <w:color w:val="auto"/>
          <w:sz w:val="24"/>
          <w:szCs w:val="22"/>
        </w:rPr>
        <w:t xml:space="preserve">v </w:t>
      </w:r>
      <w:r w:rsidRPr="00042C66">
        <w:rPr>
          <w:rFonts w:ascii="Times New Roman" w:eastAsiaTheme="minorHAnsi" w:hAnsi="Times New Roman"/>
          <w:i/>
          <w:color w:val="auto"/>
          <w:sz w:val="24"/>
          <w:szCs w:val="22"/>
        </w:rPr>
        <w:t xml:space="preserve">min.) </w:t>
      </w:r>
    </w:p>
    <w:p w:rsidR="009F2DFA" w:rsidRPr="00042C66" w:rsidRDefault="009F2DFA" w:rsidP="009F2DFA">
      <w:pPr>
        <w:pStyle w:val="BodyText1"/>
        <w:spacing w:line="276" w:lineRule="auto"/>
        <w:ind w:left="720"/>
        <w:jc w:val="both"/>
        <w:rPr>
          <w:rFonts w:ascii="Times New Roman" w:hAnsi="Times New Roman"/>
          <w:sz w:val="24"/>
          <w:szCs w:val="20"/>
        </w:rPr>
      </w:pPr>
      <w:r w:rsidRPr="00042C66">
        <w:rPr>
          <w:rFonts w:ascii="Times New Roman" w:hAnsi="Times New Roman"/>
          <w:sz w:val="24"/>
          <w:szCs w:val="20"/>
        </w:rPr>
        <w:t xml:space="preserve">V prípade, že predkladateľ disponuje presnejšími údajmi o trvaní povinnosti získanými na základe vlastných meraní, diskusie so zainteresovanými subjektmi, prípadne vlastným expertným odhadom trvania povinnosti, môže použiť pre výpočet nákladov regulácie tieto údaje. Rovnako postupuje v prípade, že identifikuje špecifické povinnosti, ku ktorým nie je možné priradiť žiadnu z vyššie uvedených typických informačných povinností. </w:t>
      </w:r>
    </w:p>
    <w:p w:rsidR="009F2DFA" w:rsidRPr="00074919" w:rsidRDefault="009F2DFA" w:rsidP="009F2DFA">
      <w:pPr>
        <w:pStyle w:val="BodyText1"/>
        <w:spacing w:line="276" w:lineRule="auto"/>
        <w:ind w:left="720"/>
        <w:jc w:val="both"/>
        <w:rPr>
          <w:rFonts w:ascii="Times New Roman" w:hAnsi="Times New Roman"/>
          <w:color w:val="auto"/>
          <w:sz w:val="24"/>
          <w:szCs w:val="20"/>
        </w:rPr>
      </w:pPr>
      <w:r w:rsidRPr="00042C66">
        <w:rPr>
          <w:rFonts w:ascii="Times New Roman" w:hAnsi="Times New Roman"/>
          <w:sz w:val="24"/>
          <w:szCs w:val="20"/>
        </w:rPr>
        <w:t>Pri definovaní časovej náročnosti povinnosti je potrebné klásť dôraz na to, aby v rámci expertného odhadu časovej náročnosti bolo zohľadnené trvanie všetkých čiastkových administratívnych úkonov, ktoré musí podnikateľ vykonať, aby riadne splnil danú povinnosť (tak ako tomu je aj v prípade štand</w:t>
      </w:r>
      <w:r w:rsidRPr="00074919">
        <w:rPr>
          <w:rFonts w:ascii="Times New Roman" w:hAnsi="Times New Roman"/>
          <w:color w:val="auto"/>
          <w:sz w:val="24"/>
          <w:szCs w:val="20"/>
        </w:rPr>
        <w:t>ardizovaných časov uvedených pri typických informačných povinnostiach). Medzi čiastkové administratívne úkony</w:t>
      </w:r>
      <w:r>
        <w:rPr>
          <w:rFonts w:ascii="Times New Roman" w:hAnsi="Times New Roman"/>
          <w:color w:val="auto"/>
          <w:sz w:val="24"/>
          <w:szCs w:val="20"/>
        </w:rPr>
        <w:t>, ktoré podnikateľ zvyčajne vykonáva pri plnení jednotlivých informačných povinností,</w:t>
      </w:r>
      <w:r w:rsidRPr="00074919">
        <w:rPr>
          <w:rFonts w:ascii="Times New Roman" w:hAnsi="Times New Roman"/>
          <w:color w:val="auto"/>
          <w:sz w:val="24"/>
          <w:szCs w:val="20"/>
        </w:rPr>
        <w:t xml:space="preserve"> </w:t>
      </w:r>
      <w:r>
        <w:rPr>
          <w:rFonts w:ascii="Times New Roman" w:hAnsi="Times New Roman"/>
          <w:color w:val="auto"/>
          <w:sz w:val="24"/>
          <w:szCs w:val="20"/>
        </w:rPr>
        <w:t xml:space="preserve">patrí najmä oboznámenie sa s IP, vyhľadávanie a výber informácií, </w:t>
      </w:r>
      <w:r w:rsidRPr="00074919">
        <w:rPr>
          <w:rFonts w:ascii="Times New Roman" w:hAnsi="Times New Roman"/>
          <w:color w:val="auto"/>
          <w:sz w:val="24"/>
          <w:szCs w:val="20"/>
        </w:rPr>
        <w:t>s</w:t>
      </w:r>
      <w:r>
        <w:rPr>
          <w:rFonts w:ascii="Times New Roman" w:hAnsi="Times New Roman"/>
          <w:color w:val="auto"/>
          <w:sz w:val="24"/>
          <w:szCs w:val="20"/>
        </w:rPr>
        <w:t xml:space="preserve">pracovanie vstupných informácií, výpočty, spracovanie číselných údajov, kontrola, korekcia, vyúčtovanie/platba, interné stretnutia, externé stretnutia, </w:t>
      </w:r>
      <w:r w:rsidRPr="00074919">
        <w:rPr>
          <w:rFonts w:ascii="Times New Roman" w:hAnsi="Times New Roman"/>
          <w:color w:val="auto"/>
          <w:sz w:val="24"/>
          <w:szCs w:val="20"/>
        </w:rPr>
        <w:t>inšpek</w:t>
      </w:r>
      <w:r>
        <w:rPr>
          <w:rFonts w:ascii="Times New Roman" w:hAnsi="Times New Roman"/>
          <w:color w:val="auto"/>
          <w:sz w:val="24"/>
          <w:szCs w:val="20"/>
        </w:rPr>
        <w:t xml:space="preserve">cia zo strany verejných orgánov, </w:t>
      </w:r>
      <w:r w:rsidRPr="00074919">
        <w:rPr>
          <w:rFonts w:ascii="Times New Roman" w:hAnsi="Times New Roman"/>
          <w:color w:val="auto"/>
          <w:sz w:val="24"/>
          <w:szCs w:val="20"/>
        </w:rPr>
        <w:t>korekcia v</w:t>
      </w:r>
      <w:r>
        <w:rPr>
          <w:rFonts w:ascii="Times New Roman" w:hAnsi="Times New Roman"/>
          <w:color w:val="auto"/>
          <w:sz w:val="24"/>
          <w:szCs w:val="20"/>
        </w:rPr>
        <w:t>yplývajúca z výsledku inšpekcie, kopírovanie a</w:t>
      </w:r>
      <w:r w:rsidRPr="00074919">
        <w:rPr>
          <w:rFonts w:ascii="Times New Roman" w:hAnsi="Times New Roman"/>
          <w:color w:val="auto"/>
          <w:sz w:val="24"/>
          <w:szCs w:val="20"/>
        </w:rPr>
        <w:t xml:space="preserve"> skenovanie.  </w:t>
      </w:r>
    </w:p>
    <w:p w:rsidR="009F2DFA" w:rsidRPr="00042C66" w:rsidRDefault="009F2DFA" w:rsidP="009F2DFA">
      <w:pPr>
        <w:pStyle w:val="BodyText1"/>
        <w:spacing w:line="276" w:lineRule="auto"/>
        <w:ind w:firstLine="340"/>
        <w:jc w:val="both"/>
        <w:rPr>
          <w:rFonts w:ascii="Times New Roman" w:eastAsiaTheme="minorHAnsi" w:hAnsi="Times New Roman"/>
          <w:color w:val="auto"/>
          <w:sz w:val="24"/>
          <w:szCs w:val="22"/>
        </w:rPr>
      </w:pPr>
    </w:p>
    <w:p w:rsidR="009F2DFA" w:rsidRPr="00042C66" w:rsidRDefault="009F2DFA" w:rsidP="009F2DFA">
      <w:pPr>
        <w:pStyle w:val="BodyText1"/>
        <w:spacing w:line="276" w:lineRule="auto"/>
        <w:jc w:val="both"/>
        <w:rPr>
          <w:rFonts w:ascii="Times New Roman" w:eastAsiaTheme="minorHAnsi" w:hAnsi="Times New Roman"/>
          <w:b/>
          <w:color w:val="auto"/>
          <w:sz w:val="24"/>
          <w:szCs w:val="22"/>
        </w:rPr>
      </w:pPr>
      <w:r w:rsidRPr="00042C66">
        <w:rPr>
          <w:rFonts w:ascii="Times New Roman" w:eastAsiaTheme="minorHAnsi" w:hAnsi="Times New Roman"/>
          <w:b/>
          <w:color w:val="auto"/>
          <w:sz w:val="24"/>
          <w:szCs w:val="22"/>
        </w:rPr>
        <w:t>Krok 2 – Určenie výšky súvisiacich priamych a nepriamych finančných nákladov na splnenie povinnosti jedným podnikom, resp. na jedno plnenie</w: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že plnenie povinnosti je spojené taktiež/výhradne s priamymi alebo nepriamymi finančnými nákladmi na strane podnikateľa, určí/odhadne predkladateľ výšku týchto nákladov na jedného podnikateľa, resp. jedno plnenie. Ide buď o náklady priame – poplatky za vystavenie dokladu/výpisu, kolky, správne poplatky, poistné alebo náklady nepriame – náklady na povinné školenia, testy, kontroly, investície do softvéru, zabezpečenie súladu s</w:t>
      </w:r>
      <w:r>
        <w:rPr>
          <w:rFonts w:ascii="Times New Roman" w:eastAsiaTheme="minorHAnsi" w:hAnsi="Times New Roman"/>
          <w:color w:val="auto"/>
          <w:sz w:val="24"/>
          <w:szCs w:val="22"/>
        </w:rPr>
        <w:t> </w:t>
      </w:r>
      <w:r w:rsidRPr="00042C66">
        <w:rPr>
          <w:rFonts w:ascii="Times New Roman" w:eastAsiaTheme="minorHAnsi" w:hAnsi="Times New Roman"/>
          <w:color w:val="auto"/>
          <w:sz w:val="24"/>
          <w:szCs w:val="22"/>
        </w:rPr>
        <w:t>reguláciou technickým vybavením prevádzky, a pod.</w:t>
      </w:r>
    </w:p>
    <w:p w:rsidR="009F2DFA" w:rsidRPr="00042C66" w:rsidRDefault="009F2DFA" w:rsidP="009F2DFA">
      <w:pPr>
        <w:pStyle w:val="BodyText1"/>
        <w:spacing w:after="240"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 xml:space="preserve">V prípade, že povinnosť je na strane podnikateľa spojená so </w:t>
      </w:r>
      <w:r w:rsidRPr="00042C66">
        <w:rPr>
          <w:rFonts w:ascii="Times New Roman" w:eastAsiaTheme="minorHAnsi" w:hAnsi="Times New Roman"/>
          <w:b/>
          <w:color w:val="auto"/>
          <w:sz w:val="24"/>
          <w:szCs w:val="22"/>
        </w:rPr>
        <w:t>zaplatením dane, cla alebo odvodov</w:t>
      </w:r>
      <w:r w:rsidRPr="00042C66">
        <w:rPr>
          <w:rFonts w:ascii="Times New Roman" w:eastAsiaTheme="minorHAnsi" w:hAnsi="Times New Roman"/>
          <w:color w:val="auto"/>
          <w:sz w:val="24"/>
          <w:szCs w:val="22"/>
        </w:rPr>
        <w:t>, opiera sa predkladateľ o analýzu vplyvu predkladaného materiálu na verejné financie. Súvisiaci vyvolaný dopad na verejné financie  vydelí spracovateľ počtom podnikateľov, ktorých sa povinnosť týka.  Tým získava údaj o vplyve daňového/odvodového/colného zaťaženia na jedného podnikateľa v súvislosti s plnením povinnosti. Informáciu, že ide o výšku odvedenej dane/cla/odvodov zároveň uvedie predkladateľ spolu s komentárom.</w:t>
      </w:r>
    </w:p>
    <w:p w:rsidR="009F2DFA" w:rsidRDefault="009F2DFA" w:rsidP="009F2DFA">
      <w:pPr>
        <w:rPr>
          <w:b/>
          <w:sz w:val="24"/>
        </w:rPr>
      </w:pPr>
      <w:r>
        <w:rPr>
          <w:b/>
          <w:sz w:val="24"/>
        </w:rPr>
        <w:br w:type="page"/>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b/>
          <w:color w:val="auto"/>
          <w:sz w:val="24"/>
          <w:szCs w:val="22"/>
        </w:rPr>
        <w:lastRenderedPageBreak/>
        <w:t>Krok 3 – Určenie počtu dotknutých podnikateľov</w:t>
      </w:r>
      <w:r w:rsidRPr="00042C66">
        <w:rPr>
          <w:rFonts w:ascii="Times New Roman" w:eastAsiaTheme="minorHAnsi" w:hAnsi="Times New Roman"/>
          <w:color w:val="auto"/>
          <w:sz w:val="24"/>
          <w:szCs w:val="22"/>
        </w:rPr>
        <w:t xml:space="preserve"> – populácie, resp. počtu plnení</w: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Populácia predstavuje počet podnikateľov, na ktorých sa daná povinnosť vzťahuje resp. počet podnikateľov ovplyvnených predkladanou reguláciou. Tento údaj môže byť určený presne na základe evidencie zodpovedných útvarov za predošlé obdobia, odhadom prostredníctvom údajov za predchádzajúce obdobie, prostredníctvom štatistík podľa SK NACE klasifikácie alebo expertným odhadom.</w:t>
      </w:r>
    </w:p>
    <w:p w:rsidR="009F2DFA" w:rsidRPr="00042C66" w:rsidRDefault="009F2DFA" w:rsidP="009F2DFA">
      <w:pPr>
        <w:pStyle w:val="BodyText1"/>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že predkladateľ disponuje údajom o presnom počte plnení povinností za rok, postupuje pri vypĺňaní tohto kroku nasledovne:</w:t>
      </w:r>
    </w:p>
    <w:p w:rsidR="009F2DFA" w:rsidRPr="00042C66" w:rsidRDefault="009F2DFA" w:rsidP="009F2DFA">
      <w:pPr>
        <w:pStyle w:val="BodyText1"/>
        <w:numPr>
          <w:ilvl w:val="0"/>
          <w:numId w:val="4"/>
        </w:numPr>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povinnosti s frekvenciou plnenia menšou ako 1 krát ročne, t.j. nepravidelne/ jednorázovo  alebo raz za niekoľko rokov (napr. počet žiadostí o registráciu, povinnosť periodického obnovenia odbornej spôsobilosti zamestnanca po 5 rokoch a</w:t>
      </w:r>
      <w:r>
        <w:rPr>
          <w:rFonts w:ascii="Times New Roman" w:eastAsiaTheme="minorHAnsi" w:hAnsi="Times New Roman"/>
          <w:color w:val="auto"/>
          <w:sz w:val="24"/>
          <w:szCs w:val="22"/>
        </w:rPr>
        <w:t> </w:t>
      </w:r>
      <w:r w:rsidRPr="00042C66">
        <w:rPr>
          <w:rFonts w:ascii="Times New Roman" w:eastAsiaTheme="minorHAnsi" w:hAnsi="Times New Roman"/>
          <w:color w:val="auto"/>
          <w:sz w:val="24"/>
          <w:szCs w:val="22"/>
        </w:rPr>
        <w:t>pod.) uvedie predkladateľ v rámci tohto poľa údaj o presnom počte plnení v danom roku. S ohľadom na potrebu kalkulácie nákladov povinnosti na ročnej báze v takomto prípade následne používa v Kroku 4 – Stanovenie frekvencie plnenia povinnosti možnosť 1-krát ročne (koeficient frekvencie 0,1).</w:t>
      </w:r>
    </w:p>
    <w:p w:rsidR="009F2DFA" w:rsidRPr="00042C66" w:rsidRDefault="009F2DFA" w:rsidP="009F2DFA">
      <w:pPr>
        <w:pStyle w:val="BodyText1"/>
        <w:numPr>
          <w:ilvl w:val="0"/>
          <w:numId w:val="4"/>
        </w:numPr>
        <w:spacing w:after="240" w:line="276" w:lineRule="auto"/>
        <w:ind w:left="714" w:hanging="357"/>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povinnosti s frekvenciou plnenia niekoľkokrát za rok (napr. podávanie kvartálnych/mesačných výkazov DPH, predkladanie polročných štatistických výkazov a pod.), vydelí predkladateľ počet plnení v danom roku frekvenciou plnenia povinnosti (mesačne – 12, kvartálne – 4, polročne – 2, atď.), čím dostáva dáta o počte dotknutých podnikateľov, s ktorými uvažuje ďalej vo výpočte. V následnom Kroku 4 – Stanovenie frekvencie plnenia povinnosti – postupuje v súlade s nižšie uvedeným popisom/tabuľkou, t.j. uvádza skutočnú  frekvenciu plnenia povinnosti za rok.</w:t>
      </w:r>
    </w:p>
    <w:p w:rsidR="009F2DFA" w:rsidRPr="00042C66" w:rsidRDefault="009F2DFA" w:rsidP="009F2DFA">
      <w:pPr>
        <w:pStyle w:val="BodyText1"/>
        <w:spacing w:line="276" w:lineRule="auto"/>
        <w:jc w:val="both"/>
        <w:rPr>
          <w:rFonts w:ascii="Times New Roman" w:eastAsiaTheme="minorHAnsi" w:hAnsi="Times New Roman"/>
          <w:b/>
          <w:color w:val="auto"/>
          <w:sz w:val="24"/>
          <w:szCs w:val="22"/>
        </w:rPr>
      </w:pPr>
      <w:r w:rsidRPr="00042C66">
        <w:rPr>
          <w:rFonts w:ascii="Times New Roman" w:eastAsiaTheme="minorHAnsi" w:hAnsi="Times New Roman"/>
          <w:b/>
          <w:color w:val="auto"/>
          <w:sz w:val="24"/>
          <w:szCs w:val="22"/>
        </w:rPr>
        <w:t>Krok 4 – Stanovenie frekvencie plnenia povinnosti, ktorá sa určí pomocou nasledovných koeficientov:</w:t>
      </w:r>
    </w:p>
    <w:p w:rsidR="009F2DFA" w:rsidRPr="00042C66" w:rsidRDefault="009F2DFA" w:rsidP="009F2DFA">
      <w:pPr>
        <w:pStyle w:val="BodyText1"/>
        <w:spacing w:after="240"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štvrtom kroku predkladateľ stanoví frekvenciu plnenia povinnosti, teda početnosť plnení danej povinnosti jedným podnikateľom za určité obdobie. Bázou</w:t>
      </w:r>
      <w:r>
        <w:rPr>
          <w:rFonts w:ascii="Times New Roman" w:eastAsiaTheme="minorHAnsi" w:hAnsi="Times New Roman"/>
          <w:color w:val="auto"/>
          <w:sz w:val="24"/>
          <w:szCs w:val="22"/>
        </w:rPr>
        <w:t>,</w:t>
      </w:r>
      <w:r w:rsidRPr="00042C66">
        <w:rPr>
          <w:rFonts w:ascii="Times New Roman" w:eastAsiaTheme="minorHAnsi" w:hAnsi="Times New Roman"/>
          <w:color w:val="auto"/>
          <w:sz w:val="24"/>
          <w:szCs w:val="22"/>
        </w:rPr>
        <w:t xml:space="preserve"> voči ktorej je stanovovaná frekvencia</w:t>
      </w:r>
      <w:r>
        <w:rPr>
          <w:rFonts w:ascii="Times New Roman" w:eastAsiaTheme="minorHAnsi" w:hAnsi="Times New Roman"/>
          <w:color w:val="auto"/>
          <w:sz w:val="24"/>
          <w:szCs w:val="22"/>
        </w:rPr>
        <w:t>,</w:t>
      </w:r>
      <w:r w:rsidRPr="00042C66">
        <w:rPr>
          <w:rFonts w:ascii="Times New Roman" w:eastAsiaTheme="minorHAnsi" w:hAnsi="Times New Roman"/>
          <w:color w:val="auto"/>
          <w:sz w:val="24"/>
          <w:szCs w:val="22"/>
        </w:rPr>
        <w:t xml:space="preserve"> je obdobie 1 roka. Povinnosti môžu byť plnené pravidelne na ročnej báze, polročne, kvartálne, raz za niekoľko rokov, prípadne jednorazovo (napr. povinnosti v</w:t>
      </w:r>
      <w:r>
        <w:rPr>
          <w:rFonts w:ascii="Times New Roman" w:eastAsiaTheme="minorHAnsi" w:hAnsi="Times New Roman"/>
          <w:color w:val="auto"/>
          <w:sz w:val="24"/>
          <w:szCs w:val="22"/>
        </w:rPr>
        <w:t> </w:t>
      </w:r>
      <w:r w:rsidRPr="00042C66">
        <w:rPr>
          <w:rFonts w:ascii="Times New Roman" w:eastAsiaTheme="minorHAnsi" w:hAnsi="Times New Roman"/>
          <w:color w:val="auto"/>
          <w:sz w:val="24"/>
          <w:szCs w:val="22"/>
        </w:rPr>
        <w:t>súvislosti so vznikom a ukončením podnikania) alebo nepravidelne (v prípade zriedkavého výskytu určitej udalosti, napr. vznik priemyselnej havárie). Koeficienty pre výpočet nákladov regulácie zodpovedajúce frekvencii plnenia sú uvedené v tabuľke.</w:t>
      </w:r>
    </w:p>
    <w:p w:rsidR="009F2DFA" w:rsidRDefault="009F2DFA" w:rsidP="009F2DFA">
      <w:pPr>
        <w:pStyle w:val="BodyText1"/>
        <w:spacing w:after="0" w:line="276" w:lineRule="auto"/>
        <w:ind w:left="1134"/>
        <w:rPr>
          <w:rFonts w:ascii="Times New Roman" w:hAnsi="Times New Roman"/>
          <w:i/>
          <w:sz w:val="20"/>
          <w:szCs w:val="20"/>
        </w:rPr>
      </w:pPr>
      <w:r>
        <w:rPr>
          <w:rFonts w:ascii="Times New Roman" w:hAnsi="Times New Roman"/>
          <w:i/>
          <w:sz w:val="20"/>
          <w:szCs w:val="2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9F2DFA" w:rsidRPr="00C07FF5" w:rsidTr="007B71A4">
        <w:trPr>
          <w:trHeight w:val="459"/>
          <w:jc w:val="center"/>
        </w:trPr>
        <w:tc>
          <w:tcPr>
            <w:tcW w:w="2292" w:type="dxa"/>
            <w:tcBorders>
              <w:top w:val="single" w:sz="2" w:space="0" w:color="81BC00"/>
              <w:left w:val="single" w:sz="2" w:space="0" w:color="81BC00"/>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9F2DFA" w:rsidRPr="00C07FF5" w:rsidRDefault="009F2DFA" w:rsidP="007B71A4">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Frekvencia plnenia povinnosti</w:t>
            </w:r>
          </w:p>
        </w:tc>
        <w:tc>
          <w:tcPr>
            <w:tcW w:w="1138" w:type="dxa"/>
            <w:tcBorders>
              <w:top w:val="single" w:sz="2" w:space="0" w:color="81BC00"/>
              <w:left w:val="single" w:sz="4" w:space="0" w:color="FFFFFF" w:themeColor="background1"/>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9F2DFA" w:rsidRPr="00C07FF5" w:rsidRDefault="009F2DFA" w:rsidP="007B71A4">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Koeficient frekvencie</w:t>
            </w:r>
          </w:p>
        </w:tc>
        <w:tc>
          <w:tcPr>
            <w:tcW w:w="2411" w:type="dxa"/>
            <w:tcBorders>
              <w:top w:val="single" w:sz="2" w:space="0" w:color="81BC00"/>
              <w:left w:val="single" w:sz="4" w:space="0" w:color="FFFFFF" w:themeColor="background1"/>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9F2DFA" w:rsidRPr="00C07FF5" w:rsidRDefault="009F2DFA" w:rsidP="007B71A4">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Frekvencia plnenia povinnosti</w:t>
            </w:r>
          </w:p>
        </w:tc>
        <w:tc>
          <w:tcPr>
            <w:tcW w:w="1079" w:type="dxa"/>
            <w:tcBorders>
              <w:top w:val="single" w:sz="2" w:space="0" w:color="81BC00"/>
              <w:left w:val="single" w:sz="4" w:space="0" w:color="FFFFFF" w:themeColor="background1"/>
              <w:bottom w:val="single" w:sz="2" w:space="0" w:color="81BC00"/>
              <w:right w:val="single" w:sz="2" w:space="0" w:color="81BC00"/>
            </w:tcBorders>
            <w:shd w:val="clear" w:color="auto" w:fill="81BC00"/>
            <w:tcMar>
              <w:top w:w="28" w:type="dxa"/>
              <w:left w:w="28" w:type="dxa"/>
              <w:bottom w:w="28" w:type="dxa"/>
              <w:right w:w="28" w:type="dxa"/>
            </w:tcMar>
            <w:vAlign w:val="center"/>
            <w:hideMark/>
          </w:tcPr>
          <w:p w:rsidR="009F2DFA" w:rsidRPr="00C07FF5" w:rsidRDefault="009F2DFA" w:rsidP="007B71A4">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Koeficient frekvencie</w:t>
            </w:r>
          </w:p>
        </w:tc>
      </w:tr>
      <w:tr w:rsidR="009F2DFA" w:rsidRPr="00C07FF5" w:rsidTr="007B71A4">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každé 2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0,5</w:t>
            </w:r>
            <w:r w:rsidRPr="00C07FF5">
              <w:rPr>
                <w:rFonts w:asciiTheme="minorHAnsi" w:hAnsiTheme="minorHAnsi" w:cstheme="minorHAnsi"/>
                <w:sz w:val="16"/>
                <w:szCs w:val="16"/>
                <w:lang w:val="en-US"/>
              </w:rPr>
              <w:t>0</w:t>
            </w:r>
          </w:p>
        </w:tc>
      </w:tr>
      <w:tr w:rsidR="009F2DFA" w:rsidRPr="00C07FF5" w:rsidTr="007B71A4">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každé 3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0,33</w:t>
            </w:r>
          </w:p>
        </w:tc>
      </w:tr>
      <w:tr w:rsidR="009F2DFA" w:rsidRPr="00C07FF5" w:rsidTr="007B71A4">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každé 4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0,25</w:t>
            </w:r>
          </w:p>
        </w:tc>
      </w:tr>
      <w:tr w:rsidR="009F2DFA" w:rsidRPr="00C07FF5" w:rsidTr="007B71A4">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každých 5 rokov</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0,20</w:t>
            </w:r>
          </w:p>
        </w:tc>
      </w:tr>
      <w:tr w:rsidR="009F2DFA" w:rsidRPr="00C07FF5" w:rsidTr="007B71A4">
        <w:trPr>
          <w:trHeight w:val="170"/>
          <w:jc w:val="center"/>
        </w:trPr>
        <w:tc>
          <w:tcPr>
            <w:tcW w:w="2292" w:type="dxa"/>
            <w:tcBorders>
              <w:top w:val="single" w:sz="2" w:space="0" w:color="81BC00"/>
              <w:left w:val="single" w:sz="4" w:space="0" w:color="FFFFFF" w:themeColor="background1"/>
              <w:bottom w:val="single" w:sz="2" w:space="0" w:color="81BC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rsidR="009F2DFA" w:rsidRPr="00C07FF5" w:rsidRDefault="009F2DFA" w:rsidP="007B71A4">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nepravidelne/ jednorazovo</w:t>
            </w:r>
          </w:p>
        </w:tc>
        <w:tc>
          <w:tcPr>
            <w:tcW w:w="1079" w:type="dxa"/>
            <w:tcBorders>
              <w:top w:val="single" w:sz="2" w:space="0" w:color="81BC00"/>
              <w:left w:val="nil"/>
              <w:bottom w:val="single" w:sz="2" w:space="0" w:color="81BC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7B71A4">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0,10</w:t>
            </w:r>
          </w:p>
        </w:tc>
      </w:tr>
    </w:tbl>
    <w:p w:rsidR="009F2DFA" w:rsidRDefault="009F2DFA" w:rsidP="009F2DFA">
      <w:pPr>
        <w:pStyle w:val="BodyText1"/>
        <w:spacing w:after="0" w:line="276" w:lineRule="auto"/>
        <w:ind w:left="1134"/>
        <w:rPr>
          <w:rFonts w:ascii="Times New Roman" w:eastAsiaTheme="minorHAnsi" w:hAnsi="Times New Roman"/>
          <w:color w:val="auto"/>
          <w:sz w:val="20"/>
          <w:szCs w:val="22"/>
        </w:rPr>
      </w:pPr>
    </w:p>
    <w:p w:rsidR="00780BA6" w:rsidRDefault="00780BA6" w:rsidP="009F2DFA">
      <w:pPr>
        <w:pStyle w:val="BodyText1"/>
        <w:spacing w:line="276" w:lineRule="auto"/>
        <w:jc w:val="both"/>
        <w:rPr>
          <w:rFonts w:ascii="Times New Roman" w:hAnsi="Times New Roman"/>
          <w:sz w:val="24"/>
          <w:szCs w:val="20"/>
        </w:rPr>
      </w:pPr>
    </w:p>
    <w:p w:rsidR="009F2DFA" w:rsidRPr="00042C66" w:rsidRDefault="009F2DFA" w:rsidP="009F2DFA">
      <w:pPr>
        <w:pStyle w:val="BodyText1"/>
        <w:spacing w:line="276" w:lineRule="auto"/>
        <w:jc w:val="both"/>
        <w:rPr>
          <w:rFonts w:ascii="Times New Roman" w:hAnsi="Times New Roman"/>
          <w:sz w:val="24"/>
        </w:rPr>
      </w:pPr>
      <w:r w:rsidRPr="00042C66">
        <w:rPr>
          <w:rFonts w:ascii="Times New Roman" w:hAnsi="Times New Roman"/>
          <w:sz w:val="24"/>
          <w:szCs w:val="20"/>
        </w:rPr>
        <w:lastRenderedPageBreak/>
        <w:t xml:space="preserve">Jednotlivé položky nákladov sú na úrovni 1 povinnosti kalkulované na základe nasledovných princípov: </w:t>
      </w:r>
    </w:p>
    <w:p w:rsidR="009F2DFA" w:rsidRPr="00042C66" w:rsidRDefault="009F2DFA" w:rsidP="009F2DFA">
      <w:pPr>
        <w:pStyle w:val="BodyText1"/>
        <w:rPr>
          <w:rFonts w:ascii="Times New Roman" w:eastAsiaTheme="minorHAnsi" w:hAnsi="Times New Roman"/>
          <w:b/>
          <w:i/>
          <w:color w:val="auto"/>
          <w:sz w:val="24"/>
          <w:szCs w:val="20"/>
        </w:rPr>
      </w:pPr>
      <w:r w:rsidRPr="00042C66">
        <w:rPr>
          <w:rFonts w:ascii="Times New Roman" w:eastAsiaTheme="minorHAnsi" w:hAnsi="Times New Roman"/>
          <w:b/>
          <w:i/>
          <w:color w:val="auto"/>
          <w:sz w:val="24"/>
          <w:szCs w:val="20"/>
        </w:rPr>
        <w:t>Náklady na 1 podnikateľa</w:t>
      </w:r>
    </w:p>
    <w:p w:rsidR="009F2DFA" w:rsidRPr="00042C66" w:rsidRDefault="009F2DFA" w:rsidP="009F2DFA">
      <w:pPr>
        <w:pStyle w:val="BodyText1"/>
        <w:rPr>
          <w:rFonts w:ascii="Times New Roman" w:eastAsiaTheme="minorHAnsi" w:hAnsi="Times New Roman"/>
          <w:color w:val="auto"/>
          <w:sz w:val="24"/>
          <w:szCs w:val="20"/>
        </w:rPr>
      </w:pPr>
      <w:r w:rsidRPr="00042C66">
        <w:rPr>
          <w:rFonts w:ascii="Times New Roman" w:eastAsiaTheme="minorHAnsi" w:hAnsi="Times New Roman"/>
          <w:i/>
          <w:color w:val="auto"/>
          <w:sz w:val="24"/>
          <w:szCs w:val="20"/>
        </w:rPr>
        <w:t xml:space="preserve">Priame a nepriame náklady na 1 podnikateľa - </w:t>
      </w:r>
      <w:r w:rsidRPr="00042C66">
        <w:rPr>
          <w:rFonts w:ascii="Times New Roman" w:eastAsiaTheme="minorHAnsi" w:hAnsi="Times New Roman"/>
          <w:color w:val="auto"/>
          <w:sz w:val="24"/>
          <w:szCs w:val="20"/>
        </w:rPr>
        <w:t>výška priamych a nepriamych nákladov povinnosti na 1 podnikateľa je vyčíslená na základe vzorca:</w:t>
      </w:r>
    </w:p>
    <w:p w:rsidR="009F2DFA" w:rsidRDefault="009F2DFA" w:rsidP="009F2DFA">
      <w:pPr>
        <w:pStyle w:val="BodyText1"/>
      </w:pPr>
      <w:r>
        <w:rPr>
          <w:rFonts w:ascii="Times New Roman" w:hAnsi="Times New Roman"/>
          <w:noProof/>
          <w:lang w:eastAsia="sk-SK"/>
        </w:rPr>
        <mc:AlternateContent>
          <mc:Choice Requires="wps">
            <w:drawing>
              <wp:anchor distT="0" distB="0" distL="114300" distR="114300" simplePos="0" relativeHeight="251660288" behindDoc="0" locked="0" layoutInCell="1" allowOverlap="1" wp14:anchorId="1972291E" wp14:editId="4BA027B5">
                <wp:simplePos x="0" y="0"/>
                <wp:positionH relativeFrom="column">
                  <wp:posOffset>1871980</wp:posOffset>
                </wp:positionH>
                <wp:positionV relativeFrom="paragraph">
                  <wp:posOffset>650875</wp:posOffset>
                </wp:positionV>
                <wp:extent cx="152400" cy="76200"/>
                <wp:effectExtent l="0" t="0" r="19050" b="19050"/>
                <wp:wrapNone/>
                <wp:docPr id="26" name="Obdĺžnik 26"/>
                <wp:cNvGraphicFramePr/>
                <a:graphic xmlns:a="http://schemas.openxmlformats.org/drawingml/2006/main">
                  <a:graphicData uri="http://schemas.microsoft.com/office/word/2010/wordprocessingShape">
                    <wps:wsp>
                      <wps:cNvSpPr/>
                      <wps:spPr>
                        <a:xfrm>
                          <a:off x="0" y="0"/>
                          <a:ext cx="152400" cy="76200"/>
                        </a:xfrm>
                        <a:prstGeom prst="rect">
                          <a:avLst/>
                        </a:prstGeom>
                        <a:solidFill>
                          <a:srgbClr val="19A2FF"/>
                        </a:solidFill>
                        <a:ln>
                          <a:solidFill>
                            <a:srgbClr val="19A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10B04" id="Obdĺžnik 26" o:spid="_x0000_s1026" style="position:absolute;margin-left:147.4pt;margin-top:51.25pt;width:12pt;height: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" fillcolor="#19a2ff" strokecolor="#19a2ff" strokeweight="2pt"/>
            </w:pict>
          </mc:Fallback>
        </mc:AlternateContent>
      </w:r>
      <w:r>
        <w:rPr>
          <w:rFonts w:ascii="Times New Roman" w:hAnsi="Times New Roman"/>
          <w:noProof/>
          <w:lang w:eastAsia="sk-SK"/>
        </w:rPr>
        <mc:AlternateContent>
          <mc:Choice Requires="wps">
            <w:drawing>
              <wp:anchor distT="0" distB="0" distL="114300" distR="114300" simplePos="0" relativeHeight="251659264" behindDoc="0" locked="0" layoutInCell="1" allowOverlap="1" wp14:anchorId="5A20335A" wp14:editId="205EF36A">
                <wp:simplePos x="0" y="0"/>
                <wp:positionH relativeFrom="column">
                  <wp:posOffset>1871980</wp:posOffset>
                </wp:positionH>
                <wp:positionV relativeFrom="paragraph">
                  <wp:posOffset>98425</wp:posOffset>
                </wp:positionV>
                <wp:extent cx="152400" cy="76200"/>
                <wp:effectExtent l="0" t="0" r="19050" b="19050"/>
                <wp:wrapNone/>
                <wp:docPr id="25" name="Obdĺžnik 25"/>
                <wp:cNvGraphicFramePr/>
                <a:graphic xmlns:a="http://schemas.openxmlformats.org/drawingml/2006/main">
                  <a:graphicData uri="http://schemas.microsoft.com/office/word/2010/wordprocessingShape">
                    <wps:wsp>
                      <wps:cNvSpPr/>
                      <wps:spPr>
                        <a:xfrm>
                          <a:off x="0" y="0"/>
                          <a:ext cx="152400" cy="76200"/>
                        </a:xfrm>
                        <a:prstGeom prst="rect">
                          <a:avLst/>
                        </a:prstGeom>
                        <a:solidFill>
                          <a:srgbClr val="19A2FF"/>
                        </a:solidFill>
                        <a:ln>
                          <a:solidFill>
                            <a:srgbClr val="19A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CCEEA" id="Obdĺžnik 25" o:spid="_x0000_s1026" style="position:absolute;margin-left:147.4pt;margin-top:7.75pt;width:12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" fillcolor="#19a2ff" strokecolor="#19a2ff" strokeweight="2pt"/>
            </w:pict>
          </mc:Fallback>
        </mc:AlternateContent>
      </w:r>
      <w:r w:rsidRPr="00042C66">
        <w:rPr>
          <w:rFonts w:ascii="Times New Roman" w:hAnsi="Times New Roman"/>
          <w:noProof/>
          <w:lang w:eastAsia="sk-SK"/>
        </w:rPr>
        <w:drawing>
          <wp:inline distT="0" distB="0" distL="0" distR="0" wp14:anchorId="75ACFCAD" wp14:editId="08666A85">
            <wp:extent cx="2085975" cy="885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979" cy="884128"/>
                    </a:xfrm>
                    <a:prstGeom prst="rect">
                      <a:avLst/>
                    </a:prstGeom>
                    <a:noFill/>
                    <a:ln>
                      <a:noFill/>
                    </a:ln>
                  </pic:spPr>
                </pic:pic>
              </a:graphicData>
            </a:graphic>
          </wp:inline>
        </w:drawing>
      </w:r>
    </w:p>
    <w:p w:rsidR="009F2DFA" w:rsidRDefault="009F2DFA" w:rsidP="009F2DFA">
      <w:pPr>
        <w:pStyle w:val="BodyText1"/>
        <w:rPr>
          <w:b/>
        </w:rPr>
      </w:pPr>
    </w:p>
    <w:p w:rsidR="009F2DFA" w:rsidRPr="00323A7A" w:rsidRDefault="009F2DFA" w:rsidP="009F2DFA">
      <w:pPr>
        <w:pStyle w:val="BodyText1"/>
        <w:rPr>
          <w:rFonts w:ascii="Times New Roman" w:eastAsiaTheme="minorHAnsi" w:hAnsi="Times New Roman"/>
          <w:color w:val="auto"/>
          <w:sz w:val="24"/>
          <w:szCs w:val="24"/>
        </w:rPr>
      </w:pPr>
      <w:r w:rsidRPr="00323A7A">
        <w:rPr>
          <w:rFonts w:ascii="Times New Roman" w:eastAsiaTheme="minorHAnsi" w:hAnsi="Times New Roman"/>
          <w:i/>
          <w:color w:val="auto"/>
          <w:sz w:val="24"/>
          <w:szCs w:val="24"/>
        </w:rPr>
        <w:t xml:space="preserve">Administratívne náklady na 1 podnikateľa - </w:t>
      </w:r>
      <w:r w:rsidRPr="00323A7A">
        <w:rPr>
          <w:rFonts w:ascii="Times New Roman" w:eastAsiaTheme="minorHAnsi" w:hAnsi="Times New Roman"/>
          <w:color w:val="auto"/>
          <w:sz w:val="24"/>
          <w:szCs w:val="24"/>
        </w:rPr>
        <w:t>výška administratívnych nákladov povinnosti na 1 podnikateľa</w:t>
      </w:r>
      <w:r w:rsidRPr="00323A7A" w:rsidDel="00692341">
        <w:rPr>
          <w:rFonts w:ascii="Times New Roman" w:eastAsiaTheme="minorHAnsi" w:hAnsi="Times New Roman"/>
          <w:color w:val="auto"/>
          <w:sz w:val="24"/>
          <w:szCs w:val="24"/>
        </w:rPr>
        <w:t xml:space="preserve"> </w:t>
      </w:r>
      <w:r w:rsidRPr="00323A7A">
        <w:rPr>
          <w:rFonts w:ascii="Times New Roman" w:eastAsiaTheme="minorHAnsi" w:hAnsi="Times New Roman"/>
          <w:color w:val="auto"/>
          <w:sz w:val="24"/>
          <w:szCs w:val="24"/>
        </w:rPr>
        <w:t>je vyčíslená na základe vzorca:</w:t>
      </w:r>
    </w:p>
    <w:p w:rsidR="009F2DFA" w:rsidRPr="00042C66" w:rsidRDefault="009F2DFA" w:rsidP="009F2DFA">
      <w:pPr>
        <w:pStyle w:val="BodyText1"/>
        <w:rPr>
          <w:rFonts w:ascii="Times New Roman" w:hAnsi="Times New Roman"/>
        </w:rPr>
      </w:pPr>
      <w:r>
        <w:rPr>
          <w:rFonts w:ascii="Times New Roman" w:hAnsi="Times New Roman"/>
          <w:noProof/>
          <w:lang w:eastAsia="sk-SK"/>
        </w:rPr>
        <mc:AlternateContent>
          <mc:Choice Requires="wps">
            <w:drawing>
              <wp:anchor distT="0" distB="0" distL="114300" distR="114300" simplePos="0" relativeHeight="251661312" behindDoc="0" locked="0" layoutInCell="1" allowOverlap="1" wp14:anchorId="5C11128F" wp14:editId="1601D22A">
                <wp:simplePos x="0" y="0"/>
                <wp:positionH relativeFrom="column">
                  <wp:posOffset>3195955</wp:posOffset>
                </wp:positionH>
                <wp:positionV relativeFrom="paragraph">
                  <wp:posOffset>123824</wp:posOffset>
                </wp:positionV>
                <wp:extent cx="123825" cy="85725"/>
                <wp:effectExtent l="0" t="0" r="28575" b="28575"/>
                <wp:wrapNone/>
                <wp:docPr id="27" name="Obdĺžnik 27"/>
                <wp:cNvGraphicFramePr/>
                <a:graphic xmlns:a="http://schemas.openxmlformats.org/drawingml/2006/main">
                  <a:graphicData uri="http://schemas.microsoft.com/office/word/2010/wordprocessingShape">
                    <wps:wsp>
                      <wps:cNvSpPr/>
                      <wps:spPr>
                        <a:xfrm flipV="1">
                          <a:off x="0" y="0"/>
                          <a:ext cx="123825" cy="85725"/>
                        </a:xfrm>
                        <a:prstGeom prst="rect">
                          <a:avLst/>
                        </a:prstGeom>
                        <a:solidFill>
                          <a:srgbClr val="7CBF33"/>
                        </a:solidFill>
                        <a:ln>
                          <a:solidFill>
                            <a:srgbClr val="7CBF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09EF3" id="Obdĺžnik 27" o:spid="_x0000_s1026" style="position:absolute;margin-left:251.65pt;margin-top:9.75pt;width:9.75pt;height:6.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" fillcolor="#7cbf33" strokecolor="#7cbf33" strokeweight="2pt"/>
            </w:pict>
          </mc:Fallback>
        </mc:AlternateContent>
      </w:r>
      <w:r w:rsidRPr="00042C66">
        <w:rPr>
          <w:rFonts w:ascii="Times New Roman" w:hAnsi="Times New Roman"/>
          <w:noProof/>
          <w:lang w:eastAsia="sk-SK"/>
        </w:rPr>
        <w:drawing>
          <wp:inline distT="0" distB="0" distL="0" distR="0" wp14:anchorId="5EE86368" wp14:editId="143A77EF">
            <wp:extent cx="3390898" cy="371475"/>
            <wp:effectExtent l="0" t="0" r="63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898" cy="371475"/>
                    </a:xfrm>
                    <a:prstGeom prst="rect">
                      <a:avLst/>
                    </a:prstGeom>
                    <a:noFill/>
                    <a:ln>
                      <a:noFill/>
                    </a:ln>
                  </pic:spPr>
                </pic:pic>
              </a:graphicData>
            </a:graphic>
          </wp:inline>
        </w:drawing>
      </w:r>
    </w:p>
    <w:p w:rsidR="009F2DFA" w:rsidRPr="00042C66" w:rsidRDefault="009F2DFA" w:rsidP="009F2DFA">
      <w:pPr>
        <w:pStyle w:val="BodyText1"/>
        <w:rPr>
          <w:rFonts w:ascii="Times New Roman" w:hAnsi="Times New Roman"/>
          <w:i/>
          <w:sz w:val="16"/>
          <w:szCs w:val="16"/>
        </w:rPr>
      </w:pPr>
      <w:r w:rsidRPr="00042C66">
        <w:rPr>
          <w:rFonts w:ascii="Times New Roman" w:hAnsi="Times New Roman"/>
          <w:i/>
          <w:sz w:val="16"/>
          <w:szCs w:val="16"/>
          <w:lang w:val="en-US"/>
        </w:rPr>
        <w:t>*</w:t>
      </w:r>
      <w:r w:rsidRPr="00042C66">
        <w:rPr>
          <w:rFonts w:ascii="Times New Roman" w:hAnsi="Times New Roman"/>
          <w:i/>
          <w:sz w:val="16"/>
          <w:szCs w:val="16"/>
        </w:rPr>
        <w:t xml:space="preserve">Tarifa – vychádza z priemernej hrubej mzdy v národnom hospodárstve (priemerná hrubá mesačná mzda v národnom hospodárstve SR za rok 2013 - 835 EUR, Eurostat). </w:t>
      </w:r>
    </w:p>
    <w:p w:rsidR="009F2DFA" w:rsidRPr="00042C66" w:rsidRDefault="009F2DFA" w:rsidP="009F2DFA">
      <w:pPr>
        <w:pStyle w:val="BodyText1"/>
        <w:rPr>
          <w:rFonts w:ascii="Times New Roman" w:eastAsiaTheme="minorHAnsi" w:hAnsi="Times New Roman"/>
          <w:i/>
          <w:color w:val="auto"/>
          <w:sz w:val="20"/>
          <w:szCs w:val="20"/>
        </w:rPr>
      </w:pPr>
    </w:p>
    <w:p w:rsidR="009F2DFA" w:rsidRPr="00042C66" w:rsidRDefault="009F2DFA" w:rsidP="009F2DFA">
      <w:pPr>
        <w:pStyle w:val="BodyText1"/>
        <w:rPr>
          <w:rFonts w:ascii="Times New Roman" w:eastAsiaTheme="minorHAnsi" w:hAnsi="Times New Roman"/>
          <w:color w:val="auto"/>
          <w:sz w:val="24"/>
          <w:szCs w:val="20"/>
        </w:rPr>
      </w:pPr>
      <w:r w:rsidRPr="00042C66">
        <w:rPr>
          <w:rFonts w:ascii="Times New Roman" w:eastAsiaTheme="minorHAnsi" w:hAnsi="Times New Roman"/>
          <w:i/>
          <w:color w:val="auto"/>
          <w:sz w:val="24"/>
          <w:szCs w:val="20"/>
        </w:rPr>
        <w:t xml:space="preserve">Celkové náklady na 1 podnikateľa - </w:t>
      </w:r>
      <w:r w:rsidRPr="00042C66">
        <w:rPr>
          <w:rFonts w:ascii="Times New Roman" w:eastAsiaTheme="minorHAnsi" w:hAnsi="Times New Roman"/>
          <w:color w:val="auto"/>
          <w:sz w:val="24"/>
          <w:szCs w:val="20"/>
        </w:rPr>
        <w:t>výška celkových nákladov povinnosti na 1 podnikateľa</w:t>
      </w:r>
      <w:r w:rsidRPr="00042C66" w:rsidDel="00692341">
        <w:rPr>
          <w:rFonts w:ascii="Times New Roman" w:eastAsiaTheme="minorHAnsi" w:hAnsi="Times New Roman"/>
          <w:color w:val="auto"/>
          <w:sz w:val="24"/>
          <w:szCs w:val="20"/>
        </w:rPr>
        <w:t xml:space="preserve"> </w:t>
      </w:r>
      <w:r w:rsidRPr="00042C66">
        <w:rPr>
          <w:rFonts w:ascii="Times New Roman" w:eastAsiaTheme="minorHAnsi" w:hAnsi="Times New Roman"/>
          <w:color w:val="auto"/>
          <w:sz w:val="24"/>
          <w:szCs w:val="20"/>
        </w:rPr>
        <w:t>je automatizovane vyčíslené na základe vzorca:</w:t>
      </w:r>
    </w:p>
    <w:p w:rsidR="009F2DFA" w:rsidRDefault="009F2DFA" w:rsidP="009F2DFA">
      <w:pPr>
        <w:pStyle w:val="BodyText1"/>
      </w:pPr>
      <w:r w:rsidRPr="00323A7A">
        <w:rPr>
          <w:noProof/>
          <w:lang w:eastAsia="sk-SK"/>
        </w:rPr>
        <w:drawing>
          <wp:inline distT="0" distB="0" distL="0" distR="0" wp14:anchorId="2217B590" wp14:editId="029D0F76">
            <wp:extent cx="3876672" cy="409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9502" cy="409874"/>
                    </a:xfrm>
                    <a:prstGeom prst="rect">
                      <a:avLst/>
                    </a:prstGeom>
                    <a:noFill/>
                    <a:ln>
                      <a:noFill/>
                    </a:ln>
                  </pic:spPr>
                </pic:pic>
              </a:graphicData>
            </a:graphic>
          </wp:inline>
        </w:drawing>
      </w:r>
    </w:p>
    <w:p w:rsidR="009F2DFA" w:rsidRDefault="009F2DFA" w:rsidP="009F2DFA">
      <w:pPr>
        <w:pStyle w:val="BodyText1"/>
      </w:pPr>
    </w:p>
    <w:p w:rsidR="009F2DFA" w:rsidRPr="00042C66" w:rsidRDefault="009F2DFA" w:rsidP="009F2DFA">
      <w:pPr>
        <w:pStyle w:val="BodyText1"/>
        <w:rPr>
          <w:rFonts w:ascii="Times New Roman" w:eastAsiaTheme="minorHAnsi" w:hAnsi="Times New Roman"/>
          <w:b/>
          <w:i/>
          <w:color w:val="auto"/>
          <w:sz w:val="24"/>
          <w:szCs w:val="20"/>
        </w:rPr>
      </w:pPr>
      <w:r w:rsidRPr="00042C66">
        <w:rPr>
          <w:rFonts w:ascii="Times New Roman" w:eastAsiaTheme="minorHAnsi" w:hAnsi="Times New Roman"/>
          <w:b/>
          <w:i/>
          <w:color w:val="auto"/>
          <w:sz w:val="24"/>
          <w:szCs w:val="20"/>
        </w:rPr>
        <w:t>Náklady na celé podnikateľské prostredie</w:t>
      </w:r>
    </w:p>
    <w:p w:rsidR="009F2DFA" w:rsidRPr="00042C66" w:rsidRDefault="009F2DFA" w:rsidP="009F2DFA">
      <w:pPr>
        <w:pStyle w:val="BodyText1"/>
        <w:rPr>
          <w:rFonts w:ascii="Times New Roman" w:eastAsiaTheme="minorHAnsi" w:hAnsi="Times New Roman"/>
          <w:color w:val="auto"/>
          <w:sz w:val="24"/>
          <w:szCs w:val="20"/>
        </w:rPr>
      </w:pPr>
      <w:r w:rsidRPr="00042C66">
        <w:rPr>
          <w:rFonts w:ascii="Times New Roman" w:eastAsiaTheme="minorHAnsi" w:hAnsi="Times New Roman"/>
          <w:i/>
          <w:color w:val="auto"/>
          <w:sz w:val="24"/>
          <w:szCs w:val="20"/>
        </w:rPr>
        <w:t xml:space="preserve">Priame a nepriame náklady na celé podnikateľské prostredie - </w:t>
      </w:r>
      <w:r w:rsidRPr="00042C66">
        <w:rPr>
          <w:rFonts w:ascii="Times New Roman" w:eastAsiaTheme="minorHAnsi" w:hAnsi="Times New Roman"/>
          <w:color w:val="auto"/>
          <w:sz w:val="24"/>
          <w:szCs w:val="20"/>
        </w:rPr>
        <w:t>výška priamych a nepriamych nákladov povinnosti na celé podnikateľské prostredie je vyčíslená na základe vzorca:</w:t>
      </w:r>
    </w:p>
    <w:p w:rsidR="009F2DFA" w:rsidRDefault="009F2DFA" w:rsidP="009F2DFA">
      <w:pPr>
        <w:pStyle w:val="BodyText1"/>
      </w:pPr>
      <w:r w:rsidRPr="0017731D">
        <w:rPr>
          <w:noProof/>
          <w:lang w:eastAsia="sk-SK"/>
        </w:rPr>
        <w:drawing>
          <wp:inline distT="0" distB="0" distL="0" distR="0" wp14:anchorId="5E66D38B" wp14:editId="29CE65C0">
            <wp:extent cx="2809875" cy="91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0872" cy="914724"/>
                    </a:xfrm>
                    <a:prstGeom prst="rect">
                      <a:avLst/>
                    </a:prstGeom>
                    <a:noFill/>
                    <a:ln>
                      <a:noFill/>
                    </a:ln>
                  </pic:spPr>
                </pic:pic>
              </a:graphicData>
            </a:graphic>
          </wp:inline>
        </w:drawing>
      </w:r>
    </w:p>
    <w:p w:rsidR="009F2DFA" w:rsidRDefault="009F2DFA" w:rsidP="009F2DFA">
      <w:pPr>
        <w:pStyle w:val="BodyText1"/>
        <w:rPr>
          <w:b/>
        </w:rPr>
      </w:pPr>
    </w:p>
    <w:p w:rsidR="009F2DFA" w:rsidRPr="00042C66" w:rsidRDefault="009F2DFA" w:rsidP="009F2DFA">
      <w:pPr>
        <w:pStyle w:val="BodyText1"/>
        <w:rPr>
          <w:rFonts w:ascii="Times New Roman" w:eastAsiaTheme="minorHAnsi" w:hAnsi="Times New Roman"/>
          <w:i/>
          <w:color w:val="auto"/>
          <w:sz w:val="24"/>
          <w:szCs w:val="20"/>
        </w:rPr>
      </w:pPr>
      <w:r w:rsidRPr="00042C66">
        <w:rPr>
          <w:rFonts w:ascii="Times New Roman" w:eastAsiaTheme="minorHAnsi" w:hAnsi="Times New Roman"/>
          <w:i/>
          <w:color w:val="auto"/>
          <w:sz w:val="24"/>
          <w:szCs w:val="20"/>
        </w:rPr>
        <w:t xml:space="preserve">Administratívne náklady na celé podnikateľské prostredie - </w:t>
      </w:r>
      <w:r w:rsidRPr="00042C66">
        <w:rPr>
          <w:rFonts w:ascii="Times New Roman" w:eastAsiaTheme="minorHAnsi" w:hAnsi="Times New Roman"/>
          <w:color w:val="auto"/>
          <w:sz w:val="24"/>
          <w:szCs w:val="20"/>
        </w:rPr>
        <w:t>výška administratívnych nákladov povinnosti na celé podnikateľské prostredie je vyčíslená na základe vzorca:</w:t>
      </w:r>
    </w:p>
    <w:p w:rsidR="009F2DFA" w:rsidRPr="00042C66" w:rsidRDefault="009F2DFA" w:rsidP="009F2DFA">
      <w:pPr>
        <w:pStyle w:val="BodyText1"/>
        <w:rPr>
          <w:rFonts w:ascii="Times New Roman" w:hAnsi="Times New Roman"/>
        </w:rPr>
      </w:pPr>
      <w:r w:rsidRPr="00042C66">
        <w:rPr>
          <w:rFonts w:ascii="Times New Roman" w:hAnsi="Times New Roman"/>
          <w:noProof/>
          <w:lang w:eastAsia="sk-SK"/>
        </w:rPr>
        <w:drawing>
          <wp:inline distT="0" distB="0" distL="0" distR="0" wp14:anchorId="6E223098" wp14:editId="30AF19C0">
            <wp:extent cx="3789273" cy="462033"/>
            <wp:effectExtent l="0" t="0" r="190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2369" cy="462410"/>
                    </a:xfrm>
                    <a:prstGeom prst="rect">
                      <a:avLst/>
                    </a:prstGeom>
                    <a:noFill/>
                    <a:ln>
                      <a:noFill/>
                    </a:ln>
                  </pic:spPr>
                </pic:pic>
              </a:graphicData>
            </a:graphic>
          </wp:inline>
        </w:drawing>
      </w:r>
    </w:p>
    <w:p w:rsidR="009F2DFA" w:rsidRPr="00042C66" w:rsidRDefault="009F2DFA" w:rsidP="009F2DFA">
      <w:pPr>
        <w:pStyle w:val="BodyText1"/>
        <w:rPr>
          <w:rFonts w:ascii="Times New Roman" w:hAnsi="Times New Roman"/>
          <w:i/>
          <w:sz w:val="16"/>
          <w:szCs w:val="16"/>
        </w:rPr>
      </w:pPr>
      <w:r w:rsidRPr="00042C66">
        <w:rPr>
          <w:rFonts w:ascii="Times New Roman" w:hAnsi="Times New Roman"/>
          <w:i/>
          <w:sz w:val="16"/>
          <w:szCs w:val="16"/>
          <w:lang w:val="en-US"/>
        </w:rPr>
        <w:t>*</w:t>
      </w:r>
      <w:r w:rsidRPr="00042C66">
        <w:rPr>
          <w:rFonts w:ascii="Times New Roman" w:hAnsi="Times New Roman"/>
          <w:i/>
          <w:sz w:val="16"/>
          <w:szCs w:val="16"/>
        </w:rPr>
        <w:t xml:space="preserve">Tarifa – vychádza z priemernej hrubej mzdy v národnom hospodárstve (priemerná hrubá mesačná mzda v národnom hospodárstve SR za rok 2013 - 835 EUR, Eurostat ). </w:t>
      </w:r>
    </w:p>
    <w:p w:rsidR="009F2DFA" w:rsidRPr="00042C66" w:rsidRDefault="009F2DFA" w:rsidP="009F2DFA">
      <w:pPr>
        <w:pStyle w:val="BodyText1"/>
        <w:rPr>
          <w:rFonts w:ascii="Times New Roman" w:hAnsi="Times New Roman"/>
          <w:i/>
          <w:sz w:val="20"/>
          <w:szCs w:val="16"/>
        </w:rPr>
      </w:pPr>
    </w:p>
    <w:p w:rsidR="009F2DFA" w:rsidRPr="00042C66" w:rsidRDefault="009F2DFA" w:rsidP="009F2DFA">
      <w:pPr>
        <w:pStyle w:val="BodyText1"/>
        <w:rPr>
          <w:rFonts w:ascii="Times New Roman" w:eastAsiaTheme="minorHAnsi" w:hAnsi="Times New Roman"/>
          <w:i/>
          <w:color w:val="auto"/>
          <w:sz w:val="24"/>
          <w:szCs w:val="20"/>
        </w:rPr>
      </w:pPr>
      <w:r w:rsidRPr="00042C66">
        <w:rPr>
          <w:rFonts w:ascii="Times New Roman" w:eastAsiaTheme="minorHAnsi" w:hAnsi="Times New Roman"/>
          <w:i/>
          <w:color w:val="auto"/>
          <w:sz w:val="24"/>
          <w:szCs w:val="20"/>
        </w:rPr>
        <w:t xml:space="preserve">Celkové náklady na celé podnikateľské prostredie - </w:t>
      </w:r>
      <w:r w:rsidRPr="00042C66">
        <w:rPr>
          <w:rFonts w:ascii="Times New Roman" w:eastAsiaTheme="minorHAnsi" w:hAnsi="Times New Roman"/>
          <w:color w:val="auto"/>
          <w:sz w:val="24"/>
          <w:szCs w:val="20"/>
        </w:rPr>
        <w:t>výška celkových nákladov povinnosti na celé podnikateľské prostredie je vyčíslené na základe vzorca:</w:t>
      </w:r>
    </w:p>
    <w:p w:rsidR="009F2DFA" w:rsidRDefault="009F2DFA" w:rsidP="009F2DFA">
      <w:pPr>
        <w:pStyle w:val="BodyText1"/>
      </w:pPr>
      <w:r w:rsidRPr="009D021B">
        <w:rPr>
          <w:noProof/>
          <w:lang w:eastAsia="sk-SK"/>
        </w:rPr>
        <w:lastRenderedPageBreak/>
        <w:drawing>
          <wp:inline distT="0" distB="0" distL="0" distR="0" wp14:anchorId="487BAF32" wp14:editId="4BFCDFD7">
            <wp:extent cx="4356100" cy="46059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6100" cy="460593"/>
                    </a:xfrm>
                    <a:prstGeom prst="rect">
                      <a:avLst/>
                    </a:prstGeom>
                    <a:noFill/>
                    <a:ln>
                      <a:noFill/>
                    </a:ln>
                  </pic:spPr>
                </pic:pic>
              </a:graphicData>
            </a:graphic>
          </wp:inline>
        </w:drawing>
      </w:r>
    </w:p>
    <w:p w:rsidR="009F2DFA" w:rsidRDefault="009F2DFA" w:rsidP="009F2DFA">
      <w:pPr>
        <w:jc w:val="both"/>
      </w:pPr>
    </w:p>
    <w:p w:rsidR="009F2DFA" w:rsidRPr="00042C66" w:rsidRDefault="009F2DFA" w:rsidP="009F2DFA">
      <w:pPr>
        <w:jc w:val="both"/>
        <w:rPr>
          <w:color w:val="FF0000"/>
          <w:sz w:val="24"/>
          <w:szCs w:val="24"/>
        </w:rPr>
      </w:pPr>
      <w:r w:rsidRPr="00042C66">
        <w:rPr>
          <w:sz w:val="24"/>
          <w:szCs w:val="24"/>
        </w:rPr>
        <w:t>Na kalkuláciu nákladov regulácie je možné využiť kalkulačku nákladov (vo formáte MS Excel), ktorá je zverejnená na stránke Ministerstva hospodárstva SR. S ohľadom na účel použitia, resp. rozsah predkladaných materiálov a z nich vyplývajúceho počtu povinností, možno využiť pre kalkuláciu nákladov:</w:t>
      </w:r>
    </w:p>
    <w:p w:rsidR="009F2DFA" w:rsidRPr="00042C66" w:rsidRDefault="009F2DFA" w:rsidP="009F2DFA">
      <w:pPr>
        <w:pStyle w:val="Odsekzoznamu"/>
        <w:numPr>
          <w:ilvl w:val="0"/>
          <w:numId w:val="3"/>
        </w:numPr>
        <w:spacing w:after="0"/>
        <w:rPr>
          <w:rFonts w:ascii="Times New Roman" w:hAnsi="Times New Roman" w:cs="Times New Roman"/>
          <w:sz w:val="24"/>
          <w:szCs w:val="24"/>
        </w:rPr>
      </w:pPr>
      <w:r>
        <w:rPr>
          <w:rFonts w:ascii="Times New Roman" w:hAnsi="Times New Roman" w:cs="Times New Roman"/>
          <w:b/>
          <w:sz w:val="24"/>
          <w:szCs w:val="24"/>
        </w:rPr>
        <w:t>Malú kalkulačku</w:t>
      </w:r>
      <w:r w:rsidRPr="00042C66">
        <w:rPr>
          <w:rFonts w:ascii="Times New Roman" w:hAnsi="Times New Roman" w:cs="Times New Roman"/>
          <w:sz w:val="24"/>
          <w:szCs w:val="24"/>
        </w:rPr>
        <w:t xml:space="preserve"> </w:t>
      </w:r>
      <w:r w:rsidRPr="00042C66">
        <w:rPr>
          <w:rFonts w:ascii="Times New Roman" w:hAnsi="Times New Roman" w:cs="Times New Roman"/>
          <w:b/>
          <w:sz w:val="24"/>
          <w:szCs w:val="24"/>
        </w:rPr>
        <w:t xml:space="preserve">nákladov povinnosti </w:t>
      </w:r>
      <w:r w:rsidRPr="00042C66">
        <w:rPr>
          <w:rFonts w:ascii="Times New Roman" w:hAnsi="Times New Roman" w:cs="Times New Roman"/>
          <w:sz w:val="24"/>
          <w:szCs w:val="24"/>
        </w:rPr>
        <w:t>– slúži na jednoduchú kalkuláciu nákladov ľubovoľnej jednej povinnosti (</w:t>
      </w:r>
      <w:r w:rsidRPr="00042C66">
        <w:rPr>
          <w:rFonts w:ascii="Times New Roman" w:hAnsi="Times New Roman" w:cs="Times New Roman"/>
          <w:i/>
          <w:sz w:val="24"/>
          <w:szCs w:val="24"/>
        </w:rPr>
        <w:t>MS Excel, záložka č. 1 – Malá kalkulačka</w:t>
      </w:r>
      <w:r w:rsidRPr="00042C66">
        <w:rPr>
          <w:rFonts w:ascii="Times New Roman" w:hAnsi="Times New Roman" w:cs="Times New Roman"/>
          <w:sz w:val="24"/>
          <w:szCs w:val="24"/>
        </w:rPr>
        <w:t>);</w:t>
      </w:r>
    </w:p>
    <w:p w:rsidR="009F2DFA" w:rsidRPr="00042C66" w:rsidRDefault="009F2DFA" w:rsidP="009F2DFA">
      <w:pPr>
        <w:pStyle w:val="Odsekzoznamu"/>
        <w:numPr>
          <w:ilvl w:val="0"/>
          <w:numId w:val="3"/>
        </w:numPr>
        <w:spacing w:after="0"/>
        <w:rPr>
          <w:rFonts w:ascii="Times New Roman" w:hAnsi="Times New Roman" w:cs="Times New Roman"/>
          <w:sz w:val="24"/>
          <w:szCs w:val="24"/>
        </w:rPr>
      </w:pPr>
      <w:r>
        <w:rPr>
          <w:rFonts w:ascii="Times New Roman" w:hAnsi="Times New Roman" w:cs="Times New Roman"/>
          <w:b/>
          <w:sz w:val="24"/>
          <w:szCs w:val="24"/>
        </w:rPr>
        <w:t>Veľkú kalkulačku</w:t>
      </w:r>
      <w:r w:rsidRPr="00042C66">
        <w:rPr>
          <w:rFonts w:ascii="Times New Roman" w:hAnsi="Times New Roman" w:cs="Times New Roman"/>
          <w:b/>
          <w:sz w:val="24"/>
          <w:szCs w:val="24"/>
        </w:rPr>
        <w:t xml:space="preserve"> nákladov predkladaného materiálu/regulácie </w:t>
      </w:r>
      <w:r w:rsidRPr="00042C66">
        <w:rPr>
          <w:rFonts w:ascii="Times New Roman" w:hAnsi="Times New Roman" w:cs="Times New Roman"/>
          <w:sz w:val="24"/>
          <w:szCs w:val="24"/>
        </w:rPr>
        <w:t xml:space="preserve"> – slúži na agregovanú kalkuláciu nákladov všetkých povinností, ktoré vyplývajú podnikateľom z predkladaného materiálu/regulácie (</w:t>
      </w:r>
      <w:r w:rsidRPr="00042C66">
        <w:rPr>
          <w:rFonts w:ascii="Times New Roman" w:hAnsi="Times New Roman" w:cs="Times New Roman"/>
          <w:i/>
          <w:sz w:val="24"/>
          <w:szCs w:val="24"/>
        </w:rPr>
        <w:t>MS Excel, záložka č. 2 – Veľká kalkulačka</w:t>
      </w:r>
      <w:r w:rsidRPr="00042C66">
        <w:rPr>
          <w:rFonts w:ascii="Times New Roman" w:hAnsi="Times New Roman" w:cs="Times New Roman"/>
          <w:sz w:val="24"/>
          <w:szCs w:val="24"/>
        </w:rPr>
        <w:t>).</w:t>
      </w:r>
    </w:p>
    <w:p w:rsidR="009F2DFA" w:rsidRPr="00042C66" w:rsidRDefault="009F2DFA" w:rsidP="009F2DFA">
      <w:pPr>
        <w:jc w:val="both"/>
        <w:rPr>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.4 Konkurencieschopnosť a správanie sa podnikov na trhu</w:t>
      </w:r>
    </w:p>
    <w:p w:rsidR="009F2DFA" w:rsidRPr="00042C66" w:rsidRDefault="009F2DFA" w:rsidP="009F2DFA">
      <w:pPr>
        <w:jc w:val="both"/>
        <w:rPr>
          <w:sz w:val="24"/>
          <w:szCs w:val="24"/>
        </w:rPr>
      </w:pPr>
      <w:r w:rsidRPr="00042C66">
        <w:rPr>
          <w:sz w:val="24"/>
          <w:szCs w:val="24"/>
        </w:rPr>
        <w:t>Predkladateľ uvedie, či dochádza k vytvoreniu bariér pre vstup na trh pre nových dodávateľov alebo poskytovateľov služieb a či dôjde k sprísneniu regulácie správania sa pre niektoré podniky. V princípe existujú tri možnosti, ako môžu regulácie ovplyvniť fungovanie podnikateľských subjektov na trhu:</w:t>
      </w:r>
    </w:p>
    <w:p w:rsidR="009F2DFA" w:rsidRPr="00042C66" w:rsidRDefault="009F2DFA" w:rsidP="009F2DFA">
      <w:pPr>
        <w:spacing w:after="120"/>
        <w:ind w:left="340" w:hanging="340"/>
        <w:jc w:val="both"/>
        <w:rPr>
          <w:sz w:val="24"/>
          <w:szCs w:val="24"/>
        </w:rPr>
      </w:pPr>
      <w:r w:rsidRPr="00042C66">
        <w:rPr>
          <w:sz w:val="24"/>
          <w:szCs w:val="24"/>
        </w:rPr>
        <w:t>a)</w:t>
      </w:r>
      <w:r w:rsidRPr="00042C66">
        <w:rPr>
          <w:sz w:val="24"/>
          <w:szCs w:val="24"/>
        </w:rPr>
        <w:tab/>
      </w:r>
      <w:r w:rsidRPr="00042C66">
        <w:rPr>
          <w:b/>
          <w:sz w:val="24"/>
          <w:szCs w:val="24"/>
        </w:rPr>
        <w:t>stanovením ďalších podmienok pre vstup na trh a začatie podnikania</w:t>
      </w:r>
      <w:r w:rsidRPr="00042C66">
        <w:rPr>
          <w:sz w:val="24"/>
          <w:szCs w:val="24"/>
        </w:rPr>
        <w:t xml:space="preserve"> (problém s</w:t>
      </w:r>
      <w:r>
        <w:rPr>
          <w:sz w:val="24"/>
          <w:szCs w:val="24"/>
        </w:rPr>
        <w:t> </w:t>
      </w:r>
      <w:r w:rsidRPr="00042C66">
        <w:rPr>
          <w:sz w:val="24"/>
          <w:szCs w:val="24"/>
        </w:rPr>
        <w:t>otvorením prevádzkarne, vysoké vstupné náklady, náročné administratívne procedúry a</w:t>
      </w:r>
      <w:r>
        <w:rPr>
          <w:sz w:val="24"/>
          <w:szCs w:val="24"/>
        </w:rPr>
        <w:t> </w:t>
      </w:r>
      <w:r w:rsidRPr="00042C66">
        <w:rPr>
          <w:sz w:val="24"/>
          <w:szCs w:val="24"/>
        </w:rPr>
        <w:t>pod.),</w:t>
      </w:r>
    </w:p>
    <w:p w:rsidR="009F2DFA" w:rsidRPr="00042C66" w:rsidRDefault="009F2DFA" w:rsidP="009F2DFA">
      <w:pPr>
        <w:spacing w:after="120"/>
        <w:ind w:left="340" w:hanging="340"/>
        <w:jc w:val="both"/>
        <w:rPr>
          <w:sz w:val="24"/>
          <w:szCs w:val="24"/>
        </w:rPr>
      </w:pPr>
      <w:r w:rsidRPr="00042C66">
        <w:rPr>
          <w:sz w:val="24"/>
          <w:szCs w:val="24"/>
        </w:rPr>
        <w:t>b)</w:t>
      </w:r>
      <w:r w:rsidRPr="00042C66">
        <w:rPr>
          <w:sz w:val="24"/>
          <w:szCs w:val="24"/>
        </w:rPr>
        <w:tab/>
      </w:r>
      <w:r w:rsidRPr="00042C66">
        <w:rPr>
          <w:b/>
          <w:sz w:val="24"/>
          <w:szCs w:val="24"/>
        </w:rPr>
        <w:t>stanovením podmienok pre správanie sa na trhu</w:t>
      </w:r>
      <w:r w:rsidRPr="00042C66">
        <w:rPr>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9F2DFA" w:rsidRPr="00042C66" w:rsidRDefault="009F2DFA" w:rsidP="009F2DFA">
      <w:pPr>
        <w:spacing w:after="120"/>
        <w:ind w:left="340" w:hanging="340"/>
        <w:jc w:val="both"/>
        <w:rPr>
          <w:sz w:val="24"/>
          <w:szCs w:val="24"/>
        </w:rPr>
      </w:pPr>
      <w:r w:rsidRPr="00042C66">
        <w:rPr>
          <w:sz w:val="24"/>
          <w:szCs w:val="24"/>
        </w:rPr>
        <w:t>c)</w:t>
      </w:r>
      <w:r w:rsidRPr="00042C66">
        <w:rPr>
          <w:sz w:val="24"/>
          <w:szCs w:val="24"/>
        </w:rPr>
        <w:tab/>
      </w:r>
      <w:r w:rsidRPr="00042C66">
        <w:rPr>
          <w:b/>
          <w:sz w:val="24"/>
          <w:szCs w:val="24"/>
        </w:rPr>
        <w:t>stanovením podmienok, ktoré vedú k zmenám v štruktúre trhu</w:t>
      </w:r>
      <w:r w:rsidRPr="00042C66">
        <w:rPr>
          <w:sz w:val="24"/>
          <w:szCs w:val="24"/>
        </w:rPr>
        <w:t>. Ide však spravidla o</w:t>
      </w:r>
      <w:r>
        <w:rPr>
          <w:sz w:val="24"/>
          <w:szCs w:val="24"/>
        </w:rPr>
        <w:t> </w:t>
      </w:r>
      <w:r w:rsidRPr="00042C66">
        <w:rPr>
          <w:sz w:val="24"/>
          <w:szCs w:val="24"/>
        </w:rPr>
        <w:t>také opatrenia, ktoré postihujú iba veľké podnikateľské subjekty.</w:t>
      </w:r>
    </w:p>
    <w:p w:rsidR="009F2DFA" w:rsidRPr="00042C66" w:rsidRDefault="009F2DFA" w:rsidP="009F2DFA">
      <w:pPr>
        <w:jc w:val="both"/>
        <w:rPr>
          <w:sz w:val="24"/>
          <w:szCs w:val="24"/>
        </w:rPr>
      </w:pPr>
      <w:r w:rsidRPr="00042C66">
        <w:rPr>
          <w:sz w:val="24"/>
          <w:szCs w:val="24"/>
        </w:rPr>
        <w:t>Predkladateľ popíše tiež situácie, kedy sa bude zaobchádzať s niektorými podnikmi alebo produktmi v porovnateľnej situácii rôzne</w:t>
      </w:r>
      <w:r w:rsidRPr="00042C66">
        <w:rPr>
          <w:i/>
          <w:sz w:val="24"/>
          <w:szCs w:val="24"/>
        </w:rPr>
        <w:t xml:space="preserve"> </w:t>
      </w:r>
      <w:r w:rsidRPr="00042C66">
        <w:rPr>
          <w:sz w:val="24"/>
          <w:szCs w:val="24"/>
        </w:rPr>
        <w:t>(napr. špeciálne režimy pre mikro, malé a stredné podniky tzv. MSP).</w:t>
      </w:r>
    </w:p>
    <w:p w:rsidR="009F2DFA" w:rsidRPr="00042C66" w:rsidRDefault="009F2DFA" w:rsidP="009F2DFA">
      <w:pPr>
        <w:jc w:val="both"/>
        <w:rPr>
          <w:sz w:val="24"/>
          <w:szCs w:val="24"/>
        </w:rPr>
      </w:pPr>
      <w:r w:rsidRPr="00042C66">
        <w:rPr>
          <w:sz w:val="24"/>
          <w:szCs w:val="24"/>
        </w:rPr>
        <w:t>Predkladateľ popíše, či a aký vplyvy má návrh na prekážky pri vývoze alebo dovoze z tretích krajín a či bude mať vplyv vyvolanie cezhraničných investícií (príliv /odliv zahraničných investícií resp. uplatnenie slovenských podnikov na zahraničných trhoch</w:t>
      </w:r>
      <w:r>
        <w:rPr>
          <w:sz w:val="24"/>
          <w:szCs w:val="24"/>
        </w:rPr>
        <w:t>)</w:t>
      </w:r>
      <w:r w:rsidRPr="00042C66">
        <w:rPr>
          <w:sz w:val="24"/>
          <w:szCs w:val="24"/>
        </w:rPr>
        <w:t>.</w:t>
      </w:r>
    </w:p>
    <w:p w:rsidR="009F2DFA" w:rsidRPr="00042C66" w:rsidRDefault="009F2DFA" w:rsidP="009F2DFA">
      <w:pPr>
        <w:jc w:val="both"/>
        <w:rPr>
          <w:sz w:val="24"/>
          <w:szCs w:val="24"/>
        </w:rPr>
      </w:pPr>
      <w:r w:rsidRPr="00042C66">
        <w:rPr>
          <w:sz w:val="24"/>
          <w:szCs w:val="24"/>
        </w:rPr>
        <w:t>Zároveň posúdi  priame aj nepriame vplyvy so zameraním na dostupnosť a cenu surovín, polotovarov, súčiastok, strojov a zariadení, pracovnej sily, energií a pod. Následne uvedie kvalitatívny opis a v prípade pohybu cien uvedie  jednotkové vyčíslenie nákladov alebo prínosov.</w:t>
      </w:r>
    </w:p>
    <w:p w:rsidR="009F2DFA" w:rsidRPr="00042C66" w:rsidRDefault="009F2DFA" w:rsidP="009F2DFA">
      <w:pPr>
        <w:jc w:val="both"/>
        <w:rPr>
          <w:i/>
          <w:sz w:val="24"/>
          <w:szCs w:val="24"/>
        </w:rPr>
      </w:pPr>
      <w:r w:rsidRPr="00042C66">
        <w:rPr>
          <w:sz w:val="24"/>
          <w:szCs w:val="24"/>
        </w:rPr>
        <w:t>Predkladateľ zanalyzuje predložený návrh z hľadiska prístupu k financiám. Uvedie, či sa vytvárajú nové možnosti financovania aktivít pre podnikateľov, napr. vo forme dotácií, úverov,  alebo zjednodušuje prístup k existujúcim nástrojom financovania.</w:t>
      </w:r>
    </w:p>
    <w:p w:rsidR="009F2DFA" w:rsidRPr="00042C66" w:rsidRDefault="009F2DFA" w:rsidP="009F2DFA">
      <w:pPr>
        <w:jc w:val="both"/>
        <w:rPr>
          <w:sz w:val="24"/>
          <w:szCs w:val="24"/>
        </w:rPr>
      </w:pPr>
      <w:r w:rsidRPr="00042C66">
        <w:rPr>
          <w:sz w:val="24"/>
          <w:szCs w:val="24"/>
        </w:rPr>
        <w:t xml:space="preserve">Pri spracovávaní tejto časti je potrebné rozlišovať medzi </w:t>
      </w:r>
      <w:r w:rsidRPr="00042C66">
        <w:rPr>
          <w:b/>
          <w:sz w:val="24"/>
          <w:szCs w:val="24"/>
        </w:rPr>
        <w:t xml:space="preserve">krátkodobými </w:t>
      </w:r>
      <w:r w:rsidRPr="00042C66">
        <w:rPr>
          <w:sz w:val="24"/>
          <w:szCs w:val="24"/>
        </w:rPr>
        <w:t xml:space="preserve"> (1 až 2 roky), </w:t>
      </w:r>
      <w:r w:rsidRPr="00042C66">
        <w:rPr>
          <w:b/>
          <w:sz w:val="24"/>
          <w:szCs w:val="24"/>
        </w:rPr>
        <w:t>strednodobými</w:t>
      </w:r>
      <w:r w:rsidRPr="00042C66">
        <w:rPr>
          <w:sz w:val="24"/>
          <w:szCs w:val="24"/>
        </w:rPr>
        <w:t xml:space="preserve"> (3 až 7 rokov) a </w:t>
      </w:r>
      <w:r w:rsidRPr="00042C66">
        <w:rPr>
          <w:b/>
          <w:sz w:val="24"/>
          <w:szCs w:val="24"/>
        </w:rPr>
        <w:t>dlhodobými</w:t>
      </w:r>
      <w:r w:rsidRPr="00042C66">
        <w:rPr>
          <w:sz w:val="24"/>
          <w:szCs w:val="24"/>
        </w:rPr>
        <w:t xml:space="preserve"> (8 rokov a viac) vplyvmi. </w:t>
      </w:r>
    </w:p>
    <w:p w:rsidR="009F2DFA" w:rsidRPr="00042C66" w:rsidRDefault="009F2DFA" w:rsidP="009F2DFA">
      <w:pPr>
        <w:jc w:val="both"/>
        <w:rPr>
          <w:b/>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.5 Inovácie</w:t>
      </w:r>
    </w:p>
    <w:p w:rsidR="009F2DFA" w:rsidRPr="00042C66" w:rsidRDefault="009F2DFA" w:rsidP="009F2DFA">
      <w:pPr>
        <w:jc w:val="both"/>
        <w:rPr>
          <w:sz w:val="24"/>
          <w:szCs w:val="24"/>
        </w:rPr>
      </w:pPr>
      <w:r w:rsidRPr="00042C66">
        <w:rPr>
          <w:sz w:val="24"/>
          <w:szCs w:val="24"/>
        </w:rPr>
        <w:t xml:space="preserve">V prípade, ak má navrhovaný materiál vplyv na inovácie podnikateľov, vyplní túto časť s využitím všetkých alebo niektorých pomocných otázok aj so zameraním na MSP. V prípade, </w:t>
      </w:r>
      <w:r w:rsidRPr="00042C66">
        <w:rPr>
          <w:sz w:val="24"/>
          <w:szCs w:val="24"/>
        </w:rPr>
        <w:lastRenderedPageBreak/>
        <w:t>ak navrhovaný materiál vplyv na inovácie nemá, predkladateľ sem túto informáciu uvedie a ďalej nevypĺňa.</w:t>
      </w:r>
    </w:p>
    <w:p w:rsidR="009F2DFA" w:rsidRDefault="009F2DFA" w:rsidP="009F2DFA">
      <w:pPr>
        <w:jc w:val="both"/>
        <w:rPr>
          <w:sz w:val="24"/>
          <w:szCs w:val="24"/>
        </w:rPr>
      </w:pPr>
      <w:r w:rsidRPr="00042C66">
        <w:rPr>
          <w:sz w:val="24"/>
          <w:szCs w:val="24"/>
        </w:rPr>
        <w:t>Vplyvy na inovácie môžu mať aj materiály zamerané na podporu vedy a výskumu, prepájanie akademickej a podnikateľskej sféry, možnosti daňových odpočtov nákladov na výskum a vývoj a podobne.</w:t>
      </w:r>
      <w:r w:rsidR="00780BA6">
        <w:rPr>
          <w:sz w:val="24"/>
          <w:szCs w:val="24"/>
        </w:rPr>
        <w:t xml:space="preserve"> </w:t>
      </w:r>
      <w:r w:rsidRPr="00042C66">
        <w:rPr>
          <w:sz w:val="24"/>
          <w:szCs w:val="24"/>
        </w:rPr>
        <w:t>Inovácie nemusia mať len technologické zameranie, ale môžu sa týkať aj takých odvetví akými sú marketing, finančníctvo či inovácie produktov a služieb.</w:t>
      </w:r>
    </w:p>
    <w:p w:rsidR="009F2DFA" w:rsidRDefault="009F2DFA" w:rsidP="009F2DFA">
      <w:pPr>
        <w:rPr>
          <w:sz w:val="24"/>
          <w:szCs w:val="24"/>
        </w:rPr>
      </w:pPr>
      <w:r>
        <w:rPr>
          <w:sz w:val="24"/>
          <w:szCs w:val="24"/>
        </w:rPr>
        <w:br w:type="page"/>
      </w:r>
    </w:p>
    <w:p w:rsidR="009F2DFA" w:rsidRPr="005C483F" w:rsidRDefault="009F2DFA" w:rsidP="009F2DFA">
      <w:pPr>
        <w:jc w:val="center"/>
        <w:rPr>
          <w:b/>
          <w:sz w:val="28"/>
          <w:szCs w:val="24"/>
        </w:rPr>
      </w:pPr>
      <w:r w:rsidRPr="005C483F">
        <w:rPr>
          <w:b/>
          <w:sz w:val="28"/>
          <w:szCs w:val="24"/>
        </w:rPr>
        <w:lastRenderedPageBreak/>
        <w:t xml:space="preserve">Metodika pre vykonávanie testu </w:t>
      </w:r>
      <w:r>
        <w:rPr>
          <w:b/>
          <w:sz w:val="28"/>
          <w:szCs w:val="24"/>
        </w:rPr>
        <w:t>vplyvov</w:t>
      </w:r>
      <w:r w:rsidRPr="005C483F">
        <w:rPr>
          <w:b/>
          <w:sz w:val="28"/>
          <w:szCs w:val="24"/>
        </w:rPr>
        <w:t xml:space="preserve"> na MSP</w:t>
      </w:r>
    </w:p>
    <w:p w:rsidR="009F2DFA" w:rsidRPr="005C483F" w:rsidRDefault="009F2DFA" w:rsidP="00F41620">
      <w:pPr>
        <w:spacing w:before="240"/>
        <w:jc w:val="both"/>
        <w:rPr>
          <w:sz w:val="24"/>
          <w:szCs w:val="24"/>
        </w:rPr>
      </w:pPr>
      <w:r w:rsidRPr="005C483F">
        <w:rPr>
          <w:sz w:val="24"/>
          <w:szCs w:val="24"/>
        </w:rPr>
        <w:t xml:space="preserve">Test </w:t>
      </w:r>
      <w:r>
        <w:rPr>
          <w:sz w:val="24"/>
          <w:szCs w:val="24"/>
        </w:rPr>
        <w:t>vplyvov</w:t>
      </w:r>
      <w:r w:rsidR="00F41620">
        <w:rPr>
          <w:sz w:val="24"/>
          <w:szCs w:val="24"/>
        </w:rPr>
        <w:t xml:space="preserve"> na malé a stredné podniky MSP</w:t>
      </w:r>
      <w:r w:rsidRPr="005C483F">
        <w:rPr>
          <w:sz w:val="24"/>
          <w:szCs w:val="24"/>
        </w:rPr>
        <w:t xml:space="preserve"> sa vykonáva pre legislatívne náv</w:t>
      </w:r>
      <w:r w:rsidR="00F41620">
        <w:rPr>
          <w:sz w:val="24"/>
          <w:szCs w:val="24"/>
        </w:rPr>
        <w:t>rhy ako aj nelegislatívne návrhy</w:t>
      </w:r>
      <w:r w:rsidRPr="005C483F">
        <w:rPr>
          <w:sz w:val="24"/>
          <w:szCs w:val="24"/>
        </w:rPr>
        <w:t xml:space="preserve">, ktoré majú indikovaný vplyv na niektorú z kategórií malých a stredných podnikov. Malé a stredné podniky (MSP) sú definované v zmysle odporúčania Európskej komisie č. 2003/361/ES. </w:t>
      </w:r>
    </w:p>
    <w:p w:rsidR="009F2DFA" w:rsidRPr="005C483F" w:rsidRDefault="009F2DFA" w:rsidP="009F2DFA">
      <w:pPr>
        <w:rPr>
          <w:sz w:val="24"/>
          <w:szCs w:val="24"/>
        </w:rPr>
      </w:pPr>
    </w:p>
    <w:p w:rsidR="009F2DFA" w:rsidRPr="005C483F" w:rsidRDefault="009F2DFA" w:rsidP="009F2DFA">
      <w:pPr>
        <w:rPr>
          <w:sz w:val="24"/>
          <w:szCs w:val="24"/>
        </w:rPr>
      </w:pPr>
      <w:r w:rsidRPr="005C483F">
        <w:rPr>
          <w:sz w:val="24"/>
          <w:szCs w:val="24"/>
        </w:rPr>
        <w:t>Test MSP sa vykonáva po predložení materiálu do PPK. Test pozostáva zo 4 fáz:</w:t>
      </w:r>
    </w:p>
    <w:p w:rsidR="009F2DFA" w:rsidRPr="00A34898" w:rsidRDefault="009F2DFA" w:rsidP="009F2DFA"/>
    <w:p w:rsidR="009F2DFA" w:rsidRDefault="009F2DFA" w:rsidP="009F2DFA">
      <w:r>
        <w:rPr>
          <w:noProof/>
        </w:rPr>
        <w:drawing>
          <wp:inline distT="0" distB="0" distL="0" distR="0" wp14:anchorId="7F0F264A" wp14:editId="033CD43B">
            <wp:extent cx="5486400" cy="27432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F2DFA" w:rsidRDefault="009F2DFA" w:rsidP="009F2DFA"/>
    <w:p w:rsidR="009F2DFA" w:rsidRPr="005C483F" w:rsidRDefault="009F2DFA" w:rsidP="009F2DFA">
      <w:pPr>
        <w:jc w:val="both"/>
        <w:rPr>
          <w:b/>
          <w:sz w:val="24"/>
          <w:szCs w:val="24"/>
        </w:rPr>
      </w:pPr>
      <w:r w:rsidRPr="005C483F">
        <w:rPr>
          <w:b/>
          <w:sz w:val="24"/>
          <w:szCs w:val="24"/>
        </w:rPr>
        <w:t>Fáza 1. Konzultácia so zástupcami MSP</w:t>
      </w:r>
    </w:p>
    <w:p w:rsidR="009F2DFA" w:rsidRPr="005C483F" w:rsidRDefault="009F2DFA" w:rsidP="009F2DFA">
      <w:pPr>
        <w:numPr>
          <w:ilvl w:val="0"/>
          <w:numId w:val="7"/>
        </w:numPr>
        <w:spacing w:line="276" w:lineRule="auto"/>
        <w:jc w:val="both"/>
        <w:rPr>
          <w:sz w:val="24"/>
          <w:szCs w:val="24"/>
        </w:rPr>
      </w:pPr>
      <w:r w:rsidRPr="005C483F">
        <w:rPr>
          <w:sz w:val="24"/>
          <w:szCs w:val="24"/>
        </w:rPr>
        <w:t>identifikácia zainteresovaných skupín MSP a ich zastupiteľských organizácií,</w:t>
      </w:r>
    </w:p>
    <w:p w:rsidR="009F2DFA" w:rsidRPr="005C483F" w:rsidRDefault="009F2DFA" w:rsidP="009F2DFA">
      <w:pPr>
        <w:numPr>
          <w:ilvl w:val="0"/>
          <w:numId w:val="7"/>
        </w:numPr>
        <w:spacing w:line="276" w:lineRule="auto"/>
        <w:jc w:val="both"/>
        <w:rPr>
          <w:sz w:val="24"/>
          <w:szCs w:val="24"/>
        </w:rPr>
      </w:pPr>
      <w:r w:rsidRPr="005C483F">
        <w:rPr>
          <w:sz w:val="24"/>
          <w:szCs w:val="24"/>
        </w:rPr>
        <w:t>okrúhle stoly so zainteresovanými podnikateľmi/ podnikateľskými organizáciami,</w:t>
      </w:r>
    </w:p>
    <w:p w:rsidR="009F2DFA" w:rsidRPr="005C483F" w:rsidRDefault="009F2DFA" w:rsidP="009F2DFA">
      <w:pPr>
        <w:numPr>
          <w:ilvl w:val="0"/>
          <w:numId w:val="7"/>
        </w:numPr>
        <w:spacing w:line="276" w:lineRule="auto"/>
        <w:jc w:val="both"/>
        <w:rPr>
          <w:sz w:val="24"/>
          <w:szCs w:val="24"/>
        </w:rPr>
      </w:pPr>
      <w:r w:rsidRPr="005C483F">
        <w:rPr>
          <w:sz w:val="24"/>
          <w:szCs w:val="24"/>
        </w:rPr>
        <w:t>zverejnenie zámeru online, vytvorenie online platformy na pripomienkovanie,</w:t>
      </w:r>
    </w:p>
    <w:p w:rsidR="009F2DFA" w:rsidRPr="005C483F" w:rsidRDefault="009F2DFA" w:rsidP="009F2DFA">
      <w:pPr>
        <w:numPr>
          <w:ilvl w:val="0"/>
          <w:numId w:val="7"/>
        </w:numPr>
        <w:spacing w:line="276" w:lineRule="auto"/>
        <w:jc w:val="both"/>
        <w:rPr>
          <w:sz w:val="24"/>
          <w:szCs w:val="24"/>
        </w:rPr>
      </w:pPr>
      <w:r w:rsidRPr="005C483F">
        <w:rPr>
          <w:sz w:val="24"/>
          <w:szCs w:val="24"/>
        </w:rPr>
        <w:t xml:space="preserve">vyhodnotenie online pripomienok, </w:t>
      </w:r>
    </w:p>
    <w:p w:rsidR="009F2DFA" w:rsidRPr="005C483F" w:rsidRDefault="009F2DFA" w:rsidP="009F2DFA">
      <w:pPr>
        <w:numPr>
          <w:ilvl w:val="0"/>
          <w:numId w:val="7"/>
        </w:numPr>
        <w:spacing w:line="276" w:lineRule="auto"/>
        <w:jc w:val="both"/>
        <w:rPr>
          <w:sz w:val="24"/>
          <w:szCs w:val="24"/>
        </w:rPr>
      </w:pPr>
      <w:r w:rsidRPr="005C483F">
        <w:rPr>
          <w:sz w:val="24"/>
          <w:szCs w:val="24"/>
        </w:rPr>
        <w:t>MSP Test panely.</w:t>
      </w:r>
    </w:p>
    <w:p w:rsidR="009F2DFA" w:rsidRPr="005C483F" w:rsidRDefault="009F2DFA" w:rsidP="009F2DFA">
      <w:pPr>
        <w:jc w:val="both"/>
        <w:rPr>
          <w:b/>
          <w:sz w:val="24"/>
          <w:szCs w:val="24"/>
        </w:rPr>
      </w:pPr>
    </w:p>
    <w:p w:rsidR="009F2DFA" w:rsidRPr="005C483F" w:rsidRDefault="009F2DFA" w:rsidP="009F2DFA">
      <w:pPr>
        <w:jc w:val="both"/>
        <w:rPr>
          <w:b/>
          <w:sz w:val="24"/>
          <w:szCs w:val="24"/>
        </w:rPr>
      </w:pPr>
      <w:r w:rsidRPr="005C483F">
        <w:rPr>
          <w:b/>
          <w:sz w:val="24"/>
          <w:szCs w:val="24"/>
        </w:rPr>
        <w:t>Fáza 2. Predbežné posúdenie pravdepodobne ovplyvnených podnikateľských subjektov</w:t>
      </w:r>
    </w:p>
    <w:p w:rsidR="009F2DFA" w:rsidRPr="005C483F" w:rsidRDefault="009F2DFA" w:rsidP="009F2DFA">
      <w:pPr>
        <w:numPr>
          <w:ilvl w:val="0"/>
          <w:numId w:val="7"/>
        </w:numPr>
        <w:spacing w:line="276" w:lineRule="auto"/>
        <w:jc w:val="both"/>
        <w:rPr>
          <w:sz w:val="24"/>
          <w:szCs w:val="24"/>
        </w:rPr>
      </w:pPr>
      <w:r w:rsidRPr="005C483F">
        <w:rPr>
          <w:sz w:val="24"/>
          <w:szCs w:val="24"/>
        </w:rPr>
        <w:t>identifikácia ovplyvnených subjektov a sektorov v rámci jednotlivých veľkostných, právnych, odvetvových, prípadne iných špecifikácií MSP</w:t>
      </w:r>
    </w:p>
    <w:p w:rsidR="009F2DFA" w:rsidRPr="005C483F" w:rsidRDefault="009F2DFA" w:rsidP="009F2DFA">
      <w:pPr>
        <w:numPr>
          <w:ilvl w:val="0"/>
          <w:numId w:val="7"/>
        </w:numPr>
        <w:spacing w:line="276" w:lineRule="auto"/>
        <w:jc w:val="both"/>
        <w:rPr>
          <w:sz w:val="24"/>
          <w:szCs w:val="24"/>
        </w:rPr>
      </w:pPr>
      <w:r w:rsidRPr="005C483F">
        <w:rPr>
          <w:sz w:val="24"/>
          <w:szCs w:val="24"/>
        </w:rPr>
        <w:t>kto sú ovplyvnené subjekty?</w:t>
      </w:r>
    </w:p>
    <w:p w:rsidR="009F2DFA" w:rsidRPr="005C483F" w:rsidRDefault="009F2DFA" w:rsidP="009F2DFA">
      <w:pPr>
        <w:numPr>
          <w:ilvl w:val="0"/>
          <w:numId w:val="8"/>
        </w:numPr>
        <w:spacing w:line="276" w:lineRule="auto"/>
        <w:jc w:val="both"/>
        <w:rPr>
          <w:sz w:val="24"/>
          <w:szCs w:val="24"/>
        </w:rPr>
      </w:pPr>
      <w:r w:rsidRPr="005C483F">
        <w:rPr>
          <w:sz w:val="24"/>
          <w:szCs w:val="24"/>
        </w:rPr>
        <w:t>počet subjektov a ich zastúpenie (mikro, malé, stredné a veľké podniky),</w:t>
      </w:r>
    </w:p>
    <w:p w:rsidR="009F2DFA" w:rsidRPr="005C483F" w:rsidRDefault="009F2DFA" w:rsidP="009F2DFA">
      <w:pPr>
        <w:numPr>
          <w:ilvl w:val="0"/>
          <w:numId w:val="8"/>
        </w:numPr>
        <w:spacing w:line="276" w:lineRule="auto"/>
        <w:jc w:val="both"/>
        <w:rPr>
          <w:sz w:val="24"/>
          <w:szCs w:val="24"/>
        </w:rPr>
      </w:pPr>
      <w:r w:rsidRPr="005C483F">
        <w:rPr>
          <w:sz w:val="24"/>
          <w:szCs w:val="24"/>
        </w:rPr>
        <w:t>podiel na zamestnanosti v rôznych kategóriách ovplyvnených subjektov,</w:t>
      </w:r>
    </w:p>
    <w:p w:rsidR="009F2DFA" w:rsidRPr="005C483F" w:rsidRDefault="009F2DFA" w:rsidP="009F2DFA">
      <w:pPr>
        <w:numPr>
          <w:ilvl w:val="0"/>
          <w:numId w:val="8"/>
        </w:numPr>
        <w:spacing w:line="276" w:lineRule="auto"/>
        <w:jc w:val="both"/>
        <w:rPr>
          <w:sz w:val="24"/>
          <w:szCs w:val="24"/>
        </w:rPr>
      </w:pPr>
      <w:r w:rsidRPr="005C483F">
        <w:rPr>
          <w:sz w:val="24"/>
          <w:szCs w:val="24"/>
        </w:rPr>
        <w:t>zastúpenie MSP v ovplyvnenom sektore,</w:t>
      </w:r>
    </w:p>
    <w:p w:rsidR="009F2DFA" w:rsidRPr="005C483F" w:rsidRDefault="009F2DFA" w:rsidP="009F2DFA">
      <w:pPr>
        <w:numPr>
          <w:ilvl w:val="0"/>
          <w:numId w:val="8"/>
        </w:numPr>
        <w:spacing w:line="276" w:lineRule="auto"/>
        <w:jc w:val="both"/>
        <w:rPr>
          <w:sz w:val="24"/>
          <w:szCs w:val="24"/>
        </w:rPr>
      </w:pPr>
      <w:r w:rsidRPr="005C483F">
        <w:rPr>
          <w:sz w:val="24"/>
          <w:szCs w:val="24"/>
        </w:rPr>
        <w:t>prepojenie na ostatné sektory (odvetvia) a možný dopad na subdodávateľské vzťahy.</w:t>
      </w:r>
    </w:p>
    <w:p w:rsidR="009F2DFA" w:rsidRPr="005C483F" w:rsidRDefault="009F2DFA" w:rsidP="009F2DFA">
      <w:pPr>
        <w:jc w:val="both"/>
        <w:rPr>
          <w:b/>
          <w:sz w:val="24"/>
          <w:szCs w:val="24"/>
        </w:rPr>
      </w:pPr>
    </w:p>
    <w:p w:rsidR="009F2DFA" w:rsidRPr="005C483F" w:rsidRDefault="009F2DFA" w:rsidP="009F2DFA">
      <w:pPr>
        <w:jc w:val="both"/>
        <w:rPr>
          <w:b/>
          <w:sz w:val="24"/>
          <w:szCs w:val="24"/>
        </w:rPr>
      </w:pPr>
      <w:r w:rsidRPr="005C483F">
        <w:rPr>
          <w:b/>
          <w:sz w:val="24"/>
          <w:szCs w:val="24"/>
        </w:rPr>
        <w:t>Fáza 3. Meranie vplyvu regulácie na MSP</w:t>
      </w:r>
    </w:p>
    <w:p w:rsidR="009F2DFA" w:rsidRPr="005C483F" w:rsidRDefault="009F2DFA" w:rsidP="009F2DFA">
      <w:pPr>
        <w:numPr>
          <w:ilvl w:val="0"/>
          <w:numId w:val="7"/>
        </w:numPr>
        <w:spacing w:line="276" w:lineRule="auto"/>
        <w:jc w:val="both"/>
        <w:rPr>
          <w:sz w:val="24"/>
          <w:szCs w:val="24"/>
        </w:rPr>
      </w:pPr>
      <w:r w:rsidRPr="005C483F">
        <w:rPr>
          <w:sz w:val="24"/>
          <w:szCs w:val="24"/>
        </w:rPr>
        <w:t>kvantitatívna a kvalitatívna analýza vplyvov (priamych aj nepriamych)</w:t>
      </w:r>
    </w:p>
    <w:p w:rsidR="009F2DFA" w:rsidRPr="005C483F" w:rsidRDefault="009F2DFA" w:rsidP="009F2DFA">
      <w:pPr>
        <w:numPr>
          <w:ilvl w:val="0"/>
          <w:numId w:val="9"/>
        </w:numPr>
        <w:spacing w:line="276" w:lineRule="auto"/>
        <w:jc w:val="both"/>
        <w:rPr>
          <w:sz w:val="24"/>
          <w:szCs w:val="24"/>
        </w:rPr>
      </w:pPr>
      <w:r w:rsidRPr="005C483F">
        <w:rPr>
          <w:sz w:val="24"/>
          <w:szCs w:val="24"/>
        </w:rPr>
        <w:t>náklady (finančné</w:t>
      </w:r>
      <w:r>
        <w:rPr>
          <w:sz w:val="24"/>
          <w:szCs w:val="24"/>
        </w:rPr>
        <w:t>,</w:t>
      </w:r>
      <w:r w:rsidRPr="005C483F">
        <w:rPr>
          <w:sz w:val="24"/>
          <w:szCs w:val="24"/>
        </w:rPr>
        <w:t> administratívne</w:t>
      </w:r>
      <w:r w:rsidRPr="00E02048">
        <w:rPr>
          <w:sz w:val="24"/>
          <w:szCs w:val="24"/>
        </w:rPr>
        <w:t xml:space="preserve"> </w:t>
      </w:r>
      <w:r>
        <w:rPr>
          <w:sz w:val="24"/>
          <w:szCs w:val="24"/>
        </w:rPr>
        <w:t>a náklady na implementáciu</w:t>
      </w:r>
      <w:r w:rsidRPr="005C483F">
        <w:rPr>
          <w:sz w:val="24"/>
          <w:szCs w:val="24"/>
        </w:rPr>
        <w:t>)</w:t>
      </w:r>
      <w:r w:rsidRPr="005C483F">
        <w:rPr>
          <w:sz w:val="24"/>
          <w:szCs w:val="24"/>
        </w:rPr>
        <w:tab/>
      </w:r>
    </w:p>
    <w:p w:rsidR="009F2DFA" w:rsidRPr="005C483F" w:rsidRDefault="009F2DFA" w:rsidP="009F2DFA">
      <w:pPr>
        <w:numPr>
          <w:ilvl w:val="0"/>
          <w:numId w:val="9"/>
        </w:numPr>
        <w:spacing w:line="276" w:lineRule="auto"/>
        <w:jc w:val="both"/>
        <w:rPr>
          <w:sz w:val="24"/>
          <w:szCs w:val="24"/>
        </w:rPr>
      </w:pPr>
      <w:r w:rsidRPr="005C483F">
        <w:rPr>
          <w:sz w:val="24"/>
          <w:szCs w:val="24"/>
        </w:rPr>
        <w:t>prínosy (finančné, spoločenské, iné)</w:t>
      </w:r>
    </w:p>
    <w:p w:rsidR="009F2DFA" w:rsidRPr="005C483F" w:rsidRDefault="009F2DFA" w:rsidP="009F2DFA">
      <w:pPr>
        <w:numPr>
          <w:ilvl w:val="0"/>
          <w:numId w:val="7"/>
        </w:numPr>
        <w:spacing w:line="276" w:lineRule="auto"/>
        <w:jc w:val="both"/>
        <w:rPr>
          <w:sz w:val="24"/>
          <w:szCs w:val="24"/>
        </w:rPr>
      </w:pPr>
      <w:r w:rsidRPr="005C483F">
        <w:rPr>
          <w:sz w:val="24"/>
          <w:szCs w:val="24"/>
        </w:rPr>
        <w:t>porovnanie vplyvu regulácie na MSP a na veľké podnikateľské subjekty</w:t>
      </w:r>
    </w:p>
    <w:p w:rsidR="009F2DFA" w:rsidRPr="005C483F" w:rsidRDefault="009F2DFA" w:rsidP="009F2DFA">
      <w:pPr>
        <w:numPr>
          <w:ilvl w:val="0"/>
          <w:numId w:val="10"/>
        </w:numPr>
        <w:spacing w:line="276" w:lineRule="auto"/>
        <w:jc w:val="both"/>
        <w:rPr>
          <w:sz w:val="24"/>
          <w:szCs w:val="24"/>
        </w:rPr>
      </w:pPr>
      <w:r w:rsidRPr="005C483F">
        <w:rPr>
          <w:sz w:val="24"/>
          <w:szCs w:val="24"/>
        </w:rPr>
        <w:lastRenderedPageBreak/>
        <w:t>náklady na 1 zamestnanca / ročný obrat / režijné náklady</w:t>
      </w:r>
    </w:p>
    <w:p w:rsidR="009F2DFA" w:rsidRPr="005C483F" w:rsidRDefault="009F2DFA" w:rsidP="009F2DFA">
      <w:pPr>
        <w:numPr>
          <w:ilvl w:val="0"/>
          <w:numId w:val="7"/>
        </w:numPr>
        <w:spacing w:line="276" w:lineRule="auto"/>
        <w:jc w:val="both"/>
        <w:rPr>
          <w:sz w:val="24"/>
          <w:szCs w:val="24"/>
        </w:rPr>
      </w:pPr>
      <w:r w:rsidRPr="005C483F">
        <w:rPr>
          <w:sz w:val="24"/>
          <w:szCs w:val="24"/>
        </w:rPr>
        <w:t xml:space="preserve">posúdenie vplyvu na fungovanie MSP na trhu a na ich konkurencieschopnosť </w:t>
      </w:r>
    </w:p>
    <w:p w:rsidR="009F2DFA" w:rsidRPr="005C483F" w:rsidRDefault="009F2DFA" w:rsidP="009F2DFA">
      <w:pPr>
        <w:numPr>
          <w:ilvl w:val="0"/>
          <w:numId w:val="10"/>
        </w:numPr>
        <w:spacing w:line="276" w:lineRule="auto"/>
        <w:jc w:val="both"/>
        <w:rPr>
          <w:sz w:val="24"/>
          <w:szCs w:val="24"/>
        </w:rPr>
      </w:pPr>
      <w:r w:rsidRPr="005C483F">
        <w:rPr>
          <w:sz w:val="24"/>
          <w:szCs w:val="24"/>
        </w:rPr>
        <w:t>nepriame vplyvy na konkurencieschopnosť MSP (napr. zvýšenie administratívneho zaťaženia, zhoršenie prístupu k financovaniu)</w:t>
      </w:r>
    </w:p>
    <w:p w:rsidR="009F2DFA" w:rsidRPr="005C483F" w:rsidRDefault="009F2DFA" w:rsidP="009F2DFA">
      <w:pPr>
        <w:numPr>
          <w:ilvl w:val="0"/>
          <w:numId w:val="11"/>
        </w:numPr>
        <w:spacing w:line="276" w:lineRule="auto"/>
        <w:jc w:val="both"/>
        <w:rPr>
          <w:sz w:val="24"/>
          <w:szCs w:val="24"/>
        </w:rPr>
      </w:pPr>
      <w:r w:rsidRPr="005C483F">
        <w:rPr>
          <w:sz w:val="24"/>
          <w:szCs w:val="24"/>
        </w:rPr>
        <w:t>vplyv na konkurenčné vzťahy, dodávateľsko-odberateľské vzťahy a zákazníkov (deformácia trhu)</w:t>
      </w:r>
    </w:p>
    <w:p w:rsidR="009F2DFA" w:rsidRPr="005C483F" w:rsidRDefault="009F2DFA" w:rsidP="009F2DFA">
      <w:pPr>
        <w:numPr>
          <w:ilvl w:val="0"/>
          <w:numId w:val="11"/>
        </w:numPr>
        <w:spacing w:line="276" w:lineRule="auto"/>
        <w:jc w:val="both"/>
        <w:rPr>
          <w:sz w:val="24"/>
          <w:szCs w:val="24"/>
        </w:rPr>
      </w:pPr>
      <w:r w:rsidRPr="005C483F">
        <w:rPr>
          <w:sz w:val="24"/>
          <w:szCs w:val="24"/>
        </w:rPr>
        <w:t>vplyv na vstup na trh, trhovú súťaž a štruktúru trhu (monopolizácia trhu)</w:t>
      </w:r>
    </w:p>
    <w:p w:rsidR="009F2DFA" w:rsidRPr="005C483F" w:rsidRDefault="009F2DFA" w:rsidP="009F2DFA">
      <w:pPr>
        <w:numPr>
          <w:ilvl w:val="0"/>
          <w:numId w:val="11"/>
        </w:numPr>
        <w:spacing w:line="276" w:lineRule="auto"/>
        <w:jc w:val="both"/>
        <w:rPr>
          <w:sz w:val="24"/>
          <w:szCs w:val="24"/>
        </w:rPr>
      </w:pPr>
      <w:r w:rsidRPr="005C483F">
        <w:rPr>
          <w:sz w:val="24"/>
          <w:szCs w:val="24"/>
        </w:rPr>
        <w:t>vplyv na inovácie (technologické ale aj netechnologické)</w:t>
      </w:r>
    </w:p>
    <w:p w:rsidR="009F2DFA" w:rsidRPr="005C483F" w:rsidRDefault="009F2DFA" w:rsidP="009F2DFA">
      <w:pPr>
        <w:jc w:val="both"/>
        <w:rPr>
          <w:b/>
          <w:sz w:val="24"/>
          <w:szCs w:val="24"/>
        </w:rPr>
      </w:pPr>
    </w:p>
    <w:p w:rsidR="009F2DFA" w:rsidRPr="005C483F" w:rsidRDefault="009F2DFA" w:rsidP="009F2DFA">
      <w:pPr>
        <w:jc w:val="both"/>
        <w:rPr>
          <w:b/>
          <w:sz w:val="24"/>
          <w:szCs w:val="24"/>
        </w:rPr>
      </w:pPr>
      <w:r w:rsidRPr="005C483F">
        <w:rPr>
          <w:b/>
          <w:sz w:val="24"/>
          <w:szCs w:val="24"/>
        </w:rPr>
        <w:t>Fáza 4. Posúdenie alternatívnych možností a zmierňujúcich opatrení pre MSP</w:t>
      </w:r>
    </w:p>
    <w:p w:rsidR="009F2DFA" w:rsidRPr="005C483F" w:rsidRDefault="009F2DFA" w:rsidP="009F2DFA">
      <w:pPr>
        <w:numPr>
          <w:ilvl w:val="0"/>
          <w:numId w:val="7"/>
        </w:numPr>
        <w:spacing w:line="276" w:lineRule="auto"/>
        <w:jc w:val="both"/>
        <w:rPr>
          <w:sz w:val="24"/>
          <w:szCs w:val="24"/>
        </w:rPr>
      </w:pPr>
      <w:r w:rsidRPr="005C483F">
        <w:rPr>
          <w:sz w:val="24"/>
          <w:szCs w:val="24"/>
        </w:rPr>
        <w:t xml:space="preserve">porovnávanie viacerých možností aplikácie regulácie </w:t>
      </w:r>
    </w:p>
    <w:p w:rsidR="009F2DFA" w:rsidRPr="005C483F" w:rsidRDefault="009F2DFA" w:rsidP="009F2DFA">
      <w:pPr>
        <w:numPr>
          <w:ilvl w:val="0"/>
          <w:numId w:val="7"/>
        </w:numPr>
        <w:spacing w:line="276" w:lineRule="auto"/>
        <w:jc w:val="both"/>
        <w:rPr>
          <w:sz w:val="24"/>
          <w:szCs w:val="24"/>
        </w:rPr>
      </w:pPr>
      <w:r w:rsidRPr="005C483F">
        <w:rPr>
          <w:sz w:val="24"/>
          <w:szCs w:val="24"/>
        </w:rPr>
        <w:t>v prípade, že sú MSP, resp. určité kategórie MSP relatívne viac ovplyvnenou skupinou, treba zvážiť zmierňujúce opatrenia (s ohľadom na náklady na ich implementáciu), napr.:</w:t>
      </w:r>
    </w:p>
    <w:p w:rsidR="009F2DFA" w:rsidRPr="005C483F" w:rsidRDefault="009F2DFA" w:rsidP="009F2DFA">
      <w:pPr>
        <w:numPr>
          <w:ilvl w:val="0"/>
          <w:numId w:val="12"/>
        </w:numPr>
        <w:spacing w:line="276" w:lineRule="auto"/>
        <w:jc w:val="both"/>
        <w:rPr>
          <w:sz w:val="24"/>
          <w:szCs w:val="24"/>
        </w:rPr>
      </w:pPr>
      <w:r w:rsidRPr="005C483F">
        <w:rPr>
          <w:sz w:val="24"/>
          <w:szCs w:val="24"/>
        </w:rPr>
        <w:t>kompletné, alebo čiastkové vyňatie MSP, resp. určitých kategórií MSP (napr.</w:t>
      </w:r>
      <w:r>
        <w:rPr>
          <w:sz w:val="24"/>
          <w:szCs w:val="24"/>
        </w:rPr>
        <w:t> </w:t>
      </w:r>
      <w:r w:rsidRPr="005C483F">
        <w:rPr>
          <w:sz w:val="24"/>
          <w:szCs w:val="24"/>
        </w:rPr>
        <w:t>mikropodnikov, podnikateľov s určitým obratom) z rozsahu opatrenia,</w:t>
      </w:r>
    </w:p>
    <w:p w:rsidR="009F2DFA" w:rsidRPr="005C483F" w:rsidRDefault="009F2DFA" w:rsidP="009F2DFA">
      <w:pPr>
        <w:numPr>
          <w:ilvl w:val="0"/>
          <w:numId w:val="12"/>
        </w:numPr>
        <w:spacing w:line="276" w:lineRule="auto"/>
        <w:jc w:val="both"/>
        <w:rPr>
          <w:sz w:val="24"/>
          <w:szCs w:val="24"/>
        </w:rPr>
      </w:pPr>
      <w:r w:rsidRPr="005C483F">
        <w:rPr>
          <w:sz w:val="24"/>
          <w:szCs w:val="24"/>
        </w:rPr>
        <w:t>dočasné výnimky pre MSP, resp. určité kategórie MSP,</w:t>
      </w:r>
    </w:p>
    <w:p w:rsidR="009F2DFA" w:rsidRPr="005C483F" w:rsidRDefault="009F2DFA" w:rsidP="009F2DFA">
      <w:pPr>
        <w:numPr>
          <w:ilvl w:val="0"/>
          <w:numId w:val="12"/>
        </w:numPr>
        <w:spacing w:line="276" w:lineRule="auto"/>
        <w:jc w:val="both"/>
        <w:rPr>
          <w:sz w:val="24"/>
          <w:szCs w:val="24"/>
        </w:rPr>
      </w:pPr>
      <w:r w:rsidRPr="005C483F">
        <w:rPr>
          <w:sz w:val="24"/>
          <w:szCs w:val="24"/>
        </w:rPr>
        <w:t>priama finančná pomoc, daňové zvýhodnenie, zníženie poplatkov pre MSP, resp. určité kategórie MSP,</w:t>
      </w:r>
    </w:p>
    <w:p w:rsidR="009F2DFA" w:rsidRPr="005C483F" w:rsidRDefault="009F2DFA" w:rsidP="009F2DFA">
      <w:pPr>
        <w:numPr>
          <w:ilvl w:val="0"/>
          <w:numId w:val="12"/>
        </w:numPr>
        <w:spacing w:line="276" w:lineRule="auto"/>
        <w:jc w:val="both"/>
        <w:rPr>
          <w:sz w:val="24"/>
          <w:szCs w:val="24"/>
        </w:rPr>
      </w:pPr>
      <w:r w:rsidRPr="005C483F">
        <w:rPr>
          <w:sz w:val="24"/>
          <w:szCs w:val="24"/>
        </w:rPr>
        <w:t>zjednodušenie oznamovacích povinností pre MSP, resp. určité kategórie MSP,</w:t>
      </w:r>
    </w:p>
    <w:p w:rsidR="009F2DFA" w:rsidRPr="005C483F" w:rsidRDefault="009F2DFA" w:rsidP="009F2DFA">
      <w:pPr>
        <w:numPr>
          <w:ilvl w:val="0"/>
          <w:numId w:val="12"/>
        </w:numPr>
        <w:spacing w:line="276" w:lineRule="auto"/>
        <w:jc w:val="both"/>
        <w:rPr>
          <w:sz w:val="24"/>
          <w:szCs w:val="24"/>
        </w:rPr>
      </w:pPr>
      <w:r w:rsidRPr="005C483F">
        <w:rPr>
          <w:sz w:val="24"/>
          <w:szCs w:val="24"/>
        </w:rPr>
        <w:t>informačné kampane pre MSP, tvorba príručiek, školenia a poradenské služby (helpdesky),</w:t>
      </w:r>
    </w:p>
    <w:p w:rsidR="009F2DFA" w:rsidRPr="005C483F" w:rsidRDefault="009F2DFA" w:rsidP="009F2DFA">
      <w:pPr>
        <w:numPr>
          <w:ilvl w:val="0"/>
          <w:numId w:val="12"/>
        </w:numPr>
        <w:spacing w:line="276" w:lineRule="auto"/>
        <w:jc w:val="both"/>
        <w:rPr>
          <w:sz w:val="24"/>
          <w:szCs w:val="24"/>
        </w:rPr>
      </w:pPr>
      <w:r w:rsidRPr="005C483F">
        <w:rPr>
          <w:sz w:val="24"/>
          <w:szCs w:val="24"/>
        </w:rPr>
        <w:t>previazanosť na ďalšie opatrenia/ povinnosti pre podnikateľov - systematické zjednodušovanie požiadaviek pre MSP.</w:t>
      </w:r>
    </w:p>
    <w:p w:rsidR="009F2DFA" w:rsidRPr="005C483F" w:rsidRDefault="009F2DFA" w:rsidP="009F2DFA">
      <w:pPr>
        <w:tabs>
          <w:tab w:val="left" w:pos="960"/>
        </w:tabs>
        <w:jc w:val="both"/>
        <w:rPr>
          <w:sz w:val="24"/>
          <w:szCs w:val="24"/>
        </w:rPr>
      </w:pPr>
    </w:p>
    <w:p w:rsidR="009F2DFA" w:rsidRDefault="00F41620" w:rsidP="009F2DFA">
      <w:pPr>
        <w:tabs>
          <w:tab w:val="left" w:pos="960"/>
        </w:tabs>
        <w:jc w:val="both"/>
        <w:rPr>
          <w:sz w:val="24"/>
          <w:szCs w:val="24"/>
        </w:rPr>
      </w:pPr>
      <w:r>
        <w:rPr>
          <w:sz w:val="24"/>
          <w:szCs w:val="24"/>
        </w:rPr>
        <w:t xml:space="preserve">Výsledky testu </w:t>
      </w:r>
      <w:r w:rsidR="009F2DFA" w:rsidRPr="005C483F">
        <w:rPr>
          <w:sz w:val="24"/>
          <w:szCs w:val="24"/>
        </w:rPr>
        <w:t xml:space="preserve">MSP </w:t>
      </w:r>
      <w:r>
        <w:rPr>
          <w:sz w:val="24"/>
          <w:szCs w:val="24"/>
        </w:rPr>
        <w:t>tvoria</w:t>
      </w:r>
      <w:r w:rsidR="009F2DFA">
        <w:rPr>
          <w:sz w:val="24"/>
          <w:szCs w:val="24"/>
        </w:rPr>
        <w:t xml:space="preserve"> </w:t>
      </w:r>
      <w:r w:rsidR="009F2DFA" w:rsidRPr="00740146">
        <w:rPr>
          <w:sz w:val="24"/>
          <w:szCs w:val="24"/>
        </w:rPr>
        <w:t xml:space="preserve">prílohu k Analýze vplyvov na podnikateľské prostredie </w:t>
      </w:r>
      <w:r w:rsidR="009F2DFA">
        <w:rPr>
          <w:sz w:val="24"/>
          <w:szCs w:val="24"/>
        </w:rPr>
        <w:t>podľa bodu 7.3.</w:t>
      </w:r>
    </w:p>
    <w:p w:rsidR="009F2DFA" w:rsidRDefault="009F2DFA" w:rsidP="009F2DFA">
      <w:pPr>
        <w:tabs>
          <w:tab w:val="left" w:pos="960"/>
        </w:tabs>
        <w:jc w:val="both"/>
        <w:rPr>
          <w:sz w:val="24"/>
          <w:szCs w:val="24"/>
        </w:rPr>
      </w:pPr>
    </w:p>
    <w:p w:rsidR="00CB3623" w:rsidRDefault="00CB3623"/>
    <w:sectPr w:rsidR="00CB362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942" w:rsidRDefault="00930942" w:rsidP="009F2DFA">
      <w:r>
        <w:separator/>
      </w:r>
    </w:p>
  </w:endnote>
  <w:endnote w:type="continuationSeparator" w:id="0">
    <w:p w:rsidR="00930942" w:rsidRDefault="00930942"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381234"/>
      <w:docPartObj>
        <w:docPartGallery w:val="Page Numbers (Bottom of Page)"/>
        <w:docPartUnique/>
      </w:docPartObj>
    </w:sdtPr>
    <w:sdtEndPr/>
    <w:sdtContent>
      <w:p w:rsidR="009F2DFA" w:rsidRDefault="009F2DFA">
        <w:pPr>
          <w:pStyle w:val="Pta"/>
          <w:jc w:val="right"/>
        </w:pPr>
        <w:r>
          <w:fldChar w:fldCharType="begin"/>
        </w:r>
        <w:r>
          <w:instrText>PAGE   \* MERGEFORMAT</w:instrText>
        </w:r>
        <w:r>
          <w:fldChar w:fldCharType="separate"/>
        </w:r>
        <w:r w:rsidR="00B87302">
          <w:rPr>
            <w:noProof/>
          </w:rPr>
          <w:t>2</w:t>
        </w:r>
        <w:r>
          <w:fldChar w:fldCharType="end"/>
        </w:r>
      </w:p>
    </w:sdtContent>
  </w:sdt>
  <w:p w:rsidR="009F2DFA" w:rsidRDefault="009F2D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942" w:rsidRDefault="00930942" w:rsidP="009F2DFA">
      <w:r>
        <w:separator/>
      </w:r>
    </w:p>
  </w:footnote>
  <w:footnote w:type="continuationSeparator" w:id="0">
    <w:p w:rsidR="00930942" w:rsidRDefault="00930942" w:rsidP="009F2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DFA" w:rsidRDefault="009F2DFA" w:rsidP="009F2DFA">
    <w:pPr>
      <w:pStyle w:val="Hlavika"/>
      <w:jc w:val="right"/>
      <w:rPr>
        <w:sz w:val="24"/>
        <w:szCs w:val="24"/>
      </w:rPr>
    </w:pPr>
    <w:r w:rsidRPr="000A15AE">
      <w:rPr>
        <w:sz w:val="24"/>
        <w:szCs w:val="24"/>
      </w:rPr>
      <w:t>Príloha č</w:t>
    </w:r>
    <w:r>
      <w:rPr>
        <w:sz w:val="24"/>
        <w:szCs w:val="24"/>
      </w:rPr>
      <w:t>. 3</w:t>
    </w:r>
  </w:p>
  <w:p w:rsidR="009F2DFA" w:rsidRDefault="009F2DF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13"/>
    <w:rsid w:val="00154881"/>
    <w:rsid w:val="0017263E"/>
    <w:rsid w:val="0027513E"/>
    <w:rsid w:val="002B1108"/>
    <w:rsid w:val="0052297F"/>
    <w:rsid w:val="007231AB"/>
    <w:rsid w:val="00780BA6"/>
    <w:rsid w:val="007F7DBA"/>
    <w:rsid w:val="00837639"/>
    <w:rsid w:val="008A1252"/>
    <w:rsid w:val="00904C9B"/>
    <w:rsid w:val="00906BC6"/>
    <w:rsid w:val="00930942"/>
    <w:rsid w:val="009F2DFA"/>
    <w:rsid w:val="00B31A8E"/>
    <w:rsid w:val="00B87302"/>
    <w:rsid w:val="00BA073A"/>
    <w:rsid w:val="00CB3623"/>
    <w:rsid w:val="00D66206"/>
    <w:rsid w:val="00D74C6E"/>
    <w:rsid w:val="00E86AD1"/>
    <w:rsid w:val="00F41620"/>
    <w:rsid w:val="00FB5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B06D7-EA3D-4034-A70E-FC399553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microsoft.com/office/2007/relationships/diagramDrawing" Target="diagrams/drawing1.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ortal.statistics.sk/showdoc.do?docid=1924" TargetMode="External"/><Relationship Id="rId12" Type="http://schemas.openxmlformats.org/officeDocument/2006/relationships/image" Target="media/image5.emf"/><Relationship Id="rId17" Type="http://schemas.openxmlformats.org/officeDocument/2006/relationships/diagramColors" Target="diagrams/colors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customXml" Target="../customXml/item1.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E1D0AE-E20F-4729-8B4D-B3833993BD7A}" type="doc">
      <dgm:prSet loTypeId="urn:microsoft.com/office/officeart/2005/8/layout/orgChart1" loCatId="hierarchy" qsTypeId="urn:microsoft.com/office/officeart/2005/8/quickstyle/simple1" qsCatId="simple" csTypeId="urn:microsoft.com/office/officeart/2005/8/colors/accent1_2" csCatId="accent1" phldr="1"/>
      <dgm:spPr/>
    </dgm:pt>
    <dgm:pt modelId="{5F254598-ACFD-4493-9147-CAEE4774F119}">
      <dgm:prSet/>
      <dgm:spPr/>
      <dgm:t>
        <a:bodyPr/>
        <a:lstStyle/>
        <a:p>
          <a:pPr marR="0" algn="ctr" rtl="0"/>
          <a:r>
            <a:rPr lang="sk-SK" b="0" i="0" u="none" strike="noStrike" baseline="0" smtClean="0">
              <a:latin typeface="Times New Roman"/>
            </a:rPr>
            <a:t>Fázy vykonávania testu MSP</a:t>
          </a:r>
          <a:endParaRPr lang="sk-SK" smtClean="0"/>
        </a:p>
      </dgm:t>
    </dgm:pt>
    <dgm:pt modelId="{40DBE72A-9A47-4523-86E0-3FE2F8929102}" type="parTrans" cxnId="{52C65F7A-4DFE-438D-8BC3-CEF20881B7EF}">
      <dgm:prSet/>
      <dgm:spPr/>
      <dgm:t>
        <a:bodyPr/>
        <a:lstStyle/>
        <a:p>
          <a:endParaRPr lang="sk-SK"/>
        </a:p>
      </dgm:t>
    </dgm:pt>
    <dgm:pt modelId="{2F82F967-4AD6-4E34-B3CA-0E641571C92F}" type="sibTrans" cxnId="{52C65F7A-4DFE-438D-8BC3-CEF20881B7EF}">
      <dgm:prSet/>
      <dgm:spPr/>
      <dgm:t>
        <a:bodyPr/>
        <a:lstStyle/>
        <a:p>
          <a:endParaRPr lang="sk-SK"/>
        </a:p>
      </dgm:t>
    </dgm:pt>
    <dgm:pt modelId="{1370191D-207C-43DE-9CDC-F0981E038579}">
      <dgm:prSet/>
      <dgm:spPr/>
      <dgm:t>
        <a:bodyPr/>
        <a:lstStyle/>
        <a:p>
          <a:pPr marR="0" algn="ctr" rtl="0"/>
          <a:r>
            <a:rPr lang="sk-SK" b="0" i="0" u="none" strike="noStrike" baseline="0" smtClean="0">
              <a:latin typeface="Times New Roman"/>
            </a:rPr>
            <a:t>1.Konzultácie so zástupcami MSP</a:t>
          </a:r>
          <a:endParaRPr lang="sk-SK" smtClean="0"/>
        </a:p>
      </dgm:t>
    </dgm:pt>
    <dgm:pt modelId="{8607C018-2BCA-4E1E-ADC6-E43D2DCFDEB5}" type="parTrans" cxnId="{BBCA088B-4086-42D9-A781-F37231ED6E23}">
      <dgm:prSet/>
      <dgm:spPr/>
      <dgm:t>
        <a:bodyPr/>
        <a:lstStyle/>
        <a:p>
          <a:endParaRPr lang="sk-SK"/>
        </a:p>
      </dgm:t>
    </dgm:pt>
    <dgm:pt modelId="{BC9B71A1-06FB-4513-85F4-8E33AA99A8E8}" type="sibTrans" cxnId="{BBCA088B-4086-42D9-A781-F37231ED6E23}">
      <dgm:prSet/>
      <dgm:spPr/>
      <dgm:t>
        <a:bodyPr/>
        <a:lstStyle/>
        <a:p>
          <a:endParaRPr lang="sk-SK"/>
        </a:p>
      </dgm:t>
    </dgm:pt>
    <dgm:pt modelId="{521874EA-6E41-4711-BB7A-E45EB2C177CD}">
      <dgm:prSet/>
      <dgm:spPr/>
      <dgm:t>
        <a:bodyPr/>
        <a:lstStyle/>
        <a:p>
          <a:pPr marR="0" algn="ctr" rtl="0"/>
          <a:r>
            <a:rPr lang="sk-SK" b="0" i="0" u="none" strike="noStrike" baseline="0" smtClean="0">
              <a:latin typeface="Times New Roman"/>
            </a:rPr>
            <a:t>2. Predbežné posúdenie pravdepodobne 	ovplyvnených podnikateľských subjektov </a:t>
          </a:r>
          <a:r>
            <a:rPr lang="sk-SK" b="0" i="0" u="none" strike="noStrike" baseline="0" smtClean="0">
              <a:latin typeface="Calibri"/>
            </a:rPr>
            <a:t> </a:t>
          </a:r>
          <a:endParaRPr lang="sk-SK" smtClean="0"/>
        </a:p>
      </dgm:t>
    </dgm:pt>
    <dgm:pt modelId="{B9FF5DD2-0314-466F-BD07-538275B06742}" type="parTrans" cxnId="{92CCDD2A-052E-4850-BDDB-960A3DD74246}">
      <dgm:prSet/>
      <dgm:spPr/>
      <dgm:t>
        <a:bodyPr/>
        <a:lstStyle/>
        <a:p>
          <a:endParaRPr lang="sk-SK"/>
        </a:p>
      </dgm:t>
    </dgm:pt>
    <dgm:pt modelId="{737D1A14-5437-411B-B2D3-06BEF36D2563}" type="sibTrans" cxnId="{92CCDD2A-052E-4850-BDDB-960A3DD74246}">
      <dgm:prSet/>
      <dgm:spPr/>
      <dgm:t>
        <a:bodyPr/>
        <a:lstStyle/>
        <a:p>
          <a:endParaRPr lang="sk-SK"/>
        </a:p>
      </dgm:t>
    </dgm:pt>
    <dgm:pt modelId="{A7FC6FC6-4038-4346-AF81-4CF1C7F0186C}">
      <dgm:prSet/>
      <dgm:spPr/>
      <dgm:t>
        <a:bodyPr/>
        <a:lstStyle/>
        <a:p>
          <a:pPr marR="0" algn="ctr" rtl="0"/>
          <a:r>
            <a:rPr lang="sk-SK" b="0" i="0" u="none" strike="noStrike" baseline="0" smtClean="0">
              <a:latin typeface="Times New Roman"/>
            </a:rPr>
            <a:t>3.Meranie vplyvu regulácie na MSP</a:t>
          </a:r>
          <a:endParaRPr lang="sk-SK" smtClean="0"/>
        </a:p>
      </dgm:t>
    </dgm:pt>
    <dgm:pt modelId="{A7F615EF-BE2C-4D7C-A492-BF26AE09E984}" type="parTrans" cxnId="{C437F6FA-A1F2-4AA4-97E7-36ABAB8F743B}">
      <dgm:prSet/>
      <dgm:spPr/>
      <dgm:t>
        <a:bodyPr/>
        <a:lstStyle/>
        <a:p>
          <a:endParaRPr lang="sk-SK"/>
        </a:p>
      </dgm:t>
    </dgm:pt>
    <dgm:pt modelId="{FF240594-2146-4CD9-A951-1EC7239FE915}" type="sibTrans" cxnId="{C437F6FA-A1F2-4AA4-97E7-36ABAB8F743B}">
      <dgm:prSet/>
      <dgm:spPr/>
      <dgm:t>
        <a:bodyPr/>
        <a:lstStyle/>
        <a:p>
          <a:endParaRPr lang="sk-SK"/>
        </a:p>
      </dgm:t>
    </dgm:pt>
    <dgm:pt modelId="{5E0484C8-FB5C-4D97-9AD7-902A22E6BB39}">
      <dgm:prSet/>
      <dgm:spPr/>
      <dgm:t>
        <a:bodyPr/>
        <a:lstStyle/>
        <a:p>
          <a:pPr marR="0" algn="ctr" rtl="0"/>
          <a:r>
            <a:rPr lang="sk-SK" b="0" i="0" u="none" strike="noStrike" baseline="0" smtClean="0">
              <a:latin typeface="Times New Roman"/>
            </a:rPr>
            <a:t>4.Posúdenie alternatívnych možností a zmierňujúcich opatrení pre MSP</a:t>
          </a:r>
          <a:endParaRPr lang="sk-SK" smtClean="0"/>
        </a:p>
      </dgm:t>
    </dgm:pt>
    <dgm:pt modelId="{1DFAA7B4-76A5-4AA7-B947-6DF855D7B913}" type="parTrans" cxnId="{67F2CB4C-F71D-4284-899A-090500D6B280}">
      <dgm:prSet/>
      <dgm:spPr/>
      <dgm:t>
        <a:bodyPr/>
        <a:lstStyle/>
        <a:p>
          <a:endParaRPr lang="sk-SK"/>
        </a:p>
      </dgm:t>
    </dgm:pt>
    <dgm:pt modelId="{B9B0AEC9-2573-4F14-B2ED-D5961A6B6CA3}" type="sibTrans" cxnId="{67F2CB4C-F71D-4284-899A-090500D6B280}">
      <dgm:prSet/>
      <dgm:spPr/>
      <dgm:t>
        <a:bodyPr/>
        <a:lstStyle/>
        <a:p>
          <a:endParaRPr lang="sk-SK"/>
        </a:p>
      </dgm:t>
    </dgm:pt>
    <dgm:pt modelId="{57BA9BCC-365A-4710-9F0B-AE5E34111283}" type="pres">
      <dgm:prSet presAssocID="{C2E1D0AE-E20F-4729-8B4D-B3833993BD7A}" presName="hierChild1" presStyleCnt="0">
        <dgm:presLayoutVars>
          <dgm:orgChart val="1"/>
          <dgm:chPref val="1"/>
          <dgm:dir/>
          <dgm:animOne val="branch"/>
          <dgm:animLvl val="lvl"/>
          <dgm:resizeHandles/>
        </dgm:presLayoutVars>
      </dgm:prSet>
      <dgm:spPr/>
    </dgm:pt>
    <dgm:pt modelId="{0BD804DE-0CC3-4B2B-B109-02111D228D1C}" type="pres">
      <dgm:prSet presAssocID="{5F254598-ACFD-4493-9147-CAEE4774F119}" presName="hierRoot1" presStyleCnt="0">
        <dgm:presLayoutVars>
          <dgm:hierBranch val="r"/>
        </dgm:presLayoutVars>
      </dgm:prSet>
      <dgm:spPr/>
    </dgm:pt>
    <dgm:pt modelId="{65FDA49F-F7D0-4E40-A0FA-57FB787A4695}" type="pres">
      <dgm:prSet presAssocID="{5F254598-ACFD-4493-9147-CAEE4774F119}" presName="rootComposite1" presStyleCnt="0"/>
      <dgm:spPr/>
    </dgm:pt>
    <dgm:pt modelId="{A88F122A-3A8F-4C17-B7A2-132F691F99A7}" type="pres">
      <dgm:prSet presAssocID="{5F254598-ACFD-4493-9147-CAEE4774F119}" presName="rootText1" presStyleLbl="node0" presStyleIdx="0" presStyleCnt="1">
        <dgm:presLayoutVars>
          <dgm:chPref val="3"/>
        </dgm:presLayoutVars>
      </dgm:prSet>
      <dgm:spPr/>
      <dgm:t>
        <a:bodyPr/>
        <a:lstStyle/>
        <a:p>
          <a:endParaRPr lang="sk-SK"/>
        </a:p>
      </dgm:t>
    </dgm:pt>
    <dgm:pt modelId="{58B7CD29-7A92-4B60-A7CD-60691F41BE7C}" type="pres">
      <dgm:prSet presAssocID="{5F254598-ACFD-4493-9147-CAEE4774F119}" presName="rootConnector1" presStyleLbl="node1" presStyleIdx="0" presStyleCnt="0"/>
      <dgm:spPr/>
      <dgm:t>
        <a:bodyPr/>
        <a:lstStyle/>
        <a:p>
          <a:endParaRPr lang="sk-SK"/>
        </a:p>
      </dgm:t>
    </dgm:pt>
    <dgm:pt modelId="{BA33D02C-E6B6-4059-98A0-272816ED8E2C}" type="pres">
      <dgm:prSet presAssocID="{5F254598-ACFD-4493-9147-CAEE4774F119}" presName="hierChild2" presStyleCnt="0"/>
      <dgm:spPr/>
    </dgm:pt>
    <dgm:pt modelId="{72080392-37F8-4943-9AFF-57BB22A937C6}" type="pres">
      <dgm:prSet presAssocID="{8607C018-2BCA-4E1E-ADC6-E43D2DCFDEB5}" presName="Name50" presStyleLbl="parChTrans1D2" presStyleIdx="0" presStyleCnt="4"/>
      <dgm:spPr/>
      <dgm:t>
        <a:bodyPr/>
        <a:lstStyle/>
        <a:p>
          <a:endParaRPr lang="sk-SK"/>
        </a:p>
      </dgm:t>
    </dgm:pt>
    <dgm:pt modelId="{229B4DF4-BD81-468B-A53B-FB0C7A876323}" type="pres">
      <dgm:prSet presAssocID="{1370191D-207C-43DE-9CDC-F0981E038579}" presName="hierRoot2" presStyleCnt="0">
        <dgm:presLayoutVars>
          <dgm:hierBranch/>
        </dgm:presLayoutVars>
      </dgm:prSet>
      <dgm:spPr/>
    </dgm:pt>
    <dgm:pt modelId="{7A987FD8-82FC-4712-9F38-B080E93D24ED}" type="pres">
      <dgm:prSet presAssocID="{1370191D-207C-43DE-9CDC-F0981E038579}" presName="rootComposite" presStyleCnt="0"/>
      <dgm:spPr/>
    </dgm:pt>
    <dgm:pt modelId="{D4847877-A882-456B-89B5-4343B21D4101}" type="pres">
      <dgm:prSet presAssocID="{1370191D-207C-43DE-9CDC-F0981E038579}" presName="rootText" presStyleLbl="node2" presStyleIdx="0" presStyleCnt="4">
        <dgm:presLayoutVars>
          <dgm:chPref val="3"/>
        </dgm:presLayoutVars>
      </dgm:prSet>
      <dgm:spPr/>
      <dgm:t>
        <a:bodyPr/>
        <a:lstStyle/>
        <a:p>
          <a:endParaRPr lang="sk-SK"/>
        </a:p>
      </dgm:t>
    </dgm:pt>
    <dgm:pt modelId="{D320C5F2-C510-4CC0-B0D7-1794C6EC0817}" type="pres">
      <dgm:prSet presAssocID="{1370191D-207C-43DE-9CDC-F0981E038579}" presName="rootConnector" presStyleLbl="node2" presStyleIdx="0" presStyleCnt="4"/>
      <dgm:spPr/>
      <dgm:t>
        <a:bodyPr/>
        <a:lstStyle/>
        <a:p>
          <a:endParaRPr lang="sk-SK"/>
        </a:p>
      </dgm:t>
    </dgm:pt>
    <dgm:pt modelId="{55B6FE52-90C0-4EF4-A9D0-80E1AEE3206A}" type="pres">
      <dgm:prSet presAssocID="{1370191D-207C-43DE-9CDC-F0981E038579}" presName="hierChild4" presStyleCnt="0"/>
      <dgm:spPr/>
    </dgm:pt>
    <dgm:pt modelId="{E9533EDE-1C17-4306-8E7A-069D406094F6}" type="pres">
      <dgm:prSet presAssocID="{1370191D-207C-43DE-9CDC-F0981E038579}" presName="hierChild5" presStyleCnt="0"/>
      <dgm:spPr/>
    </dgm:pt>
    <dgm:pt modelId="{10A386F6-8ECE-439B-A83B-5B6AD2C4F8A0}" type="pres">
      <dgm:prSet presAssocID="{B9FF5DD2-0314-466F-BD07-538275B06742}" presName="Name50" presStyleLbl="parChTrans1D2" presStyleIdx="1" presStyleCnt="4"/>
      <dgm:spPr/>
      <dgm:t>
        <a:bodyPr/>
        <a:lstStyle/>
        <a:p>
          <a:endParaRPr lang="sk-SK"/>
        </a:p>
      </dgm:t>
    </dgm:pt>
    <dgm:pt modelId="{DC443BDB-9C53-4AC3-AFB6-C44125244C5A}" type="pres">
      <dgm:prSet presAssocID="{521874EA-6E41-4711-BB7A-E45EB2C177CD}" presName="hierRoot2" presStyleCnt="0">
        <dgm:presLayoutVars>
          <dgm:hierBranch/>
        </dgm:presLayoutVars>
      </dgm:prSet>
      <dgm:spPr/>
    </dgm:pt>
    <dgm:pt modelId="{E125083F-D170-4146-8875-50503A61DF6D}" type="pres">
      <dgm:prSet presAssocID="{521874EA-6E41-4711-BB7A-E45EB2C177CD}" presName="rootComposite" presStyleCnt="0"/>
      <dgm:spPr/>
    </dgm:pt>
    <dgm:pt modelId="{9B6AF713-8D67-4323-B646-4068A2BC876C}" type="pres">
      <dgm:prSet presAssocID="{521874EA-6E41-4711-BB7A-E45EB2C177CD}" presName="rootText" presStyleLbl="node2" presStyleIdx="1" presStyleCnt="4" custScaleX="145402">
        <dgm:presLayoutVars>
          <dgm:chPref val="3"/>
        </dgm:presLayoutVars>
      </dgm:prSet>
      <dgm:spPr/>
      <dgm:t>
        <a:bodyPr/>
        <a:lstStyle/>
        <a:p>
          <a:endParaRPr lang="sk-SK"/>
        </a:p>
      </dgm:t>
    </dgm:pt>
    <dgm:pt modelId="{CDBABD21-2F2F-4763-9C0D-A4F61B3E8103}" type="pres">
      <dgm:prSet presAssocID="{521874EA-6E41-4711-BB7A-E45EB2C177CD}" presName="rootConnector" presStyleLbl="node2" presStyleIdx="1" presStyleCnt="4"/>
      <dgm:spPr/>
      <dgm:t>
        <a:bodyPr/>
        <a:lstStyle/>
        <a:p>
          <a:endParaRPr lang="sk-SK"/>
        </a:p>
      </dgm:t>
    </dgm:pt>
    <dgm:pt modelId="{0D4862D6-E847-4693-A4EE-0AB36E91F054}" type="pres">
      <dgm:prSet presAssocID="{521874EA-6E41-4711-BB7A-E45EB2C177CD}" presName="hierChild4" presStyleCnt="0"/>
      <dgm:spPr/>
    </dgm:pt>
    <dgm:pt modelId="{030D4C91-6CD3-4E49-8C2B-514CC42BDE40}" type="pres">
      <dgm:prSet presAssocID="{521874EA-6E41-4711-BB7A-E45EB2C177CD}" presName="hierChild5" presStyleCnt="0"/>
      <dgm:spPr/>
    </dgm:pt>
    <dgm:pt modelId="{E51EEFB1-B4A9-477B-8D21-436571D7B2DC}" type="pres">
      <dgm:prSet presAssocID="{A7F615EF-BE2C-4D7C-A492-BF26AE09E984}" presName="Name50" presStyleLbl="parChTrans1D2" presStyleIdx="2" presStyleCnt="4"/>
      <dgm:spPr/>
      <dgm:t>
        <a:bodyPr/>
        <a:lstStyle/>
        <a:p>
          <a:endParaRPr lang="sk-SK"/>
        </a:p>
      </dgm:t>
    </dgm:pt>
    <dgm:pt modelId="{53C92187-E288-4BEB-9CBC-DCF4AF02986C}" type="pres">
      <dgm:prSet presAssocID="{A7FC6FC6-4038-4346-AF81-4CF1C7F0186C}" presName="hierRoot2" presStyleCnt="0">
        <dgm:presLayoutVars>
          <dgm:hierBranch/>
        </dgm:presLayoutVars>
      </dgm:prSet>
      <dgm:spPr/>
    </dgm:pt>
    <dgm:pt modelId="{8042F5BB-5128-46AC-85E7-DF67FE16424F}" type="pres">
      <dgm:prSet presAssocID="{A7FC6FC6-4038-4346-AF81-4CF1C7F0186C}" presName="rootComposite" presStyleCnt="0"/>
      <dgm:spPr/>
    </dgm:pt>
    <dgm:pt modelId="{DCD8670C-1B49-4FA3-8514-5EDFEC496BE7}" type="pres">
      <dgm:prSet presAssocID="{A7FC6FC6-4038-4346-AF81-4CF1C7F0186C}" presName="rootText" presStyleLbl="node2" presStyleIdx="2" presStyleCnt="4">
        <dgm:presLayoutVars>
          <dgm:chPref val="3"/>
        </dgm:presLayoutVars>
      </dgm:prSet>
      <dgm:spPr/>
      <dgm:t>
        <a:bodyPr/>
        <a:lstStyle/>
        <a:p>
          <a:endParaRPr lang="sk-SK"/>
        </a:p>
      </dgm:t>
    </dgm:pt>
    <dgm:pt modelId="{C3230535-DC83-4A49-95A2-CA8C7877350C}" type="pres">
      <dgm:prSet presAssocID="{A7FC6FC6-4038-4346-AF81-4CF1C7F0186C}" presName="rootConnector" presStyleLbl="node2" presStyleIdx="2" presStyleCnt="4"/>
      <dgm:spPr/>
      <dgm:t>
        <a:bodyPr/>
        <a:lstStyle/>
        <a:p>
          <a:endParaRPr lang="sk-SK"/>
        </a:p>
      </dgm:t>
    </dgm:pt>
    <dgm:pt modelId="{24BC225A-78D7-4DEE-A54C-E7D1C72CDCD4}" type="pres">
      <dgm:prSet presAssocID="{A7FC6FC6-4038-4346-AF81-4CF1C7F0186C}" presName="hierChild4" presStyleCnt="0"/>
      <dgm:spPr/>
    </dgm:pt>
    <dgm:pt modelId="{62D3D81B-8616-4E78-8027-9EAD873638D1}" type="pres">
      <dgm:prSet presAssocID="{A7FC6FC6-4038-4346-AF81-4CF1C7F0186C}" presName="hierChild5" presStyleCnt="0"/>
      <dgm:spPr/>
    </dgm:pt>
    <dgm:pt modelId="{20019C3C-E1E2-4DEA-8099-902EB7C68D37}" type="pres">
      <dgm:prSet presAssocID="{1DFAA7B4-76A5-4AA7-B947-6DF855D7B913}" presName="Name50" presStyleLbl="parChTrans1D2" presStyleIdx="3" presStyleCnt="4"/>
      <dgm:spPr/>
      <dgm:t>
        <a:bodyPr/>
        <a:lstStyle/>
        <a:p>
          <a:endParaRPr lang="sk-SK"/>
        </a:p>
      </dgm:t>
    </dgm:pt>
    <dgm:pt modelId="{B2B9D473-B6E9-4116-BAE6-D32CB111D4F4}" type="pres">
      <dgm:prSet presAssocID="{5E0484C8-FB5C-4D97-9AD7-902A22E6BB39}" presName="hierRoot2" presStyleCnt="0">
        <dgm:presLayoutVars>
          <dgm:hierBranch/>
        </dgm:presLayoutVars>
      </dgm:prSet>
      <dgm:spPr/>
    </dgm:pt>
    <dgm:pt modelId="{15AC2BCE-1B16-4659-B603-A3B26B985F65}" type="pres">
      <dgm:prSet presAssocID="{5E0484C8-FB5C-4D97-9AD7-902A22E6BB39}" presName="rootComposite" presStyleCnt="0"/>
      <dgm:spPr/>
    </dgm:pt>
    <dgm:pt modelId="{2B0DF7BF-458D-4CF0-A657-34F05C922494}" type="pres">
      <dgm:prSet presAssocID="{5E0484C8-FB5C-4D97-9AD7-902A22E6BB39}" presName="rootText" presStyleLbl="node2" presStyleIdx="3" presStyleCnt="4" custScaleX="147339">
        <dgm:presLayoutVars>
          <dgm:chPref val="3"/>
        </dgm:presLayoutVars>
      </dgm:prSet>
      <dgm:spPr/>
      <dgm:t>
        <a:bodyPr/>
        <a:lstStyle/>
        <a:p>
          <a:endParaRPr lang="sk-SK"/>
        </a:p>
      </dgm:t>
    </dgm:pt>
    <dgm:pt modelId="{E9390D1B-95F2-4E18-A586-967F1B064FC3}" type="pres">
      <dgm:prSet presAssocID="{5E0484C8-FB5C-4D97-9AD7-902A22E6BB39}" presName="rootConnector" presStyleLbl="node2" presStyleIdx="3" presStyleCnt="4"/>
      <dgm:spPr/>
      <dgm:t>
        <a:bodyPr/>
        <a:lstStyle/>
        <a:p>
          <a:endParaRPr lang="sk-SK"/>
        </a:p>
      </dgm:t>
    </dgm:pt>
    <dgm:pt modelId="{E6376C15-2F18-408F-BCE0-C072ABEEB7D5}" type="pres">
      <dgm:prSet presAssocID="{5E0484C8-FB5C-4D97-9AD7-902A22E6BB39}" presName="hierChild4" presStyleCnt="0"/>
      <dgm:spPr/>
    </dgm:pt>
    <dgm:pt modelId="{DD47F823-2ED3-4700-AC4C-7E91F414D76C}" type="pres">
      <dgm:prSet presAssocID="{5E0484C8-FB5C-4D97-9AD7-902A22E6BB39}" presName="hierChild5" presStyleCnt="0"/>
      <dgm:spPr/>
    </dgm:pt>
    <dgm:pt modelId="{F7E90810-6952-4C99-96EE-7B99998F91D0}" type="pres">
      <dgm:prSet presAssocID="{5F254598-ACFD-4493-9147-CAEE4774F119}" presName="hierChild3" presStyleCnt="0"/>
      <dgm:spPr/>
    </dgm:pt>
  </dgm:ptLst>
  <dgm:cxnLst>
    <dgm:cxn modelId="{CBA346CD-C71B-4CD4-8531-3B41FCCB93FD}" type="presOf" srcId="{B9FF5DD2-0314-466F-BD07-538275B06742}" destId="{10A386F6-8ECE-439B-A83B-5B6AD2C4F8A0}" srcOrd="0" destOrd="0" presId="urn:microsoft.com/office/officeart/2005/8/layout/orgChart1"/>
    <dgm:cxn modelId="{1CC969D9-77E9-41C8-9041-5FBF549DE4B0}" type="presOf" srcId="{A7F615EF-BE2C-4D7C-A492-BF26AE09E984}" destId="{E51EEFB1-B4A9-477B-8D21-436571D7B2DC}" srcOrd="0" destOrd="0" presId="urn:microsoft.com/office/officeart/2005/8/layout/orgChart1"/>
    <dgm:cxn modelId="{B0ADE705-5ABE-4DC5-A0A3-C91A072EFE02}" type="presOf" srcId="{1DFAA7B4-76A5-4AA7-B947-6DF855D7B913}" destId="{20019C3C-E1E2-4DEA-8099-902EB7C68D37}" srcOrd="0" destOrd="0" presId="urn:microsoft.com/office/officeart/2005/8/layout/orgChart1"/>
    <dgm:cxn modelId="{15E5770B-62A4-495D-A76B-2C6ADA691B8C}" type="presOf" srcId="{5E0484C8-FB5C-4D97-9AD7-902A22E6BB39}" destId="{2B0DF7BF-458D-4CF0-A657-34F05C922494}" srcOrd="0" destOrd="0" presId="urn:microsoft.com/office/officeart/2005/8/layout/orgChart1"/>
    <dgm:cxn modelId="{BBCA088B-4086-42D9-A781-F37231ED6E23}" srcId="{5F254598-ACFD-4493-9147-CAEE4774F119}" destId="{1370191D-207C-43DE-9CDC-F0981E038579}" srcOrd="0" destOrd="0" parTransId="{8607C018-2BCA-4E1E-ADC6-E43D2DCFDEB5}" sibTransId="{BC9B71A1-06FB-4513-85F4-8E33AA99A8E8}"/>
    <dgm:cxn modelId="{17BBA453-8A4E-4DBB-B9FC-9E52925E7A42}" type="presOf" srcId="{A7FC6FC6-4038-4346-AF81-4CF1C7F0186C}" destId="{DCD8670C-1B49-4FA3-8514-5EDFEC496BE7}" srcOrd="0" destOrd="0" presId="urn:microsoft.com/office/officeart/2005/8/layout/orgChart1"/>
    <dgm:cxn modelId="{EEA8F8B1-4213-4287-AAA1-25F72ADDFD0A}" type="presOf" srcId="{8607C018-2BCA-4E1E-ADC6-E43D2DCFDEB5}" destId="{72080392-37F8-4943-9AFF-57BB22A937C6}" srcOrd="0" destOrd="0" presId="urn:microsoft.com/office/officeart/2005/8/layout/orgChart1"/>
    <dgm:cxn modelId="{79D5FD51-5D24-47E4-ADA1-2E64AB6C5C8B}" type="presOf" srcId="{1370191D-207C-43DE-9CDC-F0981E038579}" destId="{D320C5F2-C510-4CC0-B0D7-1794C6EC0817}" srcOrd="1" destOrd="0" presId="urn:microsoft.com/office/officeart/2005/8/layout/orgChart1"/>
    <dgm:cxn modelId="{92CCDD2A-052E-4850-BDDB-960A3DD74246}" srcId="{5F254598-ACFD-4493-9147-CAEE4774F119}" destId="{521874EA-6E41-4711-BB7A-E45EB2C177CD}" srcOrd="1" destOrd="0" parTransId="{B9FF5DD2-0314-466F-BD07-538275B06742}" sibTransId="{737D1A14-5437-411B-B2D3-06BEF36D2563}"/>
    <dgm:cxn modelId="{88611E44-BBB4-49D8-8210-AD0A9A8BB4AF}" type="presOf" srcId="{C2E1D0AE-E20F-4729-8B4D-B3833993BD7A}" destId="{57BA9BCC-365A-4710-9F0B-AE5E34111283}" srcOrd="0" destOrd="0" presId="urn:microsoft.com/office/officeart/2005/8/layout/orgChart1"/>
    <dgm:cxn modelId="{67F2CB4C-F71D-4284-899A-090500D6B280}" srcId="{5F254598-ACFD-4493-9147-CAEE4774F119}" destId="{5E0484C8-FB5C-4D97-9AD7-902A22E6BB39}" srcOrd="3" destOrd="0" parTransId="{1DFAA7B4-76A5-4AA7-B947-6DF855D7B913}" sibTransId="{B9B0AEC9-2573-4F14-B2ED-D5961A6B6CA3}"/>
    <dgm:cxn modelId="{A7EEFCE9-F950-4452-A8A8-DCE3AD5747C6}" type="presOf" srcId="{521874EA-6E41-4711-BB7A-E45EB2C177CD}" destId="{CDBABD21-2F2F-4763-9C0D-A4F61B3E8103}" srcOrd="1" destOrd="0" presId="urn:microsoft.com/office/officeart/2005/8/layout/orgChart1"/>
    <dgm:cxn modelId="{86FA9319-2E64-4160-81F6-A206E9AB66F4}" type="presOf" srcId="{5E0484C8-FB5C-4D97-9AD7-902A22E6BB39}" destId="{E9390D1B-95F2-4E18-A586-967F1B064FC3}" srcOrd="1" destOrd="0" presId="urn:microsoft.com/office/officeart/2005/8/layout/orgChart1"/>
    <dgm:cxn modelId="{5E902B26-9D89-491A-B926-DFBC957BFE03}" type="presOf" srcId="{1370191D-207C-43DE-9CDC-F0981E038579}" destId="{D4847877-A882-456B-89B5-4343B21D4101}" srcOrd="0" destOrd="0" presId="urn:microsoft.com/office/officeart/2005/8/layout/orgChart1"/>
    <dgm:cxn modelId="{CA30AE4F-2571-4D14-B01F-561F32395C86}" type="presOf" srcId="{521874EA-6E41-4711-BB7A-E45EB2C177CD}" destId="{9B6AF713-8D67-4323-B646-4068A2BC876C}" srcOrd="0" destOrd="0" presId="urn:microsoft.com/office/officeart/2005/8/layout/orgChart1"/>
    <dgm:cxn modelId="{14996D35-3B69-41F2-9528-BF1E9153C736}" type="presOf" srcId="{A7FC6FC6-4038-4346-AF81-4CF1C7F0186C}" destId="{C3230535-DC83-4A49-95A2-CA8C7877350C}" srcOrd="1" destOrd="0" presId="urn:microsoft.com/office/officeart/2005/8/layout/orgChart1"/>
    <dgm:cxn modelId="{52C65F7A-4DFE-438D-8BC3-CEF20881B7EF}" srcId="{C2E1D0AE-E20F-4729-8B4D-B3833993BD7A}" destId="{5F254598-ACFD-4493-9147-CAEE4774F119}" srcOrd="0" destOrd="0" parTransId="{40DBE72A-9A47-4523-86E0-3FE2F8929102}" sibTransId="{2F82F967-4AD6-4E34-B3CA-0E641571C92F}"/>
    <dgm:cxn modelId="{2B5E9327-3E24-4112-89DC-E481C8753FE1}" type="presOf" srcId="{5F254598-ACFD-4493-9147-CAEE4774F119}" destId="{A88F122A-3A8F-4C17-B7A2-132F691F99A7}" srcOrd="0" destOrd="0" presId="urn:microsoft.com/office/officeart/2005/8/layout/orgChart1"/>
    <dgm:cxn modelId="{C437F6FA-A1F2-4AA4-97E7-36ABAB8F743B}" srcId="{5F254598-ACFD-4493-9147-CAEE4774F119}" destId="{A7FC6FC6-4038-4346-AF81-4CF1C7F0186C}" srcOrd="2" destOrd="0" parTransId="{A7F615EF-BE2C-4D7C-A492-BF26AE09E984}" sibTransId="{FF240594-2146-4CD9-A951-1EC7239FE915}"/>
    <dgm:cxn modelId="{942CC7BF-44C0-4023-9777-4451DFEDFC6C}" type="presOf" srcId="{5F254598-ACFD-4493-9147-CAEE4774F119}" destId="{58B7CD29-7A92-4B60-A7CD-60691F41BE7C}" srcOrd="1" destOrd="0" presId="urn:microsoft.com/office/officeart/2005/8/layout/orgChart1"/>
    <dgm:cxn modelId="{6BB9FCAB-6056-4940-93CB-2FED18D5CBD2}" type="presParOf" srcId="{57BA9BCC-365A-4710-9F0B-AE5E34111283}" destId="{0BD804DE-0CC3-4B2B-B109-02111D228D1C}" srcOrd="0" destOrd="0" presId="urn:microsoft.com/office/officeart/2005/8/layout/orgChart1"/>
    <dgm:cxn modelId="{F6223A68-361E-48F2-A70B-369700251938}" type="presParOf" srcId="{0BD804DE-0CC3-4B2B-B109-02111D228D1C}" destId="{65FDA49F-F7D0-4E40-A0FA-57FB787A4695}" srcOrd="0" destOrd="0" presId="urn:microsoft.com/office/officeart/2005/8/layout/orgChart1"/>
    <dgm:cxn modelId="{E4BDD27A-E904-4CC5-BE18-AC7F6B1B626E}" type="presParOf" srcId="{65FDA49F-F7D0-4E40-A0FA-57FB787A4695}" destId="{A88F122A-3A8F-4C17-B7A2-132F691F99A7}" srcOrd="0" destOrd="0" presId="urn:microsoft.com/office/officeart/2005/8/layout/orgChart1"/>
    <dgm:cxn modelId="{A8BF57BC-9356-4738-A1B6-51A97BD5EC02}" type="presParOf" srcId="{65FDA49F-F7D0-4E40-A0FA-57FB787A4695}" destId="{58B7CD29-7A92-4B60-A7CD-60691F41BE7C}" srcOrd="1" destOrd="0" presId="urn:microsoft.com/office/officeart/2005/8/layout/orgChart1"/>
    <dgm:cxn modelId="{E0920257-8DBF-480B-B7D1-1CA572EF7DED}" type="presParOf" srcId="{0BD804DE-0CC3-4B2B-B109-02111D228D1C}" destId="{BA33D02C-E6B6-4059-98A0-272816ED8E2C}" srcOrd="1" destOrd="0" presId="urn:microsoft.com/office/officeart/2005/8/layout/orgChart1"/>
    <dgm:cxn modelId="{AE49EE55-5F4B-429C-8365-5C42D87ADF60}" type="presParOf" srcId="{BA33D02C-E6B6-4059-98A0-272816ED8E2C}" destId="{72080392-37F8-4943-9AFF-57BB22A937C6}" srcOrd="0" destOrd="0" presId="urn:microsoft.com/office/officeart/2005/8/layout/orgChart1"/>
    <dgm:cxn modelId="{7C0974D1-66C1-4A97-872B-22D398C2335E}" type="presParOf" srcId="{BA33D02C-E6B6-4059-98A0-272816ED8E2C}" destId="{229B4DF4-BD81-468B-A53B-FB0C7A876323}" srcOrd="1" destOrd="0" presId="urn:microsoft.com/office/officeart/2005/8/layout/orgChart1"/>
    <dgm:cxn modelId="{EA9650BF-33AD-4F3E-8BEB-90ECBDE62D6D}" type="presParOf" srcId="{229B4DF4-BD81-468B-A53B-FB0C7A876323}" destId="{7A987FD8-82FC-4712-9F38-B080E93D24ED}" srcOrd="0" destOrd="0" presId="urn:microsoft.com/office/officeart/2005/8/layout/orgChart1"/>
    <dgm:cxn modelId="{A96CD6BD-B8B1-43B3-9051-B2E9F369CE36}" type="presParOf" srcId="{7A987FD8-82FC-4712-9F38-B080E93D24ED}" destId="{D4847877-A882-456B-89B5-4343B21D4101}" srcOrd="0" destOrd="0" presId="urn:microsoft.com/office/officeart/2005/8/layout/orgChart1"/>
    <dgm:cxn modelId="{6E25701B-484F-4E3D-A2B0-955361999E67}" type="presParOf" srcId="{7A987FD8-82FC-4712-9F38-B080E93D24ED}" destId="{D320C5F2-C510-4CC0-B0D7-1794C6EC0817}" srcOrd="1" destOrd="0" presId="urn:microsoft.com/office/officeart/2005/8/layout/orgChart1"/>
    <dgm:cxn modelId="{293DC861-07F5-48AF-BDD4-8F7E9A5FBA90}" type="presParOf" srcId="{229B4DF4-BD81-468B-A53B-FB0C7A876323}" destId="{55B6FE52-90C0-4EF4-A9D0-80E1AEE3206A}" srcOrd="1" destOrd="0" presId="urn:microsoft.com/office/officeart/2005/8/layout/orgChart1"/>
    <dgm:cxn modelId="{16E091BE-281E-4EF5-9F1A-F85EAD59A96C}" type="presParOf" srcId="{229B4DF4-BD81-468B-A53B-FB0C7A876323}" destId="{E9533EDE-1C17-4306-8E7A-069D406094F6}" srcOrd="2" destOrd="0" presId="urn:microsoft.com/office/officeart/2005/8/layout/orgChart1"/>
    <dgm:cxn modelId="{23F9A773-10A9-4FB6-8C74-91D7BC478592}" type="presParOf" srcId="{BA33D02C-E6B6-4059-98A0-272816ED8E2C}" destId="{10A386F6-8ECE-439B-A83B-5B6AD2C4F8A0}" srcOrd="2" destOrd="0" presId="urn:microsoft.com/office/officeart/2005/8/layout/orgChart1"/>
    <dgm:cxn modelId="{ED2F179D-8C62-4E23-9F26-58153D310D0D}" type="presParOf" srcId="{BA33D02C-E6B6-4059-98A0-272816ED8E2C}" destId="{DC443BDB-9C53-4AC3-AFB6-C44125244C5A}" srcOrd="3" destOrd="0" presId="urn:microsoft.com/office/officeart/2005/8/layout/orgChart1"/>
    <dgm:cxn modelId="{D632A0F6-7856-4AC8-8CA9-CBA7AF503DFB}" type="presParOf" srcId="{DC443BDB-9C53-4AC3-AFB6-C44125244C5A}" destId="{E125083F-D170-4146-8875-50503A61DF6D}" srcOrd="0" destOrd="0" presId="urn:microsoft.com/office/officeart/2005/8/layout/orgChart1"/>
    <dgm:cxn modelId="{954E97C3-7410-4F5D-BC09-7E3E956E9BCB}" type="presParOf" srcId="{E125083F-D170-4146-8875-50503A61DF6D}" destId="{9B6AF713-8D67-4323-B646-4068A2BC876C}" srcOrd="0" destOrd="0" presId="urn:microsoft.com/office/officeart/2005/8/layout/orgChart1"/>
    <dgm:cxn modelId="{3011D330-5F58-4E88-B8AD-33431DC98459}" type="presParOf" srcId="{E125083F-D170-4146-8875-50503A61DF6D}" destId="{CDBABD21-2F2F-4763-9C0D-A4F61B3E8103}" srcOrd="1" destOrd="0" presId="urn:microsoft.com/office/officeart/2005/8/layout/orgChart1"/>
    <dgm:cxn modelId="{569A21D9-EC7D-4780-991E-774CB4EB7CDE}" type="presParOf" srcId="{DC443BDB-9C53-4AC3-AFB6-C44125244C5A}" destId="{0D4862D6-E847-4693-A4EE-0AB36E91F054}" srcOrd="1" destOrd="0" presId="urn:microsoft.com/office/officeart/2005/8/layout/orgChart1"/>
    <dgm:cxn modelId="{F25FA0F3-99A1-40E2-9F1A-4E61CD486D56}" type="presParOf" srcId="{DC443BDB-9C53-4AC3-AFB6-C44125244C5A}" destId="{030D4C91-6CD3-4E49-8C2B-514CC42BDE40}" srcOrd="2" destOrd="0" presId="urn:microsoft.com/office/officeart/2005/8/layout/orgChart1"/>
    <dgm:cxn modelId="{9AE598A8-823A-4660-ABEA-FCAB998B4B8F}" type="presParOf" srcId="{BA33D02C-E6B6-4059-98A0-272816ED8E2C}" destId="{E51EEFB1-B4A9-477B-8D21-436571D7B2DC}" srcOrd="4" destOrd="0" presId="urn:microsoft.com/office/officeart/2005/8/layout/orgChart1"/>
    <dgm:cxn modelId="{990B03F0-BF7E-4928-A02B-CEBB69C3B525}" type="presParOf" srcId="{BA33D02C-E6B6-4059-98A0-272816ED8E2C}" destId="{53C92187-E288-4BEB-9CBC-DCF4AF02986C}" srcOrd="5" destOrd="0" presId="urn:microsoft.com/office/officeart/2005/8/layout/orgChart1"/>
    <dgm:cxn modelId="{2BFF50D6-3BF3-4547-BFD5-F375D7E1B403}" type="presParOf" srcId="{53C92187-E288-4BEB-9CBC-DCF4AF02986C}" destId="{8042F5BB-5128-46AC-85E7-DF67FE16424F}" srcOrd="0" destOrd="0" presId="urn:microsoft.com/office/officeart/2005/8/layout/orgChart1"/>
    <dgm:cxn modelId="{809E11DF-0E66-4075-99E9-1B709E3E3D28}" type="presParOf" srcId="{8042F5BB-5128-46AC-85E7-DF67FE16424F}" destId="{DCD8670C-1B49-4FA3-8514-5EDFEC496BE7}" srcOrd="0" destOrd="0" presId="urn:microsoft.com/office/officeart/2005/8/layout/orgChart1"/>
    <dgm:cxn modelId="{4016E312-71AC-4289-B0E1-0B3A8DC92213}" type="presParOf" srcId="{8042F5BB-5128-46AC-85E7-DF67FE16424F}" destId="{C3230535-DC83-4A49-95A2-CA8C7877350C}" srcOrd="1" destOrd="0" presId="urn:microsoft.com/office/officeart/2005/8/layout/orgChart1"/>
    <dgm:cxn modelId="{A054EBDE-1A58-4340-930F-3A7C3EF9B827}" type="presParOf" srcId="{53C92187-E288-4BEB-9CBC-DCF4AF02986C}" destId="{24BC225A-78D7-4DEE-A54C-E7D1C72CDCD4}" srcOrd="1" destOrd="0" presId="urn:microsoft.com/office/officeart/2005/8/layout/orgChart1"/>
    <dgm:cxn modelId="{87EDDEAA-2AF4-44C3-9A8D-ABB721F3344B}" type="presParOf" srcId="{53C92187-E288-4BEB-9CBC-DCF4AF02986C}" destId="{62D3D81B-8616-4E78-8027-9EAD873638D1}" srcOrd="2" destOrd="0" presId="urn:microsoft.com/office/officeart/2005/8/layout/orgChart1"/>
    <dgm:cxn modelId="{A8F5CE76-4475-44BA-9F22-443B11EB9B00}" type="presParOf" srcId="{BA33D02C-E6B6-4059-98A0-272816ED8E2C}" destId="{20019C3C-E1E2-4DEA-8099-902EB7C68D37}" srcOrd="6" destOrd="0" presId="urn:microsoft.com/office/officeart/2005/8/layout/orgChart1"/>
    <dgm:cxn modelId="{446A8D97-F06E-42AB-9694-D54F64E972ED}" type="presParOf" srcId="{BA33D02C-E6B6-4059-98A0-272816ED8E2C}" destId="{B2B9D473-B6E9-4116-BAE6-D32CB111D4F4}" srcOrd="7" destOrd="0" presId="urn:microsoft.com/office/officeart/2005/8/layout/orgChart1"/>
    <dgm:cxn modelId="{3F5285E4-F33B-4A00-8E0D-1933245139EB}" type="presParOf" srcId="{B2B9D473-B6E9-4116-BAE6-D32CB111D4F4}" destId="{15AC2BCE-1B16-4659-B603-A3B26B985F65}" srcOrd="0" destOrd="0" presId="urn:microsoft.com/office/officeart/2005/8/layout/orgChart1"/>
    <dgm:cxn modelId="{8D05F66B-667F-4686-920D-B9D193C77EE2}" type="presParOf" srcId="{15AC2BCE-1B16-4659-B603-A3B26B985F65}" destId="{2B0DF7BF-458D-4CF0-A657-34F05C922494}" srcOrd="0" destOrd="0" presId="urn:microsoft.com/office/officeart/2005/8/layout/orgChart1"/>
    <dgm:cxn modelId="{E3A49336-B317-4A83-935A-7CC9E70A0839}" type="presParOf" srcId="{15AC2BCE-1B16-4659-B603-A3B26B985F65}" destId="{E9390D1B-95F2-4E18-A586-967F1B064FC3}" srcOrd="1" destOrd="0" presId="urn:microsoft.com/office/officeart/2005/8/layout/orgChart1"/>
    <dgm:cxn modelId="{498FD5D6-6248-4F62-82C7-4B60111A7FDF}" type="presParOf" srcId="{B2B9D473-B6E9-4116-BAE6-D32CB111D4F4}" destId="{E6376C15-2F18-408F-BCE0-C072ABEEB7D5}" srcOrd="1" destOrd="0" presId="urn:microsoft.com/office/officeart/2005/8/layout/orgChart1"/>
    <dgm:cxn modelId="{B0C03D2F-1D26-4931-B4DB-234AA87D1CED}" type="presParOf" srcId="{B2B9D473-B6E9-4116-BAE6-D32CB111D4F4}" destId="{DD47F823-2ED3-4700-AC4C-7E91F414D76C}" srcOrd="2" destOrd="0" presId="urn:microsoft.com/office/officeart/2005/8/layout/orgChart1"/>
    <dgm:cxn modelId="{F92B4AA3-4C4B-4105-89C0-4D1F99F88C84}" type="presParOf" srcId="{0BD804DE-0CC3-4B2B-B109-02111D228D1C}" destId="{F7E90810-6952-4C99-96EE-7B99998F91D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19C3C-E1E2-4DEA-8099-902EB7C68D37}">
      <dsp:nvSpPr>
        <dsp:cNvPr id="0" name=""/>
        <dsp:cNvSpPr/>
      </dsp:nvSpPr>
      <dsp:spPr>
        <a:xfrm>
          <a:off x="2117656" y="410734"/>
          <a:ext cx="123187" cy="2127043"/>
        </a:xfrm>
        <a:custGeom>
          <a:avLst/>
          <a:gdLst/>
          <a:ahLst/>
          <a:cxnLst/>
          <a:rect l="0" t="0" r="0" b="0"/>
          <a:pathLst>
            <a:path>
              <a:moveTo>
                <a:pt x="0" y="0"/>
              </a:moveTo>
              <a:lnTo>
                <a:pt x="0" y="2127043"/>
              </a:lnTo>
              <a:lnTo>
                <a:pt x="123187" y="21270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EEFB1-B4A9-477B-8D21-436571D7B2DC}">
      <dsp:nvSpPr>
        <dsp:cNvPr id="0" name=""/>
        <dsp:cNvSpPr/>
      </dsp:nvSpPr>
      <dsp:spPr>
        <a:xfrm>
          <a:off x="2117656" y="410734"/>
          <a:ext cx="123187" cy="1543954"/>
        </a:xfrm>
        <a:custGeom>
          <a:avLst/>
          <a:gdLst/>
          <a:ahLst/>
          <a:cxnLst/>
          <a:rect l="0" t="0" r="0" b="0"/>
          <a:pathLst>
            <a:path>
              <a:moveTo>
                <a:pt x="0" y="0"/>
              </a:moveTo>
              <a:lnTo>
                <a:pt x="0" y="1543954"/>
              </a:lnTo>
              <a:lnTo>
                <a:pt x="123187" y="15439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A386F6-8ECE-439B-A83B-5B6AD2C4F8A0}">
      <dsp:nvSpPr>
        <dsp:cNvPr id="0" name=""/>
        <dsp:cNvSpPr/>
      </dsp:nvSpPr>
      <dsp:spPr>
        <a:xfrm>
          <a:off x="2117656" y="410734"/>
          <a:ext cx="123187" cy="960865"/>
        </a:xfrm>
        <a:custGeom>
          <a:avLst/>
          <a:gdLst/>
          <a:ahLst/>
          <a:cxnLst/>
          <a:rect l="0" t="0" r="0" b="0"/>
          <a:pathLst>
            <a:path>
              <a:moveTo>
                <a:pt x="0" y="0"/>
              </a:moveTo>
              <a:lnTo>
                <a:pt x="0" y="960865"/>
              </a:lnTo>
              <a:lnTo>
                <a:pt x="123187" y="9608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80392-37F8-4943-9AFF-57BB22A937C6}">
      <dsp:nvSpPr>
        <dsp:cNvPr id="0" name=""/>
        <dsp:cNvSpPr/>
      </dsp:nvSpPr>
      <dsp:spPr>
        <a:xfrm>
          <a:off x="2117656" y="410734"/>
          <a:ext cx="123187" cy="377776"/>
        </a:xfrm>
        <a:custGeom>
          <a:avLst/>
          <a:gdLst/>
          <a:ahLst/>
          <a:cxnLst/>
          <a:rect l="0" t="0" r="0" b="0"/>
          <a:pathLst>
            <a:path>
              <a:moveTo>
                <a:pt x="0" y="0"/>
              </a:moveTo>
              <a:lnTo>
                <a:pt x="0" y="377776"/>
              </a:lnTo>
              <a:lnTo>
                <a:pt x="123187" y="3777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8F122A-3A8F-4C17-B7A2-132F691F99A7}">
      <dsp:nvSpPr>
        <dsp:cNvPr id="0" name=""/>
        <dsp:cNvSpPr/>
      </dsp:nvSpPr>
      <dsp:spPr>
        <a:xfrm>
          <a:off x="2035531" y="108"/>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Fázy vykonávania testu MSP</a:t>
          </a:r>
          <a:endParaRPr lang="sk-SK" sz="700" kern="1200" smtClean="0"/>
        </a:p>
      </dsp:txBody>
      <dsp:txXfrm>
        <a:off x="2035531" y="108"/>
        <a:ext cx="821252" cy="410626"/>
      </dsp:txXfrm>
    </dsp:sp>
    <dsp:sp modelId="{D4847877-A882-456B-89B5-4343B21D4101}">
      <dsp:nvSpPr>
        <dsp:cNvPr id="0" name=""/>
        <dsp:cNvSpPr/>
      </dsp:nvSpPr>
      <dsp:spPr>
        <a:xfrm>
          <a:off x="2240844" y="583197"/>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1.Konzultácie so zástupcami MSP</a:t>
          </a:r>
          <a:endParaRPr lang="sk-SK" sz="700" kern="1200" smtClean="0"/>
        </a:p>
      </dsp:txBody>
      <dsp:txXfrm>
        <a:off x="2240844" y="583197"/>
        <a:ext cx="821252" cy="410626"/>
      </dsp:txXfrm>
    </dsp:sp>
    <dsp:sp modelId="{9B6AF713-8D67-4323-B646-4068A2BC876C}">
      <dsp:nvSpPr>
        <dsp:cNvPr id="0" name=""/>
        <dsp:cNvSpPr/>
      </dsp:nvSpPr>
      <dsp:spPr>
        <a:xfrm>
          <a:off x="2240844" y="1166286"/>
          <a:ext cx="1194117"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2. Predbežné posúdenie pravdepodobne 	ovplyvnených podnikateľských subjektov </a:t>
          </a:r>
          <a:r>
            <a:rPr lang="sk-SK" sz="700" b="0" i="0" u="none" strike="noStrike" kern="1200" baseline="0" smtClean="0">
              <a:latin typeface="Calibri"/>
            </a:rPr>
            <a:t> </a:t>
          </a:r>
          <a:endParaRPr lang="sk-SK" sz="700" kern="1200" smtClean="0"/>
        </a:p>
      </dsp:txBody>
      <dsp:txXfrm>
        <a:off x="2240844" y="1166286"/>
        <a:ext cx="1194117" cy="410626"/>
      </dsp:txXfrm>
    </dsp:sp>
    <dsp:sp modelId="{DCD8670C-1B49-4FA3-8514-5EDFEC496BE7}">
      <dsp:nvSpPr>
        <dsp:cNvPr id="0" name=""/>
        <dsp:cNvSpPr/>
      </dsp:nvSpPr>
      <dsp:spPr>
        <a:xfrm>
          <a:off x="2240844" y="1749376"/>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3.Meranie vplyvu regulácie na MSP</a:t>
          </a:r>
          <a:endParaRPr lang="sk-SK" sz="700" kern="1200" smtClean="0"/>
        </a:p>
      </dsp:txBody>
      <dsp:txXfrm>
        <a:off x="2240844" y="1749376"/>
        <a:ext cx="821252" cy="410626"/>
      </dsp:txXfrm>
    </dsp:sp>
    <dsp:sp modelId="{2B0DF7BF-458D-4CF0-A657-34F05C922494}">
      <dsp:nvSpPr>
        <dsp:cNvPr id="0" name=""/>
        <dsp:cNvSpPr/>
      </dsp:nvSpPr>
      <dsp:spPr>
        <a:xfrm>
          <a:off x="2240844" y="2332465"/>
          <a:ext cx="1210024"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4.Posúdenie alternatívnych možností a zmierňujúcich opatrení pre MSP</a:t>
          </a:r>
          <a:endParaRPr lang="sk-SK" sz="700" kern="1200" smtClean="0"/>
        </a:p>
      </dsp:txBody>
      <dsp:txXfrm>
        <a:off x="2240844" y="2332465"/>
        <a:ext cx="1210024" cy="410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WKX3UHSAJ2R6-2-768559</_dlc_DocId>
    <_dlc_DocIdUrl xmlns="e60a29af-d413-48d4-bd90-fe9d2a897e4b">
      <Url>https://ovdmasv601/sites/DMS/_layouts/15/DocIdRedir.aspx?ID=WKX3UHSAJ2R6-2-768559</Url>
      <Description>WKX3UHSAJ2R6-2-768559</Description>
    </_dlc_DocIdUrl>
  </documentManagement>
</p:properties>
</file>

<file path=customXml/itemProps1.xml><?xml version="1.0" encoding="utf-8"?>
<ds:datastoreItem xmlns:ds="http://schemas.openxmlformats.org/officeDocument/2006/customXml" ds:itemID="{FCFE370F-B67C-4B00-8AC4-0CD9A06DF63A}"/>
</file>

<file path=customXml/itemProps2.xml><?xml version="1.0" encoding="utf-8"?>
<ds:datastoreItem xmlns:ds="http://schemas.openxmlformats.org/officeDocument/2006/customXml" ds:itemID="{12C94185-5078-4CC4-9D2A-BE907957926A}"/>
</file>

<file path=customXml/itemProps3.xml><?xml version="1.0" encoding="utf-8"?>
<ds:datastoreItem xmlns:ds="http://schemas.openxmlformats.org/officeDocument/2006/customXml" ds:itemID="{F2BDA6BE-EF15-4540-B6AA-B5B03DDCD2F7}"/>
</file>

<file path=customXml/itemProps4.xml><?xml version="1.0" encoding="utf-8"?>
<ds:datastoreItem xmlns:ds="http://schemas.openxmlformats.org/officeDocument/2006/customXml" ds:itemID="{5931A288-168C-48F8-A4D1-4479DCFC77B0}"/>
</file>

<file path=docProps/app.xml><?xml version="1.0" encoding="utf-8"?>
<Properties xmlns="http://schemas.openxmlformats.org/officeDocument/2006/extended-properties" xmlns:vt="http://schemas.openxmlformats.org/officeDocument/2006/docPropsVTypes">
  <Template>Normal</Template>
  <TotalTime>60</TotalTime>
  <Pages>13</Pages>
  <Words>4231</Words>
  <Characters>24118</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Antal Boris</cp:lastModifiedBy>
  <cp:revision>6</cp:revision>
  <cp:lastPrinted>2016-11-21T07:14:00Z</cp:lastPrinted>
  <dcterms:created xsi:type="dcterms:W3CDTF">2016-11-21T07:08:00Z</dcterms:created>
  <dcterms:modified xsi:type="dcterms:W3CDTF">2016-11-21T08:08:00Z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32951672-5e5d-4dbe-bd03-cf1f2c98d49d</vt:lpwstr>
  </property>
</Properties>
</file>