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lang w:val="sk-SK"/>
        </w:rPr>
      </w:pPr>
      <w:r>
        <w:rPr>
          <w:lang w:val="sk-SK"/>
        </w:rPr>
        <w:t>Vyhodnotenie medzirezortného pripomienkového konania (pripomienky zaslané mimo Portál právnych predpisov)</w:t>
      </w:r>
    </w:p>
    <w:p>
      <w:pPr>
        <w:jc w:val="center"/>
        <w:rPr>
          <w:lang w:val="sk-SK"/>
        </w:rPr>
      </w:pPr>
      <w:r>
        <w:rPr>
          <w:b/>
          <w:lang w:val="sk-SK"/>
        </w:rPr>
        <w:t>Integrovaný regionálny operačný program 2014 – 2020 - návrh</w:t>
      </w:r>
    </w:p>
    <w:p>
      <w:pPr>
        <w:rPr>
          <w:lang w:val="sk-SK"/>
        </w:rPr>
      </w:pPr>
      <w:r>
        <w:rPr>
          <w:lang w:val="sk-SK"/>
        </w:rPr>
        <w:t>Počet pripomienok, z toho zásadných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19 / 18</w:t>
      </w:r>
    </w:p>
    <w:p>
      <w:pPr>
        <w:rPr>
          <w:lang w:val="sk-SK"/>
        </w:rPr>
      </w:pPr>
      <w:r>
        <w:rPr>
          <w:lang w:val="sk-SK"/>
        </w:rPr>
        <w:t>Počet akceptovaných pripomienok, z toho zásadných</w:t>
      </w:r>
      <w:r>
        <w:rPr>
          <w:lang w:val="sk-SK"/>
        </w:rPr>
        <w:tab/>
      </w:r>
      <w:r>
        <w:rPr>
          <w:lang w:val="sk-SK"/>
        </w:rPr>
        <w:tab/>
        <w:t>4 / 3</w:t>
      </w:r>
    </w:p>
    <w:p>
      <w:pPr>
        <w:rPr>
          <w:lang w:val="sk-SK"/>
        </w:rPr>
      </w:pPr>
      <w:r>
        <w:rPr>
          <w:lang w:val="sk-SK"/>
        </w:rPr>
        <w:t>Počet čiastočne akceptovaných pripomienok, z toho zásadných</w:t>
      </w:r>
      <w:r>
        <w:rPr>
          <w:lang w:val="sk-SK"/>
        </w:rPr>
        <w:tab/>
        <w:t>3 / 3</w:t>
      </w:r>
    </w:p>
    <w:p>
      <w:pPr>
        <w:rPr>
          <w:lang w:val="sk-SK"/>
        </w:rPr>
      </w:pPr>
      <w:r>
        <w:rPr>
          <w:lang w:val="sk-SK"/>
        </w:rPr>
        <w:t>Počet neakceptovaných pripomienok, z toho zásadných</w:t>
      </w:r>
      <w:r>
        <w:rPr>
          <w:lang w:val="sk-SK"/>
        </w:rPr>
        <w:tab/>
      </w:r>
      <w:r>
        <w:rPr>
          <w:lang w:val="sk-SK"/>
        </w:rPr>
        <w:tab/>
        <w:t>12 / 12</w:t>
      </w:r>
    </w:p>
    <w:p>
      <w:pPr>
        <w:rPr>
          <w:lang w:val="sk-SK"/>
        </w:rPr>
      </w:pPr>
      <w:proofErr w:type="spellStart"/>
      <w:r>
        <w:rPr>
          <w:lang w:val="sk-SK"/>
        </w:rPr>
        <w:t>Rozporové</w:t>
      </w:r>
      <w:proofErr w:type="spellEnd"/>
      <w:r>
        <w:rPr>
          <w:lang w:val="sk-SK"/>
        </w:rPr>
        <w:t xml:space="preserve"> konanie:</w:t>
      </w:r>
    </w:p>
    <w:p>
      <w:pPr>
        <w:rPr>
          <w:lang w:val="sk-SK"/>
        </w:rPr>
      </w:pPr>
      <w:r>
        <w:rPr>
          <w:lang w:val="sk-SK"/>
        </w:rPr>
        <w:t>Počet neodstránených rozporov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7</w:t>
      </w:r>
    </w:p>
    <w:tbl>
      <w:tblPr>
        <w:tblW w:w="138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4464"/>
        <w:gridCol w:w="826"/>
        <w:gridCol w:w="827"/>
        <w:gridCol w:w="5885"/>
      </w:tblGrid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b/>
                <w:sz w:val="20"/>
                <w:lang w:val="sk-SK"/>
              </w:rPr>
            </w:pPr>
            <w:r>
              <w:rPr>
                <w:rFonts w:ascii="Times New Roman" w:hAnsi="Times New Roman"/>
                <w:b/>
                <w:sz w:val="20"/>
                <w:lang w:val="sk-SK"/>
              </w:rPr>
              <w:t>Rezort/Organizácia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adpis2"/>
              <w:tabs>
                <w:tab w:val="left" w:pos="865"/>
              </w:tabs>
              <w:jc w:val="lef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Pripomienka/Návrh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Typ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sz w:val="20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sk-SK"/>
              </w:rPr>
              <w:t>Vyh</w:t>
            </w:r>
            <w:proofErr w:type="spellEnd"/>
            <w:r>
              <w:rPr>
                <w:rFonts w:ascii="Times New Roman" w:hAnsi="Times New Roman"/>
                <w:b/>
                <w:sz w:val="20"/>
                <w:lang w:val="sk-SK"/>
              </w:rPr>
              <w:t>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b/>
                <w:sz w:val="20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Spôsob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vyhodnotenia</w:t>
            </w:r>
            <w:proofErr w:type="spellEnd"/>
          </w:p>
        </w:tc>
      </w:tr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adpis2"/>
              <w:tabs>
                <w:tab w:val="left" w:pos="865"/>
              </w:tabs>
              <w:jc w:val="lef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Žiadame zaradiť v rámci prioritnej osi 1.1. nasledovné:</w:t>
            </w:r>
          </w:p>
          <w:p>
            <w:pPr>
              <w:pStyle w:val="Nadpis2"/>
              <w:tabs>
                <w:tab w:val="left" w:pos="865"/>
              </w:tabs>
              <w:jc w:val="lef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Konkrétny cieľ 1.1 – doplniť </w:t>
            </w:r>
          </w:p>
          <w:p>
            <w:pPr>
              <w:pStyle w:val="Nadpis2"/>
              <w:tabs>
                <w:tab w:val="left" w:pos="865"/>
              </w:tabs>
              <w:jc w:val="lef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-rekonštrukcia miestnych komunikácií vo vlastníctve a správe miest a obcí (§4b cestného zákona)</w:t>
            </w:r>
          </w:p>
          <w:p>
            <w:pPr>
              <w:pStyle w:val="Nadpis2"/>
              <w:tabs>
                <w:tab w:val="left" w:pos="865"/>
              </w:tabs>
              <w:jc w:val="left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Žiadame zaradiť aj mestá a obce do oprávnených prijímateľov v prioritnej osi 1.1.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Z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N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Rekonštrukcia miestnych komunikácií je z pohľadu EK v PO 2014-2020 jednou z tzv. negatívnych priorít na financovanie z EFRR.</w:t>
            </w: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V rámci pripomienkového konania rozpor nebol odstránený.</w:t>
            </w:r>
          </w:p>
        </w:tc>
      </w:tr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Konkrétny cieľ č.2.2.1 – doplniť</w:t>
            </w:r>
          </w:p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-modernizácia a revitalizácia priestranstva v okolí materskej školy (počítame, že to nie je súčasťou technických úprav)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Z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Zkladntext2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Zapracované v zmysle pripomienky.</w:t>
            </w:r>
          </w:p>
        </w:tc>
      </w:tr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Konkrétny cieľ č.2.2.2 – doplniť</w:t>
            </w:r>
          </w:p>
          <w:p>
            <w:pPr>
              <w:tabs>
                <w:tab w:val="left" w:pos="678"/>
              </w:tabs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>-drobné stavebno-technické úpravy základných škôl pre potreby modernizácie učební</w:t>
            </w:r>
          </w:p>
          <w:p>
            <w:pPr>
              <w:tabs>
                <w:tab w:val="left" w:pos="678"/>
              </w:tabs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lastRenderedPageBreak/>
              <w:t>- zlepšovanie tepelno-technických vlastností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lastRenderedPageBreak/>
              <w:t>Z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ČA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 xml:space="preserve">Zapracované v zmysle prvej časti pripomienky. </w:t>
            </w: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 xml:space="preserve">Druhá časť – zlepšenie tepelno-technických vlastností nie je predmetom podpory. EK spoločných rokovaniach zdôrazňovala </w:t>
            </w:r>
            <w:r>
              <w:rPr>
                <w:rFonts w:ascii="Times New Roman" w:hAnsi="Times New Roman"/>
                <w:sz w:val="20"/>
                <w:lang w:val="sk-SK"/>
              </w:rPr>
              <w:lastRenderedPageBreak/>
              <w:t xml:space="preserve">neoprávnenosť podpory takýchto aktivít v rámci ZŠ. </w:t>
            </w:r>
          </w:p>
        </w:tc>
      </w:tr>
      <w:tr>
        <w:trPr>
          <w:trHeight w:val="207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lastRenderedPageBreak/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Konkrétny cieľ č.4.1 – doplniť v odseku</w:t>
            </w:r>
          </w:p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-zvýšenie energetickej efektívnosti budov na bývanie a verejných budov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Z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N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Zvýšenie energetickej efektívnosti verejných budov je predmetom OP Kvalita životného prostredia.</w:t>
            </w: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 xml:space="preserve">V rámci </w:t>
            </w:r>
            <w:proofErr w:type="spellStart"/>
            <w:r>
              <w:rPr>
                <w:rFonts w:ascii="Times New Roman" w:hAnsi="Times New Roman"/>
                <w:sz w:val="20"/>
                <w:lang w:val="sk-SK"/>
              </w:rPr>
              <w:t>rozporového</w:t>
            </w:r>
            <w:proofErr w:type="spellEnd"/>
            <w:r>
              <w:rPr>
                <w:rFonts w:ascii="Times New Roman" w:hAnsi="Times New Roman"/>
                <w:sz w:val="20"/>
                <w:lang w:val="sk-SK"/>
              </w:rPr>
              <w:t xml:space="preserve"> konania bol rozpor odstránený a pripomienka stiahnutá na základe predloženého vysvetlenia</w:t>
            </w:r>
          </w:p>
        </w:tc>
      </w:tr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Konkrétny cieľ č.4.2.2 – doplniť</w:t>
            </w:r>
          </w:p>
          <w:p>
            <w:pP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>-vybudovanie, rekonštrukcia a údržba odvodňovacích rigolov mimo vodného toku (asanácia odvodňovacích rigolov)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Z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N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Je predmetom podpory PRV.</w:t>
            </w: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</w:p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 xml:space="preserve">V rámci </w:t>
            </w:r>
            <w:proofErr w:type="spellStart"/>
            <w:r>
              <w:rPr>
                <w:rFonts w:ascii="Times New Roman" w:hAnsi="Times New Roman"/>
                <w:sz w:val="20"/>
                <w:lang w:val="sk-SK"/>
              </w:rPr>
              <w:t>rozporového</w:t>
            </w:r>
            <w:proofErr w:type="spellEnd"/>
            <w:r>
              <w:rPr>
                <w:rFonts w:ascii="Times New Roman" w:hAnsi="Times New Roman"/>
                <w:sz w:val="20"/>
                <w:lang w:val="sk-SK"/>
              </w:rPr>
              <w:t xml:space="preserve"> konania bol rozpor odstránený a pripomienka stiahnutá na základe predloženého vysvetlenia</w:t>
            </w:r>
          </w:p>
        </w:tc>
      </w:tr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Konkrétny cieľ č.4.3.2 – doplniť</w:t>
            </w:r>
          </w:p>
          <w:p>
            <w:pP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>-regenerácia a využitie nevyužívaných objektov a areálov (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>brownfields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 xml:space="preserve">) a iných nevyužívaných objektov a areálov (nielen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>brownfields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>) a existujúcich objektov a areálov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Z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ČA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 xml:space="preserve">Špecifický cieľ  zahŕňa revitalizáciu akýchkoľvek nevyužívaných a zanedbaných areálov a objektov. Do špecifického cieľa boli zahrnuté aj </w:t>
            </w:r>
            <w:proofErr w:type="spellStart"/>
            <w:r>
              <w:rPr>
                <w:rFonts w:ascii="Times New Roman" w:hAnsi="Times New Roman"/>
                <w:sz w:val="20"/>
                <w:lang w:val="sk-SK"/>
              </w:rPr>
              <w:t>vnútrobloky</w:t>
            </w:r>
            <w:proofErr w:type="spellEnd"/>
            <w:r>
              <w:rPr>
                <w:rFonts w:ascii="Times New Roman" w:hAnsi="Times New Roman"/>
                <w:sz w:val="20"/>
                <w:lang w:val="sk-SK"/>
              </w:rPr>
              <w:t xml:space="preserve"> sídlisk. </w:t>
            </w:r>
          </w:p>
        </w:tc>
      </w:tr>
      <w:t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Mesto Prešov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865"/>
              </w:tabs>
              <w:rPr>
                <w:rFonts w:ascii="Times New Roman" w:hAnsi="Times New Roman"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sk-SK"/>
              </w:rPr>
              <w:t>Tabuľku č.37 – opraviť</w:t>
            </w:r>
          </w:p>
          <w:p>
            <w:pP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lang w:val="sk-SK"/>
              </w:rPr>
              <w:t xml:space="preserve">Rozmer 2 – Forma financovania opraviť kód 03 na kód 04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0"/>
                <w:lang w:val="sk-SK"/>
              </w:rPr>
            </w:pPr>
            <w:r>
              <w:rPr>
                <w:rFonts w:ascii="Times New Roman" w:hAnsi="Times New Roman"/>
                <w:sz w:val="20"/>
                <w:lang w:val="sk-SK"/>
              </w:rPr>
              <w:t>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0"/>
                <w:lang w:val="sk-SK"/>
              </w:rPr>
            </w:pPr>
          </w:p>
        </w:tc>
      </w:tr>
    </w:tbl>
    <w:p/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78"/>
        <w:gridCol w:w="4718"/>
        <w:gridCol w:w="1001"/>
        <w:gridCol w:w="2968"/>
        <w:gridCol w:w="3118"/>
      </w:tblGrid>
      <w:tr>
        <w:tc>
          <w:tcPr>
            <w:tcW w:w="675" w:type="dxa"/>
            <w:shd w:val="clear" w:color="auto" w:fill="D9D9D9"/>
          </w:tcPr>
          <w:p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k-SK"/>
              </w:rPr>
              <w:t>P. č.</w:t>
            </w:r>
          </w:p>
        </w:tc>
        <w:tc>
          <w:tcPr>
            <w:tcW w:w="1378" w:type="dxa"/>
            <w:shd w:val="clear" w:color="auto" w:fill="D9D9D9"/>
          </w:tcPr>
          <w:p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k-SK"/>
              </w:rPr>
              <w:t>Subjekt</w:t>
            </w:r>
          </w:p>
        </w:tc>
        <w:tc>
          <w:tcPr>
            <w:tcW w:w="4718" w:type="dxa"/>
            <w:shd w:val="clear" w:color="auto" w:fill="D9D9D9"/>
          </w:tcPr>
          <w:p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k-SK"/>
              </w:rPr>
              <w:t>Znenie pripomienky</w:t>
            </w:r>
          </w:p>
        </w:tc>
        <w:tc>
          <w:tcPr>
            <w:tcW w:w="1001" w:type="dxa"/>
            <w:shd w:val="clear" w:color="auto" w:fill="D9D9D9"/>
          </w:tcPr>
          <w:p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k-SK"/>
              </w:rPr>
              <w:t>Obyčajná/ zásadná</w:t>
            </w:r>
          </w:p>
        </w:tc>
        <w:tc>
          <w:tcPr>
            <w:tcW w:w="2968" w:type="dxa"/>
            <w:shd w:val="clear" w:color="auto" w:fill="D9D9D9"/>
          </w:tcPr>
          <w:p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k-SK"/>
              </w:rPr>
              <w:t>Zdôvodnenie</w:t>
            </w:r>
          </w:p>
        </w:tc>
        <w:tc>
          <w:tcPr>
            <w:tcW w:w="3118" w:type="dxa"/>
            <w:shd w:val="clear" w:color="auto" w:fill="D9D9D9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1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Kap. 3. Finančný plán: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V materiáli chýbajú regionálne alokácie na jednotlivé kraje, alokácie na každú 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 xml:space="preserve">RIUS 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Každá RIUS musí mať určenú finančnú alokáciu, prostredníctvom ktorej naplní svoje 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 xml:space="preserve">ciele a opatrenia. 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lastRenderedPageBreak/>
              <w:t>Neakceptované.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Regionálne alokácie budú súčasťou 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lastRenderedPageBreak/>
              <w:t>Programového manuálu IROP. V súčasnosti nie je možné definitívne stanoviť regionálne alokácie z dôvodu definitívne nevyjasnenej otázky ohľadne podpory kultúrneho a kreatívneho sektora a jeho definitívnej alokácie v IROP. Zároveň  v uvedenej oblasti sa predpokladá využitie finančných nástrojov a grantov, ktoré nebudú súčasťou regionálnych alokácií.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V rámci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rozporového</w:t>
            </w:r>
            <w:proofErr w:type="spellEnd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 konania bol rozpor odstránený a pripomienka stiahnutá na základe predloženého vysvetlenia.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 xml:space="preserve">2. 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Kap. 4.3. Integrované územné investície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Zahrnutá je koordinácia podpory medzi IROP a OPĽZ. Navrhujeme doplniť koordináciu medzi IROP a OPKŽP, prípadne ďalšími programami ako napr. Program rozvoja vidieka a 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sk-SK"/>
              </w:rPr>
              <w:t>OPVaI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sk-SK"/>
              </w:rPr>
              <w:t>.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Aby RIUS viedla k integrovanému rozvoju územia, je nevyhnutné, aby zahŕňala relevantné priority, opatrenia z ostatných OP  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Neakceptované.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Koorinačné</w:t>
            </w:r>
            <w:proofErr w:type="spellEnd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 mechanizmy sú jednotlivo popísané v rámci kapitoly 8.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V rámci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rozporového</w:t>
            </w:r>
            <w:proofErr w:type="spellEnd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 konania bol rozpor odstránený a pripomienka stiahnutá na základe predloženého vysvetlenia.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Kap. 4.3. Integrované územné investície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Implementácia RIUS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Požadujeme zakotviť funkciu VUC ako koordinačného orgánu nielen pre prípravu, monitoring a hodnotenie RIUS (Regionálnych integrovaných územných stratégií), ale aj s kompetenciami v oblasti implementácie RIUS (minimálne v takom rozsahu, ako v súčasnom období zabezpečuj e SO/RO – sprostredkovateľské orgány na VUC, t.j. finančný manažment a kontrola implementácie projektov).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VUC ako koordinátor nebude môcť dostatočne monitorovať a hodnotiť plnenie RIUS bez účasti na implementácii projektov (projektový a finančný manažment, kontrola). VUC majú skúsenosti s implementáciou ROP zo súčasného programového obdobia, kedy VUC zabezpečovali funkciu SO/RO, pričom prijímatelia podpory veľmi ocenili, že vykazovanie realizácie projektu môžu riešiť v ich regióne.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Neakceptované.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Máme za to, že úroveň definovania hierarchie, pozície a úloh jednotlivých aktérov je definovaná v dostatočnom rozsahu pre účely programového dokumentu. Podrobnejšia úprava bude predmetom súvisiacej riadiacej dokumentácie. 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V rámci pripomienkového konania rozpor nebol odstránený.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Oddiel 2,  Prioritné osi Integrovaného regionálneho operačného programu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Kap. 2.1 Prioritná os č. 1 Bezpečná a ekologická doprava v regiónoch, str. 63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Žiadame 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doplniť text v časti o aktivitách v konkrétnom cieli 1.2.2: </w:t>
            </w:r>
          </w:p>
          <w:p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budovanie cyklistickej infraštruktúry 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cyklodopravné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účely): </w:t>
            </w:r>
          </w:p>
          <w:p>
            <w:pPr>
              <w:pStyle w:val="Odsekzoznamu"/>
              <w:numPr>
                <w:ilvl w:val="1"/>
                <w:numId w:val="1"/>
              </w:numPr>
              <w:tabs>
                <w:tab w:val="left" w:pos="709"/>
              </w:tabs>
              <w:spacing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komunikácie - obnova a rekonštrukcia už existujúcich cyklistických komunikácií, budovanie nových cyklistických komunikácií,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cyklokoridorov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na existujúcich mestských komunikáciách,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resp. na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komunikáciách medzi mestami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prípadne na komunikáciách prepájajúcich mestá a obce.</w:t>
            </w:r>
          </w:p>
          <w:p>
            <w:pPr>
              <w:pStyle w:val="Odsekzoznamu"/>
              <w:spacing w:after="0" w:line="240" w:lineRule="auto"/>
              <w:ind w:left="74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Rozšíriť  funkčné územie pre podporu nemotorovej dopravy a zvýšenie jej kapacity na celkovom počte prepravených osôb.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Stratégia konkrétneho cieľa 1.2.2 je nastavená v kontexte zvyšovania atraktivity cyklistickej dopravy v rámci mestskej mobility. Budovanie cyklistických komunikácií medzi obcami bude predstavovať minimálny príspevok k celkovej deľbe prepravnej práce. Zvyšovanie mestskej mobility prostredníctvom budovania siete mestských cyklotrás bolo v tomto kontexte odsúhlasené aj na technických rokovaniach k návrhom OP.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V rámci pripomienkového konania rozpor nebol odstránený.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5.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Oddiel 2,  Prioritné osi Integrovaného regionálneho operačného programu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Kap. 2.3  Prioritná os č. 3 Konkurencieschopné a atraktívne regióny pre podnikanie a zamestnanosť</w:t>
            </w:r>
          </w:p>
          <w:p>
            <w:pPr>
              <w:spacing w:before="24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lastRenderedPageBreak/>
              <w:t>Tabuľka č. 27 Kategórie intervencie, str. 105</w:t>
            </w:r>
          </w:p>
          <w:p>
            <w:pPr>
              <w:spacing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Žiadame zásadne prepracovať oblasť výdavkov v kategórii regiónu Menej rozvinutý región vzhľadom k tomu, že alokácia vo výške 303 500 000 EUR je nadhodnotená a konkrétny cieľ č. 3.1 </w:t>
            </w:r>
            <w:r>
              <w:rPr>
                <w:rStyle w:val="Zvraznenie"/>
                <w:rFonts w:ascii="Arial Narrow" w:hAnsi="Arial Narrow" w:cs="Arial"/>
                <w:iCs/>
                <w:sz w:val="16"/>
                <w:szCs w:val="16"/>
                <w:lang w:val="sk-SK"/>
              </w:rPr>
              <w:t xml:space="preserve">Stimulovanie podpory udržateľnej zamestnanosti v kultúrnom a kreatívnom sektore prostredníctvom vytvorenia priaznivého prostredia  vo forme tvrdej a mäkkej infraštruktúry pre rozvoj kreativity a netechnologických inovácií 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nerieši  v plnej miere predpoklady regiónov  k dosiahnutiu podpory rastu  prostredníctvom ich vnútorného potenciálu.  Zároveň je podpora KKS zabezpečená aj cez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komplementaritu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s OP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VaI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, TC 3 – str. 169, Tabuľka č. 65 Oblasť podpory a kreativity a kreatívneho priemyslu.</w:t>
            </w:r>
          </w:p>
          <w:p>
            <w:pPr>
              <w:spacing w:line="240" w:lineRule="auto"/>
              <w:jc w:val="both"/>
              <w:rPr>
                <w:rStyle w:val="Zvraznenie"/>
                <w:rFonts w:ascii="Arial Narrow" w:hAnsi="Arial Narrow"/>
                <w:iCs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Odporúčame znížiť uvedenú alokáciu o 200 000 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000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EUR a presunúť túto čiastku na podporu konkrétneho cieľa 2.2.1 </w:t>
            </w:r>
            <w:r>
              <w:rPr>
                <w:rFonts w:ascii="Arial Narrow" w:hAnsi="Arial Narrow"/>
                <w:i/>
                <w:sz w:val="16"/>
                <w:szCs w:val="16"/>
                <w:lang w:val="sk-SK"/>
              </w:rPr>
              <w:t xml:space="preserve">Zvýšenie hrubej </w:t>
            </w:r>
            <w:proofErr w:type="spellStart"/>
            <w:r>
              <w:rPr>
                <w:rFonts w:ascii="Arial Narrow" w:hAnsi="Arial Narrow"/>
                <w:i/>
                <w:sz w:val="16"/>
                <w:szCs w:val="16"/>
                <w:lang w:val="sk-SK"/>
              </w:rPr>
              <w:t>zaškolenosti</w:t>
            </w:r>
            <w:proofErr w:type="spellEnd"/>
            <w:r>
              <w:rPr>
                <w:rFonts w:ascii="Arial Narrow" w:hAnsi="Arial Narrow"/>
                <w:i/>
                <w:sz w:val="16"/>
                <w:szCs w:val="16"/>
                <w:lang w:val="sk-SK"/>
              </w:rPr>
              <w:t xml:space="preserve"> detí, 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konkrétneho cieľa 2.2.3 </w:t>
            </w:r>
            <w:r>
              <w:rPr>
                <w:rFonts w:ascii="Arial Narrow" w:hAnsi="Arial Narrow"/>
                <w:i/>
                <w:sz w:val="16"/>
                <w:szCs w:val="16"/>
                <w:lang w:val="sk-SK"/>
              </w:rPr>
              <w:t xml:space="preserve">Zvýšenie počtu žiakov na odbornom výcviku, 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4.2.2</w:t>
            </w:r>
            <w:r>
              <w:rPr>
                <w:rStyle w:val="Nadpis4Char"/>
                <w:rFonts w:ascii="Arial Narrow" w:hAnsi="Arial Narrow" w:cs="Arial"/>
                <w:sz w:val="16"/>
                <w:szCs w:val="16"/>
                <w:lang w:val="sk-SK"/>
              </w:rPr>
              <w:t xml:space="preserve"> </w:t>
            </w:r>
            <w:r>
              <w:rPr>
                <w:rStyle w:val="Zvraznenie"/>
                <w:rFonts w:ascii="Arial Narrow" w:hAnsi="Arial Narrow" w:cs="Arial"/>
                <w:iCs/>
                <w:sz w:val="16"/>
                <w:szCs w:val="16"/>
                <w:lang w:val="sk-SK"/>
              </w:rPr>
              <w:t xml:space="preserve">Zabezpečenie bezproblémového zásobovania obyvateľstva kvalitnou pitnou vodou a efektívna likvidácia odpadových vôd bez negatívnych dopadov na životné prostredie, </w:t>
            </w:r>
            <w:bookmarkStart w:id="0" w:name="_Toc369530752"/>
            <w:bookmarkStart w:id="1" w:name="_Toc369876864"/>
            <w:bookmarkStart w:id="2" w:name="_Toc377990770"/>
            <w:bookmarkStart w:id="3" w:name="_Toc378169934"/>
            <w:r>
              <w:rPr>
                <w:rStyle w:val="Zvraznenie"/>
                <w:rFonts w:ascii="Arial Narrow" w:hAnsi="Arial Narrow" w:cs="Arial"/>
                <w:b/>
                <w:iCs/>
                <w:sz w:val="16"/>
                <w:szCs w:val="16"/>
                <w:lang w:val="sk-SK"/>
              </w:rPr>
              <w:t>k</w:t>
            </w:r>
            <w:r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  <w:t>onkrétneho cieľa  4.3.1</w:t>
            </w:r>
            <w:bookmarkEnd w:id="0"/>
            <w:bookmarkEnd w:id="1"/>
            <w:bookmarkEnd w:id="2"/>
            <w:bookmarkEnd w:id="3"/>
            <w:r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  <w:t xml:space="preserve"> </w:t>
            </w:r>
            <w:r>
              <w:rPr>
                <w:rStyle w:val="Zvraznenie"/>
                <w:rFonts w:ascii="Arial Narrow" w:hAnsi="Arial Narrow" w:cs="Arial"/>
                <w:iCs/>
                <w:sz w:val="16"/>
                <w:szCs w:val="16"/>
                <w:lang w:val="sk-SK"/>
              </w:rPr>
              <w:t>Zlepšenie environmentálnych aspektov v mestách a mestských oblastiach prostredníctvom budovania prvkov zelenej infraštruktúry a adaptácia urbanizovaného prostredia na zmeny klímy,  a </w:t>
            </w:r>
            <w:bookmarkStart w:id="4" w:name="_Toc377990772"/>
            <w:bookmarkStart w:id="5" w:name="_Toc378169936"/>
            <w:r>
              <w:rPr>
                <w:rStyle w:val="Zvraznenie"/>
                <w:rFonts w:ascii="Arial Narrow" w:hAnsi="Arial Narrow" w:cs="Arial"/>
                <w:b/>
                <w:iCs/>
                <w:sz w:val="16"/>
                <w:szCs w:val="16"/>
                <w:lang w:val="sk-SK"/>
              </w:rPr>
              <w:t>k</w:t>
            </w:r>
            <w:r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  <w:t>onkrétneho  cieľa  4.3.2</w:t>
            </w:r>
            <w:bookmarkEnd w:id="4"/>
            <w:bookmarkEnd w:id="5"/>
            <w:r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  <w:t xml:space="preserve"> </w:t>
            </w:r>
            <w:r>
              <w:rPr>
                <w:rStyle w:val="Zvraznenie"/>
                <w:rFonts w:ascii="Arial Narrow" w:hAnsi="Arial Narrow" w:cs="Arial"/>
                <w:iCs/>
                <w:sz w:val="16"/>
                <w:szCs w:val="16"/>
                <w:lang w:val="sk-SK"/>
              </w:rPr>
              <w:t>Regenerácia a využitie nevyužívaných objektov a areálov (</w:t>
            </w:r>
            <w:proofErr w:type="spellStart"/>
            <w:r>
              <w:rPr>
                <w:rStyle w:val="Zvraznenie"/>
                <w:rFonts w:ascii="Arial Narrow" w:hAnsi="Arial Narrow" w:cs="Arial"/>
                <w:iCs/>
                <w:sz w:val="16"/>
                <w:szCs w:val="16"/>
                <w:lang w:val="sk-SK"/>
              </w:rPr>
              <w:t>brownfields</w:t>
            </w:r>
            <w:proofErr w:type="spellEnd"/>
            <w:r>
              <w:rPr>
                <w:rStyle w:val="Zvraznenie"/>
                <w:rFonts w:ascii="Arial Narrow" w:hAnsi="Arial Narrow" w:cs="Arial"/>
                <w:iCs/>
                <w:sz w:val="16"/>
                <w:szCs w:val="16"/>
                <w:lang w:val="sk-SK"/>
              </w:rPr>
              <w:t>) s cieľom zlepšenia kvality života obyvateľov v mestách a mestských oblastiach.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Racionálne zváženie potrieb regiónov v danej etape (na základe informácií od miestnej samosprávy v TSK, kde je najväčší záujem o čerpanie v PO2 a PO4) a efektívnejšie rozloženie podpory EŠIF.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31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lastRenderedPageBreak/>
              <w:t>Neakceptované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O znížení alokácie v rámci PO 3 pre IROP by muselo rozhodnúť na porade členov vlády SR k problematike fondov EÚ a následne schváliť vláda SR (pri schvaľovaní programu) – politické 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lastRenderedPageBreak/>
              <w:t>rozhodnutie.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V rámci pripomienkového konania rozpor nebol odstránený.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6.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sz w:val="16"/>
                <w:szCs w:val="16"/>
                <w:lang w:val="sk-SK"/>
              </w:rPr>
              <w:t>Kap.2., časť 2.4.3. Investičná priorita č. 4.3, str.119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  <w:t>Žiadame rozšíriť cieľové územie pre konkrétny cieľ č. 4.3.1. o  celé územie SR</w:t>
            </w:r>
            <w:r>
              <w:rPr>
                <w:rFonts w:ascii="Arial Narrow" w:hAnsi="Arial Narrow" w:cs="Arial"/>
                <w:sz w:val="16"/>
                <w:szCs w:val="16"/>
                <w:lang w:val="sk-SK"/>
              </w:rPr>
              <w:t>, t.j., aby podporované aktivity boli oprávnené pre všetky mestá na území kraja, nielen v rámci URM.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sz w:val="16"/>
                <w:szCs w:val="16"/>
                <w:lang w:val="sk-SK"/>
              </w:rPr>
              <w:t>Súčasný text: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sz w:val="16"/>
                <w:szCs w:val="16"/>
                <w:lang w:val="sk-SK"/>
              </w:rPr>
              <w:t>Cieľové územie:</w:t>
            </w:r>
          </w:p>
          <w:p>
            <w:pPr>
              <w:pStyle w:val="Odsekzoznamu"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územie vymedzené pre aktivity udržateľného mestského rozvoja v zmysle Oddielu 4 Integrovaný prístup k územnému rozvoju s výnimkou mestskej funkčnej oblasti na území Bratislavského kraja.</w:t>
            </w:r>
          </w:p>
          <w:p>
            <w:pPr>
              <w:pStyle w:val="Odsekzoznamu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Návrh textu: </w:t>
            </w:r>
          </w:p>
          <w:p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sz w:val="16"/>
                <w:szCs w:val="16"/>
                <w:lang w:val="sk-SK"/>
              </w:rPr>
              <w:t>Cieľové územie:</w:t>
            </w:r>
          </w:p>
          <w:p>
            <w:pPr>
              <w:pStyle w:val="Odsekzoznamu"/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celé územie SR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Efektívne využitie EŠIF pre potreby miestnej samosprávy. Potreba realizácie podporovaných aktivít nie je len na území vymedzenom URM, ale aj na území ostatných miest SR. 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Ostatné územie je pokryté v rámci OP Kvalita životného prostredia.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V rámci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rozporového</w:t>
            </w:r>
            <w:proofErr w:type="spellEnd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 xml:space="preserve"> konania bol rozpor odstránený a pripomienka stiahnutá na základe predloženého vysvetlenia.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7.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sz w:val="16"/>
                <w:szCs w:val="16"/>
                <w:lang w:val="sk-SK"/>
              </w:rPr>
              <w:t>Kap.2., časť 2.4.3. Investičná priorita č. 4.3, str.117</w:t>
            </w:r>
          </w:p>
          <w:p>
            <w:pPr>
              <w:rPr>
                <w:rStyle w:val="Zvraznenie"/>
                <w:rFonts w:ascii="Arial Narrow" w:hAnsi="Arial Narrow" w:cs="Arial"/>
                <w:i w:val="0"/>
                <w:iCs/>
                <w:sz w:val="16"/>
                <w:szCs w:val="16"/>
                <w:lang w:val="sk-SK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  <w:t>Konkrétny cieľ č. 4.3.2:</w:t>
            </w:r>
            <w:r>
              <w:rPr>
                <w:rFonts w:ascii="Arial" w:hAnsi="Arial" w:cs="Arial"/>
                <w:b/>
                <w:lang w:val="sk-SK"/>
              </w:rPr>
              <w:t xml:space="preserve"> </w:t>
            </w:r>
            <w:r>
              <w:rPr>
                <w:rStyle w:val="Zvraznenie"/>
                <w:rFonts w:ascii="Arial Narrow" w:hAnsi="Arial Narrow" w:cs="Arial"/>
                <w:i w:val="0"/>
                <w:iCs/>
                <w:sz w:val="16"/>
                <w:szCs w:val="16"/>
                <w:lang w:val="sk-SK"/>
              </w:rPr>
              <w:t>Regenerácia a využitie nevyužívaných objektov a areálov (</w:t>
            </w:r>
            <w:proofErr w:type="spellStart"/>
            <w:r>
              <w:rPr>
                <w:rStyle w:val="Zvraznenie"/>
                <w:rFonts w:ascii="Arial Narrow" w:hAnsi="Arial Narrow" w:cs="Arial"/>
                <w:i w:val="0"/>
                <w:iCs/>
                <w:sz w:val="16"/>
                <w:szCs w:val="16"/>
                <w:lang w:val="sk-SK"/>
              </w:rPr>
              <w:t>brownfields</w:t>
            </w:r>
            <w:proofErr w:type="spellEnd"/>
            <w:r>
              <w:rPr>
                <w:rStyle w:val="Zvraznenie"/>
                <w:rFonts w:ascii="Arial Narrow" w:hAnsi="Arial Narrow" w:cs="Arial"/>
                <w:i w:val="0"/>
                <w:iCs/>
                <w:sz w:val="16"/>
                <w:szCs w:val="16"/>
                <w:lang w:val="sk-SK"/>
              </w:rPr>
              <w:t>) s cieľom zlepšenia kvality života obyvateľov v mestách a mestských oblastiach.</w:t>
            </w:r>
          </w:p>
          <w:p>
            <w:pPr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Style w:val="Zvraznenie"/>
                <w:rFonts w:ascii="Arial Narrow" w:hAnsi="Arial Narrow" w:cs="Arial"/>
                <w:i w:val="0"/>
                <w:iCs/>
                <w:sz w:val="16"/>
                <w:szCs w:val="16"/>
                <w:lang w:val="sk-SK"/>
              </w:rPr>
              <w:lastRenderedPageBreak/>
              <w:t>V názve sú spomenuté len mestské oblasti, v texte sú prijímateľmi aj obce. Navrhujeme zosúladiť.</w:t>
            </w: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Akceptované.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Zosúladené.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8.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Oddiel 3, Finančný plán Integrovaného operačného programu, str.143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Tabuľka č. 49 Rozdelenie finančného plánu IROP podľa prioritnej osi, fondu, kategórie regiónu a tematického cieľa, 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Odporúčame znížiť v PO 3, Menej rozvinutý región – TC 8 z 303 500 000 EUR na 103 500 000 EUR a 200 000 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000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EUR rozdeliť nasledovne: čiastku 50 000 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000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Eur presunúť do PO 2, Menej rozvinutý región, (v rámci PO2 zvýšiť alokovanú čiastku na TC10 z   242 000 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000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EUR na 292 000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000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EUR)  a čiastku  150 000 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000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EUR navýšiť  PO 4, Menej rozvinutý región – TC 6 z 88 328 116 EUR na 238 328 116 EUR. Prípadne zvážiť presun do PO5 CLLD.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Racionálne zváženie potrieb regiónov v danej etape (na základe informácií od miestnej samosprávy v TSK, kde je najväčší záujem o čerpanie v PO2 a PO4) a efektívnejšie rozloženie podpory EŠIF.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31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O znížení alokácie v rámci PO 3 pre IROP by muselo rozhodnúť na porade členov vlády SR k problematike fondov EÚ a následne schváliť vláda SR (pri schvaľovaní programu) – politické rozhodnutie.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V rámci pripomienkového konania rozpor nebol odstránený.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9.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Oddiel 4 Integrovaný prístup k územnému rozvoju, str. 147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Kap. 4.1 Miestny rozvoj vedený komunitou, 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</w:p>
          <w:p>
            <w:pPr>
              <w:tabs>
                <w:tab w:val="left" w:pos="360"/>
              </w:tabs>
              <w:autoSpaceDE w:val="0"/>
              <w:autoSpaceDN w:val="0"/>
              <w:spacing w:line="240" w:lineRule="auto"/>
              <w:rPr>
                <w:rFonts w:ascii="Arial Narrow" w:eastAsia="SimSun" w:hAnsi="Arial Narrow"/>
                <w:b/>
                <w:bCs/>
                <w:kern w:val="1"/>
                <w:sz w:val="16"/>
                <w:szCs w:val="16"/>
                <w:lang w:val="sk-SK" w:eastAsia="ar-SA"/>
              </w:rPr>
            </w:pPr>
            <w:r>
              <w:rPr>
                <w:rFonts w:ascii="Arial Narrow" w:eastAsia="SimSun" w:hAnsi="Arial Narrow"/>
                <w:bCs/>
                <w:kern w:val="1"/>
                <w:sz w:val="16"/>
                <w:szCs w:val="16"/>
                <w:lang w:val="sk-SK" w:eastAsia="ar-SA"/>
              </w:rPr>
              <w:t>V časti</w:t>
            </w:r>
            <w:r>
              <w:rPr>
                <w:rFonts w:ascii="Arial Narrow" w:eastAsia="SimSun" w:hAnsi="Arial Narrow"/>
                <w:b/>
                <w:bCs/>
                <w:kern w:val="1"/>
                <w:sz w:val="16"/>
                <w:szCs w:val="16"/>
                <w:lang w:val="sk-SK" w:eastAsia="ar-SA"/>
              </w:rPr>
              <w:t xml:space="preserve">  </w:t>
            </w:r>
            <w:r>
              <w:rPr>
                <w:rFonts w:ascii="Arial Narrow" w:eastAsia="SimSun" w:hAnsi="Arial Narrow"/>
                <w:bCs/>
                <w:kern w:val="1"/>
                <w:sz w:val="16"/>
                <w:szCs w:val="16"/>
                <w:lang w:val="sk-SK" w:eastAsia="ar-SA"/>
              </w:rPr>
              <w:t>Princípy výberu, schvaľovania a financovania stratégií miestneho rozvoja a  MAS</w:t>
            </w:r>
            <w:r>
              <w:rPr>
                <w:rFonts w:ascii="Arial Narrow" w:eastAsia="SimSun" w:hAnsi="Arial Narrow"/>
                <w:b/>
                <w:bCs/>
                <w:kern w:val="1"/>
                <w:sz w:val="16"/>
                <w:szCs w:val="16"/>
                <w:lang w:val="sk-SK" w:eastAsia="ar-SA"/>
              </w:rPr>
              <w:t xml:space="preserve"> odporúčame doplniť odsek o väzbu aj na gestorov príslušných Regionálnych integrovaných územných stratégií na úrovni samosprávnych krajov.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line="240" w:lineRule="auto"/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  <w:t>Znenie doplňujúceho textu:</w:t>
            </w:r>
          </w:p>
          <w:p>
            <w:pPr>
              <w:spacing w:before="12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Hlavným orgánom zodpovedným za koordináciu prípravy a implementácie CLLD na národnej úrovni bude Ministerstvo pôdohospodárstva a rozvoja vidieka SR z pozície RO pre PRV SR 2014 – 2020 (ďalej aj „gestor CLLD“). Gestor CLLD spolu s RO pre IROP vytvorí spoločný orgán pre prípravu a implementáciu CLLD, ktorého hlavnou úlohou bude vecné a časové zosúlaďovanie činností vo vzťahu k CLLD. V rámci oblastí, ktoré budú vyžadovať spoločný koordinovaný prístup, bude gestor CLLD pri implementácii CLLD spolupracovať s RO pre IROP, gestormi príslušných Regionálnych integrovaných územných stratégií na úrovni samosprávnych krajov a inými relevantnými partnermi.</w:t>
            </w:r>
          </w:p>
          <w:p>
            <w:pPr>
              <w:pStyle w:val="Odsekzoznamu"/>
              <w:spacing w:after="0" w:line="240" w:lineRule="auto"/>
              <w:ind w:left="74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Účasť zástupcu samosprávneho kraja je prirodzenou súčasťou   pri implementácii  nástroja CLLD  z pohľadu koordinácie integrovaného územného rozvoja na úrovni  NUTS 3.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Neakceptované.</w:t>
            </w:r>
          </w:p>
          <w:p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Máme za to, že súčasná textácia odseku  “</w:t>
            </w:r>
            <w:r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sk-SK"/>
              </w:rPr>
              <w:t>V rámci oblastí, ktoré budú vyžadovať spoločný koordinovaný prístup, bude gestor CLLD pri implementácii CLLD spolupracovať s RO pre IROP a inými relevantnými partnermi.“ je pre účely programového dokumentu dostatočná na identifikovanie spolupracujúcich subjektov termínom „relevantní partneri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“.</w:t>
            </w: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  <w:p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V rámci pripomienkového konania rozpor nebol odstránený.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10.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Oddiel 4 Integrovaný prístup k územnému rozvoju, str. 147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Kap. 4.1 Miestny rozvoj vedený komunitou, </w:t>
            </w:r>
          </w:p>
          <w:p>
            <w:pPr>
              <w:spacing w:before="240"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V texte:  „Pri výbere stratégií CLLD sa budú posudzovať nasledovné kritéria:“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Odporúčame v bode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b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) upraviť  text nasledovne: 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b)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 rovnomerné územné rozdelenie v rámci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 xml:space="preserve"> NUTS 3. 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before="240"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 IROP sa implementuje prostredníctvom RIÚS.  Implementácia RIÚS bude realizovaná na území NUTS 3. K naplneniu spoločného cieľa rovnomerného a vyváženého rozvoja územia je potrebné, aby bola dodržaná rovnaká územná jednotka aj pre CLLD. Jednotná územná jednotka je východiskom k štatistickým vykazovaniam v rámci monitorovania IROP, k sledovaniu rozmiestnenia podpory EŠIF, ako aj 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regionálnych alokácií zo zdrojov IROP.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3118" w:type="dxa"/>
          </w:tcPr>
          <w:p>
            <w:pPr>
              <w:spacing w:before="240"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lastRenderedPageBreak/>
              <w:t>Akceptované.</w:t>
            </w:r>
          </w:p>
          <w:p>
            <w:pPr>
              <w:spacing w:before="240"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Opravené.</w:t>
            </w:r>
          </w:p>
          <w:p>
            <w:pPr>
              <w:spacing w:before="240"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lastRenderedPageBreak/>
              <w:t>11.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Oddiel 4 Integrovaný prístup k územnému rozvoju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Kap. 4.1 Miestny rozvoj vedený komunitou, str. 147</w:t>
            </w:r>
          </w:p>
          <w:p>
            <w:pPr>
              <w:spacing w:before="240"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V texte „Pri výbere stratégií CLLD sa budú posudzovať nasledovné kritéria:“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Odporúčame v bode 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c)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 doplniť  text aj  nasledovne: 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c)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 zameranie stratégie na ciele a priority CLLD uvedené v Partnerskej dohode, IROP, PRV </w:t>
            </w: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a RIÚS.</w:t>
            </w:r>
          </w:p>
          <w:p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before="240"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Zdôvodnenie: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sk-SK"/>
              </w:rPr>
              <w:t>Vytvorenie efektívneho  nástroja zabezpečujúceho integrovaný prístup v územnom rozvoji . Len v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zájomnou koordináciou </w:t>
            </w:r>
            <w:r>
              <w:rPr>
                <w:rFonts w:ascii="Arial Narrow" w:hAnsi="Arial Narrow"/>
                <w:bCs/>
                <w:sz w:val="16"/>
                <w:szCs w:val="16"/>
                <w:lang w:val="sk-SK"/>
              </w:rPr>
              <w:t xml:space="preserve">spoločných aktivít sa 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 môže  efektívne aplikovať  nástroj integrovaného  rozvoja  územia.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</w:tc>
        <w:tc>
          <w:tcPr>
            <w:tcW w:w="3118" w:type="dxa"/>
          </w:tcPr>
          <w:p>
            <w:pPr>
              <w:spacing w:before="240"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Čiastočne akceptované</w:t>
            </w:r>
          </w:p>
          <w:p>
            <w:pPr>
              <w:spacing w:before="240"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Podmienka doplnkovosti k iným stratégiám existujúcich v území kraja bola doplnená v príslušnom bode ako jedno z kritérií, ktoré bude posudzované pri výbere MAS v znení: “regionálnej (PHSR kraja, iné krajské stratégie)”</w:t>
            </w:r>
          </w:p>
        </w:tc>
      </w:tr>
      <w:tr>
        <w:tc>
          <w:tcPr>
            <w:tcW w:w="675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12.</w:t>
            </w:r>
          </w:p>
        </w:tc>
        <w:tc>
          <w:tcPr>
            <w:tcW w:w="1378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Trenčiansky samosprávny kraj</w:t>
            </w:r>
          </w:p>
        </w:tc>
        <w:tc>
          <w:tcPr>
            <w:tcW w:w="4718" w:type="dxa"/>
          </w:tcPr>
          <w:p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k-SK"/>
              </w:rPr>
              <w:t>Oddiel 4 Integrovaný prístup k územnému rozvoju,  str. 147</w:t>
            </w:r>
          </w:p>
          <w:p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Kap. 4.1 Miestny rozvoj vedený komunitou, 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Odporúčame  doplniť  posledný odsek  o gestorov príslušných Regionálnych integrovaných územných stratégií na úrovni samosprávnych krajov.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</w:pP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  <w:t>Znenie doplňujúceho textu:</w:t>
            </w:r>
          </w:p>
          <w:p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Stratégie CLLD/MAS budú vyberané v jednom alebo viacerých kolách,  pričom prvá výzva bude vyhlásená najneskôr do dvoch rokov od schválenia Partnerskej dohody SR na roky 2014 – 2020. V prípade ďalších výziev bude výber MAS dokončený do konca roku 2017. Vyhlásenie výziev na výber MAS bude v kompetencii koordinátora CLLD. Pre výber stratégií CLLD a následné pridelenie štatútu MAS vytvorí koordinátor CLLD výberovú komisiu so zastúpením RO pre IROP, RO pre PRV a gestorov príslušných Regionálnych integrovaných územných stratégií na úrovni samosprávnych krajov.</w:t>
            </w:r>
          </w:p>
          <w:p>
            <w:pPr>
              <w:pStyle w:val="Odsekzoznamu"/>
              <w:spacing w:after="0" w:line="240" w:lineRule="auto"/>
              <w:ind w:left="74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lang w:val="sk-SK"/>
              </w:rPr>
              <w:t>zásadná</w:t>
            </w:r>
          </w:p>
        </w:tc>
        <w:tc>
          <w:tcPr>
            <w:tcW w:w="2968" w:type="dxa"/>
          </w:tcPr>
          <w:p>
            <w:pPr>
              <w:spacing w:before="240" w:after="0" w:line="240" w:lineRule="auto"/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</w:pPr>
            <w:r>
              <w:rPr>
                <w:rFonts w:ascii="Arial Narrow" w:hAnsi="Arial Narrow"/>
                <w:sz w:val="16"/>
                <w:szCs w:val="16"/>
                <w:u w:val="single"/>
                <w:lang w:val="sk-SK"/>
              </w:rPr>
              <w:t>Zdôvodnenie:</w:t>
            </w:r>
          </w:p>
          <w:p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sk-SK"/>
              </w:rPr>
              <w:t>Vytvorenie efektívneho  nástroja zabezpečujúceho integrovaný prístup v územnom rozvoji . Len v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zájomnou koordináciou </w:t>
            </w:r>
            <w:r>
              <w:rPr>
                <w:rFonts w:ascii="Arial Narrow" w:hAnsi="Arial Narrow"/>
                <w:bCs/>
                <w:sz w:val="16"/>
                <w:szCs w:val="16"/>
                <w:lang w:val="sk-SK"/>
              </w:rPr>
              <w:t xml:space="preserve">spoločných aktivít sa </w:t>
            </w:r>
            <w:r>
              <w:rPr>
                <w:rFonts w:ascii="Arial Narrow" w:hAnsi="Arial Narrow"/>
                <w:sz w:val="16"/>
                <w:szCs w:val="16"/>
                <w:lang w:val="sk-SK"/>
              </w:rPr>
              <w:t xml:space="preserve"> môže  efektívne aplikovať  nástroj integrovaného  rozvoja  územia.</w:t>
            </w:r>
          </w:p>
        </w:tc>
        <w:tc>
          <w:tcPr>
            <w:tcW w:w="3118" w:type="dxa"/>
          </w:tcPr>
          <w:p>
            <w:pPr>
              <w:spacing w:before="240"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b/>
                <w:color w:val="000000" w:themeColor="text1"/>
                <w:sz w:val="16"/>
                <w:szCs w:val="16"/>
                <w:lang w:val="sk-SK"/>
              </w:rPr>
              <w:t>Neakceptované</w:t>
            </w:r>
          </w:p>
          <w:p>
            <w:pPr>
              <w:spacing w:before="240"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Súčasná textácia je v súlade s požiadavkami nariadenia EÚ č. 1303/2013. Presné zloženie komisie, prípadné vytvorenie odbornej pracovnej skupiny pod výberovou komisiou, ako aj presné postupy a kritéria pre výber MAS budú predmetom ďalších metodických usmernení.</w:t>
            </w:r>
          </w:p>
          <w:p>
            <w:pPr>
              <w:spacing w:before="240" w:after="0" w:line="240" w:lineRule="auto"/>
              <w:rPr>
                <w:rFonts w:ascii="Arial Narrow" w:hAnsi="Arial Narrow"/>
                <w:color w:val="000000" w:themeColor="text1"/>
                <w:sz w:val="16"/>
                <w:szCs w:val="16"/>
                <w:u w:val="single"/>
                <w:lang w:val="sk-SK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V rámci pripomienk</w:t>
            </w:r>
            <w:bookmarkStart w:id="6" w:name="_GoBack"/>
            <w:bookmarkEnd w:id="6"/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sk-SK"/>
              </w:rPr>
              <w:t>ového konania rozpor nebol odstránený.</w:t>
            </w:r>
          </w:p>
        </w:tc>
      </w:tr>
    </w:tbl>
    <w:p/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26FC"/>
    <w:multiLevelType w:val="hybridMultilevel"/>
    <w:tmpl w:val="3FDC6D5A"/>
    <w:lvl w:ilvl="0" w:tplc="9B3CE3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djustRightInd w:val="0"/>
    </w:pPr>
    <w:rPr>
      <w:rFonts w:ascii="Calibri" w:eastAsia="Times New Roman" w:hAnsi="Calibri" w:cs="Times New Roman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adjustRightInd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widowControl/>
      <w:adjustRightInd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Calibri" w:eastAsia="Times New Roman" w:hAnsi="Calibri" w:cs="Times New Roman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eastAsiaTheme="minorEastAsia" w:cs="Times New Roman"/>
      <w:b/>
      <w:bCs/>
      <w:sz w:val="28"/>
      <w:szCs w:val="28"/>
      <w:lang w:val="en-US"/>
    </w:rPr>
  </w:style>
  <w:style w:type="character" w:styleId="Zvraznenie">
    <w:name w:val="Emphasis"/>
    <w:basedOn w:val="Predvolenpsmoodseku"/>
    <w:uiPriority w:val="20"/>
    <w:qFormat/>
    <w:rPr>
      <w:rFonts w:cs="Times New Roman"/>
      <w:i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widowControl/>
      <w:adjustRightInd/>
      <w:ind w:left="720"/>
      <w:contextualSpacing/>
    </w:pPr>
    <w:rPr>
      <w:rFonts w:ascii="Trebuchet MS" w:hAnsi="Trebuchet MS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Pr>
      <w:rFonts w:ascii="Trebuchet MS" w:eastAsia="Times New Roman" w:hAnsi="Trebuchet MS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djustRightInd w:val="0"/>
    </w:pPr>
    <w:rPr>
      <w:rFonts w:ascii="Calibri" w:eastAsia="Times New Roman" w:hAnsi="Calibri" w:cs="Times New Roman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adjustRightInd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widowControl/>
      <w:adjustRightInd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Calibri" w:eastAsia="Times New Roman" w:hAnsi="Calibri" w:cs="Times New Roman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eastAsiaTheme="minorEastAsia" w:cs="Times New Roman"/>
      <w:b/>
      <w:bCs/>
      <w:sz w:val="28"/>
      <w:szCs w:val="28"/>
      <w:lang w:val="en-US"/>
    </w:rPr>
  </w:style>
  <w:style w:type="character" w:styleId="Zvraznenie">
    <w:name w:val="Emphasis"/>
    <w:basedOn w:val="Predvolenpsmoodseku"/>
    <w:uiPriority w:val="20"/>
    <w:qFormat/>
    <w:rPr>
      <w:rFonts w:cs="Times New Roman"/>
      <w:i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widowControl/>
      <w:adjustRightInd/>
      <w:ind w:left="720"/>
      <w:contextualSpacing/>
    </w:pPr>
    <w:rPr>
      <w:rFonts w:ascii="Trebuchet MS" w:hAnsi="Trebuchet MS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Pr>
      <w:rFonts w:ascii="Trebuchet MS" w:eastAsia="Times New Roman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WKX3UHSAJ2R6-2-378304</_dlc_DocId>
    <_dlc_DocIdUrl xmlns="e60a29af-d413-48d4-bd90-fe9d2a897e4b">
      <Url>https://ovdmasv601/sites/DMS/_layouts/15/DocIdRedir.aspx?ID=WKX3UHSAJ2R6-2-378304</Url>
      <Description>WKX3UHSAJ2R6-2-378304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21C2E-C7AD-431E-81EF-B44BF1396E44}"/>
</file>

<file path=customXml/itemProps2.xml><?xml version="1.0" encoding="utf-8"?>
<ds:datastoreItem xmlns:ds="http://schemas.openxmlformats.org/officeDocument/2006/customXml" ds:itemID="{0A01B551-5AFC-4219-98CF-CC8AA63EF598}"/>
</file>

<file path=customXml/itemProps3.xml><?xml version="1.0" encoding="utf-8"?>
<ds:datastoreItem xmlns:ds="http://schemas.openxmlformats.org/officeDocument/2006/customXml" ds:itemID="{C59EE417-2311-4DCB-B93A-CF5FA5C7BE09}"/>
</file>

<file path=customXml/itemProps4.xml><?xml version="1.0" encoding="utf-8"?>
<ds:datastoreItem xmlns:ds="http://schemas.openxmlformats.org/officeDocument/2006/customXml" ds:itemID="{80BF1252-0A21-48C9-AB1C-278C364FB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 Miloš</dc:creator>
  <cp:keywords/>
  <dc:description/>
  <cp:lastModifiedBy>Beňov Miloš</cp:lastModifiedBy>
  <cp:revision>5</cp:revision>
  <dcterms:created xsi:type="dcterms:W3CDTF">2014-05-12T13:28:00Z</dcterms:created>
  <dcterms:modified xsi:type="dcterms:W3CDTF">2014-05-13T05:34:00Z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11499e96-eebb-4bed-a6b8-41ecee283b58</vt:lpwstr>
  </property>
</Properties>
</file>