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F3" w:rsidRDefault="006E50C7" w:rsidP="00A65C73">
      <w:pPr>
        <w:spacing w:after="0" w:line="240" w:lineRule="auto"/>
        <w:ind w:left="2268" w:hanging="2268"/>
        <w:jc w:val="both"/>
        <w:outlineLvl w:val="1"/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</w:pPr>
      <w:r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>Príloha č. 7</w:t>
      </w:r>
      <w:r w:rsidR="000C19F3"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 xml:space="preserve"> OP </w:t>
      </w:r>
      <w:proofErr w:type="spellStart"/>
      <w:r w:rsidR="000C19F3"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>VaI</w:t>
      </w:r>
      <w:proofErr w:type="spellEnd"/>
      <w:r w:rsidR="000C19F3"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 xml:space="preserve"> – Popis rozdielov medzi programovým obdobím 2007 – 2013 </w:t>
      </w:r>
      <w:bookmarkStart w:id="0" w:name="_GoBack"/>
      <w:bookmarkEnd w:id="0"/>
      <w:r w:rsidR="000C19F3"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 xml:space="preserve">a programovým obdobím 2014 - 2020 </w:t>
      </w:r>
    </w:p>
    <w:p w:rsidR="000C19F3" w:rsidRDefault="000C19F3" w:rsidP="000C19F3">
      <w:pPr>
        <w:spacing w:after="0" w:line="240" w:lineRule="auto"/>
        <w:ind w:left="1423" w:hanging="1423"/>
        <w:jc w:val="both"/>
        <w:outlineLvl w:val="1"/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</w:pPr>
    </w:p>
    <w:p w:rsidR="000C19F3" w:rsidRDefault="000C19F3" w:rsidP="000C19F3">
      <w:pPr>
        <w:spacing w:after="0" w:line="240" w:lineRule="auto"/>
        <w:ind w:left="1423" w:hanging="1423"/>
        <w:jc w:val="both"/>
        <w:outlineLvl w:val="1"/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</w:pPr>
      <w:r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>Popis základných rozdielov medzi OP Výskum a vývoj a OP Výskum a inovácie</w:t>
      </w:r>
    </w:p>
    <w:p w:rsidR="000C19F3" w:rsidRDefault="000C19F3" w:rsidP="000C19F3">
      <w:pPr>
        <w:spacing w:after="0" w:line="240" w:lineRule="auto"/>
        <w:rPr>
          <w:rFonts w:ascii="Franklin Gothic Book" w:hAnsi="Franklin Gothic Book"/>
          <w:bCs/>
          <w:szCs w:val="24"/>
        </w:rPr>
      </w:pPr>
    </w:p>
    <w:p w:rsidR="000C19F3" w:rsidRDefault="000C19F3" w:rsidP="000C19F3">
      <w:pPr>
        <w:spacing w:after="120" w:line="240" w:lineRule="auto"/>
        <w:jc w:val="both"/>
        <w:rPr>
          <w:rFonts w:ascii="Franklin Gothic Book" w:hAnsi="Franklin Gothic Book"/>
          <w:b/>
          <w:bCs/>
          <w:szCs w:val="24"/>
        </w:rPr>
      </w:pPr>
      <w:r>
        <w:rPr>
          <w:rFonts w:ascii="Franklin Gothic Book" w:hAnsi="Franklin Gothic Book"/>
          <w:b/>
          <w:bCs/>
          <w:szCs w:val="24"/>
        </w:rPr>
        <w:t xml:space="preserve">Základné rozdiely medzi OP Výskum a vývoj (2007 - 2013) a OP Výskum a inovácie - časť „výskum“ - 2014 - 2020 v kompetencii </w:t>
      </w:r>
      <w:proofErr w:type="spellStart"/>
      <w:r>
        <w:rPr>
          <w:rFonts w:ascii="Franklin Gothic Book" w:hAnsi="Franklin Gothic Book"/>
          <w:b/>
          <w:bCs/>
          <w:szCs w:val="24"/>
        </w:rPr>
        <w:t>MŠVVaŠ</w:t>
      </w:r>
      <w:proofErr w:type="spellEnd"/>
      <w:r>
        <w:rPr>
          <w:rFonts w:ascii="Franklin Gothic Book" w:hAnsi="Franklin Gothic Book"/>
          <w:b/>
          <w:bCs/>
          <w:szCs w:val="24"/>
        </w:rPr>
        <w:t xml:space="preserve"> SR</w:t>
      </w:r>
    </w:p>
    <w:p w:rsidR="000C19F3" w:rsidRDefault="000C19F3" w:rsidP="000C19F3">
      <w:pPr>
        <w:spacing w:after="120" w:line="240" w:lineRule="auto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>Základné principiálne rozdiely medzi OP Výskum a vývoj a OP Výskum a inovácie - časť „výskum“ budú nasledovné: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menší počet aktivít/menší počet podporených projektov (v aktuálnom období je to skoro 500 projektov, ktoré spôsobujú internú fragmentáciu výskumnej sféry na Slovensku) a lepšia prehľadnosť a koncentrácia na priority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dôraz na obsahové výstupy projektov (zavedenie dvojkolového výberu projektov/verejných oponentúr, statusu priebežných odborných oponentúr počas realizácie projektov s cca. ročnou frekvenciou, využívanie zahraničných expertov na hodnotenie projektov) a nie na administratívnu stránku,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dôraz ma zapájanie sa do Európskeho výskumného priestoru, ktorý v aktuálnom programovom období absentoval,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hAnsi="Franklin Gothic Book"/>
          <w:bCs/>
          <w:szCs w:val="24"/>
        </w:rPr>
      </w:pPr>
      <w:r>
        <w:rPr>
          <w:rFonts w:ascii="Franklin Gothic Book" w:eastAsiaTheme="minorHAnsi" w:hAnsi="Franklin Gothic Book" w:cstheme="minorBidi"/>
          <w:color w:val="auto"/>
        </w:rPr>
        <w:t xml:space="preserve">priame prepojenie na štátnu vednú a technickú politiku, ktoré tiež chýbalo v aktuálnom programovom období - časť OP </w:t>
      </w:r>
      <w:proofErr w:type="spellStart"/>
      <w:r>
        <w:rPr>
          <w:rFonts w:ascii="Franklin Gothic Book" w:eastAsiaTheme="minorHAnsi" w:hAnsi="Franklin Gothic Book" w:cstheme="minorBidi"/>
          <w:color w:val="auto"/>
        </w:rPr>
        <w:t>VaI</w:t>
      </w:r>
      <w:proofErr w:type="spellEnd"/>
      <w:r>
        <w:rPr>
          <w:rFonts w:ascii="Franklin Gothic Book" w:eastAsiaTheme="minorHAnsi" w:hAnsi="Franklin Gothic Book" w:cstheme="minorBidi"/>
          <w:color w:val="auto"/>
        </w:rPr>
        <w:t xml:space="preserve"> - "Výskum" je v úplnom súlade s RIS3 Stratégiou. </w:t>
      </w:r>
      <w:r>
        <w:rPr>
          <w:rFonts w:ascii="Franklin Gothic Book" w:hAnsi="Franklin Gothic Book"/>
          <w:bCs/>
          <w:szCs w:val="24"/>
        </w:rPr>
        <w:t xml:space="preserve">Každá jedna navrhnutá aktivita OP </w:t>
      </w:r>
      <w:proofErr w:type="spellStart"/>
      <w:r>
        <w:rPr>
          <w:rFonts w:ascii="Franklin Gothic Book" w:hAnsi="Franklin Gothic Book"/>
          <w:bCs/>
          <w:szCs w:val="24"/>
        </w:rPr>
        <w:t>VaI</w:t>
      </w:r>
      <w:proofErr w:type="spellEnd"/>
      <w:r>
        <w:rPr>
          <w:rFonts w:ascii="Franklin Gothic Book" w:hAnsi="Franklin Gothic Book"/>
          <w:bCs/>
          <w:szCs w:val="24"/>
        </w:rPr>
        <w:t xml:space="preserve"> v časti "Výskum" reflektuje konkrétne opatrenie z RIS3 Stratégie,  pričom ide o nasledovnú základnú štruktúru aktivít:</w:t>
      </w:r>
    </w:p>
    <w:p w:rsidR="000C19F3" w:rsidRDefault="000C19F3" w:rsidP="000C19F3">
      <w:pPr>
        <w:numPr>
          <w:ilvl w:val="1"/>
          <w:numId w:val="1"/>
        </w:numPr>
        <w:spacing w:after="120" w:line="240" w:lineRule="auto"/>
        <w:ind w:left="709"/>
        <w:contextualSpacing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pokračovanie národných projektov pod vedením CVTI SR - ktoré prispievajú k cieľom RIS3,</w:t>
      </w:r>
    </w:p>
    <w:p w:rsidR="000C19F3" w:rsidRDefault="000C19F3" w:rsidP="000C19F3">
      <w:pPr>
        <w:numPr>
          <w:ilvl w:val="1"/>
          <w:numId w:val="1"/>
        </w:numPr>
        <w:spacing w:after="120" w:line="240" w:lineRule="auto"/>
        <w:ind w:left="709"/>
        <w:contextualSpacing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podpora účasti projektov v Horizonte 2020 a ďalších európskych schém - komplementárne financovanie medzinárodných projektov,</w:t>
      </w:r>
    </w:p>
    <w:p w:rsidR="000C19F3" w:rsidRDefault="000C19F3" w:rsidP="000C19F3">
      <w:pPr>
        <w:numPr>
          <w:ilvl w:val="1"/>
          <w:numId w:val="1"/>
        </w:numPr>
        <w:spacing w:after="120" w:line="240" w:lineRule="auto"/>
        <w:ind w:left="709" w:hanging="425"/>
        <w:contextualSpacing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veľký dôraz na financovanie spoločných projektov priemyslu a akademickej sféry v oblastiach špecializácie RIS3 SK Stratégie (výskumné centrá, dlhodobé strategické výskumné programy)</w:t>
      </w:r>
    </w:p>
    <w:p w:rsidR="000C19F3" w:rsidRDefault="000C19F3" w:rsidP="000C19F3">
      <w:pPr>
        <w:numPr>
          <w:ilvl w:val="1"/>
          <w:numId w:val="1"/>
        </w:numPr>
        <w:spacing w:after="120" w:line="240" w:lineRule="auto"/>
        <w:ind w:left="709"/>
        <w:contextualSpacing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 xml:space="preserve">konsolidácia a </w:t>
      </w:r>
      <w:proofErr w:type="spellStart"/>
      <w:r>
        <w:rPr>
          <w:rFonts w:ascii="Franklin Gothic Book" w:eastAsiaTheme="minorHAnsi" w:hAnsi="Franklin Gothic Book" w:cstheme="minorBidi"/>
          <w:color w:val="auto"/>
        </w:rPr>
        <w:t>upgrade</w:t>
      </w:r>
      <w:proofErr w:type="spellEnd"/>
      <w:r>
        <w:rPr>
          <w:rFonts w:ascii="Franklin Gothic Book" w:eastAsiaTheme="minorHAnsi" w:hAnsi="Franklin Gothic Book" w:cstheme="minorBidi"/>
          <w:color w:val="auto"/>
        </w:rPr>
        <w:t xml:space="preserve"> výskumnej infraštruktúry podporenej v rámci aktuálneho obdobia (vedecké parky a pod.) - po vyhodnotení ich prvých etáp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 xml:space="preserve">všetky aktivity v časti "výskum" smerujú k zníženiu fragmentácie výskumu, ako aj využitie už vybudovanej infraštruktúry v rokoch 2007 - 2013 - či už sú to opatrenia na konsolidáciu a integráciu výskumných centier podporených v aktuálnom období, alebo dlhodobé strategické výskumné programy a pod. Fragmentáciu spôsobil veľký počet centier </w:t>
      </w:r>
      <w:proofErr w:type="spellStart"/>
      <w:r>
        <w:rPr>
          <w:rFonts w:ascii="Franklin Gothic Book" w:eastAsiaTheme="minorHAnsi" w:hAnsi="Franklin Gothic Book" w:cstheme="minorBidi"/>
          <w:color w:val="auto"/>
        </w:rPr>
        <w:t>excelentnosti</w:t>
      </w:r>
      <w:proofErr w:type="spellEnd"/>
      <w:r>
        <w:rPr>
          <w:rFonts w:ascii="Franklin Gothic Book" w:eastAsiaTheme="minorHAnsi" w:hAnsi="Franklin Gothic Book" w:cstheme="minorBidi"/>
          <w:color w:val="auto"/>
        </w:rPr>
        <w:t xml:space="preserve"> - pričom tento typ projektov už nebude podporovaný v rokoch 2014 - 2020.</w:t>
      </w:r>
    </w:p>
    <w:p w:rsidR="000C19F3" w:rsidRDefault="000C19F3" w:rsidP="000C19F3">
      <w:pPr>
        <w:spacing w:after="120" w:line="240" w:lineRule="auto"/>
        <w:rPr>
          <w:rFonts w:ascii="Calibri" w:hAnsi="Calibri"/>
          <w:sz w:val="20"/>
          <w:szCs w:val="20"/>
          <w:lang w:eastAsia="sk-SK"/>
        </w:rPr>
      </w:pPr>
    </w:p>
    <w:p w:rsidR="000C19F3" w:rsidRDefault="000C19F3" w:rsidP="000C19F3">
      <w:pPr>
        <w:spacing w:after="120" w:line="240" w:lineRule="auto"/>
        <w:rPr>
          <w:rFonts w:ascii="Calibri" w:hAnsi="Calibri"/>
          <w:sz w:val="20"/>
          <w:szCs w:val="20"/>
          <w:lang w:eastAsia="sk-SK"/>
        </w:rPr>
      </w:pPr>
      <w:r>
        <w:rPr>
          <w:rFonts w:ascii="Franklin Gothic Book" w:hAnsi="Franklin Gothic Book"/>
          <w:bCs/>
          <w:szCs w:val="24"/>
        </w:rPr>
        <w:t xml:space="preserve">Súčasne </w:t>
      </w:r>
      <w:proofErr w:type="spellStart"/>
      <w:r>
        <w:rPr>
          <w:rFonts w:ascii="Franklin Gothic Book" w:hAnsi="Franklin Gothic Book"/>
          <w:bCs/>
          <w:szCs w:val="24"/>
        </w:rPr>
        <w:t>MŠVVaŠ</w:t>
      </w:r>
      <w:proofErr w:type="spellEnd"/>
      <w:r>
        <w:rPr>
          <w:rFonts w:ascii="Franklin Gothic Book" w:hAnsi="Franklin Gothic Book"/>
          <w:bCs/>
          <w:szCs w:val="24"/>
        </w:rPr>
        <w:t xml:space="preserve"> SR pripravuje ďalšie aktivity v tejto oblasti, ako napríklad: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 xml:space="preserve">lepšie a komplexnejšie nastavenie pravidiel pre štátnu pomoc, aby bolo jasné, za akých podmienok sa dá infraštruktúra </w:t>
      </w:r>
      <w:proofErr w:type="spellStart"/>
      <w:r>
        <w:rPr>
          <w:rFonts w:ascii="Franklin Gothic Book" w:eastAsiaTheme="minorHAnsi" w:hAnsi="Franklin Gothic Book" w:cstheme="minorBidi"/>
          <w:color w:val="auto"/>
        </w:rPr>
        <w:t>využivať</w:t>
      </w:r>
      <w:proofErr w:type="spellEnd"/>
      <w:r>
        <w:rPr>
          <w:rFonts w:ascii="Franklin Gothic Book" w:eastAsiaTheme="minorHAnsi" w:hAnsi="Franklin Gothic Book" w:cstheme="minorBidi"/>
          <w:color w:val="auto"/>
        </w:rPr>
        <w:t xml:space="preserve"> aj na zmluvný výskum, resp. zo strany podnikateľského sektora,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 xml:space="preserve">V rámci prijímateľov z verejného sektora výskumu a vývoja, mimovládneho sektora výskumu a vývoja a súkromného sektora výskumu a vývoja, ktorí majú povinnosť spolufinancovať projekty, sa uvažuje o menej rigidnom spôsobe spolufinancovania projektov (umožnenie tzv. </w:t>
      </w:r>
      <w:proofErr w:type="spellStart"/>
      <w:r>
        <w:rPr>
          <w:rFonts w:ascii="Franklin Gothic Book" w:eastAsiaTheme="minorHAnsi" w:hAnsi="Franklin Gothic Book" w:cstheme="minorBidi"/>
          <w:color w:val="auto"/>
        </w:rPr>
        <w:t>in-kind</w:t>
      </w:r>
      <w:proofErr w:type="spellEnd"/>
      <w:r>
        <w:rPr>
          <w:rFonts w:ascii="Franklin Gothic Book" w:eastAsiaTheme="minorHAnsi" w:hAnsi="Franklin Gothic Book" w:cstheme="minorBidi"/>
          <w:color w:val="auto"/>
        </w:rPr>
        <w:t xml:space="preserve"> spolufinancovania; v prípade verejných vysokých škôl odstránenie nemožnosti spolufinancovať projekty z prostriedkov na prevádzku vysokej školy a odstránenie povinnosť spolufinancovať každý jeden výdavok osobitne)</w:t>
      </w:r>
    </w:p>
    <w:p w:rsidR="000C19F3" w:rsidRDefault="000C19F3" w:rsidP="000C19F3">
      <w:pPr>
        <w:numPr>
          <w:ilvl w:val="0"/>
          <w:numId w:val="1"/>
        </w:num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eastAsiaTheme="minorHAnsi" w:hAnsi="Franklin Gothic Book" w:cstheme="minorBidi"/>
          <w:color w:val="auto"/>
        </w:rPr>
        <w:t>národný katalóg infraštruktúry - aby sa zamedzilo duplicitám do budúcnosti</w:t>
      </w:r>
    </w:p>
    <w:p w:rsidR="000C19F3" w:rsidRDefault="000C19F3" w:rsidP="000C19F3">
      <w:pPr>
        <w:pStyle w:val="Popis"/>
      </w:pPr>
      <w:r>
        <w:lastRenderedPageBreak/>
        <w:t xml:space="preserve">Tabuľka </w:t>
      </w:r>
      <w:fldSimple w:instr=" STYLEREF 1 \s ">
        <w:r>
          <w:rPr>
            <w:noProof/>
          </w:rPr>
          <w:t>13</w:t>
        </w:r>
      </w:fldSimple>
      <w:r>
        <w:t>.</w:t>
      </w:r>
      <w:fldSimple w:instr=" SEQ Tabuľka \* ARABIC \s 1 ">
        <w:r>
          <w:rPr>
            <w:noProof/>
          </w:rPr>
          <w:t>1</w:t>
        </w:r>
      </w:fldSimple>
      <w:r>
        <w:tab/>
        <w:t>Rozdiely medzi OP Výskum a vývoj a OP Výskum a inovácie, časť „výskum“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0C19F3" w:rsidTr="000C19F3">
        <w:trPr>
          <w:cantSplit/>
          <w:trHeight w:val="283"/>
          <w:tblHeader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Nástroj podpory OP Výskum a vývoj 2007 - 2013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  <w:t xml:space="preserve">Nástroj OP Výskum a inovácie v kompetencii </w:t>
            </w:r>
            <w:proofErr w:type="spellStart"/>
            <w:r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MŠVVaŠ</w:t>
            </w:r>
            <w:proofErr w:type="spellEnd"/>
            <w:r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  <w:t xml:space="preserve"> SR</w:t>
            </w:r>
          </w:p>
        </w:tc>
      </w:tr>
      <w:tr w:rsidR="000C19F3" w:rsidTr="000C19F3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</w:p>
        </w:tc>
      </w:tr>
      <w:tr w:rsidR="000C19F3" w:rsidTr="000C19F3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Národné projekty</w:t>
            </w:r>
          </w:p>
        </w:tc>
      </w:tr>
      <w:tr w:rsidR="000C19F3" w:rsidTr="000C19F3">
        <w:trPr>
          <w:trHeight w:val="1125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CVTI SR v aktuálnom programovom období 2007 - 2013 realizuje 6 národných projektov. V období 2014 - 2020 bude štruktúra národných projektov a ich obsahové zameranie vychádzať z dobrej praxe a konkrétnych pozitívnych prínosov v rokoch 2007 - 2013 a štruktúra národných projektov bude prehľadnejšia a obsahovo viac vyhranená.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Podpora národného systému pre transfer technológií (pokračujúca aktivita z programového obdobia 2007 – 2013)</w:t>
            </w:r>
          </w:p>
        </w:tc>
      </w:tr>
      <w:tr w:rsidR="000C19F3" w:rsidTr="000C19F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Informačný systém výskumu a vývoja/prístupy do databáz pre potreby výskumných inštitúcií</w:t>
            </w:r>
          </w:p>
        </w:tc>
      </w:tr>
      <w:tr w:rsidR="000C19F3" w:rsidTr="000C19F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Horizontálna IKT podpora a centrálna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infraštuktúra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  pre inštitúcie výskumu a vývoja (pokračujúca aktivita z programového obdobia 2007 – 2013)</w:t>
            </w:r>
          </w:p>
        </w:tc>
      </w:tr>
      <w:tr w:rsidR="000C19F3" w:rsidTr="000C19F3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Podpora národného systému pre popularizáciu výskumu, vývoja a inovácií (pokračujúca aktivita z programového obdobia 2007 – 2013)</w:t>
            </w:r>
          </w:p>
        </w:tc>
      </w:tr>
      <w:tr w:rsidR="000C19F3" w:rsidTr="000C19F3">
        <w:trPr>
          <w:trHeight w:val="3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Podpora zapájania sa do medzinárodných výskumných projektov/Európskeho výskumného priestoru</w:t>
            </w:r>
          </w:p>
        </w:tc>
      </w:tr>
      <w:tr w:rsidR="000C19F3" w:rsidTr="000C19F3">
        <w:trPr>
          <w:trHeight w:val="419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V Operačnom programe Výskum a vývoj nebol uplatnený nástroj, ktorý by takýmto spôsobom priamo podporoval medzinárodné výskumné aktivity.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Synergické a komplementárne financovanie projektov schválených v rámci Horizontu 2020, Dunajskej stratégie, EITI,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Eureky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,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Erazmus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+, resp. ďalších medzinárodných programov a iniciatív</w:t>
            </w:r>
          </w:p>
        </w:tc>
      </w:tr>
      <w:tr w:rsidR="000C19F3" w:rsidTr="000C19F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Financovanie tzv. „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shortlisted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“ projektov z Horizontu 2020</w:t>
            </w:r>
          </w:p>
        </w:tc>
      </w:tr>
      <w:tr w:rsidR="000C19F3" w:rsidTr="000C19F3">
        <w:trPr>
          <w:trHeight w:val="1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Horizontálna podpora účasti Slovenskej republiky v Európskom výskumnom priestore/internacionalizácia výskumu a vývoja SR, podpora aktivít styčnej kancelárie Slovenskej republiky pre výskum a vývoj v Bruseli, vrátane podpory zintenzívnenia aktivít podporných štruktúr (národné kontaktné body), ktorých cieľom je pomôcť slovenským inštitúciám (akademickým aj súkromným) stať sa súčasťou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konzorcii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v Horizonte 2020 v oblastiach špecializácie RIS3 SK</w:t>
            </w:r>
          </w:p>
        </w:tc>
      </w:tr>
      <w:tr w:rsidR="000C19F3" w:rsidTr="000C19F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Podpora účasti v ostatných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medzinárodnych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iniciatívach, ako napr. ERA-NET, Európske technologické platformy</w:t>
            </w:r>
          </w:p>
        </w:tc>
      </w:tr>
      <w:tr w:rsidR="000C19F3" w:rsidTr="000C19F3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Podpora zriaďovania národných technologických platforiem ako nástroja na účasť Slovenskej republiky v Európskych technologických platformách a Spoločných technologických iniciatívach</w:t>
            </w:r>
          </w:p>
        </w:tc>
      </w:tr>
      <w:tr w:rsidR="000C19F3" w:rsidTr="000C19F3">
        <w:trPr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Dopytové projekty - výskumné centrá rôzneho druhu, vzdelávacia infraštruktúra a projekty aplikovaného výskumu</w:t>
            </w:r>
          </w:p>
        </w:tc>
      </w:tr>
      <w:tr w:rsidR="000C19F3" w:rsidTr="000C19F3">
        <w:trPr>
          <w:trHeight w:val="89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Podpora návratu špičkových slovenských vedcov ako konkrétna aktivita nebola v OP Výskum a vývoj podporovaná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Podpora návratu špičkových slovenských vedcov pôsobiacich v zahraničí prostredníctvom infraštruktúrnych grantov pre potreby slovenských vedcov pôsobiacich v zahraničí (podmienkou projektu bude návrat špičkového slovenského vedca na Slovensko, pričom projekt pokryje jeho mzdové náklady a prístrojové vybavenie/vybavenie laboratória, na ktorom bude pracovať) - možnosť kombinovať aj s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Marie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Skłodowska-Curie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COFUND</w:t>
            </w:r>
          </w:p>
        </w:tc>
      </w:tr>
      <w:tr w:rsidR="000C19F3" w:rsidTr="000C19F3">
        <w:trPr>
          <w:trHeight w:val="25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V programovom období 2007 - 2013 existoval celý rad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rôznorodných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 opatrení od menších projektov až po väčšie centrá v akademickej sfére - cca. 200 rôznych typov projektov (centrá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excelentnosti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; centrá transferu technológií, univerzitné vedecké parky, výskumné centrá; projekty vzdelávacej infraštruktúry; projekty modernizácie vedeckej infraštruktúry) - táto pomerne neprehľadná a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fragmentovaná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 štruktúra podporných nástrojov bude nahradená jedným typom aktivity, ktorého cieľom bude konsolidácia a prepájanie výskumných kapacít s väčším interdisciplinárnym celkom schopným riešiť projekty v oblastiach špecializácie RIS3 SK.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Bude existovať iba jeden typ projektov pokrývajúcich v rámci každého žiadateľa celé programové obdobie 2014 - 2020 - modernizácia výskumnej infraštruktúry v rámci výskumných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organizáciíí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pre potreby realizácie špičkového výskumu a vzdelávania/prípravy mladých vedeckých pracovníkov a pracovníkov pre kľúčové odvetvia hospodárstva (nevyhnutný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upgrade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univerzitných vedeckých parkov, výskumných centier, vzdelávacej infraštruktúry pre potreby výskumu; podpora vybavenia   technicky/výskumne orientovaných študijných programoch identifikovaných zo strany priemyslu ako prioritné v súlade s RIS3 SK)</w:t>
            </w:r>
          </w:p>
        </w:tc>
      </w:tr>
      <w:tr w:rsidR="000C19F3" w:rsidTr="000C19F3">
        <w:trPr>
          <w:trHeight w:val="6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lastRenderedPageBreak/>
              <w:t xml:space="preserve">V programovom období 2007 - 2013 OP Výskum a vývoj podporil cca. 100 priemyselných výskumných centier, v ktorých žiadateľom bol podnik a mal akademického partnera. Išlo o projekty aplikovaného výskumu a experimentálneho vývoja, o ktoré bol medzi priemyslom veľký záujem (dopyt bol 4x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vyšši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, ako možnosti výziev). V tomto type projektov bude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MŠVVaŠ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 SR pokračovať aj v rokoch 2014 - 2020.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Podpora výskumu a vývoja v rámci individuálnych priemyselných výskumno-vývojových centier (priemyselný subjekt priamy príjemca NFP) s akademickým partnerom ako povinnou súčasťou projektu v oblastiach špecializácie RIS3 SK a s väzbou na FET a KET</w:t>
            </w:r>
          </w:p>
        </w:tc>
      </w:tr>
      <w:tr w:rsidR="000C19F3" w:rsidTr="000C19F3">
        <w:trPr>
          <w:trHeight w:val="52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V programovom období 2007 - 2013 bol aplikovaný výskum a vývoj podporovaný rôznymi typmi menších projektov - cca. 200 rôznych typov projektov - aplikovaný výskum v akademickej sfére; aplikovaný výskum v akademickej sfére v oblasti energetiky; podpora spoločných akademicko-priemyselných kompetenčných centier. V novom programovom období sa tieto rôznorodé nástroje zjednotia a bude sa využívať iba jeden integrujúci nástroj/aktivita - dlhodobé strategické výskumné programy.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Dlhodobé strategické výskumné projekty (horizont pokrývajúci celú dĺžku programového obdobia 2014 - 2020) v interdisciplinárnych oblastiach špecializácie RIS3 SK (výskumné projekty budú realizovať zmiešané konzorciá priemyselných subjektov a výskumných inštitúcií, pričom dôraz sa bude klásť na to, aby v nich aktívne participovali kapacity univerzitných vedeckých parkov, výskumných centier podporených v rámci programového obdobia 2007 - 2013) - dôraz bude kladený na podporu výskumu a vývoja s reálnymi výsledkami pre prax, menší dôraz bude na infraštruktúru, ktorá sa bude financovať len v nevyhnutnej miere ako potrebný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upgrade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 existujúcich zariadení</w:t>
            </w:r>
          </w:p>
        </w:tc>
      </w:tr>
    </w:tbl>
    <w:p w:rsidR="000C19F3" w:rsidRDefault="000C19F3" w:rsidP="000C19F3">
      <w:pPr>
        <w:rPr>
          <w:lang w:eastAsia="cs-CZ"/>
        </w:rPr>
      </w:pPr>
    </w:p>
    <w:p w:rsidR="000C19F3" w:rsidRDefault="000C19F3" w:rsidP="000C19F3">
      <w:pPr>
        <w:spacing w:after="0" w:line="240" w:lineRule="auto"/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</w:pPr>
      <w:bookmarkStart w:id="1" w:name="_Toc384223794"/>
    </w:p>
    <w:p w:rsidR="000C19F3" w:rsidRDefault="000C19F3" w:rsidP="000C19F3">
      <w:pPr>
        <w:spacing w:after="0" w:line="240" w:lineRule="auto"/>
        <w:jc w:val="both"/>
        <w:outlineLvl w:val="1"/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</w:pPr>
      <w:r>
        <w:rPr>
          <w:rFonts w:ascii="Franklin Gothic Book" w:hAnsi="Franklin Gothic Book" w:cs="Arial"/>
          <w:b/>
          <w:color w:val="990000"/>
          <w:sz w:val="24"/>
          <w:szCs w:val="24"/>
          <w:lang w:eastAsia="cs-CZ"/>
        </w:rPr>
        <w:t>Popis základných rozdielov medzi OP Konkurencieschopnosť a hospodársky rast a OP Výskum a inovácie</w:t>
      </w:r>
      <w:bookmarkEnd w:id="1"/>
    </w:p>
    <w:p w:rsidR="000C19F3" w:rsidRDefault="000C19F3" w:rsidP="000C19F3">
      <w:pPr>
        <w:spacing w:after="0" w:line="240" w:lineRule="auto"/>
        <w:jc w:val="both"/>
        <w:rPr>
          <w:rFonts w:ascii="Franklin Gothic Book" w:hAnsi="Franklin Gothic Book"/>
          <w:bCs/>
          <w:lang w:eastAsia="sk-SK"/>
        </w:rPr>
      </w:pPr>
    </w:p>
    <w:p w:rsidR="000C19F3" w:rsidRDefault="000C19F3" w:rsidP="000C19F3">
      <w:pPr>
        <w:spacing w:after="0" w:line="240" w:lineRule="auto"/>
        <w:jc w:val="both"/>
        <w:rPr>
          <w:rFonts w:ascii="Franklin Gothic Book" w:hAnsi="Franklin Gothic Book"/>
          <w:b/>
          <w:bCs/>
          <w:lang w:eastAsia="sk-SK"/>
        </w:rPr>
      </w:pPr>
      <w:r>
        <w:rPr>
          <w:rFonts w:ascii="Franklin Gothic Book" w:hAnsi="Franklin Gothic Book"/>
          <w:b/>
          <w:bCs/>
          <w:lang w:eastAsia="sk-SK"/>
        </w:rPr>
        <w:t>Základné rozdiely medzi OP Výskum a vývoj (2007 - 2013) a OP Výskum a inovácie - časť „inovácie a podpora MSP“ - 2014 - 2020 v kompetencii MH SR</w:t>
      </w:r>
    </w:p>
    <w:p w:rsidR="000C19F3" w:rsidRDefault="000C19F3" w:rsidP="000C19F3">
      <w:pPr>
        <w:spacing w:after="0" w:line="240" w:lineRule="auto"/>
        <w:ind w:left="1425" w:hanging="1425"/>
        <w:jc w:val="both"/>
        <w:rPr>
          <w:rFonts w:ascii="Franklin Gothic Book" w:hAnsi="Franklin Gothic Book" w:cs="Arial"/>
          <w:b/>
          <w:color w:val="990000"/>
          <w:lang w:eastAsia="cs-CZ"/>
        </w:rPr>
      </w:pPr>
    </w:p>
    <w:p w:rsidR="000C19F3" w:rsidRDefault="000C19F3" w:rsidP="000C19F3">
      <w:pPr>
        <w:spacing w:after="120" w:line="240" w:lineRule="auto"/>
        <w:jc w:val="both"/>
        <w:rPr>
          <w:rFonts w:ascii="Franklin Gothic Book" w:eastAsiaTheme="minorHAnsi" w:hAnsi="Franklin Gothic Book" w:cstheme="minorBidi"/>
          <w:color w:val="auto"/>
        </w:rPr>
      </w:pPr>
      <w:r>
        <w:rPr>
          <w:rFonts w:ascii="Franklin Gothic Book" w:hAnsi="Franklin Gothic Book"/>
          <w:lang w:eastAsia="sk-SK"/>
        </w:rPr>
        <w:t>Základné principiálne rozdiely medzi OP Výskum a vývoj a OP Výskum a inovácie - časť „výskum“ budú na</w:t>
      </w:r>
      <w:r>
        <w:rPr>
          <w:rFonts w:ascii="Franklin Gothic Book" w:eastAsiaTheme="minorHAnsi" w:hAnsi="Franklin Gothic Book" w:cstheme="minorBidi"/>
          <w:color w:val="auto"/>
        </w:rPr>
        <w:t>sledovné: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eastAsia="Times New Roman" w:hAnsi="Franklin Gothic Book" w:cs="Times New Roman"/>
          <w:lang w:eastAsia="sk-SK"/>
        </w:rPr>
      </w:pPr>
      <w:r>
        <w:rPr>
          <w:rFonts w:ascii="Franklin Gothic Book" w:hAnsi="Franklin Gothic Book"/>
          <w:lang w:eastAsia="sk-SK"/>
        </w:rPr>
        <w:t>hlavné zameranie programového obdobia 2007 - 2013 prostredníctvom OP Konkurencieschopnosť a hospodársky rast bolo definované ako "</w:t>
      </w:r>
      <w:r>
        <w:rPr>
          <w:rFonts w:ascii="Franklin Gothic Book" w:hAnsi="Franklin Gothic Book"/>
          <w:b/>
          <w:bCs/>
          <w:lang w:eastAsia="sk-SK"/>
        </w:rPr>
        <w:t>Zvýšenie konkurencieschopnosti podnikov a služieb najmä prostredníctvom inovácií</w:t>
      </w:r>
      <w:r>
        <w:rPr>
          <w:rFonts w:ascii="Franklin Gothic Book" w:hAnsi="Franklin Gothic Book"/>
          <w:lang w:eastAsia="sk-SK"/>
        </w:rPr>
        <w:t>"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hlavné zameranie programového obdobia 2014 - 2020 prostredníctvom OP Výskum a inovácie - časť v kompetencii MH SR - je definované ako „</w:t>
      </w:r>
      <w:r>
        <w:rPr>
          <w:rFonts w:ascii="Franklin Gothic Book" w:hAnsi="Franklin Gothic Book"/>
          <w:b/>
          <w:bCs/>
          <w:lang w:eastAsia="sk-SK"/>
        </w:rPr>
        <w:t xml:space="preserve">Podpora zvyšovania inovačnej, výskumnej a vývojovej schopnosti podnikateľského sektora s dôrazom na zvyšovanie konkurencieschopnosti MSP a podporu výskumu, vývoja a zavádzania </w:t>
      </w:r>
      <w:proofErr w:type="spellStart"/>
      <w:r>
        <w:rPr>
          <w:rFonts w:ascii="Franklin Gothic Book" w:hAnsi="Franklin Gothic Book"/>
          <w:b/>
          <w:bCs/>
          <w:lang w:eastAsia="sk-SK"/>
        </w:rPr>
        <w:t>nízkouhlíkových</w:t>
      </w:r>
      <w:proofErr w:type="spellEnd"/>
      <w:r>
        <w:rPr>
          <w:rFonts w:ascii="Franklin Gothic Book" w:hAnsi="Franklin Gothic Book"/>
          <w:b/>
          <w:bCs/>
          <w:lang w:eastAsia="sk-SK"/>
        </w:rPr>
        <w:t xml:space="preserve"> technológií</w:t>
      </w:r>
      <w:r>
        <w:rPr>
          <w:rFonts w:ascii="Franklin Gothic Book" w:hAnsi="Franklin Gothic Book"/>
          <w:lang w:eastAsia="sk-SK"/>
        </w:rPr>
        <w:t>“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dôraz na obsahové výstupy projektov,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nebudú podporené niektoré aktivity z programového obdobia 2007 - 2013 - konkrétne podpora budovania zelených priemyselných parkov a revitalizácia hnedých priemyselných parkov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 xml:space="preserve">priame prepojenie na štátnu inovačnú politiku prostredníctvom RIS3 SK. </w:t>
      </w:r>
    </w:p>
    <w:p w:rsidR="000C19F3" w:rsidRDefault="000C19F3" w:rsidP="000C19F3">
      <w:p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 xml:space="preserve">Aktivity OP </w:t>
      </w:r>
      <w:proofErr w:type="spellStart"/>
      <w:r>
        <w:rPr>
          <w:rFonts w:ascii="Franklin Gothic Book" w:hAnsi="Franklin Gothic Book"/>
          <w:lang w:eastAsia="sk-SK"/>
        </w:rPr>
        <w:t>VaI</w:t>
      </w:r>
      <w:proofErr w:type="spellEnd"/>
      <w:r>
        <w:rPr>
          <w:rFonts w:ascii="Franklin Gothic Book" w:hAnsi="Franklin Gothic Book"/>
          <w:lang w:eastAsia="sk-SK"/>
        </w:rPr>
        <w:t xml:space="preserve"> v časti "inovácie" reflektuje konkrétne opatrenie z RIS3 Stratégie, pričom podpora MSP je braná ako horizontálna priorita tak pre oblasť inovácií (TC1), ako aj pre TC3.</w:t>
      </w:r>
    </w:p>
    <w:p w:rsidR="000C19F3" w:rsidRDefault="000C19F3" w:rsidP="000C19F3">
      <w:p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V súlade s RIS3 SK budú realizované úplne nové typy aktivít s vyššou pridanou hodnotou a dôrazom na obsah, ktoré v programovom období 2007 - 2013 realizované neboli a to najmä: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 xml:space="preserve">Budovanie nových a podpora existujúcich výskumných, vývojových a inovačných kapacít v podnikoch a/alebo zoskupeniach podnikov (najmä v </w:t>
      </w:r>
      <w:proofErr w:type="spellStart"/>
      <w:r>
        <w:rPr>
          <w:rFonts w:ascii="Franklin Gothic Book" w:hAnsi="Franklin Gothic Book"/>
          <w:lang w:eastAsia="sk-SK"/>
        </w:rPr>
        <w:t>klastroch</w:t>
      </w:r>
      <w:proofErr w:type="spellEnd"/>
      <w:r>
        <w:rPr>
          <w:rFonts w:ascii="Franklin Gothic Book" w:hAnsi="Franklin Gothic Book"/>
          <w:lang w:eastAsia="sk-SK"/>
        </w:rPr>
        <w:t>).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 xml:space="preserve">Podpora sieťovania subjektov, vrátane </w:t>
      </w:r>
      <w:proofErr w:type="spellStart"/>
      <w:r>
        <w:rPr>
          <w:rFonts w:ascii="Franklin Gothic Book" w:hAnsi="Franklin Gothic Book"/>
          <w:lang w:eastAsia="sk-SK"/>
        </w:rPr>
        <w:t>klastrov</w:t>
      </w:r>
      <w:proofErr w:type="spellEnd"/>
      <w:r>
        <w:rPr>
          <w:rFonts w:ascii="Franklin Gothic Book" w:hAnsi="Franklin Gothic Book"/>
          <w:lang w:eastAsia="sk-SK"/>
        </w:rPr>
        <w:t xml:space="preserve"> a klastrových iniciatív a technologických a inovačných platforiem, zapojených do výskumno-vývojových a inovačných aktivít.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Zvyšovanie inovačnej výkonnosti formou špecializovaného poradenstva a nástrojov strategickej inteligencie a technologického predvídania.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lastRenderedPageBreak/>
        <w:t xml:space="preserve">Aplikovaný výskum a vývoj </w:t>
      </w:r>
      <w:proofErr w:type="spellStart"/>
      <w:r>
        <w:rPr>
          <w:rFonts w:ascii="Franklin Gothic Book" w:hAnsi="Franklin Gothic Book"/>
          <w:lang w:eastAsia="sk-SK"/>
        </w:rPr>
        <w:t>nízkouhlíkových</w:t>
      </w:r>
      <w:proofErr w:type="spellEnd"/>
      <w:r>
        <w:rPr>
          <w:rFonts w:ascii="Franklin Gothic Book" w:hAnsi="Franklin Gothic Book"/>
          <w:lang w:eastAsia="sk-SK"/>
        </w:rPr>
        <w:t xml:space="preserve"> technológií.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Zapájanie MSP do komunitárnych programov EÚ.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Rozvoj alternatívnych foriem podnikania (napr. rodinného podnikania).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Monitorovanie podnikateľského prostredia v súlade s uplatňovaním princípu „</w:t>
      </w:r>
      <w:proofErr w:type="spellStart"/>
      <w:r>
        <w:rPr>
          <w:rFonts w:ascii="Franklin Gothic Book" w:hAnsi="Franklin Gothic Book"/>
          <w:lang w:eastAsia="sk-SK"/>
        </w:rPr>
        <w:t>Think</w:t>
      </w:r>
      <w:proofErr w:type="spellEnd"/>
      <w:r>
        <w:rPr>
          <w:rFonts w:ascii="Franklin Gothic Book" w:hAnsi="Franklin Gothic Book"/>
          <w:lang w:eastAsia="sk-SK"/>
        </w:rPr>
        <w:t xml:space="preserve"> </w:t>
      </w:r>
      <w:proofErr w:type="spellStart"/>
      <w:r>
        <w:rPr>
          <w:rFonts w:ascii="Franklin Gothic Book" w:hAnsi="Franklin Gothic Book"/>
          <w:lang w:eastAsia="sk-SK"/>
        </w:rPr>
        <w:t>Small</w:t>
      </w:r>
      <w:proofErr w:type="spellEnd"/>
      <w:r>
        <w:rPr>
          <w:rFonts w:ascii="Franklin Gothic Book" w:hAnsi="Franklin Gothic Book"/>
          <w:lang w:eastAsia="sk-SK"/>
        </w:rPr>
        <w:t xml:space="preserve"> </w:t>
      </w:r>
      <w:proofErr w:type="spellStart"/>
      <w:r>
        <w:rPr>
          <w:rFonts w:ascii="Franklin Gothic Book" w:hAnsi="Franklin Gothic Book"/>
          <w:lang w:eastAsia="sk-SK"/>
        </w:rPr>
        <w:t>First</w:t>
      </w:r>
      <w:proofErr w:type="spellEnd"/>
      <w:r>
        <w:rPr>
          <w:rFonts w:ascii="Franklin Gothic Book" w:hAnsi="Franklin Gothic Book"/>
          <w:lang w:eastAsia="sk-SK"/>
        </w:rPr>
        <w:t>“.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Zvyšovanie štandardov výkonnosti a funkčnosti MSP vrátane zelenej ekonomiky.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Poskytovanie informačných, poradenských a mentorských služieb pre rozvoj MSP.</w:t>
      </w:r>
    </w:p>
    <w:p w:rsidR="000C19F3" w:rsidRDefault="000C19F3" w:rsidP="000C19F3">
      <w:pPr>
        <w:pStyle w:val="Odsekzoznamu"/>
        <w:numPr>
          <w:ilvl w:val="0"/>
          <w:numId w:val="2"/>
        </w:numPr>
        <w:spacing w:after="120" w:line="240" w:lineRule="auto"/>
        <w:jc w:val="both"/>
        <w:rPr>
          <w:rFonts w:ascii="Franklin Gothic Book" w:hAnsi="Franklin Gothic Book"/>
          <w:lang w:eastAsia="sk-SK"/>
        </w:rPr>
      </w:pPr>
      <w:r>
        <w:rPr>
          <w:rFonts w:ascii="Franklin Gothic Book" w:hAnsi="Franklin Gothic Book"/>
          <w:lang w:eastAsia="sk-SK"/>
        </w:rPr>
        <w:t>Tvorba nových obchodných modelov kreatívneho priemyslu</w:t>
      </w:r>
    </w:p>
    <w:p w:rsidR="000C19F3" w:rsidRDefault="000C19F3" w:rsidP="000C19F3">
      <w:pPr>
        <w:pStyle w:val="Popis"/>
      </w:pPr>
      <w:r>
        <w:t xml:space="preserve">Tabuľka </w:t>
      </w:r>
      <w:fldSimple w:instr=" STYLEREF 1 \s ">
        <w:r>
          <w:rPr>
            <w:noProof/>
          </w:rPr>
          <w:t>13</w:t>
        </w:r>
      </w:fldSimple>
      <w:r>
        <w:t>.</w:t>
      </w:r>
      <w:fldSimple w:instr=" SEQ Tabuľka \* ARABIC \s 1 ">
        <w:r>
          <w:rPr>
            <w:noProof/>
          </w:rPr>
          <w:t>2</w:t>
        </w:r>
      </w:fldSimple>
      <w:r>
        <w:tab/>
        <w:t>Rozdiely medzi OP Konkurencieschopnosť a hospodársky rast a OP Výskum a inovácie, časť „inovácie“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374"/>
      </w:tblGrid>
      <w:tr w:rsidR="000C19F3" w:rsidTr="000C19F3">
        <w:trPr>
          <w:cantSplit/>
          <w:trHeight w:val="300"/>
          <w:tblHeader/>
        </w:trPr>
        <w:tc>
          <w:tcPr>
            <w:tcW w:w="2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43634" w:themeFill="accent2" w:themeFillShade="BF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Nástroj podpory OP Konkurencieschopnosť a hospodársky rast 2007 - 2013</w:t>
            </w:r>
          </w:p>
        </w:tc>
        <w:tc>
          <w:tcPr>
            <w:tcW w:w="2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  <w:t>Nástroj OP Výskum a inovácie v kompetencii MH SR</w:t>
            </w:r>
          </w:p>
        </w:tc>
      </w:tr>
      <w:tr w:rsidR="000C19F3" w:rsidTr="000C19F3">
        <w:trPr>
          <w:cantSplit/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b/>
                <w:bCs/>
                <w:color w:val="FFFFFF" w:themeColor="background1"/>
                <w:sz w:val="18"/>
                <w:szCs w:val="18"/>
                <w:lang w:eastAsia="sk-SK"/>
              </w:rPr>
            </w:pPr>
          </w:p>
        </w:tc>
      </w:tr>
      <w:tr w:rsidR="000C19F3" w:rsidTr="000C19F3">
        <w:trPr>
          <w:cantSplit/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Podpora inovácií a technologických transferov</w:t>
            </w:r>
          </w:p>
        </w:tc>
      </w:tr>
      <w:tr w:rsidR="000C19F3" w:rsidTr="000C19F3">
        <w:trPr>
          <w:cantSplit/>
          <w:trHeight w:val="1125"/>
        </w:trPr>
        <w:tc>
          <w:tcPr>
            <w:tcW w:w="2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Aktivity zamerané na modernizáciu strojov, prístrojov a zariadení. Podpora inovácií v priemysle a službách, usmernenie výsledkov výrobného výskumu do plánu, projektu, úpravy alebo návrhu nového, zmeneného alebo vylepšeného výrobku, postupu alebo služby určených na predaj alebo prenájom a ich systematické využívanie pri výrobe materiálov, zariadení, systémov, metód a postupov.</w:t>
            </w: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br w:type="page"/>
              <w:t>Nákup inovatívnych výrobkov, strojov, prístrojov a zariadení.</w:t>
            </w: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br w:type="page"/>
            </w:r>
          </w:p>
        </w:tc>
        <w:tc>
          <w:tcPr>
            <w:tcW w:w="2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Prioritná podpora bude orientovaná na podporu technologického transferu z prostredia vedecko-výskumných organizácií.</w:t>
            </w: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br w:type="page"/>
              <w:t xml:space="preserve">Podpora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>medzisektorových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t xml:space="preserve"> partnerstiev a spolupráce podnikov a výskumných inštitúcií.  Tvorba a podpora spoločných projektov aktérov výskumných, vývojových a inovačných procesov zameraných na zvyšovanie odborných vedomostí, technických zručností, kreativity s cieľom prenosu poznatkov medzi oblasťou vzdelávania a praxou.</w:t>
            </w: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br w:type="page"/>
              <w:t>Podpora zavádzania inovatívnych výrobkov a služieb na trh.</w:t>
            </w:r>
            <w:r>
              <w:rPr>
                <w:rFonts w:ascii="Franklin Gothic Book" w:hAnsi="Franklin Gothic Book"/>
                <w:sz w:val="18"/>
                <w:szCs w:val="18"/>
                <w:lang w:eastAsia="sk-SK"/>
              </w:rPr>
              <w:br w:type="page"/>
            </w:r>
          </w:p>
        </w:tc>
      </w:tr>
      <w:tr w:rsidR="000C19F3" w:rsidTr="000C19F3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</w:tr>
      <w:tr w:rsidR="000C19F3" w:rsidTr="000C19F3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</w:tr>
      <w:tr w:rsidR="000C19F3" w:rsidTr="000C19F3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  <w:lang w:eastAsia="sk-SK"/>
              </w:rPr>
            </w:pPr>
          </w:p>
        </w:tc>
      </w:tr>
      <w:tr w:rsidR="000C19F3" w:rsidTr="000C19F3">
        <w:trPr>
          <w:cantSplit/>
          <w:trHeight w:val="3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Podpora internacionalizácie MSP</w:t>
            </w:r>
          </w:p>
        </w:tc>
      </w:tr>
      <w:tr w:rsidR="000C19F3" w:rsidTr="000C19F3">
        <w:trPr>
          <w:cantSplit/>
          <w:trHeight w:val="1260"/>
        </w:trPr>
        <w:tc>
          <w:tcPr>
            <w:tcW w:w="26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Služba pre MSP zameraná najmä na zvyšovanie konkurencieschopnosti ich výrobkov a služieb na zahraničných trhoch.</w:t>
            </w:r>
          </w:p>
        </w:tc>
        <w:tc>
          <w:tcPr>
            <w:tcW w:w="23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Vytvorenie komplexného systému pre MSP v oblasti podpory internacionalizácie, ktorý prispeje k eliminácii existujúcich bariér (vysoké náklady, neznalosť trhu, regulačné zaťaženie, nedostatočné kapacity a pod.). Vybudovanie tzv.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Trade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pointu, ktorý bude poskytovať komplexné informácie a služby pri internacionalizácii slovenských MSP. Zriadenie špecializovaného portálu, cez ktorý budú voľne dostupné komplexné informácie zamerané na podporu internacionalizácie MSP.</w:t>
            </w:r>
          </w:p>
        </w:tc>
      </w:tr>
      <w:tr w:rsidR="000C19F3" w:rsidTr="000C19F3">
        <w:trPr>
          <w:cantSplit/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</w:p>
        </w:tc>
      </w:tr>
      <w:tr w:rsidR="000C19F3" w:rsidTr="000C19F3">
        <w:trPr>
          <w:cantSplit/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lastRenderedPageBreak/>
              <w:t>Propagácia slovenských výrobkov v zahraničí, medzinárodná spolupráca MSP</w:t>
            </w:r>
          </w:p>
        </w:tc>
      </w:tr>
      <w:tr w:rsidR="000C19F3" w:rsidTr="000C19F3">
        <w:trPr>
          <w:cantSplit/>
          <w:trHeight w:val="195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Účasť slovenských výrobcov na veľtrhoch a výstavách v SR a v zahraničí, na medzinárodných obchodných misiách a konferenciách, účasť podnikateľov na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subkontraktačných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veľtrhoch.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Stratégia sa významne nemení s výnimkou zvýšenia priority podpory prezentačných aktivít skupiny podnikateľov pred jednotlivcami.</w:t>
            </w: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br/>
              <w:t xml:space="preserve">Účasť slovenských podnikov na prezentačných podujatiach. </w:t>
            </w: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br/>
              <w:t>Tvorba prezentačných produktov a materiálov MSP určených pre zahraničné trhy, na účasť na veľtrhoch, výstavách, kooperačných stretnutiach, misiách za účelom medzinárodnej spolupráce MSP.</w:t>
            </w: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br/>
              <w:t>Tvorba alternatívnych obchodných a podporných platforiem.</w:t>
            </w:r>
          </w:p>
        </w:tc>
      </w:tr>
      <w:tr w:rsidR="000C19F3" w:rsidTr="000C19F3">
        <w:trPr>
          <w:cantSplit/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Ochrana práv duševného vlastníctva</w:t>
            </w:r>
          </w:p>
        </w:tc>
      </w:tr>
      <w:tr w:rsidR="000C19F3" w:rsidTr="000C19F3">
        <w:trPr>
          <w:cantSplit/>
          <w:trHeight w:val="885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Podpora projektov spojených s priemyselno-právnou ochranou vynálezov, úžitkových vzorov, ochranných známok a dizajnov na Slovensku a v zahraničí.</w:t>
            </w: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br/>
              <w:t>Technické štúdie realizovateľnosti.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Vytvorenie mechanizmov zvyšovania povedomia o potrebe ochrany práv duševného vlastníctva, ako aj priame mechanizmy ochrany v rámci Európskeho patentového úradu.</w:t>
            </w:r>
          </w:p>
        </w:tc>
      </w:tr>
      <w:tr w:rsidR="000C19F3" w:rsidTr="000C19F3">
        <w:trPr>
          <w:cantSplit/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Elektronické podnikanie</w:t>
            </w:r>
          </w:p>
        </w:tc>
      </w:tr>
      <w:tr w:rsidR="000C19F3" w:rsidTr="000C19F3">
        <w:trPr>
          <w:cantSplit/>
          <w:trHeight w:val="30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Vývoj a zavádzanie aplikácií elektronického obchodu.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Využívanie nástrojov elektronického podnikania MSP. </w:t>
            </w:r>
          </w:p>
        </w:tc>
      </w:tr>
      <w:tr w:rsidR="000C19F3" w:rsidTr="000C19F3">
        <w:trPr>
          <w:cantSplit/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B8B7"/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  <w:lang w:eastAsia="sk-SK"/>
              </w:rPr>
              <w:t>Rozvoj existujúcich MSP prostredníctvom grantov a finančných nástrojov</w:t>
            </w:r>
          </w:p>
        </w:tc>
      </w:tr>
      <w:tr w:rsidR="000C19F3" w:rsidTr="000C19F3">
        <w:trPr>
          <w:cantSplit/>
          <w:trHeight w:val="2070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Podpora MSP formou NFP a návratných foriem pomoci.</w:t>
            </w:r>
          </w:p>
        </w:tc>
        <w:tc>
          <w:tcPr>
            <w:tcW w:w="2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F3" w:rsidRDefault="000C19F3">
            <w:pPr>
              <w:keepNext/>
              <w:spacing w:after="0" w:line="240" w:lineRule="auto"/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</w:pP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Stratégia sa významne nemení. </w:t>
            </w: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br w:type="page"/>
              <w:t xml:space="preserve">Súčasťou aktivity je aj realizácia podpory MSP vo forme NFP zameraná na stimuláciu kooperácie MSP v rámci lokálnych produkčných systémov a s veľkými domácimi a nadnárodnými spoločnosťami, pričom podpora smeruje na krytie nákladov spojených s kreovaním takéhoto typu spolupráce (napr. vytvorenie lokálneho produkčného systému zavádzanie systémov riadenia kvality, </w:t>
            </w:r>
            <w:proofErr w:type="spellStart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>auditovanie</w:t>
            </w:r>
            <w:proofErr w:type="spellEnd"/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t xml:space="preserve"> MSP pred vstupom do spolupráce s veľkým podnikom a pod.).</w:t>
            </w:r>
            <w:r>
              <w:rPr>
                <w:rFonts w:ascii="Franklin Gothic Book" w:hAnsi="Franklin Gothic Book"/>
                <w:color w:val="auto"/>
                <w:sz w:val="18"/>
                <w:szCs w:val="18"/>
                <w:lang w:eastAsia="sk-SK"/>
              </w:rPr>
              <w:br w:type="page"/>
            </w:r>
          </w:p>
        </w:tc>
      </w:tr>
    </w:tbl>
    <w:p w:rsidR="00565E4D" w:rsidRDefault="00565E4D"/>
    <w:sectPr w:rsidR="0056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7AC4"/>
    <w:multiLevelType w:val="hybridMultilevel"/>
    <w:tmpl w:val="F4FAD9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140C22">
      <w:numFmt w:val="bullet"/>
      <w:lvlText w:val="•"/>
      <w:lvlJc w:val="left"/>
      <w:pPr>
        <w:ind w:left="1125" w:hanging="405"/>
      </w:pPr>
      <w:rPr>
        <w:rFonts w:ascii="Franklin Gothic Book" w:eastAsia="Times New Roman" w:hAnsi="Franklin Gothic Book"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F792297"/>
    <w:multiLevelType w:val="hybridMultilevel"/>
    <w:tmpl w:val="BD34F5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F3"/>
    <w:rsid w:val="00004816"/>
    <w:rsid w:val="00034B6E"/>
    <w:rsid w:val="000504B8"/>
    <w:rsid w:val="000541BA"/>
    <w:rsid w:val="000562EB"/>
    <w:rsid w:val="00060D09"/>
    <w:rsid w:val="00061B09"/>
    <w:rsid w:val="000632A4"/>
    <w:rsid w:val="00073B33"/>
    <w:rsid w:val="0008685A"/>
    <w:rsid w:val="0009379A"/>
    <w:rsid w:val="00095D60"/>
    <w:rsid w:val="000C19F3"/>
    <w:rsid w:val="000C28AE"/>
    <w:rsid w:val="000C3502"/>
    <w:rsid w:val="000D2A77"/>
    <w:rsid w:val="000F5D53"/>
    <w:rsid w:val="00170A79"/>
    <w:rsid w:val="00173608"/>
    <w:rsid w:val="00181BEC"/>
    <w:rsid w:val="00194BBD"/>
    <w:rsid w:val="001954D4"/>
    <w:rsid w:val="00196C44"/>
    <w:rsid w:val="001C12AA"/>
    <w:rsid w:val="001D207D"/>
    <w:rsid w:val="001F0959"/>
    <w:rsid w:val="0021533F"/>
    <w:rsid w:val="00215D8F"/>
    <w:rsid w:val="00220D3F"/>
    <w:rsid w:val="00236E33"/>
    <w:rsid w:val="0025593D"/>
    <w:rsid w:val="002940E7"/>
    <w:rsid w:val="00296F65"/>
    <w:rsid w:val="002B152A"/>
    <w:rsid w:val="002B7CBC"/>
    <w:rsid w:val="002D3B67"/>
    <w:rsid w:val="002E6862"/>
    <w:rsid w:val="002F5062"/>
    <w:rsid w:val="00301D0F"/>
    <w:rsid w:val="003046EE"/>
    <w:rsid w:val="003250CB"/>
    <w:rsid w:val="00331650"/>
    <w:rsid w:val="00337B87"/>
    <w:rsid w:val="00337D52"/>
    <w:rsid w:val="0034503B"/>
    <w:rsid w:val="00351589"/>
    <w:rsid w:val="0035422E"/>
    <w:rsid w:val="0036271A"/>
    <w:rsid w:val="003A0AD2"/>
    <w:rsid w:val="003A7ABF"/>
    <w:rsid w:val="003B4730"/>
    <w:rsid w:val="003D79C3"/>
    <w:rsid w:val="003E5455"/>
    <w:rsid w:val="003F383B"/>
    <w:rsid w:val="00405336"/>
    <w:rsid w:val="00406A69"/>
    <w:rsid w:val="004228D8"/>
    <w:rsid w:val="00432566"/>
    <w:rsid w:val="00444130"/>
    <w:rsid w:val="00455958"/>
    <w:rsid w:val="004568A3"/>
    <w:rsid w:val="0046008C"/>
    <w:rsid w:val="004778A4"/>
    <w:rsid w:val="00480ADC"/>
    <w:rsid w:val="00482B8E"/>
    <w:rsid w:val="00483AA7"/>
    <w:rsid w:val="00484629"/>
    <w:rsid w:val="00494794"/>
    <w:rsid w:val="004D306C"/>
    <w:rsid w:val="004D53F5"/>
    <w:rsid w:val="005110EE"/>
    <w:rsid w:val="00513061"/>
    <w:rsid w:val="00515FE6"/>
    <w:rsid w:val="005205F5"/>
    <w:rsid w:val="0052152C"/>
    <w:rsid w:val="0052512F"/>
    <w:rsid w:val="005377B4"/>
    <w:rsid w:val="00550534"/>
    <w:rsid w:val="00550DAB"/>
    <w:rsid w:val="00562921"/>
    <w:rsid w:val="00565E4D"/>
    <w:rsid w:val="00574B75"/>
    <w:rsid w:val="00577CFB"/>
    <w:rsid w:val="005972D4"/>
    <w:rsid w:val="00597874"/>
    <w:rsid w:val="005B38D3"/>
    <w:rsid w:val="005B4B11"/>
    <w:rsid w:val="005B74E0"/>
    <w:rsid w:val="005D4AA8"/>
    <w:rsid w:val="005E2617"/>
    <w:rsid w:val="005E4DA1"/>
    <w:rsid w:val="005F0DA5"/>
    <w:rsid w:val="005F6940"/>
    <w:rsid w:val="005F7212"/>
    <w:rsid w:val="006036B1"/>
    <w:rsid w:val="00624515"/>
    <w:rsid w:val="00626224"/>
    <w:rsid w:val="00646393"/>
    <w:rsid w:val="006537A3"/>
    <w:rsid w:val="0065552D"/>
    <w:rsid w:val="00667852"/>
    <w:rsid w:val="006725A1"/>
    <w:rsid w:val="00673EE3"/>
    <w:rsid w:val="0067460D"/>
    <w:rsid w:val="00687679"/>
    <w:rsid w:val="0069660A"/>
    <w:rsid w:val="006B7EBC"/>
    <w:rsid w:val="006E50C7"/>
    <w:rsid w:val="006F52A4"/>
    <w:rsid w:val="00701A36"/>
    <w:rsid w:val="00703063"/>
    <w:rsid w:val="00707AAE"/>
    <w:rsid w:val="00717F67"/>
    <w:rsid w:val="00737AF3"/>
    <w:rsid w:val="00750EB6"/>
    <w:rsid w:val="007528AD"/>
    <w:rsid w:val="00767F8A"/>
    <w:rsid w:val="007908A8"/>
    <w:rsid w:val="007A2543"/>
    <w:rsid w:val="007B7F39"/>
    <w:rsid w:val="007E2F77"/>
    <w:rsid w:val="007E3C3A"/>
    <w:rsid w:val="007E75BF"/>
    <w:rsid w:val="008226E5"/>
    <w:rsid w:val="008260CF"/>
    <w:rsid w:val="00831FFD"/>
    <w:rsid w:val="008717C6"/>
    <w:rsid w:val="00877822"/>
    <w:rsid w:val="008B6FE5"/>
    <w:rsid w:val="008C5539"/>
    <w:rsid w:val="008C56E5"/>
    <w:rsid w:val="008F1080"/>
    <w:rsid w:val="00905C60"/>
    <w:rsid w:val="0093363F"/>
    <w:rsid w:val="00973E79"/>
    <w:rsid w:val="0098085E"/>
    <w:rsid w:val="00985AAA"/>
    <w:rsid w:val="00987812"/>
    <w:rsid w:val="00990CDC"/>
    <w:rsid w:val="009B6622"/>
    <w:rsid w:val="009C2C91"/>
    <w:rsid w:val="009E5653"/>
    <w:rsid w:val="009F7F40"/>
    <w:rsid w:val="00A06AB9"/>
    <w:rsid w:val="00A140B7"/>
    <w:rsid w:val="00A3030D"/>
    <w:rsid w:val="00A35D5E"/>
    <w:rsid w:val="00A400F1"/>
    <w:rsid w:val="00A51B70"/>
    <w:rsid w:val="00A55B7C"/>
    <w:rsid w:val="00A57489"/>
    <w:rsid w:val="00A61159"/>
    <w:rsid w:val="00A65C73"/>
    <w:rsid w:val="00AD1C9B"/>
    <w:rsid w:val="00AE71B5"/>
    <w:rsid w:val="00B11424"/>
    <w:rsid w:val="00B12506"/>
    <w:rsid w:val="00B2061B"/>
    <w:rsid w:val="00B2459A"/>
    <w:rsid w:val="00B52057"/>
    <w:rsid w:val="00B812D3"/>
    <w:rsid w:val="00B871B6"/>
    <w:rsid w:val="00BA37F2"/>
    <w:rsid w:val="00BC3ECA"/>
    <w:rsid w:val="00BC4673"/>
    <w:rsid w:val="00BD2407"/>
    <w:rsid w:val="00BD4BCB"/>
    <w:rsid w:val="00BE121D"/>
    <w:rsid w:val="00BE4540"/>
    <w:rsid w:val="00BF2F69"/>
    <w:rsid w:val="00C1073D"/>
    <w:rsid w:val="00C12359"/>
    <w:rsid w:val="00C12546"/>
    <w:rsid w:val="00C23FD2"/>
    <w:rsid w:val="00C37C8F"/>
    <w:rsid w:val="00C414D3"/>
    <w:rsid w:val="00C4572D"/>
    <w:rsid w:val="00C660FE"/>
    <w:rsid w:val="00C72C3B"/>
    <w:rsid w:val="00C85BF8"/>
    <w:rsid w:val="00C97C33"/>
    <w:rsid w:val="00CB01C7"/>
    <w:rsid w:val="00CB1564"/>
    <w:rsid w:val="00CC15AC"/>
    <w:rsid w:val="00CC2F0C"/>
    <w:rsid w:val="00CD3BA0"/>
    <w:rsid w:val="00D21EEC"/>
    <w:rsid w:val="00D32B97"/>
    <w:rsid w:val="00D4549F"/>
    <w:rsid w:val="00D67AE8"/>
    <w:rsid w:val="00D736D9"/>
    <w:rsid w:val="00DA5C1F"/>
    <w:rsid w:val="00DB3008"/>
    <w:rsid w:val="00DF1E34"/>
    <w:rsid w:val="00E01AC4"/>
    <w:rsid w:val="00E12A13"/>
    <w:rsid w:val="00E142F1"/>
    <w:rsid w:val="00E16258"/>
    <w:rsid w:val="00E4209A"/>
    <w:rsid w:val="00E555AB"/>
    <w:rsid w:val="00E56646"/>
    <w:rsid w:val="00E61A5D"/>
    <w:rsid w:val="00E62F01"/>
    <w:rsid w:val="00E97017"/>
    <w:rsid w:val="00EA405E"/>
    <w:rsid w:val="00EC4691"/>
    <w:rsid w:val="00EC7924"/>
    <w:rsid w:val="00ED53C1"/>
    <w:rsid w:val="00EE1024"/>
    <w:rsid w:val="00EF61B2"/>
    <w:rsid w:val="00F0239B"/>
    <w:rsid w:val="00F034F5"/>
    <w:rsid w:val="00F05D64"/>
    <w:rsid w:val="00F208F1"/>
    <w:rsid w:val="00F24228"/>
    <w:rsid w:val="00F371D7"/>
    <w:rsid w:val="00F76B87"/>
    <w:rsid w:val="00F8705B"/>
    <w:rsid w:val="00FA72D5"/>
    <w:rsid w:val="00FA79B4"/>
    <w:rsid w:val="00FC1EAD"/>
    <w:rsid w:val="00FC7562"/>
    <w:rsid w:val="00FD3AA7"/>
    <w:rsid w:val="00FE30E9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19F3"/>
    <w:pPr>
      <w:spacing w:after="16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99"/>
    <w:semiHidden/>
    <w:unhideWhenUsed/>
    <w:qFormat/>
    <w:rsid w:val="000C19F3"/>
    <w:pPr>
      <w:keepNext/>
      <w:spacing w:before="240" w:after="60" w:line="240" w:lineRule="auto"/>
      <w:ind w:left="1358" w:hanging="1358"/>
      <w:jc w:val="both"/>
    </w:pPr>
    <w:rPr>
      <w:rFonts w:ascii="Franklin Gothic Book" w:hAnsi="Franklin Gothic Book"/>
      <w:b/>
      <w:color w:val="9F2936"/>
      <w:sz w:val="20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0C19F3"/>
    <w:rPr>
      <w:color w:val="00000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0C19F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19F3"/>
    <w:pPr>
      <w:spacing w:after="16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uiPriority w:val="99"/>
    <w:semiHidden/>
    <w:unhideWhenUsed/>
    <w:qFormat/>
    <w:rsid w:val="000C19F3"/>
    <w:pPr>
      <w:keepNext/>
      <w:spacing w:before="240" w:after="60" w:line="240" w:lineRule="auto"/>
      <w:ind w:left="1358" w:hanging="1358"/>
      <w:jc w:val="both"/>
    </w:pPr>
    <w:rPr>
      <w:rFonts w:ascii="Franklin Gothic Book" w:hAnsi="Franklin Gothic Book"/>
      <w:b/>
      <w:color w:val="9F2936"/>
      <w:sz w:val="20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0C19F3"/>
    <w:rPr>
      <w:color w:val="00000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0C19F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WKX3UHSAJ2R6-2-378204</_dlc_DocId>
    <_dlc_DocIdUrl xmlns="e60a29af-d413-48d4-bd90-fe9d2a897e4b">
      <Url>https://ovdmasv601/sites/DMS/_layouts/15/DocIdRedir.aspx?ID=WKX3UHSAJ2R6-2-378204</Url>
      <Description>WKX3UHSAJ2R6-2-378204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23D2F9-1F22-4CE1-A2CC-F92819229A90}"/>
</file>

<file path=customXml/itemProps2.xml><?xml version="1.0" encoding="utf-8"?>
<ds:datastoreItem xmlns:ds="http://schemas.openxmlformats.org/officeDocument/2006/customXml" ds:itemID="{9B3D9DA4-DD20-4754-B788-944A53D1215D}"/>
</file>

<file path=customXml/itemProps3.xml><?xml version="1.0" encoding="utf-8"?>
<ds:datastoreItem xmlns:ds="http://schemas.openxmlformats.org/officeDocument/2006/customXml" ds:itemID="{7198F00E-EEBC-43DD-BA97-8EB1F0BF64C1}"/>
</file>

<file path=customXml/itemProps4.xml><?xml version="1.0" encoding="utf-8"?>
<ds:datastoreItem xmlns:ds="http://schemas.openxmlformats.org/officeDocument/2006/customXml" ds:itemID="{98E1717B-3246-4019-AA96-2BF88280F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Uhrinova</dc:creator>
  <cp:lastModifiedBy>Uhrínová Andrea</cp:lastModifiedBy>
  <cp:revision>3</cp:revision>
  <dcterms:created xsi:type="dcterms:W3CDTF">2014-05-07T01:39:00Z</dcterms:created>
  <dcterms:modified xsi:type="dcterms:W3CDTF">2014-05-07T09:15:00Z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7358145e-7f0b-41eb-9dc3-74dddbdead57</vt:lpwstr>
  </property>
</Properties>
</file>