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EE4842" w14:textId="77777777" w:rsidR="00113AE4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045CB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14:paraId="1556C7C6" w14:textId="77777777" w:rsidR="001B23B7" w:rsidRPr="006045CB" w:rsidRDefault="001B23B7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3D3AA875" w14:textId="77777777" w:rsidR="001B23B7" w:rsidRPr="00B043B4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1B23B7" w:rsidRPr="00B043B4" w14:paraId="31245F60" w14:textId="77777777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0E5D6CD2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1B23B7" w:rsidRPr="00B043B4" w14:paraId="4C736602" w14:textId="77777777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5B6BAA5C" w14:textId="77777777"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1B23B7" w:rsidRPr="00B043B4" w14:paraId="36BEAFF1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14:paraId="021D4BB9" w14:textId="77777777" w:rsidR="001B23B7" w:rsidRPr="00B043B4" w:rsidRDefault="00731C3A" w:rsidP="00731C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31C3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Návrh zákona, ktorým sa mení a dopĺňa zákon č. 264/2022 Z. z. o mediálnych službách a o zmene a doplnení niektorých zákonov (zákon o mediálnych službách) v znení </w:t>
            </w:r>
            <w:r w:rsidR="004115E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neskorších predpisov </w:t>
            </w:r>
            <w:r w:rsidRPr="00731C3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</w:t>
            </w:r>
            <w:r w:rsidR="000433C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o zmene a doplnení niektorých zákonov</w:t>
            </w:r>
          </w:p>
          <w:p w14:paraId="38EEA863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14:paraId="1088FD66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4C707017" w14:textId="77777777"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1B23B7" w:rsidRPr="00B043B4" w14:paraId="17DC3BE6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6DD9C4" w14:textId="77777777" w:rsidR="001B23B7" w:rsidRPr="00B043B4" w:rsidRDefault="00731C3A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Ministerstvo kultúry Slovenskej republiky</w:t>
            </w:r>
          </w:p>
          <w:p w14:paraId="7B481861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14:paraId="50E841D9" w14:textId="77777777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14:paraId="76F2A75D" w14:textId="77777777"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560B9F8F" w14:textId="77777777" w:rsidR="001B23B7" w:rsidRPr="00B043B4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505B2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1B23B7" w:rsidRPr="00B043B4" w14:paraId="7645845F" w14:textId="77777777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793306E8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359CF3C2" w14:textId="77777777" w:rsidR="001B23B7" w:rsidRPr="00B043B4" w:rsidRDefault="00731C3A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61402E85" w14:textId="77777777" w:rsidR="001B23B7" w:rsidRPr="00B043B4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1B23B7" w:rsidRPr="00B043B4" w14:paraId="523EA2DF" w14:textId="77777777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14:paraId="63F42B78" w14:textId="77777777" w:rsidR="001B23B7" w:rsidRPr="00EB4027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29347748" w14:textId="2E713BD2" w:rsidR="001B23B7" w:rsidRPr="00EB4027" w:rsidRDefault="009A258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EB4027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5CD0D315" w14:textId="220258BB" w:rsidR="001B23B7" w:rsidRPr="00EB4027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B402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</w:t>
            </w:r>
            <w:r w:rsidR="004654EA" w:rsidRPr="00EB402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/implementácia</w:t>
            </w:r>
            <w:r w:rsidRPr="00EB402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práva EÚ</w:t>
            </w:r>
          </w:p>
        </w:tc>
      </w:tr>
      <w:tr w:rsidR="001B23B7" w:rsidRPr="00B043B4" w14:paraId="1A0D3237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14:paraId="47FB2179" w14:textId="4E87102D" w:rsidR="001B23B7" w:rsidRPr="00EB4027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EB40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</w:t>
            </w:r>
            <w:r w:rsidR="009A2583" w:rsidRPr="00EB40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/implementácie</w:t>
            </w:r>
            <w:r w:rsidRPr="00EB40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uveďte zoznam transponovaných</w:t>
            </w:r>
            <w:r w:rsidR="009A2583" w:rsidRPr="00EB40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 implementovaných</w:t>
            </w:r>
            <w:r w:rsidRPr="00EB40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predpisov:</w:t>
            </w:r>
          </w:p>
          <w:p w14:paraId="71241996" w14:textId="77777777" w:rsidR="001B23B7" w:rsidRPr="00EB4027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10F675EC" w14:textId="335B1B17" w:rsidR="009A2583" w:rsidRPr="00EB4027" w:rsidRDefault="009A2583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B402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Nariadenie Európskeho parlamentu a Rady (EÚ) 2022/2065 z 19. októbra 2022 o jednotnom trhu s digitálnymi službami a o zmene smernice 2000/31/ES (akt o digitálnych službách) (</w:t>
            </w:r>
            <w:r w:rsidRPr="00EB40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Ú. v. EÚ L 277, 27.10.2022</w:t>
            </w:r>
            <w:r w:rsidRPr="00EB402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)</w:t>
            </w:r>
          </w:p>
          <w:p w14:paraId="2FF053E7" w14:textId="77777777" w:rsidR="009A2583" w:rsidRPr="00EB4027" w:rsidRDefault="009A2583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A7686A3" w14:textId="77777777" w:rsidR="009A2583" w:rsidRDefault="009A2583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B402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Nariadenie Európskeho parlamentu a Rady (EÚ) 2019/1150 z 20. júna 2019 o podpore spravodlivosti a transparentnosti pre komerčných používateľov </w:t>
            </w:r>
            <w:proofErr w:type="spellStart"/>
            <w:r w:rsidRPr="00EB402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online</w:t>
            </w:r>
            <w:proofErr w:type="spellEnd"/>
            <w:r w:rsidRPr="00EB402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sprostredkovateľských služieb (</w:t>
            </w:r>
            <w:r w:rsidRPr="00EB40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Ú. v. EÚ L 186, 11.7.2019</w:t>
            </w:r>
            <w:r w:rsidRPr="00EB402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)</w:t>
            </w:r>
          </w:p>
          <w:p w14:paraId="786B5783" w14:textId="77777777" w:rsidR="00E14664" w:rsidRDefault="00E14664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49092CD5" w14:textId="0A168D4E" w:rsidR="00E14664" w:rsidRPr="00EB4027" w:rsidRDefault="00E14664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Smernica </w:t>
            </w:r>
            <w:r w:rsidR="0057044A" w:rsidRPr="0057044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Európskeho parlamentu a</w:t>
            </w:r>
            <w:r w:rsidR="0057044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  <w:r w:rsidR="0057044A" w:rsidRPr="0057044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Rady</w:t>
            </w:r>
            <w:r w:rsidR="0057044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E1466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2010/13/EÚ z 10. marca 2010 o koordinácii niektorých ustanovení upravených zákonom, iným právnym predpisom alebo správnym opatrením v členských štátoch týkajúcich sa poskytovania audiovizuálnych mediálnych služieb (smernica o audiovizuálnych mediálnych službách) </w:t>
            </w:r>
            <w:r w:rsidRPr="00E1466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(Ú. v. EÚ L 95, 15.4.2010)</w:t>
            </w:r>
            <w:r w:rsidRPr="00E1466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 platnom znení</w:t>
            </w:r>
          </w:p>
          <w:p w14:paraId="083FFE58" w14:textId="16D3126C" w:rsidR="009A2583" w:rsidRPr="00EB4027" w:rsidRDefault="009A2583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14:paraId="23A6C28D" w14:textId="77777777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74C1CF5" w14:textId="77777777"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698" w14:textId="77777777" w:rsidR="001B23B7" w:rsidRPr="00B043B4" w:rsidRDefault="00731C3A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September 2023</w:t>
            </w:r>
          </w:p>
        </w:tc>
      </w:tr>
      <w:tr w:rsidR="001B23B7" w:rsidRPr="00B043B4" w14:paraId="097E8674" w14:textId="77777777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F8270F1" w14:textId="77777777" w:rsidR="001B23B7" w:rsidRPr="00B043B4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</w:t>
            </w:r>
            <w:r>
              <w:rPr>
                <w:rFonts w:ascii="Times New Roman" w:eastAsia="Calibri" w:hAnsi="Times New Roman" w:cs="Times New Roman"/>
                <w:b/>
              </w:rPr>
              <w:t xml:space="preserve">adaný termín predloženia na </w:t>
            </w:r>
            <w:r w:rsidR="00A340BB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9F99" w14:textId="724CBEC1" w:rsidR="001B23B7" w:rsidRPr="00B043B4" w:rsidRDefault="00072EC4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Január </w:t>
            </w:r>
            <w:r w:rsidR="00731C3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202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4</w:t>
            </w:r>
          </w:p>
        </w:tc>
      </w:tr>
      <w:tr w:rsidR="001B23B7" w:rsidRPr="00B043B4" w14:paraId="5A01B4F6" w14:textId="77777777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5F8C9C2" w14:textId="77777777" w:rsidR="001B23B7" w:rsidRPr="00B043B4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B043B4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0B77" w14:textId="77777777" w:rsidR="001B23B7" w:rsidRPr="00B043B4" w:rsidRDefault="001B23B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14:paraId="6876849B" w14:textId="77777777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E882E51" w14:textId="77777777" w:rsidR="001B23B7" w:rsidRPr="00B043B4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90F3" w14:textId="461B478C" w:rsidR="001B23B7" w:rsidRPr="00B043B4" w:rsidRDefault="00511E2A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Marec</w:t>
            </w:r>
            <w:r w:rsidR="00072E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731C3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202</w:t>
            </w:r>
            <w:r w:rsidR="00072E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4</w:t>
            </w:r>
          </w:p>
        </w:tc>
      </w:tr>
      <w:tr w:rsidR="001B23B7" w:rsidRPr="00B043B4" w14:paraId="53BB5F0F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5CA0F58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14:paraId="256D27CF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63AB636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1B23B7" w:rsidRPr="00B043B4" w14:paraId="15AB3BE7" w14:textId="77777777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D0325" w14:textId="77777777"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základné problémy, ktoré sú dôvodom vypracovania predkladaného  materiálu (dôvody majú presne poukázať na problém, ktorý existuje a je nutné ho predloženým materiálom riešiť).</w:t>
            </w:r>
          </w:p>
          <w:p w14:paraId="0D8E7F35" w14:textId="77777777" w:rsidR="001B23B7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2EB2C2C9" w14:textId="77777777" w:rsidR="00523448" w:rsidRDefault="00523448" w:rsidP="005234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C56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Nariadenie Európskeho parlamentu a Rady (EÚ) 2022/2065 z 19. októbra 2022 o jednotnom trhu s digitálnymi službami a o zmene smernice 2000/31/ES (akt o digitálnych službách) (Ú. v. EÚ L 277, 27.10.2022) (ďalej len „nariadenie (EÚ) 2022/2065“)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9C56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je novou celoeurópskou reguláciou internetového obsahu v rámci poskytovania sprostredkovateľských služieb. V zmysle hesla „čo je nezákonné </w:t>
            </w:r>
            <w:proofErr w:type="spellStart"/>
            <w:r w:rsidRPr="009C56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offline</w:t>
            </w:r>
            <w:proofErr w:type="spellEnd"/>
            <w:r w:rsidRPr="009C56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je nezákonné aj </w:t>
            </w:r>
            <w:proofErr w:type="spellStart"/>
            <w:r w:rsidRPr="009C56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online</w:t>
            </w:r>
            <w:proofErr w:type="spellEnd"/>
            <w:r w:rsidRPr="009C56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“ zavádza nové harmonizované pravidlá pre poskytovateľov sprostredkovateľských služieb, vrátane sociálnych sietí, </w:t>
            </w:r>
            <w:proofErr w:type="spellStart"/>
            <w:r w:rsidRPr="009C56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online</w:t>
            </w:r>
            <w:proofErr w:type="spellEnd"/>
            <w:r w:rsidRPr="009C56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trhovísk, internetových vyhľadávačov, webhostingových a </w:t>
            </w:r>
            <w:proofErr w:type="spellStart"/>
            <w:r w:rsidRPr="009C56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cloudových</w:t>
            </w:r>
            <w:proofErr w:type="spellEnd"/>
            <w:r w:rsidRPr="009C56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služieb, </w:t>
            </w:r>
            <w:proofErr w:type="spellStart"/>
            <w:r w:rsidRPr="009C56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online</w:t>
            </w:r>
            <w:proofErr w:type="spellEnd"/>
            <w:r w:rsidRPr="009C56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cestovných a ubytovacích platforiem, obchodov s aplikáciami a iných typov </w:t>
            </w:r>
            <w:proofErr w:type="spellStart"/>
            <w:r w:rsidRPr="009C56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online</w:t>
            </w:r>
            <w:proofErr w:type="spellEnd"/>
            <w:r w:rsidRPr="009C56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platforiem. Regulácii budú podliehať aj poskytovatelia z tretích krajín, ak svoje sl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užby poskytujú užívateľom v Európskej únii (EÚ).</w:t>
            </w:r>
          </w:p>
          <w:p w14:paraId="1AE76B25" w14:textId="77777777" w:rsidR="00523448" w:rsidRDefault="00523448" w:rsidP="005234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B0620EA" w14:textId="77777777" w:rsidR="00523448" w:rsidRPr="009C5676" w:rsidRDefault="00523448" w:rsidP="005234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C56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Cieľom nariadenia (EÚ) 2022/2065 je prispieť k budovaniu bezpečnejšieho a transparentnejšieho </w:t>
            </w:r>
            <w:proofErr w:type="spellStart"/>
            <w:r w:rsidRPr="009C56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online</w:t>
            </w:r>
            <w:proofErr w:type="spellEnd"/>
            <w:r w:rsidRPr="009C56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prostredia, zlepšeniu podmienok poskytovania cezhraničných sprostredkovateľských služieb, zlepšeniu postavenia spotrebiteľov a posilneniu ochrany základných práv užívateľov v </w:t>
            </w:r>
            <w:proofErr w:type="spellStart"/>
            <w:r w:rsidRPr="009C56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online</w:t>
            </w:r>
            <w:proofErr w:type="spellEnd"/>
            <w:r w:rsidRPr="009C56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priestore. Obsahom nariadenia (EÚ) 2022/2065 sú cielené opatrenia na efektívnejší boj proti nezákonnému obsahu šírenému prostredníctvom </w:t>
            </w:r>
            <w:proofErr w:type="spellStart"/>
            <w:r w:rsidRPr="009C56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online</w:t>
            </w:r>
            <w:proofErr w:type="spellEnd"/>
            <w:r w:rsidRPr="009C56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sprostredkovateľských služieb a nové povinnosti pre poskytovateľov týchto služieb, diverzifikované podľa veľkosti a typu poskytovateľa. Navrhovanou celoeurópskou štruktúrou dohľadu, ktorá má byť založená na intenzívnej spolupráci medzi koordinátormi digitálnych služieb a Európskou komisiou, sa má zaistiť bezpečné, predvídateľné a dôveryhodné </w:t>
            </w:r>
            <w:proofErr w:type="spellStart"/>
            <w:r w:rsidRPr="009C56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online</w:t>
            </w:r>
            <w:proofErr w:type="spellEnd"/>
            <w:r w:rsidRPr="009C56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prostredie.</w:t>
            </w:r>
          </w:p>
          <w:p w14:paraId="560E1503" w14:textId="77777777" w:rsidR="009C5676" w:rsidRDefault="009C5676" w:rsidP="009C56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>V zmysle n</w:t>
            </w:r>
            <w:r w:rsidRPr="009C56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ariadenia </w:t>
            </w:r>
            <w:r w:rsidR="00523448" w:rsidRPr="009C56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(EÚ) 2022/2065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majú členské štáty Európskej únie povinnosť do 17. februára 2024 určiť národného koordinátora digitálnych služieb, ktorý bude zodpovedný za všetky záležitosti týkajúce sa dohľadu a presadzovania tohto nariadenia. V tento istý deň sa nariadenie </w:t>
            </w:r>
            <w:r w:rsidR="00523448" w:rsidRPr="009C56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(EÚ) 2022/2065</w:t>
            </w:r>
            <w:r w:rsidR="005234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s výnimkou vybraných ustanovení, </w:t>
            </w:r>
            <w:r w:rsidR="00CE274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začne </w:t>
            </w:r>
            <w:r w:rsidR="005234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uplatňovať. Určený koordinátor digitálnych služieb bude zodpovedný za zabezpečenie koordinácie úloh na vnútroštátnej úrovni a za prínos k účinnému a konzistentnému dohľadu a presadzovaniu predmetného nariadenia v celej EÚ.</w:t>
            </w:r>
          </w:p>
          <w:p w14:paraId="7548F15F" w14:textId="77777777" w:rsidR="009C5676" w:rsidRDefault="009C5676" w:rsidP="009C56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EF919B6" w14:textId="492B2263" w:rsidR="00CE274C" w:rsidRDefault="009C5676" w:rsidP="009C56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C56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Návrhom zákona </w:t>
            </w:r>
            <w:r w:rsidR="00CE274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sa má preto zabezpečiť</w:t>
            </w:r>
            <w:r w:rsidR="005234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implementácia nariadenia </w:t>
            </w:r>
            <w:r w:rsidR="00523448" w:rsidRPr="009C56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(EÚ) 2022/2065</w:t>
            </w:r>
            <w:r w:rsidR="005234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do</w:t>
            </w:r>
            <w:r w:rsidR="00CE274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slovenského právneho poriadku</w:t>
            </w:r>
            <w:r w:rsidR="005234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  <w:r w:rsidRPr="009C56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  <w:p w14:paraId="755C3A93" w14:textId="77777777" w:rsidR="00CE274C" w:rsidRDefault="00CE274C" w:rsidP="009C56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6E4002F9" w14:textId="77777777" w:rsidR="00295C7D" w:rsidRPr="00295C7D" w:rsidRDefault="00295C7D" w:rsidP="00295C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95C7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Návrhom zákona sa implementuje aj nariadenie Európskeho parlamentu a Rady (EÚ) 2019/1150 z 20. júna 2019 o podpore spravodlivosti a transparentnosti pre komerčných používateľov </w:t>
            </w:r>
            <w:proofErr w:type="spellStart"/>
            <w:r w:rsidRPr="00295C7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online</w:t>
            </w:r>
            <w:proofErr w:type="spellEnd"/>
            <w:r w:rsidRPr="00295C7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sprostredkovateľských služieb (Ú. v. EÚ L 186, 11.7.2019) (ďalej len „nariadenie (EÚ) 2019/1150“). Nariadenie (EÚ) 2019/1150 sa uplatňuje na poskytovateľov </w:t>
            </w:r>
            <w:proofErr w:type="spellStart"/>
            <w:r w:rsidRPr="00295C7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online</w:t>
            </w:r>
            <w:proofErr w:type="spellEnd"/>
            <w:r w:rsidRPr="00295C7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sprostredkovateľských služieb a internetové vyhľadávače (najmä </w:t>
            </w:r>
            <w:proofErr w:type="spellStart"/>
            <w:r w:rsidRPr="00295C7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online</w:t>
            </w:r>
            <w:proofErr w:type="spellEnd"/>
            <w:r w:rsidRPr="00295C7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trhoviská, obchody s aplikáciami, sociálne médiá pre podnikateľov, nástroje na porovnávanie cien a všeobecné </w:t>
            </w:r>
            <w:proofErr w:type="spellStart"/>
            <w:r w:rsidRPr="00295C7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online</w:t>
            </w:r>
            <w:proofErr w:type="spellEnd"/>
            <w:r w:rsidRPr="00295C7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vyhľadávače), prostredníctvom ktorých obchodníci v EÚ ponúkajú tovar alebo služby spotrebiteľom v EÚ. Cieľom tejto regulácie je zvýšiť spravodlivosť a transparentnosť </w:t>
            </w:r>
            <w:proofErr w:type="spellStart"/>
            <w:r w:rsidRPr="00295C7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online</w:t>
            </w:r>
            <w:proofErr w:type="spellEnd"/>
            <w:r w:rsidRPr="00295C7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podnikateľského prostredia, ktoré podnikom umožňuje cezhraničné pôsobenie na vnútornom trhu EÚ. Nariadenie (EÚ) 2019/1150 zavádza viaceré povinnosti pre </w:t>
            </w:r>
            <w:proofErr w:type="spellStart"/>
            <w:r w:rsidRPr="00295C7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online</w:t>
            </w:r>
            <w:proofErr w:type="spellEnd"/>
            <w:r w:rsidRPr="00295C7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sprostredkovateľské služby a </w:t>
            </w:r>
            <w:proofErr w:type="spellStart"/>
            <w:r w:rsidRPr="00295C7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online</w:t>
            </w:r>
            <w:proofErr w:type="spellEnd"/>
            <w:r w:rsidRPr="00295C7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vyhľadávače, ktoré majú predchádzať škodlivým obchodným praktikám platforiem voči komerčným užívateľom obmedzujúcim vnútroštátny a cezhraničný </w:t>
            </w:r>
            <w:proofErr w:type="spellStart"/>
            <w:r w:rsidRPr="00295C7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online</w:t>
            </w:r>
            <w:proofErr w:type="spellEnd"/>
            <w:r w:rsidRPr="00295C7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predaj s negatívnym dosahom na spotrebiteľov v EÚ.</w:t>
            </w:r>
          </w:p>
          <w:p w14:paraId="28BF081D" w14:textId="77777777" w:rsidR="00295C7D" w:rsidRPr="00295C7D" w:rsidRDefault="00295C7D" w:rsidP="00295C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43A70B8A" w14:textId="77777777" w:rsidR="00731C3A" w:rsidRDefault="00295C7D" w:rsidP="00295C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95C7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Presadzovanie nariadenia (EÚ) 2019/1150 bolo doposiaľ v Slovenskej republike ponechané na súdy. Európska komisia v tejto súvislosti začala voči Slovenskej republike konanie o porušení zmlúv podľa čl. 258 Zmluvy o fungovaní EÚ z dôvodu nezabezpečenia dostatočne primeraného a účinného presadzovania nariadenia.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 uvedeného dôvodu je</w:t>
            </w:r>
            <w:r w:rsidR="00CE274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zároveň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nevyhnutné d</w:t>
            </w:r>
            <w:r w:rsidRPr="00295C7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oplnen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ie vnútroštátnej právnej úpravy a stanovenie právneho</w:t>
            </w:r>
            <w:r w:rsidRPr="00295C7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základ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</w:t>
            </w:r>
            <w:r w:rsidRPr="00295C7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pre verejnoprávny výkon dohľadu </w:t>
            </w:r>
            <w:r w:rsidR="00322E9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aj </w:t>
            </w:r>
            <w:r w:rsidRPr="00295C7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nad dodržiavaním povinností podľa nariadenia (EÚ) 2019/1150. </w:t>
            </w:r>
          </w:p>
          <w:p w14:paraId="7A728026" w14:textId="77777777" w:rsidR="00295C7D" w:rsidRPr="00B043B4" w:rsidRDefault="00295C7D" w:rsidP="00295C7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14:paraId="72F9C3E1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525B766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lastRenderedPageBreak/>
              <w:t>Ciele a výsledný stav</w:t>
            </w:r>
          </w:p>
        </w:tc>
      </w:tr>
      <w:tr w:rsidR="001B23B7" w:rsidRPr="00B043B4" w14:paraId="055C00C4" w14:textId="77777777" w:rsidTr="000800F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C8A4B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hlavné ciele predkladaného materiálu (aký výsledný stav má byť prijatím materiálu dosiahnutý, pričom dosiahnutý stav musí byť odlišný od stavu popísaného v bod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e</w:t>
            </w: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2. Definovanie problému). </w:t>
            </w:r>
          </w:p>
          <w:p w14:paraId="11B24D52" w14:textId="77777777" w:rsidR="001B23B7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04CEFD3" w14:textId="107F1E55" w:rsidR="00295C7D" w:rsidRDefault="009C5676" w:rsidP="00295C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C56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Cieľom vnútroštátnej implementácie prostredníctvom návrhu zákona je zabezpečenie </w:t>
            </w:r>
            <w:r w:rsidR="00295C7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implementácie a</w:t>
            </w:r>
            <w:r w:rsidR="00295C7D" w:rsidRPr="009C56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9C56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vymožiteľnosti práv a povinností vyplývajúcich z nariadenia (EÚ) 2022/2065. Členské štáty sú</w:t>
            </w:r>
            <w:r w:rsidR="00295C7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totiž</w:t>
            </w:r>
            <w:r w:rsidRPr="009C56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povinné menovať tzv. koordinátora digitálnych služieb, ktorý bude zodpovedný za riadne vykonávanie nariadenia na národnej úrovni a bude národným koordinátorom vo vzťahu k ostatným členským štátom, k Európskej komisii, voči poskytovateľom sprostredkovateľských služieb, príjemcom služieb a iným subjektom v zmysle nariadenia. Kritériom výkonu funkcie koordinátora digitálnych služieb je striktná požiadavka na jeho nezávislosť od ve</w:t>
            </w:r>
            <w:r w:rsidR="00295C7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rejných a súkromných subjektov.</w:t>
            </w:r>
            <w:r w:rsidR="00295C7D" w:rsidRPr="009C56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Nariadenie (EÚ) 2022/2065 </w:t>
            </w:r>
            <w:r w:rsidR="00295C7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navyše </w:t>
            </w:r>
            <w:r w:rsidR="00295C7D" w:rsidRPr="009C56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predpokladá dostatočné technické, finančné a personálne zabezpečenie na umožnenie výkonu nestranného, transparentného a včasného dohľadu v </w:t>
            </w:r>
            <w:proofErr w:type="spellStart"/>
            <w:r w:rsidR="00295C7D" w:rsidRPr="009C56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online</w:t>
            </w:r>
            <w:proofErr w:type="spellEnd"/>
            <w:r w:rsidR="00295C7D" w:rsidRPr="009C56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prostredí.</w:t>
            </w:r>
          </w:p>
          <w:p w14:paraId="22992B80" w14:textId="77777777" w:rsidR="00295C7D" w:rsidRDefault="00295C7D" w:rsidP="00295C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692689AB" w14:textId="77777777" w:rsidR="00295C7D" w:rsidRDefault="00295C7D" w:rsidP="009C56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C56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Ambiciózne ciele nariadenia (EÚ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) 2022/2065 si vyžadujú, aby sa určené subjekty</w:t>
            </w:r>
            <w:r w:rsidRPr="009C56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čo najskôr začali pripravovať na nové úlohy, najmä po odbornej a technickej stránke, a zapájali sa do prípravných procesov 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úrovni EÚ. </w:t>
            </w:r>
          </w:p>
          <w:p w14:paraId="067C47E1" w14:textId="77777777" w:rsidR="00295C7D" w:rsidRDefault="00295C7D" w:rsidP="009C56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68DE45A6" w14:textId="0088AE8D" w:rsidR="009C5676" w:rsidRPr="009C5676" w:rsidRDefault="009C5676" w:rsidP="009C56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C56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 podmienkach Slovenskej republiky je najvhodnejším kandidátom na plnenie týchto úloh </w:t>
            </w:r>
            <w:r w:rsidR="00CE274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nezávislý národný regulačný orgán v oblasti mediálnych služieb, a to</w:t>
            </w:r>
            <w:r w:rsidR="00CE274C" w:rsidRPr="009C56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9C56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Rada pre mediálne služby, ktorá môže nadviazať na doterajší výkon pôsobnosti vo vzťahu k platformách na </w:t>
            </w:r>
            <w:proofErr w:type="spellStart"/>
            <w:r w:rsidRPr="009C56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zdieľanie</w:t>
            </w:r>
            <w:proofErr w:type="spellEnd"/>
            <w:r w:rsidRPr="009C56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obsahu a platformám na </w:t>
            </w:r>
            <w:proofErr w:type="spellStart"/>
            <w:r w:rsidRPr="009C56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zdieľanie</w:t>
            </w:r>
            <w:proofErr w:type="spellEnd"/>
            <w:r w:rsidRPr="009C56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videí v zmysle platného </w:t>
            </w:r>
            <w:r w:rsidR="00295C7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a účinného </w:t>
            </w:r>
            <w:r w:rsidRPr="009C56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zákona č. 264/2022 Z. z. o mediálnych službách a o zmene a doplnení niektorých zákonov (zákon o mediálnych službách) v znení zákona č. 351/2022 Z. z. (ďalej len „zákon o mediálnych službách“). </w:t>
            </w:r>
            <w:r w:rsidR="00CE274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tejto súvislosti sa zároveň </w:t>
            </w:r>
            <w:r w:rsidR="00CE274C" w:rsidRPr="009C56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navrhuje rozšíriť pôsobnosť </w:t>
            </w:r>
            <w:r w:rsidR="00CE274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regulátora </w:t>
            </w:r>
            <w:r w:rsidR="00CE274C" w:rsidRPr="009C56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 nové kompetencie v digitálnej oblasti.</w:t>
            </w:r>
            <w:r w:rsidR="0042382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 implementáciou nariadenia </w:t>
            </w:r>
            <w:r w:rsidR="00423822" w:rsidRPr="009C56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(EÚ</w:t>
            </w:r>
            <w:r w:rsidR="0042382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) 2022/2065 </w:t>
            </w:r>
            <w:r w:rsidR="00777D6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je</w:t>
            </w:r>
            <w:r w:rsidR="007E28E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42382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však nevyhnutne spojené značné posilnenie personálnych, finančných a technických zdrojov pre budúceho koordinátora digitálnych služieb. Hlavnými dôvodmi navýšenia zdrojov sú komplexnosť budúcich právnych predpisov, rozšírenie jurisdikčného dosahu, včasné a účinné presadzovanie práva, využitie technologických kapacít na monitorovanie a regulovanie digitálnych služieb či aktívna participácia zainteresovaných subjektov.</w:t>
            </w:r>
          </w:p>
          <w:p w14:paraId="3222D303" w14:textId="77777777" w:rsidR="009C5676" w:rsidRPr="009C5676" w:rsidRDefault="009C5676" w:rsidP="009C56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679CCC71" w14:textId="1F949476" w:rsidR="00731C3A" w:rsidRPr="00B043B4" w:rsidRDefault="009C5676" w:rsidP="00295C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C56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Návrhom zákona sa</w:t>
            </w:r>
            <w:r w:rsidR="00295C7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zároveň</w:t>
            </w:r>
            <w:r w:rsidRPr="009C56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implementuje aj nariadenie </w:t>
            </w:r>
            <w:r w:rsidR="00CE274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(EÚ) 2019/1150</w:t>
            </w:r>
            <w:r w:rsidRPr="009C56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. </w:t>
            </w:r>
            <w:r w:rsidR="00322E95" w:rsidRPr="00295C7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 prihliadnutím na vecné súvislosti medzi nariadením (EÚ) 2019/1150 a nariadením (EÚ) 2022/2065 sa navrhuje zverenie </w:t>
            </w:r>
            <w:r w:rsidR="00322E9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kompetencií podľa </w:t>
            </w:r>
            <w:r w:rsidR="00322E95" w:rsidRPr="00295C7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nariadenia (EÚ) 2019/1150 </w:t>
            </w:r>
            <w:r w:rsidR="00322E9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taktiež</w:t>
            </w:r>
            <w:r w:rsidR="00322E95" w:rsidRPr="00295C7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Rade pre mediálne služby.</w:t>
            </w:r>
          </w:p>
        </w:tc>
      </w:tr>
      <w:tr w:rsidR="001B23B7" w:rsidRPr="00B043B4" w14:paraId="5B657737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5962064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lastRenderedPageBreak/>
              <w:t>Dotknuté subjekty</w:t>
            </w:r>
          </w:p>
        </w:tc>
      </w:tr>
      <w:tr w:rsidR="001B23B7" w:rsidRPr="00B043B4" w14:paraId="2420BF1B" w14:textId="77777777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B5F7B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Uveďte subjekty, ktorých sa zmeny predkladaného materiálu dotknú priamo aj nepriamo: </w:t>
            </w:r>
          </w:p>
          <w:p w14:paraId="09AADE1C" w14:textId="77777777" w:rsidR="001B23B7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7B178547" w14:textId="77777777" w:rsidR="00731C3A" w:rsidRDefault="00322E95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Rada pre mediálne služby</w:t>
            </w:r>
          </w:p>
          <w:p w14:paraId="5060DBF8" w14:textId="77777777" w:rsidR="00322E95" w:rsidRDefault="00322E95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Subjekty poskytujúce súčinnosť Rade pre mediálne služby</w:t>
            </w:r>
          </w:p>
          <w:p w14:paraId="2EE39794" w14:textId="77777777" w:rsidR="00322E95" w:rsidRDefault="00322E95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Poskytovatelia sprostredkovateľských služieb (sociálne siete,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online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trhoviská, internetové vyhľadávače, cestovateľské a ubytovacie platformy, obchody s aplikáciami a pod.)</w:t>
            </w:r>
          </w:p>
          <w:p w14:paraId="6C3AE47A" w14:textId="77777777" w:rsidR="00322E95" w:rsidRDefault="00322E95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Užívatelia sprostredkovateľských služieb</w:t>
            </w:r>
          </w:p>
          <w:p w14:paraId="5FDFB49C" w14:textId="15512881" w:rsidR="00CE274C" w:rsidRPr="00423822" w:rsidRDefault="00322E95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Komerční užívatelia sprostredkovateľských služieb</w:t>
            </w:r>
          </w:p>
        </w:tc>
      </w:tr>
      <w:tr w:rsidR="001B23B7" w:rsidRPr="00B043B4" w14:paraId="7CDAA72A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7504102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1B23B7" w:rsidRPr="00B043B4" w14:paraId="1C685957" w14:textId="77777777" w:rsidTr="000800FC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BF45C" w14:textId="77777777" w:rsidR="001B23B7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Aké alternatívne riešenia vedúce k stanovenému cieľu boli identifikované a posudzované pre riešenie definovaného problému?</w:t>
            </w:r>
          </w:p>
          <w:p w14:paraId="5BEA623C" w14:textId="77777777" w:rsidR="00731C3A" w:rsidRPr="00B043B4" w:rsidRDefault="00731C3A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49C77887" w14:textId="77777777" w:rsidR="007D2DBE" w:rsidRDefault="00731C3A" w:rsidP="00731C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31C3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Žiaden z existujúcich orgá</w:t>
            </w:r>
            <w:r w:rsidR="00322E9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nov v rámci právneho poriadku Slovenskej republiky</w:t>
            </w:r>
            <w:r w:rsidRPr="00731C3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aktuálne nespĺňa všetky požiadavky na koordinátora digitálnych služieb tak, ako bol zadefinovaný v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nariadení</w:t>
            </w:r>
            <w:r w:rsidRPr="00731C3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94139C" w:rsidRPr="009C56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(EÚ) 2022/2065</w:t>
            </w:r>
            <w:r w:rsidRPr="00731C3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. Pôsobnosť koordinátora digitálnych služieb je v podmienkach Slovenskej republiky úplne novou pôsobnosťou. V rámci Špeciálnej pracovnej skupiny pre digitálny </w:t>
            </w:r>
            <w:proofErr w:type="spellStart"/>
            <w:r w:rsidRPr="00731C3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governance</w:t>
            </w:r>
            <w:proofErr w:type="spellEnd"/>
            <w:r w:rsidRPr="00731C3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Slovenska (pod vedením Ministerstva investícií, regionálneho rozvoja a informatizácie SR) boli preskúmané možnosti výkonu pôsobnosti koordinátora digitálnych služieb prostredníctvom Rady pre mediálne služby, Úradu pre reguláciu elektronických komunikácií a poštových služieb, Národnej agentúry pre sieťové a elektronické služby, Národnej banky Slovenska, Úradu na ochranu osobných údajov alebo </w:t>
            </w:r>
            <w:r w:rsidR="007D2DB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na tento účel </w:t>
            </w:r>
            <w:r w:rsidRPr="00731C3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novovytvoreného orgánu</w:t>
            </w:r>
            <w:r w:rsidR="007D2DB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(v súčasnosti </w:t>
            </w:r>
            <w:r w:rsidR="00CE274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takýto orgán </w:t>
            </w:r>
            <w:r w:rsidR="007D2DB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neexistuje).</w:t>
            </w:r>
          </w:p>
          <w:p w14:paraId="0467BFFE" w14:textId="77777777" w:rsidR="007D2DBE" w:rsidRDefault="007D2DBE" w:rsidP="00731C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1B3D2ACC" w14:textId="77777777" w:rsidR="001B23B7" w:rsidRDefault="00731C3A" w:rsidP="00731C3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31C3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Ako najvýhodnejšie riešenie sa v súčasnosti javí zabezpečenie týchto činností prostredníctvom </w:t>
            </w:r>
            <w:r w:rsidR="007D2DB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národného regulátora v oblasti mediálnych služieb, </w:t>
            </w:r>
            <w:r w:rsidRPr="00731C3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Rady pre mediálne služby, ktorá môže nadviazať na svoju pôsobnosť vo vzťahu k platformám na </w:t>
            </w:r>
            <w:proofErr w:type="spellStart"/>
            <w:r w:rsidRPr="00731C3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zdieľanie</w:t>
            </w:r>
            <w:proofErr w:type="spellEnd"/>
            <w:r w:rsidRPr="00731C3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videí a platformám na </w:t>
            </w:r>
            <w:proofErr w:type="spellStart"/>
            <w:r w:rsidRPr="00731C3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zdieľanie</w:t>
            </w:r>
            <w:proofErr w:type="spellEnd"/>
            <w:r w:rsidRPr="00731C3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obsahu podľa platného </w:t>
            </w:r>
            <w:r w:rsidR="007D2DB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a účinného </w:t>
            </w:r>
            <w:r w:rsidRPr="00731C3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zákona č. 264/2022 Z. z. o mediálnych službách a o zmene a doplnení niektorých zákonov (zákon o mediálnych službách) v znení zákona č. 351/2022 Z. z. a ďalšie aktivity v </w:t>
            </w:r>
            <w:proofErr w:type="spellStart"/>
            <w:r w:rsidRPr="00731C3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online</w:t>
            </w:r>
            <w:proofErr w:type="spellEnd"/>
            <w:r w:rsidRPr="00731C3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priestore, ktorým sa doposiaľ venovala v rozsahu zverenej pôsobnosti.</w:t>
            </w:r>
          </w:p>
          <w:p w14:paraId="149F9E71" w14:textId="77777777" w:rsidR="00731C3A" w:rsidRPr="00B043B4" w:rsidRDefault="00731C3A" w:rsidP="00731C3A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4A8E0FB8" w14:textId="77777777" w:rsidR="001B23B7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Nulový variant - uveďte dôsledky, ku ktorým by došlo v prípade nevykonania úprav v predkladanom materiáli a alternatívne riešenia/spôsoby dosiahnutia cieľov uvedených v bode 3.</w:t>
            </w:r>
          </w:p>
          <w:p w14:paraId="46FDE84D" w14:textId="77777777" w:rsidR="00731C3A" w:rsidRDefault="00731C3A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15C59F60" w14:textId="77777777" w:rsidR="00731C3A" w:rsidRPr="00731C3A" w:rsidRDefault="00731C3A" w:rsidP="000800F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31C3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Nulová alternatíva (zachovanie súčasného stavu) </w:t>
            </w:r>
            <w:r w:rsidR="00322E9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sa nepripúšťa, nakoľko</w:t>
            </w:r>
            <w:r w:rsidRPr="00731C3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povinnosť Slovenskej republiky určiť do 17. februára 2024 orgán</w:t>
            </w:r>
            <w:r w:rsidR="007D2DB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ktorý bude vykonávať úlohu koordinátora digitálnych služieb</w:t>
            </w:r>
            <w:r w:rsidRPr="00731C3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</w:t>
            </w:r>
            <w:r w:rsidR="00162F6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 stanoviť právny</w:t>
            </w:r>
            <w:r w:rsidR="00162F69" w:rsidRPr="00295C7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základ pre </w:t>
            </w:r>
            <w:r w:rsidR="00162F6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výkon dohľadu </w:t>
            </w:r>
            <w:r w:rsidR="00162F69" w:rsidRPr="00295C7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nad dodržiavaním povinností </w:t>
            </w:r>
            <w:r w:rsidR="00162F6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poskytovateľov sprostredkovateľských služieb </w:t>
            </w:r>
            <w:r w:rsidRPr="00731C3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vyplýva</w:t>
            </w:r>
            <w:r w:rsidR="00162F6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jú</w:t>
            </w:r>
            <w:r w:rsidRPr="00731C3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7D2DB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priamo </w:t>
            </w:r>
            <w:r w:rsidR="0094139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nariadenia </w:t>
            </w:r>
            <w:r w:rsidR="0094139C" w:rsidRPr="009C56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(EÚ) 2022/2065</w:t>
            </w:r>
            <w:r w:rsidR="00162F69" w:rsidRPr="00295C7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162F6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a </w:t>
            </w:r>
            <w:r w:rsidR="00162F69" w:rsidRPr="00295C7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nariadenia (EÚ) 2019/1150</w:t>
            </w:r>
            <w:r w:rsidRPr="00731C3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. </w:t>
            </w:r>
          </w:p>
          <w:p w14:paraId="597FF1B4" w14:textId="77777777" w:rsidR="00731C3A" w:rsidRPr="00B043B4" w:rsidRDefault="00731C3A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14:paraId="048A9C43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A381500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1B23B7" w:rsidRPr="00B043B4" w14:paraId="07664FCD" w14:textId="77777777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4996219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1B5535EC" w14:textId="77777777" w:rsidR="001B23B7" w:rsidRPr="00B043B4" w:rsidRDefault="0031336D" w:rsidP="000800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88F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B23B7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F02543C" w14:textId="77777777" w:rsidR="001B23B7" w:rsidRPr="00B043B4" w:rsidRDefault="0031336D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39C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B23B7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1B23B7" w:rsidRPr="00B043B4" w14:paraId="1503DDD3" w14:textId="77777777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02251" w14:textId="77777777" w:rsidR="001B23B7" w:rsidRPr="00EB4027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EB40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14:paraId="35017C21" w14:textId="77777777" w:rsidR="001B23B7" w:rsidRPr="00EB4027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14:paraId="4D5D9D94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061A757" w14:textId="2E846EEE" w:rsidR="001B23B7" w:rsidRPr="00EB4027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EB4027">
              <w:rPr>
                <w:rFonts w:ascii="Times New Roman" w:eastAsia="Calibri" w:hAnsi="Times New Roman" w:cs="Times New Roman"/>
                <w:b/>
              </w:rPr>
              <w:t>Transpozícia</w:t>
            </w:r>
            <w:r w:rsidR="009A2583" w:rsidRPr="00EB4027">
              <w:rPr>
                <w:rFonts w:ascii="Times New Roman" w:eastAsia="Calibri" w:hAnsi="Times New Roman" w:cs="Times New Roman"/>
                <w:b/>
              </w:rPr>
              <w:t>/implementácia</w:t>
            </w:r>
            <w:r w:rsidRPr="00EB4027">
              <w:rPr>
                <w:rFonts w:ascii="Times New Roman" w:eastAsia="Calibri" w:hAnsi="Times New Roman" w:cs="Times New Roman"/>
                <w:b/>
              </w:rPr>
              <w:t xml:space="preserve"> práva EÚ </w:t>
            </w:r>
          </w:p>
        </w:tc>
      </w:tr>
      <w:tr w:rsidR="001B23B7" w:rsidRPr="00B043B4" w14:paraId="666D28D5" w14:textId="77777777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EB4027" w:rsidRPr="00EB4027" w14:paraId="2B111C4C" w14:textId="77777777">
              <w:trPr>
                <w:trHeight w:val="90"/>
              </w:trPr>
              <w:tc>
                <w:tcPr>
                  <w:tcW w:w="8643" w:type="dxa"/>
                </w:tcPr>
                <w:p w14:paraId="1B7322F7" w14:textId="6ABD58EE" w:rsidR="00A7788F" w:rsidRPr="00EB4027" w:rsidRDefault="00A7788F" w:rsidP="00A7788F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EB4027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</w:t>
                  </w:r>
                  <w:proofErr w:type="spellStart"/>
                  <w:r w:rsidRPr="00EB4027">
                    <w:rPr>
                      <w:i/>
                      <w:iCs/>
                      <w:color w:val="auto"/>
                      <w:sz w:val="20"/>
                      <w:szCs w:val="20"/>
                    </w:rPr>
                    <w:t>g</w:t>
                  </w:r>
                  <w:r w:rsidR="009A2583" w:rsidRPr="00EB4027">
                    <w:rPr>
                      <w:i/>
                      <w:iCs/>
                      <w:color w:val="auto"/>
                      <w:sz w:val="20"/>
                      <w:szCs w:val="20"/>
                    </w:rPr>
                    <w:t>oldplatingu</w:t>
                  </w:r>
                  <w:proofErr w:type="spellEnd"/>
                  <w:r w:rsidR="009A2583" w:rsidRPr="00EB4027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podľa tabuľky zhody, resp. či ku </w:t>
                  </w:r>
                  <w:proofErr w:type="spellStart"/>
                  <w:r w:rsidR="009A2583" w:rsidRPr="00EB4027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="009A2583" w:rsidRPr="00EB4027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dochádza pri implementácii práva EÚ.</w:t>
                  </w:r>
                  <w:r w:rsidRPr="00EB4027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B4027" w:rsidRPr="00EB4027" w14:paraId="354C3094" w14:textId="77777777">
              <w:trPr>
                <w:trHeight w:val="296"/>
              </w:trPr>
              <w:tc>
                <w:tcPr>
                  <w:tcW w:w="8643" w:type="dxa"/>
                </w:tcPr>
                <w:p w14:paraId="4A775CC9" w14:textId="77777777" w:rsidR="00A7788F" w:rsidRPr="00EB4027" w:rsidRDefault="00A7788F" w:rsidP="00A7788F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EB4027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7182" w:rsidRPr="00EB4027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EB4027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4139C" w:rsidRPr="00EB4027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EB4027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14:paraId="602F684E" w14:textId="77777777" w:rsidR="00A7788F" w:rsidRPr="00EB4027" w:rsidRDefault="00A7788F" w:rsidP="00A7788F">
                  <w:pPr>
                    <w:pStyle w:val="Default"/>
                    <w:rPr>
                      <w:i/>
                      <w:iCs/>
                      <w:color w:val="auto"/>
                      <w:sz w:val="20"/>
                      <w:szCs w:val="20"/>
                    </w:rPr>
                  </w:pPr>
                </w:p>
                <w:p w14:paraId="15C157A6" w14:textId="77777777" w:rsidR="00A7788F" w:rsidRPr="00EB4027" w:rsidRDefault="00A7788F" w:rsidP="00A7788F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EB4027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</w:t>
                  </w:r>
                  <w:proofErr w:type="spellStart"/>
                  <w:r w:rsidRPr="00EB4027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</w:t>
                  </w:r>
                  <w:proofErr w:type="spellEnd"/>
                  <w:r w:rsidRPr="00EB4027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týka: </w:t>
                  </w:r>
                </w:p>
              </w:tc>
            </w:tr>
            <w:tr w:rsidR="00EB4027" w:rsidRPr="00EB4027" w14:paraId="1300DD49" w14:textId="77777777">
              <w:trPr>
                <w:trHeight w:val="296"/>
              </w:trPr>
              <w:tc>
                <w:tcPr>
                  <w:tcW w:w="8643" w:type="dxa"/>
                </w:tcPr>
                <w:p w14:paraId="46F07D39" w14:textId="77777777" w:rsidR="00A7788F" w:rsidRPr="00EB4027" w:rsidRDefault="00A7788F" w:rsidP="00A7788F">
                  <w:pPr>
                    <w:pStyle w:val="Default"/>
                    <w:rPr>
                      <w:rFonts w:ascii="Segoe UI Symbol" w:hAnsi="Segoe UI Symbol" w:cs="Segoe UI Symbol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2335EA60" w14:textId="77777777" w:rsidR="001B23B7" w:rsidRPr="00EB4027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14:paraId="7E201D7B" w14:textId="77777777" w:rsidTr="000800FC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469EB" w14:textId="77777777" w:rsidR="001B23B7" w:rsidRPr="00B043B4" w:rsidRDefault="001B23B7" w:rsidP="000800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14:paraId="7EAA7B5A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117F1F8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1B23B7" w:rsidRPr="00B043B4" w14:paraId="67E49BEE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B17BD" w14:textId="15C5ADDD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termín, kedy by malo dôjsť k preskúmaniu účinnosti a účelnosti predkladaného materiálu.</w:t>
            </w:r>
          </w:p>
          <w:p w14:paraId="74DAAB2A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kritériá, na základe ktorých bude preskúmanie vykonané.</w:t>
            </w:r>
          </w:p>
          <w:p w14:paraId="03E54DB1" w14:textId="77777777" w:rsidR="001B23B7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53BD3B8F" w14:textId="77777777" w:rsidR="00381809" w:rsidRDefault="00381809" w:rsidP="0094139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bookmarkStart w:id="0" w:name="_GoBack"/>
            <w:bookmarkEnd w:id="0"/>
          </w:p>
          <w:p w14:paraId="4B7485CD" w14:textId="77777777" w:rsidR="00A0260A" w:rsidRDefault="00381809" w:rsidP="003F04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zmysle nariadenia </w:t>
            </w:r>
            <w:r w:rsidRPr="009C567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(EÚ) 2022/2065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sú koordinátori digitálnych služieb povinní vypracúvať výročné správy </w:t>
            </w:r>
            <w:r w:rsidR="003F045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o činnosti podľa tohto nariadenia. </w:t>
            </w:r>
            <w:bookmarkStart w:id="1" w:name="_Hlk159931298"/>
            <w:r w:rsidR="003F045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Prvé preskúmanie účelnosti bude možné uskutočniť z výročnej správy Rady pre mediálne služby za rok 202</w:t>
            </w:r>
            <w:r w:rsidR="007E28E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</w:t>
            </w:r>
            <w:r w:rsidR="003F045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ktorú je regulátor povinný predložiť Národnej rade SR do 90 dní po skončení kalendárneho roka.</w:t>
            </w:r>
          </w:p>
          <w:p w14:paraId="3BF3009B" w14:textId="68EE8E9A" w:rsidR="00A0260A" w:rsidRDefault="00A0260A" w:rsidP="003F04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bookmarkStart w:id="2" w:name="_Hlk159931248"/>
            <w:bookmarkEnd w:id="1"/>
            <w:r w:rsidRPr="00A0260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>V roku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</w:t>
            </w:r>
            <w:r w:rsidRPr="00A0260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sa na základe predloženej výročnej správy za rok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</w:t>
            </w:r>
            <w:r w:rsidRPr="00A0260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(do 90 dní po skončení kalendárneho roka) prehodnotí podľa reálnych potrieb rozpočet na rok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8</w:t>
            </w:r>
            <w:r w:rsidRPr="00A0260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vrátane vyčíslenia príjmov verejnej správy.</w:t>
            </w:r>
          </w:p>
          <w:bookmarkEnd w:id="2"/>
          <w:p w14:paraId="16FC4B62" w14:textId="700CF3D4" w:rsidR="0094139C" w:rsidRPr="003F0454" w:rsidRDefault="00381809" w:rsidP="003F04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Okrem toho nariadenie ukladá Európskej komisii do 17. novembra 2027 a následne každých päť rokov vypracovať hodnotenie tohto nariadenia, ktoré predloží Európskemu parlamentu, Európskej rade a Európskemu hospodárskemu a sociálnemu výboru. Výsledky tohto hodnotenia budú smerodajné aj na vnútroštátnej úrovni</w:t>
            </w:r>
            <w:r w:rsidR="00F214E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za účelom preskúmania účelnosti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. </w:t>
            </w:r>
          </w:p>
        </w:tc>
      </w:tr>
      <w:tr w:rsidR="002F6ADB" w:rsidRPr="002F6ADB" w14:paraId="0EF98B31" w14:textId="77777777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83EF58B" w14:textId="77777777" w:rsidR="001B23B7" w:rsidRPr="002F6ADB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325EA78B" w14:textId="77777777" w:rsidR="001B23B7" w:rsidRPr="002F6ADB" w:rsidRDefault="001B23B7" w:rsidP="00A7788F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14:paraId="744E555C" w14:textId="77777777" w:rsidR="00A340BB" w:rsidRPr="002F6ADB" w:rsidRDefault="001B23B7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</w:t>
            </w:r>
            <w:r w:rsidR="00A340BB"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 w:rsidR="00A340BB"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 w:rsidR="00A340BB"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14:paraId="7C2DB0C4" w14:textId="77777777" w:rsidR="00A7788F" w:rsidRPr="002F6ADB" w:rsidRDefault="00A7788F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14:paraId="7FE34343" w14:textId="77777777" w:rsidR="004C6831" w:rsidRPr="002F6ADB" w:rsidRDefault="004C6831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4C986F7A" w14:textId="77777777" w:rsidR="001B23B7" w:rsidRPr="002F6ADB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14:paraId="1EA56AEC" w14:textId="77777777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165D918C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1B23B7" w:rsidRPr="00B043B4" w14:paraId="2F7A7B76" w14:textId="77777777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B03A904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6677CAA7" w14:textId="5929206A" w:rsidR="001B23B7" w:rsidRPr="00B043B4" w:rsidRDefault="003145AE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CA65E75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58276A9" w14:textId="77777777" w:rsidR="001B23B7" w:rsidRPr="00B043B4" w:rsidRDefault="00203EE3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90F0829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00B8F3C6" w14:textId="77777777" w:rsidR="001B23B7" w:rsidRPr="00B043B4" w:rsidRDefault="00731C3A" w:rsidP="000800F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26CB577" w14:textId="77777777" w:rsidR="001B23B7" w:rsidRPr="00B043B4" w:rsidRDefault="001B23B7" w:rsidP="000800F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1B23B7" w:rsidRPr="00B043B4" w14:paraId="6F4168F3" w14:textId="77777777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8DF2C05" w14:textId="77777777" w:rsidR="00B84F87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</w:t>
            </w:r>
            <w:r w:rsidR="00A340BB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14:paraId="74A88099" w14:textId="77777777" w:rsidR="00B84F87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14:paraId="7F5A640A" w14:textId="77777777" w:rsidR="003145AE" w:rsidRPr="00A340BB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49BCDA94" w14:textId="77777777" w:rsidR="001B23B7" w:rsidRPr="00B043B4" w:rsidRDefault="003145AE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D1A3ED9" w14:textId="77777777" w:rsidR="001B23B7" w:rsidRPr="00B043B4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2E9F7EE" w14:textId="01CCF1FD" w:rsidR="001B23B7" w:rsidRPr="00B043B4" w:rsidRDefault="00EB44FD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4D92AEC" w14:textId="77777777" w:rsidR="001B23B7" w:rsidRPr="00B043B4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A5061D3" w14:textId="77777777" w:rsidR="001B23B7" w:rsidRPr="00B043B4" w:rsidRDefault="00203EE3" w:rsidP="00203EE3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8C59713" w14:textId="77777777" w:rsidR="001B23B7" w:rsidRPr="00B043B4" w:rsidRDefault="001B23B7" w:rsidP="00203EE3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3145AE" w:rsidRPr="00B043B4" w14:paraId="3FD33A56" w14:textId="77777777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B642332" w14:textId="77777777" w:rsidR="003145AE" w:rsidRPr="003145AE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0BA704D1" w14:textId="77777777"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1707CA0" w14:textId="77777777"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7369D087" w14:textId="77777777" w:rsidR="003145AE" w:rsidRPr="00B043B4" w:rsidRDefault="00731C3A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D71B30B" w14:textId="77777777"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DEE8B55" w14:textId="77777777" w:rsidR="003145AE" w:rsidRPr="00B043B4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36409A7" w14:textId="77777777" w:rsidR="003145AE" w:rsidRPr="00B043B4" w:rsidRDefault="003145AE" w:rsidP="003145AE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14:paraId="5742E151" w14:textId="77777777" w:rsidTr="00A7788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571D9F3" w14:textId="77777777" w:rsidR="003145AE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14:paraId="1BC2F78D" w14:textId="77777777" w:rsidR="003145AE" w:rsidRPr="003145AE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19F9F83" w14:textId="77777777"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B71C6A" w14:textId="77777777"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2C9CE59" w14:textId="4659C6BD" w:rsidR="003145AE" w:rsidRPr="00B043B4" w:rsidRDefault="003F0454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FDFCE2" w14:textId="77777777"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4DB27B1" w14:textId="77777777" w:rsidR="003145AE" w:rsidRPr="00B043B4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E96FA" w14:textId="77777777" w:rsidR="003145AE" w:rsidRPr="00B043B4" w:rsidRDefault="003145AE" w:rsidP="003145AE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A7788F" w:rsidRPr="00B043B4" w14:paraId="362ABB3D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BCABADD" w14:textId="77777777" w:rsidR="00A7788F" w:rsidRPr="002F6ADB" w:rsidRDefault="00A7788F" w:rsidP="001B4FB5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B6F9357" w14:textId="77777777" w:rsidR="00A7788F" w:rsidRPr="002F6ADB" w:rsidRDefault="00187182" w:rsidP="001B4FB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2F6AD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744F64" w14:textId="77777777" w:rsidR="00A7788F" w:rsidRPr="002F6ADB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1680A0" w14:textId="77777777" w:rsidR="00A7788F" w:rsidRPr="002F6ADB" w:rsidRDefault="00A7788F" w:rsidP="001B4F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51570A" w14:textId="77777777" w:rsidR="00A7788F" w:rsidRPr="002F6ADB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884D71A" w14:textId="2D61735E" w:rsidR="00A7788F" w:rsidRPr="002F6ADB" w:rsidRDefault="00EB4027" w:rsidP="001B4FB5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CCA54" w14:textId="77777777" w:rsidR="00A7788F" w:rsidRPr="002F6ADB" w:rsidRDefault="00A7788F" w:rsidP="001B4FB5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4654EA" w:rsidRPr="00B043B4" w14:paraId="56E92DFC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411EF8E" w14:textId="48424018" w:rsidR="004654EA" w:rsidRPr="00EB4027" w:rsidRDefault="004654EA" w:rsidP="009A25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B40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limit verejných výdavkov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8299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F1FD10F" w14:textId="30A1C18B" w:rsidR="004654EA" w:rsidRPr="00EB4027" w:rsidRDefault="004654EA" w:rsidP="001B4FB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EB4027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A4084F" w14:textId="488ACFC1" w:rsidR="004654EA" w:rsidRPr="00EB4027" w:rsidRDefault="004654EA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B40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66731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9DFB310" w14:textId="10510C49" w:rsidR="004654EA" w:rsidRPr="00EB4027" w:rsidRDefault="004654EA" w:rsidP="001B4FB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EB4027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E54A06" w14:textId="105118F3" w:rsidR="004654EA" w:rsidRPr="00EB4027" w:rsidRDefault="004654EA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B40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8892991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855A085" w14:textId="7D7099EB" w:rsidR="004654EA" w:rsidRPr="00EB4027" w:rsidRDefault="009A2583" w:rsidP="001B4FB5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EB4027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BEE13" w14:textId="5E458CAE" w:rsidR="004654EA" w:rsidRPr="00EB4027" w:rsidRDefault="004654EA" w:rsidP="001B4FB5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B40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4654EA" w:rsidRPr="00B043B4" w14:paraId="2D9B8AF3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05DF6A1" w14:textId="77777777" w:rsidR="004654EA" w:rsidRPr="00EB4027" w:rsidRDefault="004654EA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B40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4FCB4A04" w14:textId="77777777" w:rsidR="004654EA" w:rsidRPr="00EB4027" w:rsidRDefault="004654EA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EB4027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4E358E4" w14:textId="77777777" w:rsidR="004654EA" w:rsidRPr="00EB4027" w:rsidRDefault="004654EA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B40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0D5E9B5" w14:textId="77777777" w:rsidR="004654EA" w:rsidRPr="00EB4027" w:rsidRDefault="004654EA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EB4027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973BE84" w14:textId="77777777" w:rsidR="004654EA" w:rsidRPr="00EB4027" w:rsidRDefault="004654EA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B40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86087CC" w14:textId="77777777" w:rsidR="004654EA" w:rsidRPr="00EB4027" w:rsidRDefault="004654EA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EB4027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467FA3" w14:textId="77777777" w:rsidR="004654EA" w:rsidRPr="00EB4027" w:rsidRDefault="004654EA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B40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4654EA" w:rsidRPr="00B043B4" w14:paraId="72718A83" w14:textId="77777777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432E53FC" w14:textId="77777777" w:rsidR="004654EA" w:rsidRPr="00EB4027" w:rsidRDefault="004654EA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B402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vplyvy na MSP</w:t>
            </w:r>
          </w:p>
          <w:p w14:paraId="6358BDDE" w14:textId="77777777" w:rsidR="004654EA" w:rsidRPr="00EB4027" w:rsidRDefault="004654EA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14:paraId="5E78C6E3" w14:textId="77777777" w:rsidR="004654EA" w:rsidRPr="00EB4027" w:rsidRDefault="004654EA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EB4027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A72D91E" w14:textId="77777777" w:rsidR="004654EA" w:rsidRPr="00EB4027" w:rsidRDefault="004654EA" w:rsidP="003145AE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B402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30027E6" w14:textId="0BC05F5A" w:rsidR="004654EA" w:rsidRPr="00EB4027" w:rsidRDefault="004654EA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EB4027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807476C" w14:textId="77777777" w:rsidR="004654EA" w:rsidRPr="00EB4027" w:rsidRDefault="004654EA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B402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A4BBBCD" w14:textId="6E16AC33" w:rsidR="004654EA" w:rsidRPr="00EB4027" w:rsidRDefault="004654EA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EB4027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6706F7B" w14:textId="77777777" w:rsidR="004654EA" w:rsidRPr="00EB4027" w:rsidRDefault="004654EA" w:rsidP="003145AE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B402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4654EA" w:rsidRPr="00B043B4" w14:paraId="3D26B7EC" w14:textId="77777777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8DBB2B6" w14:textId="77777777" w:rsidR="004654EA" w:rsidRPr="00EB4027" w:rsidRDefault="004654EA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B402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14:paraId="6F63B1FA" w14:textId="77777777" w:rsidR="004654EA" w:rsidRPr="00EB4027" w:rsidRDefault="004654EA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B402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EAFB70F" w14:textId="77777777" w:rsidR="004654EA" w:rsidRPr="00EB4027" w:rsidRDefault="004654EA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EB4027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0EA261" w14:textId="77777777" w:rsidR="004654EA" w:rsidRPr="00EB4027" w:rsidRDefault="004654EA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B402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78143E" w14:textId="77777777" w:rsidR="004654EA" w:rsidRPr="00EB4027" w:rsidRDefault="004654EA" w:rsidP="003145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AD606B" w14:textId="77777777" w:rsidR="004654EA" w:rsidRPr="00EB4027" w:rsidRDefault="004654EA" w:rsidP="003145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558D72A" w14:textId="77777777" w:rsidR="004654EA" w:rsidRPr="00EB4027" w:rsidRDefault="004654EA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EB4027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34E7B" w14:textId="77777777" w:rsidR="004654EA" w:rsidRPr="00EB4027" w:rsidRDefault="004654EA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B402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4654EA" w:rsidRPr="00B043B4" w14:paraId="28CF2E02" w14:textId="77777777" w:rsidTr="009431E3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16AC0AA" w14:textId="77777777" w:rsidR="004654EA" w:rsidRPr="00EB4027" w:rsidRDefault="004654EA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B40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476DEAC3" w14:textId="77777777" w:rsidR="004654EA" w:rsidRPr="00EB4027" w:rsidRDefault="004654EA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EB4027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D40CBC" w14:textId="77777777" w:rsidR="004654EA" w:rsidRPr="00EB4027" w:rsidRDefault="004654EA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B40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7F97698" w14:textId="77777777" w:rsidR="004654EA" w:rsidRPr="00EB4027" w:rsidRDefault="004654EA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EB4027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476716" w14:textId="77777777" w:rsidR="004654EA" w:rsidRPr="00EB4027" w:rsidRDefault="004654EA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B40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64A5D82" w14:textId="77777777" w:rsidR="004654EA" w:rsidRPr="00EB4027" w:rsidRDefault="004654EA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EB4027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205A3" w14:textId="77777777" w:rsidR="004654EA" w:rsidRPr="00EB4027" w:rsidRDefault="004654EA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B40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4654EA" w:rsidRPr="00B043B4" w14:paraId="45CB77CF" w14:textId="77777777" w:rsidTr="009E715B"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2E2"/>
          </w:tcPr>
          <w:p w14:paraId="100D0CC3" w14:textId="77777777" w:rsidR="004654EA" w:rsidRPr="00EB4027" w:rsidRDefault="004654EA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B40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  <w:p w14:paraId="5FAF3FEC" w14:textId="77777777" w:rsidR="004654EA" w:rsidRPr="00EB4027" w:rsidRDefault="004654EA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2F24DCDE" w14:textId="7D41FCA6" w:rsidR="004654EA" w:rsidRPr="00EB4027" w:rsidRDefault="004654EA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B402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je posudzovaný podľa zákona č. 24/2006 Z. z. o posudzovaní vplyvov na životné prostredie a o zmene a doplnení niektorých zákonov v znení neskorších predpisov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439F7D5" w14:textId="77777777" w:rsidR="004654EA" w:rsidRPr="00EB4027" w:rsidRDefault="004654EA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EB4027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E56F49" w14:textId="77777777" w:rsidR="004654EA" w:rsidRPr="00EB4027" w:rsidRDefault="004654EA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B40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2EB133F" w14:textId="77777777" w:rsidR="004654EA" w:rsidRPr="00EB4027" w:rsidRDefault="004654EA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EB4027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4E158D" w14:textId="77777777" w:rsidR="004654EA" w:rsidRPr="00EB4027" w:rsidRDefault="004654EA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B40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19DAEDE" w14:textId="77777777" w:rsidR="004654EA" w:rsidRPr="00EB4027" w:rsidRDefault="004654EA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EB4027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4A632C" w14:textId="77777777" w:rsidR="004654EA" w:rsidRPr="00EB4027" w:rsidRDefault="004654EA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B402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4654EA" w:rsidRPr="00B043B4" w14:paraId="094D19AB" w14:textId="77777777" w:rsidTr="00897E3C">
        <w:tc>
          <w:tcPr>
            <w:tcW w:w="3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04940A0" w14:textId="77777777" w:rsidR="004654EA" w:rsidRPr="00EB4027" w:rsidRDefault="004654EA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2221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540E43D" w14:textId="0B6BEA6F" w:rsidR="004654EA" w:rsidRPr="00EB4027" w:rsidRDefault="004654EA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EB4027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80C5C7" w14:textId="460D6D14" w:rsidR="004654EA" w:rsidRPr="00EB4027" w:rsidRDefault="004654EA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B402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305A21" w14:textId="77777777" w:rsidR="004654EA" w:rsidRPr="00EB4027" w:rsidRDefault="004654EA" w:rsidP="003145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FE8120" w14:textId="77777777" w:rsidR="004654EA" w:rsidRPr="00EB4027" w:rsidRDefault="004654EA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867767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BAC79FF" w14:textId="70D57D6D" w:rsidR="004654EA" w:rsidRPr="00EB4027" w:rsidRDefault="009A2583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EB4027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10F84" w14:textId="09314EC8" w:rsidR="004654EA" w:rsidRPr="00EB4027" w:rsidRDefault="004654EA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B402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4654EA" w:rsidRPr="00B043B4" w14:paraId="6BEAFAC8" w14:textId="77777777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9C01E76" w14:textId="77777777" w:rsidR="004654EA" w:rsidRPr="00B043B4" w:rsidRDefault="004654EA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4A5D5BAD" w14:textId="77777777" w:rsidR="004654EA" w:rsidRPr="00B043B4" w:rsidRDefault="004654EA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92C845" w14:textId="77777777" w:rsidR="004654EA" w:rsidRPr="00B043B4" w:rsidRDefault="004654EA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C1A09C2" w14:textId="77777777" w:rsidR="004654EA" w:rsidRPr="00B043B4" w:rsidRDefault="004654EA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F539B5" w14:textId="77777777" w:rsidR="004654EA" w:rsidRPr="00B043B4" w:rsidRDefault="004654EA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3B3B3B1" w14:textId="77777777" w:rsidR="004654EA" w:rsidRPr="00B043B4" w:rsidRDefault="004654EA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14619" w14:textId="77777777" w:rsidR="004654EA" w:rsidRPr="00B043B4" w:rsidRDefault="004654EA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0F2BE9" w:rsidRPr="00B043B4" w14:paraId="2BF3D3C0" w14:textId="77777777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0A3B25C" w14:textId="77777777" w:rsidR="000F2BE9" w:rsidRPr="00B043B4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2FE35E3" w14:textId="77777777"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D65FD5D" w14:textId="77777777" w:rsidR="000F2BE9" w:rsidRPr="00B043B4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B59F99" w14:textId="77777777"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EB856A6" w14:textId="77777777" w:rsidR="000F2BE9" w:rsidRPr="00B043B4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E0DC45" w14:textId="77777777"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D6F2538" w14:textId="77777777" w:rsidR="000F2BE9" w:rsidRPr="00B043B4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0F2BE9" w:rsidRPr="00B043B4" w14:paraId="02985340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40F30B6" w14:textId="77777777" w:rsidR="000F2BE9" w:rsidRPr="00B043B4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15CC864B" w14:textId="77777777"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248AC5B" w14:textId="77777777" w:rsidR="000F2BE9" w:rsidRPr="00B043B4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19091958" w14:textId="77777777" w:rsidR="000F2BE9" w:rsidRPr="00B043B4" w:rsidRDefault="00731C3A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D1E093B" w14:textId="77777777" w:rsidR="000F2BE9" w:rsidRPr="00B043B4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5454E21E" w14:textId="77777777"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7736FE4" w14:textId="77777777" w:rsidR="000F2BE9" w:rsidRPr="00B043B4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0F2BE9" w:rsidRPr="00B043B4" w14:paraId="01CAC561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8BE746D" w14:textId="77777777" w:rsidR="000F2BE9" w:rsidRPr="00B043B4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2D853997" w14:textId="77777777"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AFF24FA" w14:textId="77777777" w:rsidR="000F2BE9" w:rsidRPr="00B043B4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593A83D4" w14:textId="77777777" w:rsidR="000F2BE9" w:rsidRPr="00B043B4" w:rsidRDefault="00731C3A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4E04358" w14:textId="77777777" w:rsidR="000F2BE9" w:rsidRPr="00B043B4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1A844CF4" w14:textId="77777777"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8F924" w14:textId="77777777" w:rsidR="000F2BE9" w:rsidRPr="00B043B4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A340BB" w:rsidRPr="00B043B4" w14:paraId="17397643" w14:textId="77777777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B02D1E9" w14:textId="77777777" w:rsidR="00A340BB" w:rsidRPr="00B043B4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63BAFEA" w14:textId="77777777" w:rsidR="00A340BB" w:rsidRPr="00B043B4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D86D71" w14:textId="77777777" w:rsidR="00A340BB" w:rsidRPr="00B043B4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BEB3BD4" w14:textId="77777777" w:rsidR="00A340BB" w:rsidRPr="00B043B4" w:rsidRDefault="00731C3A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62FB32" w14:textId="77777777" w:rsidR="00A340BB" w:rsidRPr="00B043B4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24B9C6F" w14:textId="77777777" w:rsidR="00A340BB" w:rsidRPr="00B043B4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D1E1F" w14:textId="77777777" w:rsidR="00A340BB" w:rsidRPr="00B043B4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127AAA81" w14:textId="77777777" w:rsidR="001B23B7" w:rsidRPr="00B043B4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1B23B7" w:rsidRPr="00B043B4" w14:paraId="20FA438B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6EBD941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1B23B7" w:rsidRPr="00B043B4" w14:paraId="413CBBC3" w14:textId="77777777" w:rsidTr="000800F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3BFDF66D" w14:textId="77777777" w:rsidR="001B23B7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V prípade potreby uveďte doplňujúce informácie k identifikovaným vplyvom a ich analýzam. </w:t>
            </w:r>
          </w:p>
          <w:p w14:paraId="18E37FA7" w14:textId="77777777" w:rsidR="004C6831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6AA4EB27" w14:textId="77777777" w:rsidR="004C6831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predkladaný materiál má marginálny (zanedbateľný) vplyv na niektorú zo sledovaných oblastí v bode 9 a z tohto dôvodu je tento vplyv označený ako žiadny vplyv, uveďte skutočnosti vysvetľujúce, prečo je tento vplyv marginálny (zanedbateľný).</w:t>
            </w:r>
          </w:p>
          <w:p w14:paraId="53DE2DEE" w14:textId="77777777" w:rsidR="004C6831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0D94D97B" w14:textId="77777777" w:rsidR="004C6831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Informácie v tejto časti slúžia na zhrnutie vplyvov alebo aj na vyjadrenie sa k marginálnym vplyvom a nie ako náhrada za vypracovanie príslušných analýz vybraných vplyvov.</w:t>
            </w:r>
          </w:p>
          <w:p w14:paraId="6C22A2A9" w14:textId="77777777" w:rsidR="004654EA" w:rsidRDefault="004654EA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0C840EE9" w14:textId="330355E1" w:rsidR="00731C3A" w:rsidRPr="004654EA" w:rsidRDefault="004654EA" w:rsidP="00120A7F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prípade, že je materiál posudzovaný podľa zákona č. 24/2006 Z. z. o posudzovaní vplyvov na životné prostredie a o zmene a doplnení niektorých zákonov v znení neskorších prepisov, uveďte internetový odkaz na tento proces.</w:t>
            </w:r>
          </w:p>
        </w:tc>
      </w:tr>
      <w:tr w:rsidR="001B23B7" w:rsidRPr="00B043B4" w14:paraId="4DA80D10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1FC0DBE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lastRenderedPageBreak/>
              <w:t>Kontakt na spracovateľa</w:t>
            </w:r>
          </w:p>
        </w:tc>
      </w:tr>
      <w:tr w:rsidR="001B23B7" w:rsidRPr="00B043B4" w14:paraId="7AAC5F61" w14:textId="77777777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9ECE3" w14:textId="77777777" w:rsidR="001B23B7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údaje na kontaktnú osobu, ktorú je možné kontaktovať v súvislosti s posúdením vybraných vplyvov.</w:t>
            </w:r>
          </w:p>
          <w:p w14:paraId="6ED1A4A4" w14:textId="77777777" w:rsidR="0094139C" w:rsidRPr="0094139C" w:rsidRDefault="0094139C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7BA62228" w14:textId="77777777" w:rsidR="0094139C" w:rsidRDefault="0094139C" w:rsidP="009413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4139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JUDr. Ivana Maláková </w:t>
            </w:r>
          </w:p>
          <w:p w14:paraId="20BD594B" w14:textId="1B176319" w:rsidR="00072EC4" w:rsidRPr="0094139C" w:rsidRDefault="00072EC4" w:rsidP="009413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Odbor mediálneho práva a audiovízie</w:t>
            </w:r>
          </w:p>
          <w:p w14:paraId="2F795F07" w14:textId="4429BE87" w:rsidR="0094139C" w:rsidRPr="0094139C" w:rsidRDefault="00072EC4" w:rsidP="009413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</w:t>
            </w:r>
            <w:r w:rsidR="0094139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ekcia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umenia,</w:t>
            </w:r>
            <w:r w:rsidR="0094139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médií a autorského práva</w:t>
            </w:r>
          </w:p>
          <w:p w14:paraId="5E3F6B2E" w14:textId="77777777" w:rsidR="0094139C" w:rsidRPr="0094139C" w:rsidRDefault="0094139C" w:rsidP="009413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4139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Ministerstvo kultúry SR</w:t>
            </w:r>
          </w:p>
          <w:p w14:paraId="09CF5E32" w14:textId="77777777" w:rsidR="00CE274C" w:rsidRDefault="0094139C" w:rsidP="009413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4139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e-mail: </w:t>
            </w:r>
            <w:hyperlink r:id="rId10" w:history="1">
              <w:r w:rsidRPr="006556A1">
                <w:rPr>
                  <w:rStyle w:val="Hypertextovprepojenie"/>
                  <w:rFonts w:ascii="Times New Roman" w:eastAsia="Times New Roman" w:hAnsi="Times New Roman" w:cs="Times New Roman"/>
                  <w:sz w:val="20"/>
                  <w:szCs w:val="20"/>
                  <w:lang w:eastAsia="sk-SK"/>
                </w:rPr>
                <w:t>ivana.malakova@culture.gov.sk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  <w:p w14:paraId="07239233" w14:textId="5CE1AED6" w:rsidR="000B67AD" w:rsidRPr="006225D0" w:rsidRDefault="000B67AD" w:rsidP="009413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14:paraId="7BA6C28F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1D3F690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1B23B7" w:rsidRPr="00B043B4" w14:paraId="51ACD0FD" w14:textId="77777777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2D665" w14:textId="77777777"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zdroje (štatistiky, prieskumy, spoluprácu s odborníkmi a iné), z ktorých ste pri príprave materiálu a vypracovávaní doložky, analýz vplyvov vychádzali. V prípade nedostupnosti potrebných dát pre spracovanie relevantných analýz vybraných vplyvov, uveďte danú skutočnosť.</w:t>
            </w:r>
            <w:r w:rsidRPr="00B04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167B0A5" w14:textId="77777777" w:rsidR="001B23B7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01F05627" w14:textId="77777777" w:rsidR="001B23B7" w:rsidRDefault="0094139C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Spolupráca s Radou pre mediálne služby</w:t>
            </w:r>
          </w:p>
          <w:p w14:paraId="7C25D016" w14:textId="77777777" w:rsidR="00162F69" w:rsidRPr="0094139C" w:rsidRDefault="00162F69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14:paraId="09B264AB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DDA6847" w14:textId="06E5AA88" w:rsidR="001B23B7" w:rsidRPr="00B043B4" w:rsidRDefault="001B23B7" w:rsidP="000800FC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 xml:space="preserve">Stanovisko Komisie na posudzovanie vybraných vplyvov z PPK č. </w:t>
            </w:r>
            <w:r w:rsidR="003F0454">
              <w:rPr>
                <w:rFonts w:ascii="Times New Roman" w:eastAsia="Calibri" w:hAnsi="Times New Roman" w:cs="Times New Roman"/>
                <w:b/>
              </w:rPr>
              <w:t>217/2023</w:t>
            </w:r>
          </w:p>
          <w:p w14:paraId="6EDF5AFC" w14:textId="77777777" w:rsidR="001B23B7" w:rsidRPr="00B043B4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1B23B7" w:rsidRPr="00B043B4" w14:paraId="28097CC7" w14:textId="77777777" w:rsidTr="006F6B6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CB5FC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B043B4" w14:paraId="3A193875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176E516D" w14:textId="77777777" w:rsidR="001B23B7" w:rsidRPr="00B043B4" w:rsidRDefault="0031336D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7E368402" w14:textId="77777777" w:rsidR="001B23B7" w:rsidRPr="00B043B4" w:rsidRDefault="0031336D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14:paraId="0C733086" w14:textId="33CBCB6B" w:rsidR="001B23B7" w:rsidRPr="00B043B4" w:rsidRDefault="0031336D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C7DDA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☒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7497A7AF" w14:textId="77777777"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tbl>
            <w:tblPr>
              <w:tblW w:w="0" w:type="auto"/>
              <w:tblInd w:w="217" w:type="dxa"/>
              <w:tblLayout w:type="fixed"/>
              <w:tblLook w:val="0000" w:firstRow="0" w:lastRow="0" w:firstColumn="0" w:lastColumn="0" w:noHBand="0" w:noVBand="0"/>
            </w:tblPr>
            <w:tblGrid>
              <w:gridCol w:w="4252"/>
              <w:gridCol w:w="5243"/>
            </w:tblGrid>
            <w:tr w:rsidR="003F0454" w14:paraId="3D0B0913" w14:textId="77777777" w:rsidTr="002F2B69">
              <w:tc>
                <w:tcPr>
                  <w:tcW w:w="4252" w:type="dxa"/>
                  <w:shd w:val="clear" w:color="auto" w:fill="FFFFFF"/>
                </w:tcPr>
                <w:p w14:paraId="29A0BC79" w14:textId="77777777" w:rsidR="003F0454" w:rsidRDefault="003F0454" w:rsidP="002F2B69">
                  <w:pPr>
                    <w:snapToGrid w:val="0"/>
                    <w:jc w:val="both"/>
                    <w:rPr>
                      <w:i/>
                      <w:smallCaps/>
                      <w:sz w:val="24"/>
                      <w:szCs w:val="24"/>
                    </w:rPr>
                  </w:pPr>
                </w:p>
              </w:tc>
              <w:tc>
                <w:tcPr>
                  <w:tcW w:w="5243" w:type="dxa"/>
                  <w:shd w:val="clear" w:color="auto" w:fill="FFFFFF"/>
                </w:tcPr>
                <w:p w14:paraId="7A12C48B" w14:textId="530C2E99" w:rsidR="003F0454" w:rsidRPr="0085649A" w:rsidRDefault="003F0454" w:rsidP="003C7DDA">
                  <w:pPr>
                    <w:rPr>
                      <w:smallCaps/>
                      <w:sz w:val="24"/>
                      <w:szCs w:val="24"/>
                    </w:rPr>
                  </w:pPr>
                  <w:r>
                    <w:rPr>
                      <w:smallCaps/>
                      <w:sz w:val="24"/>
                      <w:szCs w:val="24"/>
                    </w:rPr>
                    <w:t xml:space="preserve">                                       </w:t>
                  </w:r>
                </w:p>
              </w:tc>
            </w:tr>
          </w:tbl>
          <w:p w14:paraId="4636D043" w14:textId="74F5D357" w:rsidR="003F0454" w:rsidRPr="00600DC2" w:rsidRDefault="003F0454" w:rsidP="00600DC2">
            <w:pPr>
              <w:pStyle w:val="Nadpis4"/>
              <w:numPr>
                <w:ilvl w:val="0"/>
                <w:numId w:val="0"/>
              </w:numPr>
              <w:outlineLvl w:val="3"/>
              <w:rPr>
                <w:sz w:val="22"/>
                <w:szCs w:val="22"/>
              </w:rPr>
            </w:pPr>
            <w:r w:rsidRPr="00600DC2">
              <w:rPr>
                <w:rFonts w:ascii="Arial" w:hAnsi="Arial" w:cs="Arial"/>
                <w:spacing w:val="20"/>
                <w:sz w:val="22"/>
                <w:szCs w:val="22"/>
              </w:rPr>
              <w:t>stanovisko komisie</w:t>
            </w:r>
          </w:p>
          <w:p w14:paraId="3FE0626C" w14:textId="77777777" w:rsidR="003F0454" w:rsidRPr="00600DC2" w:rsidRDefault="003F0454" w:rsidP="003F0454">
            <w:pPr>
              <w:ind w:right="-2"/>
              <w:jc w:val="center"/>
              <w:rPr>
                <w:rFonts w:ascii="Arial" w:hAnsi="Arial" w:cs="Arial"/>
                <w:b/>
                <w:smallCaps/>
              </w:rPr>
            </w:pPr>
          </w:p>
          <w:p w14:paraId="1E2C9909" w14:textId="77777777" w:rsidR="003F0454" w:rsidRPr="00600DC2" w:rsidRDefault="003F0454" w:rsidP="003F0454">
            <w:pPr>
              <w:ind w:right="-2"/>
              <w:jc w:val="center"/>
            </w:pPr>
            <w:r w:rsidRPr="00600DC2">
              <w:rPr>
                <w:rFonts w:ascii="Arial" w:hAnsi="Arial" w:cs="Arial"/>
                <w:b/>
                <w:smallCaps/>
              </w:rPr>
              <w:t>(predbežné pripomienkové konanie)</w:t>
            </w:r>
          </w:p>
          <w:p w14:paraId="2FF7B2E8" w14:textId="77777777" w:rsidR="003F0454" w:rsidRPr="00600DC2" w:rsidRDefault="003F0454" w:rsidP="003F0454">
            <w:pPr>
              <w:ind w:right="-2"/>
              <w:jc w:val="center"/>
              <w:rPr>
                <w:rFonts w:ascii="Arial" w:hAnsi="Arial" w:cs="Arial"/>
                <w:b/>
                <w:smallCaps/>
              </w:rPr>
            </w:pPr>
          </w:p>
          <w:p w14:paraId="4C973071" w14:textId="77777777" w:rsidR="003F0454" w:rsidRPr="00600DC2" w:rsidRDefault="003F0454" w:rsidP="003F0454">
            <w:pPr>
              <w:ind w:right="-2"/>
              <w:jc w:val="center"/>
            </w:pPr>
            <w:r w:rsidRPr="00600DC2">
              <w:rPr>
                <w:rFonts w:ascii="Arial" w:hAnsi="Arial" w:cs="Arial"/>
                <w:b/>
                <w:smallCaps/>
              </w:rPr>
              <w:t>k materiálu</w:t>
            </w:r>
          </w:p>
          <w:p w14:paraId="5F2A47CD" w14:textId="77777777" w:rsidR="003F0454" w:rsidRPr="00600DC2" w:rsidRDefault="003F0454" w:rsidP="003F0454">
            <w:pPr>
              <w:jc w:val="both"/>
              <w:rPr>
                <w:color w:val="000000" w:themeColor="text1"/>
                <w:lang w:eastAsia="sk-SK"/>
              </w:rPr>
            </w:pPr>
          </w:p>
          <w:p w14:paraId="74115AC3" w14:textId="77777777" w:rsidR="003F0454" w:rsidRPr="00600DC2" w:rsidRDefault="003F0454" w:rsidP="003F0454">
            <w:pPr>
              <w:pBdr>
                <w:bottom w:val="single" w:sz="4" w:space="1" w:color="auto"/>
              </w:pBdr>
              <w:jc w:val="center"/>
              <w:rPr>
                <w:rStyle w:val="Jemnodkaz"/>
                <w:rFonts w:ascii="Arial" w:hAnsi="Arial" w:cs="Arial"/>
                <w:b/>
              </w:rPr>
            </w:pPr>
            <w:r w:rsidRPr="00600DC2">
              <w:rPr>
                <w:rFonts w:ascii="Arial" w:hAnsi="Arial" w:cs="Arial"/>
                <w:b/>
                <w:smallCaps/>
              </w:rPr>
              <w:t>Návrh zákona, ktorým sa mení a dopĺňa zákon č. 264/2022 Z. z. o mediálnych službách a o zmene a doplnení niektorých zákonov (zákon o mediálnych službách) v znení neskorších predpisov a o zmene a doplnení niektorých zákonov</w:t>
            </w:r>
          </w:p>
          <w:p w14:paraId="58D3DC21" w14:textId="77777777" w:rsidR="003F0454" w:rsidRPr="00600DC2" w:rsidRDefault="003F0454" w:rsidP="003F0454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52B0D067" w14:textId="77777777" w:rsidR="003F0454" w:rsidRPr="00600DC2" w:rsidRDefault="003F0454" w:rsidP="003F0454">
            <w:pPr>
              <w:jc w:val="both"/>
              <w:rPr>
                <w:rFonts w:ascii="Arial" w:hAnsi="Arial" w:cs="Arial"/>
                <w:bCs/>
                <w:iCs/>
                <w:color w:val="000000"/>
              </w:rPr>
            </w:pPr>
            <w:r w:rsidRPr="00600DC2">
              <w:rPr>
                <w:rFonts w:ascii="Arial" w:hAnsi="Arial" w:cs="Arial"/>
                <w:b/>
                <w:bCs/>
              </w:rPr>
              <w:t xml:space="preserve">I. Úvod: </w:t>
            </w:r>
            <w:r w:rsidRPr="00600DC2">
              <w:rPr>
                <w:rFonts w:ascii="Arial" w:hAnsi="Arial" w:cs="Arial"/>
                <w:bCs/>
              </w:rPr>
              <w:t>Ministerstvo kultúry SR dňa 7. septembra 2023 predložilo na PPK materiál: „</w:t>
            </w:r>
            <w:r w:rsidRPr="00600DC2">
              <w:rPr>
                <w:rFonts w:ascii="Arial" w:hAnsi="Arial" w:cs="Arial"/>
                <w:i/>
                <w:lang w:eastAsia="sk-SK"/>
              </w:rPr>
              <w:t>Návrh zákona, ktorým sa mení a dopĺňa zákon č. 264/2022 Z. z. o mediálnych službách a o zmene a doplnení niektorých zákonov (zákon o mediálnych službách) v znení neskorších predpisov a o zmene a doplnení niektorých zákonov</w:t>
            </w:r>
            <w:r w:rsidRPr="00600DC2">
              <w:rPr>
                <w:rFonts w:ascii="Arial" w:hAnsi="Arial" w:cs="Arial"/>
                <w:bCs/>
                <w:i/>
                <w:iCs/>
              </w:rPr>
              <w:t>“</w:t>
            </w:r>
            <w:r w:rsidRPr="00600DC2">
              <w:rPr>
                <w:rFonts w:ascii="Arial" w:hAnsi="Arial" w:cs="Arial"/>
                <w:bCs/>
                <w:iCs/>
              </w:rPr>
              <w:t xml:space="preserve">. </w:t>
            </w:r>
            <w:r w:rsidRPr="00600DC2">
              <w:rPr>
                <w:rFonts w:ascii="Arial" w:hAnsi="Arial" w:cs="Arial"/>
                <w:bCs/>
                <w:iCs/>
                <w:color w:val="000000"/>
              </w:rPr>
              <w:t>Materiál predpokladá negatívne vplyvy na rozpočet verejnej správy, ktoré nie sú rozpočtovo zabezpečené a negatívne vplyvy na podnikateľské prostredie, bez vplyvov na malé a stredné podniky.</w:t>
            </w:r>
          </w:p>
          <w:p w14:paraId="6437E744" w14:textId="77777777" w:rsidR="003F0454" w:rsidRPr="00600DC2" w:rsidRDefault="003F0454" w:rsidP="003F0454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4FB01277" w14:textId="77777777" w:rsidR="003F0454" w:rsidRPr="00600DC2" w:rsidRDefault="003F0454" w:rsidP="003F0454">
            <w:pPr>
              <w:jc w:val="both"/>
            </w:pPr>
            <w:r w:rsidRPr="00600DC2">
              <w:rPr>
                <w:rFonts w:ascii="Arial" w:hAnsi="Arial" w:cs="Arial"/>
                <w:b/>
                <w:bCs/>
              </w:rPr>
              <w:t>II. P</w:t>
            </w:r>
            <w:r w:rsidRPr="00600DC2">
              <w:rPr>
                <w:rFonts w:ascii="Arial" w:hAnsi="Arial" w:cs="Arial"/>
                <w:b/>
              </w:rPr>
              <w:t>r</w:t>
            </w:r>
            <w:r w:rsidRPr="00600DC2">
              <w:rPr>
                <w:rFonts w:ascii="Arial" w:hAnsi="Arial" w:cs="Arial"/>
                <w:b/>
                <w:bCs/>
              </w:rPr>
              <w:t>ipomienky a návrhy zm</w:t>
            </w:r>
            <w:r w:rsidRPr="00600DC2">
              <w:rPr>
                <w:rFonts w:ascii="Arial" w:hAnsi="Arial" w:cs="Arial"/>
                <w:b/>
              </w:rPr>
              <w:t>ie</w:t>
            </w:r>
            <w:r w:rsidRPr="00600DC2">
              <w:rPr>
                <w:rFonts w:ascii="Arial" w:hAnsi="Arial" w:cs="Arial"/>
                <w:b/>
                <w:bCs/>
              </w:rPr>
              <w:t xml:space="preserve">n: </w:t>
            </w:r>
            <w:r w:rsidRPr="00600DC2">
              <w:rPr>
                <w:rFonts w:ascii="Arial" w:hAnsi="Arial" w:cs="Arial"/>
                <w:bCs/>
              </w:rPr>
              <w:t>Komisia uplatňuje k materiálu nasledovné pripomienky a odporúčania:</w:t>
            </w:r>
          </w:p>
          <w:p w14:paraId="30C13540" w14:textId="77777777" w:rsidR="003F0454" w:rsidRPr="00600DC2" w:rsidRDefault="003F0454" w:rsidP="003F0454">
            <w:pPr>
              <w:tabs>
                <w:tab w:val="center" w:pos="6379"/>
              </w:tabs>
              <w:ind w:right="-2"/>
              <w:jc w:val="both"/>
              <w:rPr>
                <w:rFonts w:ascii="Arial" w:hAnsi="Arial" w:cs="Arial"/>
                <w:bCs/>
              </w:rPr>
            </w:pPr>
          </w:p>
          <w:p w14:paraId="7F249FCE" w14:textId="77777777" w:rsidR="003F0454" w:rsidRPr="00600DC2" w:rsidRDefault="003F0454" w:rsidP="003F0454">
            <w:pPr>
              <w:tabs>
                <w:tab w:val="center" w:pos="6379"/>
              </w:tabs>
              <w:ind w:right="-2"/>
              <w:jc w:val="both"/>
              <w:rPr>
                <w:rFonts w:ascii="Arial" w:hAnsi="Arial" w:cs="Arial"/>
                <w:b/>
                <w:bCs/>
              </w:rPr>
            </w:pPr>
            <w:r w:rsidRPr="00600DC2">
              <w:rPr>
                <w:rFonts w:ascii="Arial" w:hAnsi="Arial" w:cs="Arial"/>
                <w:b/>
                <w:bCs/>
              </w:rPr>
              <w:t>K doložke vybraných vplyvov</w:t>
            </w:r>
          </w:p>
          <w:p w14:paraId="3B138D95" w14:textId="77777777" w:rsidR="003F0454" w:rsidRPr="00600DC2" w:rsidRDefault="003F0454" w:rsidP="003F0454">
            <w:pPr>
              <w:tabs>
                <w:tab w:val="center" w:pos="6379"/>
              </w:tabs>
              <w:ind w:right="-2"/>
              <w:jc w:val="both"/>
              <w:rPr>
                <w:rFonts w:ascii="Arial" w:hAnsi="Arial" w:cs="Arial"/>
                <w:bCs/>
              </w:rPr>
            </w:pPr>
            <w:r w:rsidRPr="00600DC2">
              <w:rPr>
                <w:rFonts w:ascii="Arial" w:hAnsi="Arial" w:cs="Arial"/>
                <w:bCs/>
              </w:rPr>
              <w:t xml:space="preserve">Komisia odporúča predkladateľovi doplniť chýbajúce údaje v doložke, a to v časti 8. Preskúmanie účelnosti – doplniť časovú lehotu (rok) a kritériá,  podľa ktorých je možné zhodnotiť, ako boli dosiahnuté stanovené ciele návrhu po stanovení základného rámca a spoločných princípoch či postupoch. </w:t>
            </w:r>
          </w:p>
          <w:p w14:paraId="782B6EC2" w14:textId="77777777" w:rsidR="003F0454" w:rsidRDefault="003F0454" w:rsidP="003F0454">
            <w:pPr>
              <w:tabs>
                <w:tab w:val="center" w:pos="6379"/>
              </w:tabs>
              <w:ind w:right="-2"/>
              <w:jc w:val="both"/>
              <w:rPr>
                <w:rFonts w:ascii="Arial" w:hAnsi="Arial" w:cs="Arial"/>
                <w:bCs/>
              </w:rPr>
            </w:pPr>
            <w:r w:rsidRPr="00600DC2">
              <w:rPr>
                <w:rFonts w:ascii="Arial" w:hAnsi="Arial" w:cs="Arial"/>
                <w:bCs/>
                <w:u w:val="single"/>
              </w:rPr>
              <w:t>Odôvodnenie:</w:t>
            </w:r>
            <w:r w:rsidRPr="00600DC2">
              <w:rPr>
                <w:rFonts w:ascii="Arial" w:hAnsi="Arial" w:cs="Arial"/>
                <w:bCs/>
              </w:rPr>
              <w:t xml:space="preserve"> Uvedenú časť je potrebné uviesť v zmysle aktualizovanej  Jednotnej </w:t>
            </w:r>
            <w:r w:rsidRPr="00600DC2">
              <w:rPr>
                <w:rFonts w:ascii="Arial" w:hAnsi="Arial" w:cs="Arial"/>
                <w:bCs/>
              </w:rPr>
              <w:lastRenderedPageBreak/>
              <w:t xml:space="preserve">metodiky na posudzovanie vybraných vplyvov. </w:t>
            </w:r>
          </w:p>
          <w:p w14:paraId="41B5C2F8" w14:textId="77777777" w:rsidR="00600DC2" w:rsidRDefault="00600DC2" w:rsidP="003F0454">
            <w:pPr>
              <w:tabs>
                <w:tab w:val="center" w:pos="6379"/>
              </w:tabs>
              <w:ind w:right="-2"/>
              <w:jc w:val="both"/>
              <w:rPr>
                <w:rFonts w:ascii="Arial" w:hAnsi="Arial" w:cs="Arial"/>
                <w:bCs/>
              </w:rPr>
            </w:pPr>
          </w:p>
          <w:p w14:paraId="1C99B11F" w14:textId="6AAF28AE" w:rsidR="00600DC2" w:rsidRPr="00600DC2" w:rsidRDefault="00354805" w:rsidP="00600DC2">
            <w:pPr>
              <w:pStyle w:val="Odsekzoznamu"/>
              <w:numPr>
                <w:ilvl w:val="0"/>
                <w:numId w:val="4"/>
              </w:numPr>
              <w:tabs>
                <w:tab w:val="center" w:pos="6379"/>
              </w:tabs>
              <w:ind w:right="-2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Akceptované: pripomienka bola </w:t>
            </w:r>
            <w:r w:rsidR="00600DC2">
              <w:rPr>
                <w:rFonts w:ascii="Arial" w:hAnsi="Arial" w:cs="Arial"/>
                <w:bCs/>
              </w:rPr>
              <w:t>zapracovaná do doložky vybraných vplyvov.</w:t>
            </w:r>
          </w:p>
          <w:p w14:paraId="3544FC51" w14:textId="77777777" w:rsidR="003F0454" w:rsidRPr="00600DC2" w:rsidRDefault="003F0454" w:rsidP="003F0454">
            <w:pPr>
              <w:tabs>
                <w:tab w:val="center" w:pos="6379"/>
              </w:tabs>
              <w:ind w:right="-2"/>
              <w:jc w:val="both"/>
              <w:rPr>
                <w:rFonts w:ascii="Arial" w:hAnsi="Arial" w:cs="Arial"/>
                <w:bCs/>
              </w:rPr>
            </w:pPr>
          </w:p>
          <w:p w14:paraId="3290825F" w14:textId="77777777" w:rsidR="003F0454" w:rsidRPr="00600DC2" w:rsidRDefault="003F0454" w:rsidP="003F0454">
            <w:pPr>
              <w:tabs>
                <w:tab w:val="center" w:pos="6379"/>
              </w:tabs>
              <w:ind w:right="-2"/>
              <w:jc w:val="both"/>
              <w:rPr>
                <w:rFonts w:ascii="Arial" w:hAnsi="Arial" w:cs="Arial"/>
                <w:bCs/>
              </w:rPr>
            </w:pPr>
            <w:r w:rsidRPr="00600DC2">
              <w:rPr>
                <w:rFonts w:ascii="Arial" w:hAnsi="Arial" w:cs="Arial"/>
                <w:b/>
                <w:bCs/>
              </w:rPr>
              <w:t xml:space="preserve">K vplyvom na rozpočet verejnej správy </w:t>
            </w:r>
          </w:p>
          <w:p w14:paraId="6CE65345" w14:textId="77777777" w:rsidR="003F0454" w:rsidRPr="00600DC2" w:rsidRDefault="003F0454" w:rsidP="003F0454">
            <w:pPr>
              <w:tabs>
                <w:tab w:val="center" w:pos="6379"/>
              </w:tabs>
              <w:ind w:right="-2"/>
              <w:jc w:val="both"/>
              <w:rPr>
                <w:rFonts w:ascii="Arial" w:hAnsi="Arial" w:cs="Arial"/>
                <w:bCs/>
              </w:rPr>
            </w:pPr>
            <w:r w:rsidRPr="00600DC2">
              <w:rPr>
                <w:rFonts w:ascii="Arial" w:hAnsi="Arial" w:cs="Arial"/>
                <w:bCs/>
              </w:rPr>
              <w:t xml:space="preserve">Návrhom zákona sa implementuje nariadenie EÚ o jednotnom trhu s digitálnymi službami, ustanovuje sa koordinátor digitálnych služieb a upravuje sa pôsobnosť nezávislého národného regulačného orgánu Rady pre mediálne služby, navrhuje sa rozšírenie jej pôsobnosti o nové kompetencie v digitálnej oblasti. </w:t>
            </w:r>
          </w:p>
          <w:p w14:paraId="5B157952" w14:textId="77777777" w:rsidR="003F0454" w:rsidRPr="00600DC2" w:rsidRDefault="003F0454" w:rsidP="003F0454">
            <w:pPr>
              <w:tabs>
                <w:tab w:val="center" w:pos="6379"/>
              </w:tabs>
              <w:ind w:right="-2"/>
              <w:jc w:val="both"/>
              <w:rPr>
                <w:rFonts w:ascii="Arial" w:hAnsi="Arial" w:cs="Arial"/>
                <w:bCs/>
              </w:rPr>
            </w:pPr>
          </w:p>
          <w:p w14:paraId="61DC3759" w14:textId="77777777" w:rsidR="003F0454" w:rsidRDefault="003F0454" w:rsidP="003F0454">
            <w:pPr>
              <w:tabs>
                <w:tab w:val="center" w:pos="6379"/>
              </w:tabs>
              <w:ind w:right="-2"/>
              <w:jc w:val="both"/>
              <w:rPr>
                <w:rFonts w:ascii="Arial" w:hAnsi="Arial" w:cs="Arial"/>
                <w:bCs/>
              </w:rPr>
            </w:pPr>
            <w:r w:rsidRPr="00600DC2">
              <w:rPr>
                <w:rFonts w:ascii="Arial" w:hAnsi="Arial" w:cs="Arial"/>
                <w:bCs/>
              </w:rPr>
              <w:t xml:space="preserve">V doložke vybraných vplyvov sú označené negatívne, nezabezpečené vplyvy na rozpočet verejnej správy. Vplyvy na rozpočty obcí a vyšších územných celkov sú označené „žiadne“ a zároveň je uvedené, že nie sú rozpočtovo zabezpečené. Komisia upozorňuje, že v prípade, že vplyvy na rozpočty územnej samosprávy nie sú identifikované, rozpočtová zabezpečenosť sa neoznačuje. </w:t>
            </w:r>
          </w:p>
          <w:p w14:paraId="48EADB8F" w14:textId="77777777" w:rsidR="00600DC2" w:rsidRPr="00600DC2" w:rsidRDefault="00600DC2" w:rsidP="003F0454">
            <w:pPr>
              <w:tabs>
                <w:tab w:val="center" w:pos="6379"/>
              </w:tabs>
              <w:ind w:right="-2"/>
              <w:jc w:val="both"/>
              <w:rPr>
                <w:rFonts w:ascii="Arial" w:hAnsi="Arial" w:cs="Arial"/>
                <w:bCs/>
              </w:rPr>
            </w:pPr>
          </w:p>
          <w:p w14:paraId="5EFDC7E7" w14:textId="5ACD6CFD" w:rsidR="00600DC2" w:rsidRPr="00600DC2" w:rsidRDefault="00354805" w:rsidP="00600DC2">
            <w:pPr>
              <w:pStyle w:val="Odsekzoznamu"/>
              <w:numPr>
                <w:ilvl w:val="0"/>
                <w:numId w:val="4"/>
              </w:numPr>
              <w:tabs>
                <w:tab w:val="center" w:pos="6379"/>
              </w:tabs>
              <w:ind w:right="-2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Akceptované: p</w:t>
            </w:r>
            <w:r w:rsidR="00600DC2">
              <w:rPr>
                <w:rFonts w:ascii="Arial" w:hAnsi="Arial" w:cs="Arial"/>
                <w:bCs/>
              </w:rPr>
              <w:t>ripomienka bola  zapracovaná do doložky vybraných vplyvov.</w:t>
            </w:r>
          </w:p>
          <w:p w14:paraId="58443523" w14:textId="77777777" w:rsidR="003F0454" w:rsidRPr="00600DC2" w:rsidRDefault="003F0454" w:rsidP="003F0454">
            <w:pPr>
              <w:tabs>
                <w:tab w:val="center" w:pos="6379"/>
              </w:tabs>
              <w:ind w:right="-2"/>
              <w:jc w:val="both"/>
              <w:rPr>
                <w:rFonts w:ascii="Arial" w:hAnsi="Arial" w:cs="Arial"/>
                <w:bCs/>
              </w:rPr>
            </w:pPr>
          </w:p>
          <w:p w14:paraId="4BB75775" w14:textId="2A593B9D" w:rsidR="003F0454" w:rsidRDefault="003F0454" w:rsidP="003F0454">
            <w:pPr>
              <w:tabs>
                <w:tab w:val="center" w:pos="6379"/>
              </w:tabs>
              <w:ind w:right="-2"/>
              <w:jc w:val="both"/>
              <w:rPr>
                <w:rFonts w:ascii="Arial" w:hAnsi="Arial" w:cs="Arial"/>
                <w:bCs/>
              </w:rPr>
            </w:pPr>
            <w:r w:rsidRPr="00600DC2">
              <w:rPr>
                <w:rFonts w:ascii="Arial" w:hAnsi="Arial" w:cs="Arial"/>
                <w:bCs/>
              </w:rPr>
              <w:t>Zároveň z formálneho hľadiska Komisia upozorňuje, že v doložke vybraných vplyvov v bode 9. sa vplyv na dlhodobú udržateľnosť verejných financií označuje len v prípade posudzovania zmien v I. a II. pilieri univerzálneho dôchodkového systému dôchodkového zabezpečenia s identifikovaným dopadom od 0,1 % HDP na dlhodobom horizonte.</w:t>
            </w:r>
          </w:p>
          <w:p w14:paraId="3C50CAB4" w14:textId="77777777" w:rsidR="007E28E3" w:rsidRDefault="007E28E3" w:rsidP="003F0454">
            <w:pPr>
              <w:tabs>
                <w:tab w:val="center" w:pos="6379"/>
              </w:tabs>
              <w:ind w:right="-2"/>
              <w:jc w:val="both"/>
              <w:rPr>
                <w:rFonts w:ascii="Arial" w:hAnsi="Arial" w:cs="Arial"/>
                <w:bCs/>
              </w:rPr>
            </w:pPr>
          </w:p>
          <w:p w14:paraId="6055A5AD" w14:textId="09822BBF" w:rsidR="007E28E3" w:rsidRPr="001F691C" w:rsidRDefault="007E28E3" w:rsidP="001F691C">
            <w:pPr>
              <w:pStyle w:val="Odsekzoznamu"/>
              <w:numPr>
                <w:ilvl w:val="0"/>
                <w:numId w:val="4"/>
              </w:numPr>
              <w:tabs>
                <w:tab w:val="center" w:pos="6379"/>
              </w:tabs>
              <w:ind w:right="-2"/>
              <w:jc w:val="both"/>
              <w:rPr>
                <w:rFonts w:ascii="Arial" w:hAnsi="Arial" w:cs="Arial"/>
                <w:bCs/>
              </w:rPr>
            </w:pPr>
            <w:r w:rsidRPr="001F691C">
              <w:rPr>
                <w:rFonts w:ascii="Arial" w:hAnsi="Arial" w:cs="Arial"/>
                <w:bCs/>
              </w:rPr>
              <w:t>Akceptované: pripomienka bola  zapracovaná do doložky vybraných vplyvov.</w:t>
            </w:r>
          </w:p>
          <w:p w14:paraId="53A2F1E1" w14:textId="77777777" w:rsidR="003F0454" w:rsidRPr="00600DC2" w:rsidRDefault="003F0454" w:rsidP="003F0454">
            <w:pPr>
              <w:tabs>
                <w:tab w:val="center" w:pos="6379"/>
              </w:tabs>
              <w:ind w:right="-2"/>
              <w:jc w:val="both"/>
              <w:rPr>
                <w:rFonts w:ascii="Arial" w:hAnsi="Arial" w:cs="Arial"/>
                <w:bCs/>
              </w:rPr>
            </w:pPr>
          </w:p>
          <w:p w14:paraId="2D261E6E" w14:textId="45FB1A5E" w:rsidR="003F0454" w:rsidRDefault="003F0454" w:rsidP="003F0454">
            <w:pPr>
              <w:tabs>
                <w:tab w:val="center" w:pos="6379"/>
              </w:tabs>
              <w:ind w:right="-2"/>
              <w:jc w:val="both"/>
              <w:rPr>
                <w:rFonts w:ascii="Arial" w:hAnsi="Arial" w:cs="Arial"/>
                <w:bCs/>
              </w:rPr>
            </w:pPr>
            <w:r w:rsidRPr="00600DC2">
              <w:rPr>
                <w:rFonts w:ascii="Arial" w:hAnsi="Arial" w:cs="Arial"/>
                <w:bCs/>
              </w:rPr>
              <w:t xml:space="preserve">V analýze vplyvov na rozpočet verejnej správy v tabuľke č. 1 sú kvantifikované nekryté vplyvy v roku 2024 v sume 1,06 mil. eur (z toho osobné výdavky v sume 578 tis. eur), v roku 2025 v sume 1,77 mil. eur (z toho osobné výdavky v sume 1,16 mil. eur) a od roku 2026 každoročne v sume 2,68 mil. eur (z toho osobné výdavky v sume 1,77 mil. eur).  Z návrhu vyplýva požiadavka na postupné zvýšenie počtu zamestnancov s cieľovým počtom 49 osôb v roku 2026 (zvýšenie v roku 2024 o 16 osôb, v roku 2025 o ďalších 16 osôb a v roku 2026 o ďalších 17 osôb). V analýze vplyvov na rozpočet v bode 2.1.1. Financovanie návrhu je uvedené, že „Financovanie sa navrhuje navýšením rozpočtu Rady pre mediálne služby v rozpočtovej kapitole VPS.“. S materiálom zakladajúcim rozpočtovo nekrytý vplyv Komisia nesúhlasí a všetky rozpočtové dôsledky súvisiace s návrhom zákona (vrátane osobných výdavkov a počtu zamestnancov) žiada zabezpečiť v rámci návrhu rozpočtu organizácie na roky 2024 až 2026. V nadväznosti na uvedené Komisia žiada doložku vybraných vplyvov a analýzu vplyvov na rozpočet prepracovať tak, že z nich nebude vyplývať rozpočtovo nekrytý vplyv. </w:t>
            </w:r>
          </w:p>
          <w:p w14:paraId="4D2F5F5D" w14:textId="77777777" w:rsidR="007E28E3" w:rsidRDefault="007E28E3" w:rsidP="003F0454">
            <w:pPr>
              <w:tabs>
                <w:tab w:val="center" w:pos="6379"/>
              </w:tabs>
              <w:ind w:right="-2"/>
              <w:jc w:val="both"/>
              <w:rPr>
                <w:rFonts w:ascii="Arial" w:hAnsi="Arial" w:cs="Arial"/>
                <w:bCs/>
              </w:rPr>
            </w:pPr>
          </w:p>
          <w:p w14:paraId="15B99B02" w14:textId="270DD97D" w:rsidR="00600DC2" w:rsidRPr="00EB4027" w:rsidRDefault="00354805" w:rsidP="00600DC2">
            <w:pPr>
              <w:pStyle w:val="Odsekzoznamu"/>
              <w:numPr>
                <w:ilvl w:val="0"/>
                <w:numId w:val="4"/>
              </w:numPr>
              <w:tabs>
                <w:tab w:val="center" w:pos="6379"/>
              </w:tabs>
              <w:ind w:right="-2"/>
              <w:jc w:val="both"/>
              <w:rPr>
                <w:rFonts w:ascii="Arial" w:hAnsi="Arial" w:cs="Arial"/>
                <w:bCs/>
              </w:rPr>
            </w:pPr>
            <w:r w:rsidRPr="00EB4027">
              <w:rPr>
                <w:rFonts w:ascii="Arial" w:hAnsi="Arial" w:cs="Arial"/>
                <w:bCs/>
              </w:rPr>
              <w:t>Neakceptované:</w:t>
            </w:r>
            <w:r w:rsidR="00693740" w:rsidRPr="00EB4027">
              <w:rPr>
                <w:rFonts w:ascii="Arial" w:hAnsi="Arial" w:cs="Arial"/>
                <w:bCs/>
              </w:rPr>
              <w:t xml:space="preserve"> Rozpočtové dôsledky súvisiace s návrhom zákona nie je možné zabezpečiť v rámci aktuálneho rozpočtu Rady pre mediá</w:t>
            </w:r>
            <w:r w:rsidR="00A67500">
              <w:rPr>
                <w:rFonts w:ascii="Arial" w:hAnsi="Arial" w:cs="Arial"/>
                <w:bCs/>
              </w:rPr>
              <w:t>lne služby na roky 2024 až 2027</w:t>
            </w:r>
            <w:r w:rsidR="007E28E3" w:rsidRPr="00EB4027">
              <w:rPr>
                <w:rFonts w:ascii="Arial" w:hAnsi="Arial" w:cs="Arial"/>
                <w:bCs/>
              </w:rPr>
              <w:t>.</w:t>
            </w:r>
            <w:r w:rsidRPr="00EB4027">
              <w:rPr>
                <w:rFonts w:ascii="Arial" w:hAnsi="Arial" w:cs="Arial"/>
                <w:bCs/>
              </w:rPr>
              <w:t xml:space="preserve"> </w:t>
            </w:r>
          </w:p>
          <w:p w14:paraId="2A6A25B3" w14:textId="77777777" w:rsidR="003F0454" w:rsidRPr="00600DC2" w:rsidRDefault="003F0454" w:rsidP="003F0454">
            <w:pPr>
              <w:tabs>
                <w:tab w:val="center" w:pos="6379"/>
              </w:tabs>
              <w:ind w:right="-2"/>
              <w:jc w:val="both"/>
              <w:rPr>
                <w:rFonts w:ascii="Arial" w:hAnsi="Arial" w:cs="Arial"/>
                <w:bCs/>
              </w:rPr>
            </w:pPr>
          </w:p>
          <w:p w14:paraId="4534FF4C" w14:textId="77777777" w:rsidR="003F0454" w:rsidRPr="00600DC2" w:rsidRDefault="003F0454" w:rsidP="003F0454">
            <w:pPr>
              <w:tabs>
                <w:tab w:val="center" w:pos="6379"/>
              </w:tabs>
              <w:ind w:right="-2"/>
              <w:jc w:val="both"/>
              <w:rPr>
                <w:rFonts w:ascii="Arial" w:hAnsi="Arial" w:cs="Arial"/>
                <w:bCs/>
              </w:rPr>
            </w:pPr>
            <w:r w:rsidRPr="00600DC2">
              <w:rPr>
                <w:rFonts w:ascii="Arial" w:hAnsi="Arial" w:cs="Arial"/>
                <w:bCs/>
              </w:rPr>
              <w:t>V analýze vplyvov na rozpočet Komisia žiada uviesť konkrétny výpočet, na základe ktorého sa dospelo k počtu 49 dodatočných pracovníkov Rady pre mediálne služby.</w:t>
            </w:r>
          </w:p>
          <w:p w14:paraId="1D32D416" w14:textId="77777777" w:rsidR="003F0454" w:rsidRDefault="003F0454" w:rsidP="003F0454">
            <w:pPr>
              <w:tabs>
                <w:tab w:val="center" w:pos="6379"/>
              </w:tabs>
              <w:ind w:right="-2"/>
              <w:jc w:val="both"/>
              <w:rPr>
                <w:rFonts w:ascii="Arial" w:hAnsi="Arial" w:cs="Arial"/>
                <w:bCs/>
              </w:rPr>
            </w:pPr>
            <w:r w:rsidRPr="00600DC2">
              <w:rPr>
                <w:rFonts w:ascii="Arial" w:hAnsi="Arial" w:cs="Arial"/>
                <w:bCs/>
                <w:u w:val="single"/>
              </w:rPr>
              <w:t>Odôvodnenie:</w:t>
            </w:r>
            <w:r w:rsidRPr="00600DC2">
              <w:rPr>
                <w:rFonts w:ascii="Arial" w:hAnsi="Arial" w:cs="Arial"/>
                <w:bCs/>
              </w:rPr>
              <w:t xml:space="preserve"> V analýze vplyvov na rozpočet je uvedený počet pracovníkov, ktorý bol vypočítaný na základe odhadov prácnosti a početnosti činností súvisiacich s rolou DSC, nie výpočet samotný. Komisia navrhuje jeho doplnenie aj z dôvodu kontroly zohľadnenia prebratia časti agendy už súčasnými pracovníkmi Rady pre mediálne služby.</w:t>
            </w:r>
          </w:p>
          <w:p w14:paraId="2E656809" w14:textId="77777777" w:rsidR="006225D0" w:rsidRDefault="006225D0" w:rsidP="003F0454">
            <w:pPr>
              <w:tabs>
                <w:tab w:val="center" w:pos="6379"/>
              </w:tabs>
              <w:ind w:right="-2"/>
              <w:jc w:val="both"/>
              <w:rPr>
                <w:rFonts w:ascii="Arial" w:hAnsi="Arial" w:cs="Arial"/>
                <w:bCs/>
              </w:rPr>
            </w:pPr>
          </w:p>
          <w:p w14:paraId="0AA5D155" w14:textId="0072C728" w:rsidR="00600DC2" w:rsidRPr="009278E6" w:rsidRDefault="00354805" w:rsidP="00600DC2">
            <w:pPr>
              <w:pStyle w:val="Odsekzoznamu"/>
              <w:numPr>
                <w:ilvl w:val="0"/>
                <w:numId w:val="4"/>
              </w:numPr>
              <w:tabs>
                <w:tab w:val="center" w:pos="6379"/>
              </w:tabs>
              <w:ind w:right="-2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Akceptované: a</w:t>
            </w:r>
            <w:r w:rsidR="006225D0" w:rsidRPr="009278E6">
              <w:rPr>
                <w:rFonts w:ascii="Arial" w:hAnsi="Arial" w:cs="Arial"/>
                <w:bCs/>
              </w:rPr>
              <w:t>nalýza vplyvov na rozpočet bola doplnená v zmysle pripomienky.</w:t>
            </w:r>
          </w:p>
          <w:p w14:paraId="41FF22CA" w14:textId="77777777" w:rsidR="003F0454" w:rsidRPr="00600DC2" w:rsidRDefault="003F0454" w:rsidP="003F0454">
            <w:pPr>
              <w:tabs>
                <w:tab w:val="center" w:pos="6379"/>
              </w:tabs>
              <w:ind w:right="-2"/>
              <w:jc w:val="both"/>
              <w:rPr>
                <w:rFonts w:ascii="Arial" w:hAnsi="Arial" w:cs="Arial"/>
                <w:bCs/>
              </w:rPr>
            </w:pPr>
          </w:p>
          <w:p w14:paraId="595D4ADA" w14:textId="77777777" w:rsidR="00A67500" w:rsidRDefault="00A67500" w:rsidP="003F0454">
            <w:pPr>
              <w:tabs>
                <w:tab w:val="center" w:pos="6379"/>
              </w:tabs>
              <w:ind w:right="-2"/>
              <w:jc w:val="both"/>
              <w:rPr>
                <w:rFonts w:ascii="Arial" w:hAnsi="Arial" w:cs="Arial"/>
                <w:bCs/>
              </w:rPr>
            </w:pPr>
          </w:p>
          <w:p w14:paraId="73E66E34" w14:textId="77777777" w:rsidR="003F0454" w:rsidRDefault="003F0454" w:rsidP="003F0454">
            <w:pPr>
              <w:tabs>
                <w:tab w:val="center" w:pos="6379"/>
              </w:tabs>
              <w:ind w:right="-2"/>
              <w:jc w:val="both"/>
              <w:rPr>
                <w:rFonts w:ascii="Arial" w:hAnsi="Arial" w:cs="Arial"/>
                <w:bCs/>
              </w:rPr>
            </w:pPr>
            <w:r w:rsidRPr="00600DC2">
              <w:rPr>
                <w:rFonts w:ascii="Arial" w:hAnsi="Arial" w:cs="Arial"/>
                <w:bCs/>
              </w:rPr>
              <w:t xml:space="preserve">V analýze vplyvov na rozpočet v tabuľke č. 4 sú uvedené nesprávne kvantifikácie v rámci </w:t>
            </w:r>
            <w:r w:rsidRPr="00600DC2">
              <w:rPr>
                <w:rFonts w:ascii="Arial" w:hAnsi="Arial" w:cs="Arial"/>
                <w:bCs/>
              </w:rPr>
              <w:lastRenderedPageBreak/>
              <w:t xml:space="preserve">výdavkov EKRK 630 a 650. Predkladateľ v časti 2.2.4. Výpočty vplyvov na verejné financie v rámci EKRK 650 žiadne výdavky neuvádza. V nadväznosti na uvedené je potrebné kvantifikované vplyvy podľa EKRK upraviť a zosúladiť údaje vo všetkých častiach analýzy vplyvov na rozpočet. </w:t>
            </w:r>
          </w:p>
          <w:p w14:paraId="7AEC5698" w14:textId="77777777" w:rsidR="00600DC2" w:rsidRDefault="00600DC2" w:rsidP="003F0454">
            <w:pPr>
              <w:tabs>
                <w:tab w:val="center" w:pos="6379"/>
              </w:tabs>
              <w:ind w:right="-2"/>
              <w:jc w:val="both"/>
              <w:rPr>
                <w:rFonts w:ascii="Arial" w:hAnsi="Arial" w:cs="Arial"/>
                <w:bCs/>
              </w:rPr>
            </w:pPr>
          </w:p>
          <w:p w14:paraId="04D6F1DE" w14:textId="6F59F1F3" w:rsidR="00600DC2" w:rsidRPr="00600DC2" w:rsidRDefault="00354805" w:rsidP="00600DC2">
            <w:pPr>
              <w:pStyle w:val="Odsekzoznamu"/>
              <w:numPr>
                <w:ilvl w:val="0"/>
                <w:numId w:val="4"/>
              </w:numPr>
              <w:tabs>
                <w:tab w:val="center" w:pos="6379"/>
              </w:tabs>
              <w:ind w:right="-2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Akceptované: a</w:t>
            </w:r>
            <w:r w:rsidR="00600DC2">
              <w:rPr>
                <w:rFonts w:ascii="Arial" w:hAnsi="Arial" w:cs="Arial"/>
                <w:bCs/>
              </w:rPr>
              <w:t>nalýza vplyvov na rozpočet bola upravená v zmysle pripomienky.</w:t>
            </w:r>
          </w:p>
          <w:p w14:paraId="6A1EC463" w14:textId="77777777" w:rsidR="003F0454" w:rsidRPr="00600DC2" w:rsidRDefault="003F0454" w:rsidP="003F0454">
            <w:pPr>
              <w:tabs>
                <w:tab w:val="center" w:pos="6379"/>
              </w:tabs>
              <w:ind w:right="-2"/>
              <w:jc w:val="both"/>
              <w:rPr>
                <w:rFonts w:ascii="Arial" w:hAnsi="Arial" w:cs="Arial"/>
                <w:bCs/>
              </w:rPr>
            </w:pPr>
          </w:p>
          <w:p w14:paraId="396101C7" w14:textId="77777777" w:rsidR="003F0454" w:rsidRDefault="003F0454" w:rsidP="003F0454">
            <w:pPr>
              <w:tabs>
                <w:tab w:val="center" w:pos="6379"/>
              </w:tabs>
              <w:ind w:right="-2"/>
              <w:jc w:val="both"/>
              <w:rPr>
                <w:rFonts w:ascii="Arial" w:hAnsi="Arial" w:cs="Arial"/>
                <w:bCs/>
              </w:rPr>
            </w:pPr>
            <w:r w:rsidRPr="00600DC2">
              <w:rPr>
                <w:rFonts w:ascii="Arial" w:hAnsi="Arial" w:cs="Arial"/>
                <w:bCs/>
              </w:rPr>
              <w:t xml:space="preserve">Zároveň Komisia uvádza, že v súvislosti s možnými negatívnymi rozpočtovými vplyvmi vyplývajúcimi z bodu 29. návrhu zákona (§ 118 nový odsek 2), podľa ktorého „Okrem odmeny podľa odseku 1 patrí členovi rady, ktorý je členom senátu príplatok vo výške 120 eur mesačne; členovi rady, ktorý je predsedom senátu, patrí príplatok vo výške 200 eur mesačne.“, je tieto potrebné zohľadniť v analýze vplyvov na rozpočet. </w:t>
            </w:r>
          </w:p>
          <w:p w14:paraId="2DC03397" w14:textId="77777777" w:rsidR="00600DC2" w:rsidRPr="00600DC2" w:rsidRDefault="00600DC2" w:rsidP="003F0454">
            <w:pPr>
              <w:tabs>
                <w:tab w:val="center" w:pos="6379"/>
              </w:tabs>
              <w:ind w:right="-2"/>
              <w:jc w:val="both"/>
              <w:rPr>
                <w:rFonts w:ascii="Arial" w:hAnsi="Arial" w:cs="Arial"/>
                <w:bCs/>
              </w:rPr>
            </w:pPr>
          </w:p>
          <w:p w14:paraId="598DF3C7" w14:textId="68A3E45F" w:rsidR="003F0454" w:rsidRPr="00600DC2" w:rsidRDefault="00600DC2" w:rsidP="00600DC2">
            <w:pPr>
              <w:pStyle w:val="Odsekzoznamu"/>
              <w:numPr>
                <w:ilvl w:val="0"/>
                <w:numId w:val="4"/>
              </w:numPr>
              <w:tabs>
                <w:tab w:val="center" w:pos="6379"/>
              </w:tabs>
              <w:ind w:right="-2"/>
              <w:jc w:val="both"/>
              <w:rPr>
                <w:rFonts w:ascii="Arial" w:hAnsi="Arial" w:cs="Arial"/>
                <w:bCs/>
              </w:rPr>
            </w:pPr>
            <w:r w:rsidRPr="00600DC2">
              <w:rPr>
                <w:rFonts w:ascii="Arial" w:hAnsi="Arial" w:cs="Arial"/>
                <w:bCs/>
              </w:rPr>
              <w:t>A</w:t>
            </w:r>
            <w:r w:rsidR="00354805">
              <w:rPr>
                <w:rFonts w:ascii="Arial" w:hAnsi="Arial" w:cs="Arial"/>
                <w:bCs/>
              </w:rPr>
              <w:t>kceptované: a</w:t>
            </w:r>
            <w:r w:rsidRPr="00600DC2">
              <w:rPr>
                <w:rFonts w:ascii="Arial" w:hAnsi="Arial" w:cs="Arial"/>
                <w:bCs/>
              </w:rPr>
              <w:t xml:space="preserve">nalýza vplyvov na rozpočet bola </w:t>
            </w:r>
            <w:r>
              <w:rPr>
                <w:rFonts w:ascii="Arial" w:hAnsi="Arial" w:cs="Arial"/>
                <w:bCs/>
              </w:rPr>
              <w:t>doplnená</w:t>
            </w:r>
            <w:r w:rsidRPr="00600DC2">
              <w:rPr>
                <w:rFonts w:ascii="Arial" w:hAnsi="Arial" w:cs="Arial"/>
                <w:bCs/>
              </w:rPr>
              <w:t xml:space="preserve"> v zmysle pripomienky.</w:t>
            </w:r>
          </w:p>
          <w:p w14:paraId="022E3EAB" w14:textId="77777777" w:rsidR="001F691C" w:rsidRDefault="001F691C" w:rsidP="003F0454">
            <w:pPr>
              <w:tabs>
                <w:tab w:val="center" w:pos="6379"/>
              </w:tabs>
              <w:ind w:right="-2"/>
              <w:jc w:val="both"/>
              <w:rPr>
                <w:rFonts w:ascii="Arial" w:hAnsi="Arial" w:cs="Arial"/>
                <w:bCs/>
              </w:rPr>
            </w:pPr>
          </w:p>
          <w:p w14:paraId="35CDF3E2" w14:textId="756D5374" w:rsidR="003F0454" w:rsidRDefault="003F0454" w:rsidP="003F0454">
            <w:pPr>
              <w:tabs>
                <w:tab w:val="center" w:pos="6379"/>
              </w:tabs>
              <w:ind w:right="-2"/>
              <w:jc w:val="both"/>
              <w:rPr>
                <w:rFonts w:ascii="Arial" w:hAnsi="Arial" w:cs="Arial"/>
                <w:bCs/>
              </w:rPr>
            </w:pPr>
            <w:r w:rsidRPr="009278E6">
              <w:rPr>
                <w:rFonts w:ascii="Arial" w:hAnsi="Arial" w:cs="Arial"/>
                <w:bCs/>
              </w:rPr>
              <w:t>Komisia tiež upozorňuje, že v návrhu zákona sa v bode 37. (§ 145b) zavádza pokuta ukladaná poskytovateľom sprostredkovateľskej služby do výšky 6 % ročného svetového obratu poskytovateľa za predchádzajúce účtovné obdobie, resp. pokuta až do výšky 50 000 eur za nesplnenie povinností podľa osobitného predpisu. Z uvedeného vyplýva potenciálny pozitívny vplyv na rozpočet, ktorý v doložke vybraných vplyvov ani analýze vplyvov na rozpočet nie je zohľadnený. Uvedené je potrebné doplniť.</w:t>
            </w:r>
          </w:p>
          <w:p w14:paraId="7E277B2E" w14:textId="77777777" w:rsidR="00A90BDA" w:rsidRPr="009278E6" w:rsidRDefault="00A90BDA" w:rsidP="003F0454">
            <w:pPr>
              <w:tabs>
                <w:tab w:val="center" w:pos="6379"/>
              </w:tabs>
              <w:ind w:right="-2"/>
              <w:jc w:val="both"/>
              <w:rPr>
                <w:rFonts w:ascii="Arial" w:hAnsi="Arial" w:cs="Arial"/>
                <w:bCs/>
              </w:rPr>
            </w:pPr>
          </w:p>
          <w:p w14:paraId="3911EFBB" w14:textId="70164572" w:rsidR="003F0454" w:rsidRPr="009278E6" w:rsidRDefault="00354805" w:rsidP="006225D0">
            <w:pPr>
              <w:pStyle w:val="Odsekzoznamu"/>
              <w:numPr>
                <w:ilvl w:val="0"/>
                <w:numId w:val="4"/>
              </w:numPr>
              <w:tabs>
                <w:tab w:val="center" w:pos="6379"/>
              </w:tabs>
              <w:ind w:right="-2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Čiastočne akceptované: v</w:t>
            </w:r>
            <w:r w:rsidR="009278E6" w:rsidRPr="009278E6">
              <w:rPr>
                <w:rFonts w:ascii="Arial" w:hAnsi="Arial" w:cs="Arial"/>
                <w:bCs/>
              </w:rPr>
              <w:t> analýze vplyvov na rozpočet verejnej správy bol identifikovaný</w:t>
            </w:r>
            <w:r w:rsidR="006225D0" w:rsidRPr="009278E6">
              <w:rPr>
                <w:rFonts w:ascii="Arial" w:hAnsi="Arial" w:cs="Arial"/>
                <w:bCs/>
              </w:rPr>
              <w:t xml:space="preserve"> pozitívny vplyv na rozpočet verejnej správy</w:t>
            </w:r>
            <w:r w:rsidR="00D81835" w:rsidRPr="009278E6">
              <w:rPr>
                <w:rFonts w:ascii="Arial" w:hAnsi="Arial" w:cs="Arial"/>
                <w:bCs/>
              </w:rPr>
              <w:t xml:space="preserve">. Výšku možných príjmov však nie je možné presne kvantifikovať, nakoľko tá je závislá od dodržiavania zákonných predpisov poskytovateľmi sprostredkovateľských služieb a vzhľadom na percentuálne vyjadrenie sankcií naviazané na obraty dotknutých subjektov v rámci jednotlivých účtovných období bude výška závisieť od finančnej situácie posudzovaných subjektov v reálnom čase. Akákoľvek predikcia by v tomto prípade nebola založená na reálnych a overiteľných číslach. </w:t>
            </w:r>
          </w:p>
          <w:p w14:paraId="657213AE" w14:textId="77777777" w:rsidR="006225D0" w:rsidRPr="006225D0" w:rsidRDefault="006225D0" w:rsidP="006225D0">
            <w:pPr>
              <w:pStyle w:val="Odsekzoznamu"/>
              <w:tabs>
                <w:tab w:val="center" w:pos="6379"/>
              </w:tabs>
              <w:ind w:right="-2"/>
              <w:jc w:val="both"/>
              <w:rPr>
                <w:rFonts w:ascii="Arial" w:hAnsi="Arial" w:cs="Arial"/>
                <w:bCs/>
              </w:rPr>
            </w:pPr>
          </w:p>
          <w:p w14:paraId="0026AF7B" w14:textId="77777777" w:rsidR="003F0454" w:rsidRPr="00600DC2" w:rsidRDefault="003F0454" w:rsidP="003F0454">
            <w:pPr>
              <w:tabs>
                <w:tab w:val="center" w:pos="6379"/>
              </w:tabs>
              <w:ind w:right="-2"/>
              <w:jc w:val="both"/>
              <w:rPr>
                <w:rFonts w:ascii="Arial" w:hAnsi="Arial" w:cs="Arial"/>
                <w:b/>
                <w:bCs/>
              </w:rPr>
            </w:pPr>
            <w:r w:rsidRPr="00600DC2">
              <w:rPr>
                <w:rFonts w:ascii="Arial" w:hAnsi="Arial" w:cs="Arial"/>
                <w:b/>
                <w:bCs/>
              </w:rPr>
              <w:t>K sociálnym vplyvom</w:t>
            </w:r>
          </w:p>
          <w:p w14:paraId="6726AD4A" w14:textId="77777777" w:rsidR="003F0454" w:rsidRPr="00600DC2" w:rsidRDefault="003F0454" w:rsidP="003F0454">
            <w:pPr>
              <w:tabs>
                <w:tab w:val="center" w:pos="6379"/>
              </w:tabs>
              <w:ind w:right="-2"/>
              <w:jc w:val="both"/>
              <w:rPr>
                <w:rFonts w:ascii="Arial" w:hAnsi="Arial" w:cs="Arial"/>
                <w:bCs/>
              </w:rPr>
            </w:pPr>
            <w:r w:rsidRPr="00600DC2">
              <w:rPr>
                <w:rFonts w:ascii="Arial" w:hAnsi="Arial" w:cs="Arial"/>
                <w:bCs/>
              </w:rPr>
              <w:t>Komisia predkladateľovi odporúča, aby v doložke vybraných vplyvov označil pozitívne sociálne vplyvy a vypracoval analýzu sociálnych vplyvov. Ak vplyv pokladá za zanedbateľný, v bode 10. doložky (Poznámky) môže vysvetliť, prečo by materiál mal iba marginálny sociálny vplyv.</w:t>
            </w:r>
          </w:p>
          <w:p w14:paraId="51D2E525" w14:textId="77777777" w:rsidR="003F0454" w:rsidRDefault="003F0454" w:rsidP="003F0454">
            <w:pPr>
              <w:tabs>
                <w:tab w:val="center" w:pos="6379"/>
              </w:tabs>
              <w:ind w:right="-2"/>
              <w:jc w:val="both"/>
              <w:rPr>
                <w:rFonts w:ascii="Arial" w:hAnsi="Arial" w:cs="Arial"/>
                <w:bCs/>
              </w:rPr>
            </w:pPr>
            <w:r w:rsidRPr="00600DC2">
              <w:rPr>
                <w:rFonts w:ascii="Arial" w:hAnsi="Arial" w:cs="Arial"/>
                <w:bCs/>
                <w:u w:val="single"/>
              </w:rPr>
              <w:t>Odôvodnenie:</w:t>
            </w:r>
            <w:r w:rsidRPr="00600DC2">
              <w:rPr>
                <w:rFonts w:ascii="Arial" w:hAnsi="Arial" w:cs="Arial"/>
                <w:bCs/>
              </w:rPr>
              <w:t xml:space="preserve"> Predkladateľ konštatuje, že návrh zákona nebude mať sociálne vplyvy. V doložke vybraných vplyvov však píše, že Nariadenie Európskeho parlamentu a Rady (EÚ) 2022/2065, ktoré sa prostredníctvom predmetného návrhu zákona má implementovať do slovenského právneho poriadku, má za cieľ prispieť aj k zlepšeniu postavenia spotrebiteľov a k posilneniu ochrany základných práv užívateľov v </w:t>
            </w:r>
            <w:proofErr w:type="spellStart"/>
            <w:r w:rsidRPr="00600DC2">
              <w:rPr>
                <w:rFonts w:ascii="Arial" w:hAnsi="Arial" w:cs="Arial"/>
                <w:bCs/>
              </w:rPr>
              <w:t>online</w:t>
            </w:r>
            <w:proofErr w:type="spellEnd"/>
            <w:r w:rsidRPr="00600DC2">
              <w:rPr>
                <w:rFonts w:ascii="Arial" w:hAnsi="Arial" w:cs="Arial"/>
                <w:bCs/>
              </w:rPr>
              <w:t xml:space="preserve"> priestore. To by predstavovalo pozitívne vplyvy na prístup k zdrojom, právam, tovarom a službám (bod 4.2 analýzy sociálnych vplyvov).</w:t>
            </w:r>
          </w:p>
          <w:p w14:paraId="650B710D" w14:textId="77777777" w:rsidR="00600DC2" w:rsidRDefault="00600DC2" w:rsidP="003F0454">
            <w:pPr>
              <w:tabs>
                <w:tab w:val="center" w:pos="6379"/>
              </w:tabs>
              <w:ind w:right="-2"/>
              <w:jc w:val="both"/>
              <w:rPr>
                <w:rFonts w:ascii="Arial" w:hAnsi="Arial" w:cs="Arial"/>
                <w:bCs/>
              </w:rPr>
            </w:pPr>
          </w:p>
          <w:p w14:paraId="22ADAEEF" w14:textId="0CCA3529" w:rsidR="003F0454" w:rsidRPr="00826A62" w:rsidRDefault="00354805" w:rsidP="00826A62">
            <w:pPr>
              <w:pStyle w:val="Odsekzoznamu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Neakceptované:</w:t>
            </w:r>
            <w:r w:rsidR="00826A62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n</w:t>
            </w:r>
            <w:r w:rsidR="00826A62" w:rsidRPr="00826A62">
              <w:rPr>
                <w:rFonts w:ascii="Arial" w:hAnsi="Arial" w:cs="Arial"/>
                <w:bCs/>
              </w:rPr>
              <w:t xml:space="preserve">ávrh zákona nebude mať žiadne, resp. len zanedbateľné sociálne vplyvy. V bode 2 sa síce uvádza, že cieľom nariadenia (EÚ) 2022/2065 je prispieť k budovaniu bezpečnejšieho a transparentnejšieho </w:t>
            </w:r>
            <w:proofErr w:type="spellStart"/>
            <w:r w:rsidR="00826A62" w:rsidRPr="00826A62">
              <w:rPr>
                <w:rFonts w:ascii="Arial" w:hAnsi="Arial" w:cs="Arial"/>
                <w:bCs/>
              </w:rPr>
              <w:t>online</w:t>
            </w:r>
            <w:proofErr w:type="spellEnd"/>
            <w:r w:rsidR="00826A62" w:rsidRPr="00826A62">
              <w:rPr>
                <w:rFonts w:ascii="Arial" w:hAnsi="Arial" w:cs="Arial"/>
                <w:bCs/>
              </w:rPr>
              <w:t xml:space="preserve"> prostredia, zlepšeniu podmienok poskytovania cezhraničných sprostredkovateľských služieb, zlepšeniu postavenia spotrebiteľov a posilneniu ochrany základných práv užívateľov v </w:t>
            </w:r>
            <w:proofErr w:type="spellStart"/>
            <w:r w:rsidR="00826A62" w:rsidRPr="00826A62">
              <w:rPr>
                <w:rFonts w:ascii="Arial" w:hAnsi="Arial" w:cs="Arial"/>
                <w:bCs/>
              </w:rPr>
              <w:t>online</w:t>
            </w:r>
            <w:proofErr w:type="spellEnd"/>
            <w:r w:rsidR="00826A62" w:rsidRPr="00826A62">
              <w:rPr>
                <w:rFonts w:ascii="Arial" w:hAnsi="Arial" w:cs="Arial"/>
                <w:bCs/>
              </w:rPr>
              <w:t xml:space="preserve"> priestore, avšak tieto vplyvy zakladá samotné nariadenie (EÚ) 2022/2065, pričom návrh zákona predstavuje len jeho strohú implementáciu v rozsahu ustanovenia zodpovedného orgánu, jeho vybavenia potrebnými kompetenciami a doplnenia sankčných ustanovení. Návrh zákona neustanovuje ďalšie práva pre spotrebiteľov a užívateľov v </w:t>
            </w:r>
            <w:proofErr w:type="spellStart"/>
            <w:r w:rsidR="00826A62" w:rsidRPr="00826A62">
              <w:rPr>
                <w:rFonts w:ascii="Arial" w:hAnsi="Arial" w:cs="Arial"/>
                <w:bCs/>
              </w:rPr>
              <w:t>online</w:t>
            </w:r>
            <w:proofErr w:type="spellEnd"/>
            <w:r w:rsidR="00826A62" w:rsidRPr="00826A62">
              <w:rPr>
                <w:rFonts w:ascii="Arial" w:hAnsi="Arial" w:cs="Arial"/>
                <w:bCs/>
              </w:rPr>
              <w:t xml:space="preserve"> priestore. Pozitívne vplyvy na prístup k zdrojom, právam, tovarom a službám boli opísané v rámci analýzy sociálnych vplyvov, ktorá bola </w:t>
            </w:r>
            <w:r w:rsidR="00826A62" w:rsidRPr="00826A62">
              <w:rPr>
                <w:rFonts w:ascii="Arial" w:hAnsi="Arial" w:cs="Arial"/>
                <w:bCs/>
              </w:rPr>
              <w:lastRenderedPageBreak/>
              <w:t xml:space="preserve">predložená spolu s návrhom riadneho predbežného stanoviska k návrhu nariadenia (EÚ) 2022/2065 a je dostupná na </w:t>
            </w:r>
            <w:hyperlink r:id="rId11" w:history="1">
              <w:r w:rsidR="00826A62" w:rsidRPr="00826A62">
                <w:rPr>
                  <w:rStyle w:val="Hypertextovprepojenie"/>
                  <w:rFonts w:ascii="Arial" w:hAnsi="Arial" w:cs="Arial"/>
                  <w:bCs/>
                </w:rPr>
                <w:t>tomto odkaze</w:t>
              </w:r>
            </w:hyperlink>
            <w:r w:rsidR="00826A62" w:rsidRPr="00826A62">
              <w:rPr>
                <w:rFonts w:ascii="Arial" w:hAnsi="Arial" w:cs="Arial"/>
                <w:bCs/>
              </w:rPr>
              <w:t>.</w:t>
            </w:r>
          </w:p>
          <w:p w14:paraId="3054F7CC" w14:textId="77777777" w:rsidR="00826A62" w:rsidRPr="00826A62" w:rsidRDefault="00826A62" w:rsidP="00826A62">
            <w:pPr>
              <w:pStyle w:val="Odsekzoznamu"/>
              <w:jc w:val="both"/>
              <w:rPr>
                <w:rStyle w:val="norm00e1lnychar1"/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48C96E" w14:textId="569C8532" w:rsidR="003F0454" w:rsidRPr="00D81835" w:rsidRDefault="003F0454" w:rsidP="00D81835">
            <w:pPr>
              <w:jc w:val="both"/>
              <w:rPr>
                <w:rFonts w:ascii="Arial" w:hAnsi="Arial" w:cs="Arial"/>
              </w:rPr>
            </w:pPr>
            <w:r w:rsidRPr="00600DC2">
              <w:rPr>
                <w:rStyle w:val="norm00e1lnychar1"/>
                <w:rFonts w:ascii="Arial" w:hAnsi="Arial" w:cs="Arial"/>
                <w:b/>
                <w:bCs/>
                <w:sz w:val="22"/>
                <w:szCs w:val="22"/>
              </w:rPr>
              <w:t xml:space="preserve">III. Záver: </w:t>
            </w:r>
            <w:r w:rsidRPr="00600DC2">
              <w:rPr>
                <w:rStyle w:val="norm00e1lnychar1"/>
                <w:rFonts w:ascii="Arial" w:hAnsi="Arial" w:cs="Arial"/>
                <w:sz w:val="22"/>
                <w:szCs w:val="22"/>
              </w:rPr>
              <w:t xml:space="preserve">Stála pracovná komisia na posudzovanie vybraných vplyvov vyjadruje </w:t>
            </w:r>
          </w:p>
          <w:p w14:paraId="1B647DDE" w14:textId="77777777" w:rsidR="003F0454" w:rsidRPr="00600DC2" w:rsidRDefault="003F0454" w:rsidP="003F0454">
            <w:pPr>
              <w:pStyle w:val="norm00e1lny"/>
              <w:rPr>
                <w:sz w:val="22"/>
                <w:szCs w:val="22"/>
              </w:rPr>
            </w:pPr>
            <w:r w:rsidRPr="00600DC2">
              <w:rPr>
                <w:sz w:val="22"/>
                <w:szCs w:val="22"/>
              </w:rPr>
              <w:t> </w:t>
            </w:r>
          </w:p>
          <w:p w14:paraId="4758A588" w14:textId="4DAEAB7A" w:rsidR="003F0454" w:rsidRPr="00600DC2" w:rsidRDefault="003F0454" w:rsidP="00D81835">
            <w:pPr>
              <w:pStyle w:val="norm00e1lny"/>
              <w:spacing w:line="240" w:lineRule="atLeast"/>
              <w:jc w:val="center"/>
              <w:rPr>
                <w:sz w:val="22"/>
                <w:szCs w:val="22"/>
              </w:rPr>
            </w:pPr>
            <w:r w:rsidRPr="00600DC2">
              <w:rPr>
                <w:rStyle w:val="norm00e1lnychar1"/>
                <w:rFonts w:ascii="Arial" w:hAnsi="Arial" w:cs="Arial"/>
                <w:b/>
                <w:bCs/>
                <w:sz w:val="22"/>
                <w:szCs w:val="22"/>
              </w:rPr>
              <w:t>nesúhlasné stanovisko</w:t>
            </w:r>
          </w:p>
          <w:p w14:paraId="2ED3328A" w14:textId="77777777" w:rsidR="003F0454" w:rsidRPr="00600DC2" w:rsidRDefault="003F0454" w:rsidP="003F0454">
            <w:pPr>
              <w:pStyle w:val="norm00e1lny"/>
              <w:rPr>
                <w:sz w:val="22"/>
                <w:szCs w:val="22"/>
              </w:rPr>
            </w:pPr>
            <w:r w:rsidRPr="00600DC2">
              <w:rPr>
                <w:sz w:val="22"/>
                <w:szCs w:val="22"/>
              </w:rPr>
              <w:t> </w:t>
            </w:r>
          </w:p>
          <w:p w14:paraId="7746B3B1" w14:textId="77777777" w:rsidR="003F0454" w:rsidRPr="00600DC2" w:rsidRDefault="003F0454" w:rsidP="003F0454">
            <w:pPr>
              <w:pStyle w:val="norm00e1lny"/>
              <w:spacing w:line="240" w:lineRule="atLeast"/>
              <w:jc w:val="both"/>
              <w:rPr>
                <w:sz w:val="22"/>
                <w:szCs w:val="22"/>
              </w:rPr>
            </w:pPr>
            <w:r w:rsidRPr="00600DC2">
              <w:rPr>
                <w:rStyle w:val="norm00e1lnychar1"/>
                <w:rFonts w:ascii="Arial" w:hAnsi="Arial" w:cs="Arial"/>
                <w:sz w:val="22"/>
                <w:szCs w:val="22"/>
              </w:rPr>
              <w:t>s materiálom predloženým na predbežné pripomienkové konanie s odporúčaním na jeho dopracovanie podľa pripomienok v bode II.</w:t>
            </w:r>
          </w:p>
          <w:p w14:paraId="6E688C27" w14:textId="77777777" w:rsidR="003F0454" w:rsidRPr="00600DC2" w:rsidRDefault="003F0454" w:rsidP="003F0454">
            <w:pPr>
              <w:pStyle w:val="norm00e1lny"/>
              <w:rPr>
                <w:sz w:val="22"/>
                <w:szCs w:val="22"/>
              </w:rPr>
            </w:pPr>
          </w:p>
          <w:p w14:paraId="3BD5A1F0" w14:textId="77777777" w:rsidR="003F0454" w:rsidRPr="00600DC2" w:rsidRDefault="003F0454" w:rsidP="003F0454">
            <w:pPr>
              <w:pStyle w:val="norm00e1lny"/>
              <w:spacing w:line="240" w:lineRule="atLeast"/>
              <w:jc w:val="both"/>
              <w:rPr>
                <w:sz w:val="22"/>
                <w:szCs w:val="22"/>
              </w:rPr>
            </w:pPr>
            <w:r w:rsidRPr="00600DC2">
              <w:rPr>
                <w:rStyle w:val="norm00e1lnychar1"/>
                <w:rFonts w:ascii="Arial" w:hAnsi="Arial" w:cs="Arial"/>
                <w:b/>
                <w:bCs/>
                <w:sz w:val="22"/>
                <w:szCs w:val="22"/>
              </w:rPr>
              <w:t>IV. Poznámka:</w:t>
            </w:r>
            <w:r w:rsidRPr="00600DC2">
              <w:rPr>
                <w:rStyle w:val="norm00e1lnychar1"/>
                <w:rFonts w:ascii="Arial" w:hAnsi="Arial" w:cs="Arial"/>
                <w:sz w:val="22"/>
                <w:szCs w:val="22"/>
              </w:rPr>
              <w:t xml:space="preserve"> Predkladateľ zapracuje pripomienky a odporúčania na úpravu uvedené v bode II a uvedie stanovisko Komisie do doložky vybraných vplyvov spolu s vyhodnotením pripomienok.</w:t>
            </w:r>
          </w:p>
          <w:p w14:paraId="0DB25213" w14:textId="77777777" w:rsidR="003F0454" w:rsidRPr="00600DC2" w:rsidRDefault="003F0454" w:rsidP="003F0454">
            <w:pPr>
              <w:pStyle w:val="norm00e1lny"/>
              <w:rPr>
                <w:sz w:val="22"/>
                <w:szCs w:val="22"/>
              </w:rPr>
            </w:pPr>
            <w:r w:rsidRPr="00600DC2">
              <w:rPr>
                <w:sz w:val="22"/>
                <w:szCs w:val="22"/>
              </w:rPr>
              <w:t> </w:t>
            </w:r>
          </w:p>
          <w:p w14:paraId="4326D88C" w14:textId="77777777" w:rsidR="001F691C" w:rsidRDefault="001F691C" w:rsidP="003F0454">
            <w:pPr>
              <w:pStyle w:val="z00e1kladn00fd0020text"/>
              <w:spacing w:after="0" w:line="240" w:lineRule="atLeast"/>
              <w:jc w:val="both"/>
              <w:rPr>
                <w:rStyle w:val="z00e1kladn00fd0020textchar1"/>
                <w:rFonts w:ascii="Arial" w:hAnsi="Arial" w:cs="Arial"/>
                <w:sz w:val="22"/>
                <w:szCs w:val="22"/>
              </w:rPr>
            </w:pPr>
          </w:p>
          <w:p w14:paraId="0D036D3C" w14:textId="77777777" w:rsidR="003F0454" w:rsidRDefault="003F0454" w:rsidP="003F0454">
            <w:pPr>
              <w:pStyle w:val="z00e1kladn00fd0020text"/>
              <w:spacing w:after="0" w:line="240" w:lineRule="atLeast"/>
              <w:jc w:val="both"/>
              <w:rPr>
                <w:rStyle w:val="z00e1kladn00fd0020textchar1"/>
                <w:rFonts w:ascii="Arial" w:hAnsi="Arial" w:cs="Arial"/>
                <w:sz w:val="22"/>
                <w:szCs w:val="22"/>
              </w:rPr>
            </w:pPr>
            <w:r w:rsidRPr="00600DC2">
              <w:rPr>
                <w:rStyle w:val="z00e1kladn00fd0020textchar1"/>
                <w:rFonts w:ascii="Arial" w:hAnsi="Arial" w:cs="Arial"/>
                <w:sz w:val="22"/>
                <w:szCs w:val="22"/>
              </w:rPr>
              <w:t>Nesúhlasné stanovisko Komisie neznamená zastavenie ďalšieho schvaľovacieho procesu. Stanovisko Komisie slúži ako podklad pre informované rozhodovanie vlády Slovenskej republiky a ďalších subjektov v rámci schvaľovacieho procesu. Predkladateľ má možnosť dopracovať materiál podľa pripomienok a zaslať ho na opätovné schválenie Komisie, ktorá môže následne zmeniť svoje stanovisko.</w:t>
            </w:r>
          </w:p>
          <w:p w14:paraId="444E5611" w14:textId="77777777" w:rsidR="001F691C" w:rsidRPr="00600DC2" w:rsidRDefault="001F691C" w:rsidP="003F0454">
            <w:pPr>
              <w:pStyle w:val="z00e1kladn00fd0020text"/>
              <w:spacing w:after="0" w:line="240" w:lineRule="atLeast"/>
              <w:jc w:val="both"/>
              <w:rPr>
                <w:sz w:val="22"/>
                <w:szCs w:val="22"/>
              </w:rPr>
            </w:pPr>
          </w:p>
          <w:p w14:paraId="5E984156" w14:textId="77777777" w:rsidR="003F0454" w:rsidRPr="00600DC2" w:rsidRDefault="003F0454" w:rsidP="003F0454">
            <w:pPr>
              <w:tabs>
                <w:tab w:val="center" w:pos="6379"/>
              </w:tabs>
              <w:ind w:left="4536" w:right="-2"/>
              <w:jc w:val="center"/>
              <w:rPr>
                <w:rFonts w:ascii="Arial" w:hAnsi="Arial" w:cs="Arial"/>
                <w:b/>
                <w:bCs/>
              </w:rPr>
            </w:pPr>
            <w:r w:rsidRPr="00600DC2">
              <w:rPr>
                <w:rFonts w:ascii="Arial" w:hAnsi="Arial" w:cs="Arial"/>
                <w:b/>
                <w:bCs/>
              </w:rPr>
              <w:t xml:space="preserve">JUDr. Martin </w:t>
            </w:r>
            <w:proofErr w:type="spellStart"/>
            <w:r w:rsidRPr="00600DC2">
              <w:rPr>
                <w:rFonts w:ascii="Arial" w:hAnsi="Arial" w:cs="Arial"/>
                <w:b/>
                <w:bCs/>
              </w:rPr>
              <w:t>Semanco</w:t>
            </w:r>
            <w:proofErr w:type="spellEnd"/>
          </w:p>
          <w:p w14:paraId="0C48A78A" w14:textId="77777777" w:rsidR="001B23B7" w:rsidRDefault="003F0454" w:rsidP="000B67AD">
            <w:pPr>
              <w:tabs>
                <w:tab w:val="center" w:pos="6379"/>
              </w:tabs>
              <w:ind w:left="4536" w:right="-2"/>
              <w:jc w:val="center"/>
              <w:rPr>
                <w:rFonts w:ascii="Arial" w:hAnsi="Arial" w:cs="Arial"/>
                <w:bCs/>
              </w:rPr>
            </w:pPr>
            <w:r w:rsidRPr="00600DC2">
              <w:rPr>
                <w:rFonts w:ascii="Arial" w:hAnsi="Arial" w:cs="Arial"/>
                <w:bCs/>
              </w:rPr>
              <w:t>predseda Komisie</w:t>
            </w:r>
          </w:p>
          <w:p w14:paraId="62B3D544" w14:textId="191955E5" w:rsidR="001F691C" w:rsidRPr="000B67AD" w:rsidRDefault="001F691C" w:rsidP="000B67AD">
            <w:pPr>
              <w:tabs>
                <w:tab w:val="center" w:pos="6379"/>
              </w:tabs>
              <w:ind w:left="4536" w:right="-2"/>
              <w:jc w:val="center"/>
            </w:pPr>
          </w:p>
        </w:tc>
      </w:tr>
      <w:tr w:rsidR="001B23B7" w:rsidRPr="00B043B4" w14:paraId="4097BEDD" w14:textId="77777777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14:paraId="0F04A76D" w14:textId="6469EF52" w:rsidR="001B23B7" w:rsidRPr="00B043B4" w:rsidRDefault="001B23B7" w:rsidP="000800FC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lastRenderedPageBreak/>
              <w:t>Stanovisko Komisie na posudzovanie vybraných vplyvov zo záverečného posúdenia č. ..........</w:t>
            </w:r>
            <w:r w:rsidRPr="00B043B4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1B23B7" w:rsidRPr="00B043B4" w14:paraId="03692ED2" w14:textId="77777777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14:paraId="1881FBF4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B043B4" w14:paraId="037B4120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4DAB870C" w14:textId="77777777" w:rsidR="001B23B7" w:rsidRPr="00B043B4" w:rsidRDefault="0031336D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4868B52B" w14:textId="77777777" w:rsidR="001B23B7" w:rsidRPr="00B043B4" w:rsidRDefault="0031336D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14:paraId="73FB1C58" w14:textId="77777777" w:rsidR="001B23B7" w:rsidRPr="00B043B4" w:rsidRDefault="0031336D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2A7E247F" w14:textId="77777777"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444AD4A2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05CC230C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14:paraId="7E5F35E5" w14:textId="77777777" w:rsidR="00274130" w:rsidRPr="00F214E6" w:rsidRDefault="0031336D" w:rsidP="00F214E6"/>
    <w:sectPr w:rsidR="00274130" w:rsidRPr="00F214E6" w:rsidSect="001E3562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B44405" w14:textId="77777777" w:rsidR="005A5CE7" w:rsidRDefault="005A5CE7" w:rsidP="001B23B7">
      <w:pPr>
        <w:spacing w:after="0" w:line="240" w:lineRule="auto"/>
      </w:pPr>
      <w:r>
        <w:separator/>
      </w:r>
    </w:p>
  </w:endnote>
  <w:endnote w:type="continuationSeparator" w:id="0">
    <w:p w14:paraId="49687E51" w14:textId="77777777" w:rsidR="005A5CE7" w:rsidRDefault="005A5CE7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32BF301" w14:textId="1B73D761" w:rsidR="001B23B7" w:rsidRPr="006045CB" w:rsidRDefault="008B222D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1336D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81613F4" w14:textId="77777777" w:rsidR="001B23B7" w:rsidRDefault="001B23B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BC0FF2" w14:textId="77777777" w:rsidR="005A5CE7" w:rsidRDefault="005A5CE7" w:rsidP="001B23B7">
      <w:pPr>
        <w:spacing w:after="0" w:line="240" w:lineRule="auto"/>
      </w:pPr>
      <w:r>
        <w:separator/>
      </w:r>
    </w:p>
  </w:footnote>
  <w:footnote w:type="continuationSeparator" w:id="0">
    <w:p w14:paraId="59489CE6" w14:textId="77777777" w:rsidR="005A5CE7" w:rsidRDefault="005A5CE7" w:rsidP="001B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B02D5" w14:textId="77777777" w:rsidR="001B23B7" w:rsidRPr="006045CB" w:rsidRDefault="001B23B7" w:rsidP="001B23B7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sk-SK"/>
      </w:rPr>
    </w:pPr>
    <w:r w:rsidRPr="006045CB">
      <w:rPr>
        <w:rFonts w:ascii="Times New Roman" w:eastAsia="Times New Roman" w:hAnsi="Times New Roman" w:cs="Times New Roman"/>
        <w:sz w:val="24"/>
        <w:szCs w:val="24"/>
        <w:lang w:eastAsia="sk-SK"/>
      </w:rPr>
      <w:t xml:space="preserve">Príloha č. </w:t>
    </w:r>
    <w:r>
      <w:rPr>
        <w:rFonts w:ascii="Times New Roman" w:eastAsia="Times New Roman" w:hAnsi="Times New Roman" w:cs="Times New Roman"/>
        <w:sz w:val="24"/>
        <w:szCs w:val="24"/>
        <w:lang w:eastAsia="sk-SK"/>
      </w:rPr>
      <w:t>1</w:t>
    </w:r>
  </w:p>
  <w:p w14:paraId="21186046" w14:textId="77777777" w:rsidR="001B23B7" w:rsidRDefault="001B23B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988447D"/>
    <w:multiLevelType w:val="hybridMultilevel"/>
    <w:tmpl w:val="A5682CC6"/>
    <w:lvl w:ilvl="0" w:tplc="43C8AF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vlovska Ivana">
    <w15:presenceInfo w15:providerId="AD" w15:userId="S-1-5-21-1888568140-785396268-922709458-31827"/>
  </w15:person>
  <w15:person w15:author="Borošová Zuzana">
    <w15:presenceInfo w15:providerId="AD" w15:userId="S-1-5-21-70798090-3871950218-3343208957-18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3B7"/>
    <w:rsid w:val="000013C3"/>
    <w:rsid w:val="00014EE7"/>
    <w:rsid w:val="0003367E"/>
    <w:rsid w:val="00037F91"/>
    <w:rsid w:val="000433CB"/>
    <w:rsid w:val="00043706"/>
    <w:rsid w:val="00072263"/>
    <w:rsid w:val="00072EC4"/>
    <w:rsid w:val="00097069"/>
    <w:rsid w:val="000A65C9"/>
    <w:rsid w:val="000B67AD"/>
    <w:rsid w:val="000D348F"/>
    <w:rsid w:val="000F2BE9"/>
    <w:rsid w:val="00113AE4"/>
    <w:rsid w:val="00120A7F"/>
    <w:rsid w:val="00160F54"/>
    <w:rsid w:val="00162F69"/>
    <w:rsid w:val="00187182"/>
    <w:rsid w:val="001B23B7"/>
    <w:rsid w:val="001B5CAD"/>
    <w:rsid w:val="001E3562"/>
    <w:rsid w:val="001F0AF5"/>
    <w:rsid w:val="001F691C"/>
    <w:rsid w:val="00203EE3"/>
    <w:rsid w:val="002243BB"/>
    <w:rsid w:val="0023360B"/>
    <w:rsid w:val="00243652"/>
    <w:rsid w:val="00295C7D"/>
    <w:rsid w:val="002F6ADB"/>
    <w:rsid w:val="0031336D"/>
    <w:rsid w:val="003145AE"/>
    <w:rsid w:val="00322E95"/>
    <w:rsid w:val="00354805"/>
    <w:rsid w:val="00381809"/>
    <w:rsid w:val="003871CA"/>
    <w:rsid w:val="003A057B"/>
    <w:rsid w:val="003A381E"/>
    <w:rsid w:val="003C7DDA"/>
    <w:rsid w:val="003F0454"/>
    <w:rsid w:val="004115E4"/>
    <w:rsid w:val="00411898"/>
    <w:rsid w:val="00423822"/>
    <w:rsid w:val="004654EA"/>
    <w:rsid w:val="00487A40"/>
    <w:rsid w:val="0049476D"/>
    <w:rsid w:val="004A4383"/>
    <w:rsid w:val="004B7F9E"/>
    <w:rsid w:val="004C6831"/>
    <w:rsid w:val="00511E2A"/>
    <w:rsid w:val="00523448"/>
    <w:rsid w:val="00534619"/>
    <w:rsid w:val="0057044A"/>
    <w:rsid w:val="00591EC6"/>
    <w:rsid w:val="00591ED3"/>
    <w:rsid w:val="005A5CE7"/>
    <w:rsid w:val="005B4413"/>
    <w:rsid w:val="00600DC2"/>
    <w:rsid w:val="006051D2"/>
    <w:rsid w:val="006225D0"/>
    <w:rsid w:val="006269B9"/>
    <w:rsid w:val="00693740"/>
    <w:rsid w:val="006B3812"/>
    <w:rsid w:val="006C7AF8"/>
    <w:rsid w:val="006F678E"/>
    <w:rsid w:val="006F6B62"/>
    <w:rsid w:val="00707EE0"/>
    <w:rsid w:val="00720322"/>
    <w:rsid w:val="00731C3A"/>
    <w:rsid w:val="0073730D"/>
    <w:rsid w:val="0075197E"/>
    <w:rsid w:val="00761208"/>
    <w:rsid w:val="007756BE"/>
    <w:rsid w:val="00777D6A"/>
    <w:rsid w:val="007B40C1"/>
    <w:rsid w:val="007D2DBE"/>
    <w:rsid w:val="007E28E3"/>
    <w:rsid w:val="00826A62"/>
    <w:rsid w:val="00865E81"/>
    <w:rsid w:val="0086682D"/>
    <w:rsid w:val="008801B5"/>
    <w:rsid w:val="00881E07"/>
    <w:rsid w:val="008B222D"/>
    <w:rsid w:val="008C6310"/>
    <w:rsid w:val="008C79B7"/>
    <w:rsid w:val="009278E6"/>
    <w:rsid w:val="009336E2"/>
    <w:rsid w:val="0094139C"/>
    <w:rsid w:val="009431E3"/>
    <w:rsid w:val="009475F5"/>
    <w:rsid w:val="00955A3F"/>
    <w:rsid w:val="00967812"/>
    <w:rsid w:val="009717F5"/>
    <w:rsid w:val="009805A8"/>
    <w:rsid w:val="009957FC"/>
    <w:rsid w:val="009A2583"/>
    <w:rsid w:val="009C424C"/>
    <w:rsid w:val="009C5676"/>
    <w:rsid w:val="009C6EEE"/>
    <w:rsid w:val="009E09F7"/>
    <w:rsid w:val="009F4832"/>
    <w:rsid w:val="00A0260A"/>
    <w:rsid w:val="00A340BB"/>
    <w:rsid w:val="00A44167"/>
    <w:rsid w:val="00A647ED"/>
    <w:rsid w:val="00A67053"/>
    <w:rsid w:val="00A67500"/>
    <w:rsid w:val="00A7788F"/>
    <w:rsid w:val="00A90BDA"/>
    <w:rsid w:val="00AC30D6"/>
    <w:rsid w:val="00B547F5"/>
    <w:rsid w:val="00B817FD"/>
    <w:rsid w:val="00B84F87"/>
    <w:rsid w:val="00B865F3"/>
    <w:rsid w:val="00BA2BF4"/>
    <w:rsid w:val="00C30A81"/>
    <w:rsid w:val="00C45A32"/>
    <w:rsid w:val="00C76EFB"/>
    <w:rsid w:val="00CB08AE"/>
    <w:rsid w:val="00CE274C"/>
    <w:rsid w:val="00CE6AAE"/>
    <w:rsid w:val="00CE6EFB"/>
    <w:rsid w:val="00CF1A25"/>
    <w:rsid w:val="00D2313B"/>
    <w:rsid w:val="00D50F1E"/>
    <w:rsid w:val="00D81835"/>
    <w:rsid w:val="00DA34C1"/>
    <w:rsid w:val="00DF357C"/>
    <w:rsid w:val="00DF7058"/>
    <w:rsid w:val="00E050ED"/>
    <w:rsid w:val="00E06A17"/>
    <w:rsid w:val="00E14664"/>
    <w:rsid w:val="00EB4027"/>
    <w:rsid w:val="00EB44FD"/>
    <w:rsid w:val="00ED1AC0"/>
    <w:rsid w:val="00ED6FD3"/>
    <w:rsid w:val="00F214E6"/>
    <w:rsid w:val="00F4472D"/>
    <w:rsid w:val="00F87681"/>
    <w:rsid w:val="00FA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BE8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23B7"/>
  </w:style>
  <w:style w:type="paragraph" w:styleId="Nadpis4">
    <w:name w:val="heading 4"/>
    <w:basedOn w:val="Normlny"/>
    <w:next w:val="Zkladntext"/>
    <w:link w:val="Nadpis4Char"/>
    <w:qFormat/>
    <w:rsid w:val="003F0454"/>
    <w:pPr>
      <w:keepNext/>
      <w:numPr>
        <w:ilvl w:val="3"/>
        <w:numId w:val="2"/>
      </w:numPr>
      <w:suppressAutoHyphens/>
      <w:spacing w:after="0" w:line="100" w:lineRule="atLeast"/>
      <w:ind w:right="-2"/>
      <w:jc w:val="center"/>
      <w:outlineLvl w:val="3"/>
    </w:pPr>
    <w:rPr>
      <w:rFonts w:ascii="Times New Roman" w:eastAsia="Times New Roman" w:hAnsi="Times New Roman" w:cs="Times New Roman"/>
      <w:b/>
      <w:smallCaps/>
      <w:sz w:val="26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731C3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31C3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31C3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31C3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31C3A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94139C"/>
    <w:rPr>
      <w:color w:val="0563C1" w:themeColor="hyperlink"/>
      <w:u w:val="single"/>
    </w:rPr>
  </w:style>
  <w:style w:type="character" w:customStyle="1" w:styleId="Nadpis4Char">
    <w:name w:val="Nadpis 4 Char"/>
    <w:basedOn w:val="Predvolenpsmoodseku"/>
    <w:link w:val="Nadpis4"/>
    <w:rsid w:val="003F0454"/>
    <w:rPr>
      <w:rFonts w:ascii="Times New Roman" w:eastAsia="Times New Roman" w:hAnsi="Times New Roman" w:cs="Times New Roman"/>
      <w:b/>
      <w:smallCaps/>
      <w:sz w:val="26"/>
      <w:szCs w:val="20"/>
      <w:lang w:eastAsia="ar-SA"/>
    </w:rPr>
  </w:style>
  <w:style w:type="character" w:styleId="Jemnodkaz">
    <w:name w:val="Subtle Reference"/>
    <w:basedOn w:val="Predvolenpsmoodseku"/>
    <w:uiPriority w:val="31"/>
    <w:qFormat/>
    <w:rsid w:val="003F0454"/>
    <w:rPr>
      <w:smallCaps/>
      <w:color w:val="5A5A5A" w:themeColor="text1" w:themeTint="A5"/>
    </w:rPr>
  </w:style>
  <w:style w:type="character" w:customStyle="1" w:styleId="norm00e1lnychar1">
    <w:name w:val="norm_00e1lny__char1"/>
    <w:rsid w:val="003F0454"/>
    <w:rPr>
      <w:rFonts w:ascii="Times New Roman" w:hAnsi="Times New Roman" w:cs="Times New Roman"/>
      <w:strike w:val="0"/>
      <w:dstrike w:val="0"/>
      <w:sz w:val="20"/>
      <w:szCs w:val="20"/>
      <w:u w:val="none"/>
      <w:effect w:val="none"/>
    </w:rPr>
  </w:style>
  <w:style w:type="character" w:customStyle="1" w:styleId="z00e1kladn00fd0020textchar1">
    <w:name w:val="z_00e1kladn_00fd_0020text__char1"/>
    <w:rsid w:val="003F0454"/>
    <w:rPr>
      <w:rFonts w:ascii="Times New Roman" w:hAnsi="Times New Roman" w:cs="Times New Roman"/>
      <w:strike w:val="0"/>
      <w:dstrike w:val="0"/>
      <w:sz w:val="20"/>
      <w:szCs w:val="20"/>
      <w:u w:val="none"/>
      <w:effect w:val="none"/>
    </w:rPr>
  </w:style>
  <w:style w:type="paragraph" w:customStyle="1" w:styleId="norm00e1lny">
    <w:name w:val="norm_00e1lny"/>
    <w:basedOn w:val="Normlny"/>
    <w:rsid w:val="003F0454"/>
    <w:pPr>
      <w:spacing w:after="0" w:line="200" w:lineRule="atLeas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z00e1kladn00fd0020text">
    <w:name w:val="z_00e1kladn_00fd_0020text"/>
    <w:basedOn w:val="Normlny"/>
    <w:rsid w:val="003F0454"/>
    <w:pPr>
      <w:spacing w:after="120" w:line="200" w:lineRule="atLeas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F045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F0454"/>
  </w:style>
  <w:style w:type="paragraph" w:styleId="Odsekzoznamu">
    <w:name w:val="List Paragraph"/>
    <w:basedOn w:val="Normlny"/>
    <w:uiPriority w:val="34"/>
    <w:qFormat/>
    <w:rsid w:val="00600D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23B7"/>
  </w:style>
  <w:style w:type="paragraph" w:styleId="Nadpis4">
    <w:name w:val="heading 4"/>
    <w:basedOn w:val="Normlny"/>
    <w:next w:val="Zkladntext"/>
    <w:link w:val="Nadpis4Char"/>
    <w:qFormat/>
    <w:rsid w:val="003F0454"/>
    <w:pPr>
      <w:keepNext/>
      <w:numPr>
        <w:ilvl w:val="3"/>
        <w:numId w:val="2"/>
      </w:numPr>
      <w:suppressAutoHyphens/>
      <w:spacing w:after="0" w:line="100" w:lineRule="atLeast"/>
      <w:ind w:right="-2"/>
      <w:jc w:val="center"/>
      <w:outlineLvl w:val="3"/>
    </w:pPr>
    <w:rPr>
      <w:rFonts w:ascii="Times New Roman" w:eastAsia="Times New Roman" w:hAnsi="Times New Roman" w:cs="Times New Roman"/>
      <w:b/>
      <w:smallCaps/>
      <w:sz w:val="26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731C3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31C3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31C3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31C3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31C3A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94139C"/>
    <w:rPr>
      <w:color w:val="0563C1" w:themeColor="hyperlink"/>
      <w:u w:val="single"/>
    </w:rPr>
  </w:style>
  <w:style w:type="character" w:customStyle="1" w:styleId="Nadpis4Char">
    <w:name w:val="Nadpis 4 Char"/>
    <w:basedOn w:val="Predvolenpsmoodseku"/>
    <w:link w:val="Nadpis4"/>
    <w:rsid w:val="003F0454"/>
    <w:rPr>
      <w:rFonts w:ascii="Times New Roman" w:eastAsia="Times New Roman" w:hAnsi="Times New Roman" w:cs="Times New Roman"/>
      <w:b/>
      <w:smallCaps/>
      <w:sz w:val="26"/>
      <w:szCs w:val="20"/>
      <w:lang w:eastAsia="ar-SA"/>
    </w:rPr>
  </w:style>
  <w:style w:type="character" w:styleId="Jemnodkaz">
    <w:name w:val="Subtle Reference"/>
    <w:basedOn w:val="Predvolenpsmoodseku"/>
    <w:uiPriority w:val="31"/>
    <w:qFormat/>
    <w:rsid w:val="003F0454"/>
    <w:rPr>
      <w:smallCaps/>
      <w:color w:val="5A5A5A" w:themeColor="text1" w:themeTint="A5"/>
    </w:rPr>
  </w:style>
  <w:style w:type="character" w:customStyle="1" w:styleId="norm00e1lnychar1">
    <w:name w:val="norm_00e1lny__char1"/>
    <w:rsid w:val="003F0454"/>
    <w:rPr>
      <w:rFonts w:ascii="Times New Roman" w:hAnsi="Times New Roman" w:cs="Times New Roman"/>
      <w:strike w:val="0"/>
      <w:dstrike w:val="0"/>
      <w:sz w:val="20"/>
      <w:szCs w:val="20"/>
      <w:u w:val="none"/>
      <w:effect w:val="none"/>
    </w:rPr>
  </w:style>
  <w:style w:type="character" w:customStyle="1" w:styleId="z00e1kladn00fd0020textchar1">
    <w:name w:val="z_00e1kladn_00fd_0020text__char1"/>
    <w:rsid w:val="003F0454"/>
    <w:rPr>
      <w:rFonts w:ascii="Times New Roman" w:hAnsi="Times New Roman" w:cs="Times New Roman"/>
      <w:strike w:val="0"/>
      <w:dstrike w:val="0"/>
      <w:sz w:val="20"/>
      <w:szCs w:val="20"/>
      <w:u w:val="none"/>
      <w:effect w:val="none"/>
    </w:rPr>
  </w:style>
  <w:style w:type="paragraph" w:customStyle="1" w:styleId="norm00e1lny">
    <w:name w:val="norm_00e1lny"/>
    <w:basedOn w:val="Normlny"/>
    <w:rsid w:val="003F0454"/>
    <w:pPr>
      <w:spacing w:after="0" w:line="200" w:lineRule="atLeas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z00e1kladn00fd0020text">
    <w:name w:val="z_00e1kladn_00fd_0020text"/>
    <w:basedOn w:val="Normlny"/>
    <w:rsid w:val="003F0454"/>
    <w:pPr>
      <w:spacing w:after="120" w:line="200" w:lineRule="atLeas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F045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F0454"/>
  </w:style>
  <w:style w:type="paragraph" w:styleId="Odsekzoznamu">
    <w:name w:val="List Paragraph"/>
    <w:basedOn w:val="Normlny"/>
    <w:uiPriority w:val="34"/>
    <w:qFormat/>
    <w:rsid w:val="00600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lov-lex.sk/legislativne-procesy?p_p_id=processDetail_WAR_portletsel&amp;p_p_lifecycle=0&amp;p_p_state=normal&amp;p_p_mode=view&amp;p_p_col_id=column-2&amp;p_p_col_count=1&amp;_processDetail_WAR_portletsel_cisloLP=LPEU%2F2020%2F796&amp;_processDetail_WAR_portletsel_action=files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mailto:ivana.malakova@culture.gov.sk" TargetMode="External"/><Relationship Id="rId19" Type="http://schemas.openxmlformats.org/officeDocument/2006/relationships/customXml" Target="../customXml/item5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Doložka-vybraných-vplyvov"/>
    <f:field ref="objsubject" par="" edit="true" text=""/>
    <f:field ref="objcreatedby" par="" text="Knappová, Viktória, Mgr."/>
    <f:field ref="objcreatedat" par="" text="19.1.2024 14:59:47"/>
    <f:field ref="objchangedby" par="" text="Administrator, System"/>
    <f:field ref="objmodifiedat" par="" text="19.1.2024 14:59:47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https://ovdmasv601/sites/DMS/_layouts/15/DocIdRedir.aspx?ID=WKX3UHSAJ2R6-2-1284074</Url>
      <Description>WKX3UHSAJ2R6-2-1284074</Description>
    </_dlc_DocIdUrl>
    <_dlc_DocId xmlns="e60a29af-d413-48d4-bd90-fe9d2a897e4b">WKX3UHSAJ2R6-2-1284074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E98B96E-7746-4B85-A8B3-9F6198A2ED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B2BCEE-7F23-4FFF-B66F-2B030A610755}"/>
</file>

<file path=customXml/itemProps4.xml><?xml version="1.0" encoding="utf-8"?>
<ds:datastoreItem xmlns:ds="http://schemas.openxmlformats.org/officeDocument/2006/customXml" ds:itemID="{38A81E6E-A4F5-49C0-9699-91656786B388}"/>
</file>

<file path=customXml/itemProps5.xml><?xml version="1.0" encoding="utf-8"?>
<ds:datastoreItem xmlns:ds="http://schemas.openxmlformats.org/officeDocument/2006/customXml" ds:itemID="{B2C5D944-F0A1-41C3-B8B8-96557ED30120}"/>
</file>

<file path=customXml/itemProps6.xml><?xml version="1.0" encoding="utf-8"?>
<ds:datastoreItem xmlns:ds="http://schemas.openxmlformats.org/officeDocument/2006/customXml" ds:itemID="{753DD0B2-6C50-4648-BD85-100F40948F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3911</Words>
  <Characters>22295</Characters>
  <Application>Microsoft Office Word</Application>
  <DocSecurity>0</DocSecurity>
  <Lines>185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26154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Drienikova Kristina</dc:creator>
  <cp:lastModifiedBy>Knappová Viktória</cp:lastModifiedBy>
  <cp:revision>4</cp:revision>
  <cp:lastPrinted>2023-08-11T08:29:00Z</cp:lastPrinted>
  <dcterms:created xsi:type="dcterms:W3CDTF">2024-02-28T08:04:00Z</dcterms:created>
  <dcterms:modified xsi:type="dcterms:W3CDTF">2024-02-29T11:14:00Z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2024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právo_x000d_
Kultúra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Viktória Knappová</vt:lpwstr>
  </property>
  <property fmtid="{D5CDD505-2E9C-101B-9397-08002B2CF9AE}" pid="12" name="FSC#SKEDITIONSLOVLEX@103.510:zodppredkladatel">
    <vt:lpwstr>Martina Šimkovičová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264/2022 Z. z. o mediálnych službách a o zmene a doplnení niektorých zákonov (zákon o mediálnych službách) v znení neskorších predpisov a o zmene a doplnení niektorých zákonov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kultúry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B.1. z uznesenia vlády Slovenskej republiky č. 15 z 11. januára 2023</vt:lpwstr>
  </property>
  <property fmtid="{D5CDD505-2E9C-101B-9397-08002B2CF9AE}" pid="23" name="FSC#SKEDITIONSLOVLEX@103.510:plnynazovpredpis">
    <vt:lpwstr> Zákon, ktorým sa mení a dopĺňa zákon č. 264/2022 Z. z. o mediálnych službách a o zmene a doplnení niektorých zákonov (zákon o mediálnych službách) v znení neskorších predpisov a o zmene a doplnení niektorých zákonov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MK-2856/2024-322/423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LP/2024/24</vt:lpwstr>
  </property>
  <property fmtid="{D5CDD505-2E9C-101B-9397-08002B2CF9AE}" pid="37" name="FSC#SKEDITIONSLOVLEX@103.510:typsprievdok">
    <vt:lpwstr>Doložka vplyvov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ministerka kultúry</vt:lpwstr>
  </property>
  <property fmtid="{D5CDD505-2E9C-101B-9397-08002B2CF9AE}" pid="142" name="FSC#SKEDITIONSLOVLEX@103.510:funkciaZodpPredAkuzativ">
    <vt:lpwstr>ministerky kultúry</vt:lpwstr>
  </property>
  <property fmtid="{D5CDD505-2E9C-101B-9397-08002B2CF9AE}" pid="143" name="FSC#SKEDITIONSLOVLEX@103.510:funkciaZodpPredDativ">
    <vt:lpwstr>ministerke kultúry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Martina Šimkovičová_x000d_
ministerka kultúry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19. 1. 2024</vt:lpwstr>
  </property>
  <property fmtid="{D5CDD505-2E9C-101B-9397-08002B2CF9AE}" pid="151" name="FSC#COOSYSTEM@1.1:Container">
    <vt:lpwstr>COO.2145.1000.3.6021291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84a3a623-f429-415a-ae0f-cd2dd1048540</vt:lpwstr>
  </property>
</Properties>
</file>