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rawings/drawing1.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1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21.xml" ContentType="application/vnd.openxmlformats-officedocument.drawingml.chart+xml"/>
  <Override PartName="/word/charts/chart23.xml" ContentType="application/vnd.openxmlformats-officedocument.drawingml.chart+xml"/>
  <Override PartName="/word/charts/chart29.xml" ContentType="application/vnd.openxmlformats-officedocument.drawingml.chart+xml"/>
  <Override PartName="/word/charts/chart22.xml" ContentType="application/vnd.openxmlformats-officedocument.drawingml.chart+xml"/>
  <Override PartName="/word/charts/chart28.xml" ContentType="application/vnd.openxmlformats-officedocument.drawingml.chart+xml"/>
  <Override PartName="/word/charts/chart24.xml" ContentType="application/vnd.openxmlformats-officedocument.drawingml.chart+xml"/>
  <Override PartName="/word/charts/chart27.xml" ContentType="application/vnd.openxmlformats-officedocument.drawingml.chart+xml"/>
  <Override PartName="/word/charts/chart26.xml" ContentType="application/vnd.openxmlformats-officedocument.drawingml.chart+xml"/>
  <Override PartName="/word/charts/chart25.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3C" w:rsidRPr="00616DEF" w:rsidRDefault="00073FD7" w:rsidP="00D5673C">
      <w:pPr>
        <w:spacing w:after="0"/>
        <w:jc w:val="both"/>
        <w:rPr>
          <w:rFonts w:ascii="Franklin Gothic Book" w:hAnsi="Franklin Gothic Book" w:cs="Arial"/>
          <w:b/>
          <w:color w:val="990000"/>
          <w:szCs w:val="24"/>
          <w:lang w:eastAsia="cs-CZ"/>
        </w:rPr>
      </w:pPr>
      <w:r>
        <w:rPr>
          <w:rFonts w:ascii="Franklin Gothic Book" w:hAnsi="Franklin Gothic Book" w:cs="Arial"/>
          <w:b/>
          <w:color w:val="990000"/>
          <w:szCs w:val="24"/>
          <w:lang w:eastAsia="cs-CZ"/>
        </w:rPr>
        <w:t>Príloha č. 11</w:t>
      </w:r>
      <w:bookmarkStart w:id="0" w:name="_GoBack"/>
      <w:bookmarkEnd w:id="0"/>
      <w:r w:rsidR="00D5673C" w:rsidRPr="00616DEF">
        <w:rPr>
          <w:rFonts w:ascii="Franklin Gothic Book" w:hAnsi="Franklin Gothic Book" w:cs="Arial"/>
          <w:b/>
          <w:color w:val="990000"/>
          <w:szCs w:val="24"/>
          <w:lang w:eastAsia="cs-CZ"/>
        </w:rPr>
        <w:t xml:space="preserve"> </w:t>
      </w:r>
      <w:r w:rsidR="00D5673C">
        <w:rPr>
          <w:rFonts w:ascii="Franklin Gothic Book" w:hAnsi="Franklin Gothic Book" w:cs="Arial"/>
          <w:b/>
          <w:color w:val="990000"/>
          <w:szCs w:val="24"/>
          <w:lang w:eastAsia="cs-CZ"/>
        </w:rPr>
        <w:t xml:space="preserve">OP </w:t>
      </w:r>
      <w:proofErr w:type="spellStart"/>
      <w:r w:rsidR="00D5673C">
        <w:rPr>
          <w:rFonts w:ascii="Franklin Gothic Book" w:hAnsi="Franklin Gothic Book" w:cs="Arial"/>
          <w:b/>
          <w:color w:val="990000"/>
          <w:szCs w:val="24"/>
          <w:lang w:eastAsia="cs-CZ"/>
        </w:rPr>
        <w:t>VaI</w:t>
      </w:r>
      <w:proofErr w:type="spellEnd"/>
      <w:r w:rsidR="00D5673C">
        <w:rPr>
          <w:rFonts w:ascii="Franklin Gothic Book" w:hAnsi="Franklin Gothic Book" w:cs="Arial"/>
          <w:b/>
          <w:color w:val="990000"/>
          <w:szCs w:val="24"/>
          <w:lang w:eastAsia="cs-CZ"/>
        </w:rPr>
        <w:t xml:space="preserve"> - </w:t>
      </w:r>
      <w:r w:rsidR="00D5673C" w:rsidRPr="00616DEF">
        <w:rPr>
          <w:rFonts w:ascii="Franklin Gothic Book" w:hAnsi="Franklin Gothic Book" w:cs="Arial"/>
          <w:b/>
          <w:color w:val="990000"/>
          <w:szCs w:val="24"/>
          <w:lang w:eastAsia="cs-CZ"/>
        </w:rPr>
        <w:t xml:space="preserve">Štatistiky </w:t>
      </w:r>
    </w:p>
    <w:p w:rsidR="00D5673C" w:rsidRDefault="00D5673C" w:rsidP="00D5673C">
      <w:pPr>
        <w:spacing w:after="0"/>
        <w:jc w:val="both"/>
        <w:rPr>
          <w:rFonts w:ascii="Franklin Gothic Book" w:hAnsi="Franklin Gothic Book" w:cs="Arial"/>
          <w:b/>
          <w:color w:val="990000"/>
          <w:sz w:val="24"/>
          <w:szCs w:val="24"/>
          <w:lang w:eastAsia="cs-CZ"/>
        </w:rPr>
      </w:pPr>
    </w:p>
    <w:p w:rsidR="00D5673C" w:rsidRPr="00616DEF" w:rsidRDefault="00D5673C" w:rsidP="00D5673C">
      <w:pPr>
        <w:spacing w:after="0"/>
        <w:rPr>
          <w:rFonts w:ascii="Franklin Gothic Book" w:hAnsi="Franklin Gothic Book"/>
          <w:b/>
        </w:rPr>
      </w:pPr>
      <w:r w:rsidRPr="00616DEF">
        <w:rPr>
          <w:rFonts w:ascii="Franklin Gothic Book" w:hAnsi="Franklin Gothic Book"/>
          <w:b/>
        </w:rPr>
        <w:t>Ľudské zdroje pre výskum a inovácie</w:t>
      </w:r>
    </w:p>
    <w:p w:rsidR="00D5673C" w:rsidRDefault="00D5673C" w:rsidP="00D5673C">
      <w:pPr>
        <w:spacing w:after="0"/>
        <w:rPr>
          <w:b/>
        </w:rPr>
      </w:pPr>
    </w:p>
    <w:p w:rsidR="00D5673C" w:rsidRPr="00616DEF" w:rsidRDefault="00D5673C" w:rsidP="00D5673C">
      <w:pPr>
        <w:spacing w:after="0"/>
        <w:rPr>
          <w:rFonts w:ascii="Franklin Gothic Book" w:hAnsi="Franklin Gothic Book"/>
          <w:b/>
          <w:sz w:val="20"/>
          <w:szCs w:val="20"/>
        </w:rPr>
      </w:pPr>
      <w:r w:rsidRPr="00616DEF">
        <w:rPr>
          <w:rFonts w:ascii="Franklin Gothic Book" w:hAnsi="Franklin Gothic Book"/>
          <w:b/>
          <w:sz w:val="20"/>
          <w:szCs w:val="20"/>
        </w:rPr>
        <w:t>Počet vysokoškolských študentov podľa odboru</w:t>
      </w:r>
    </w:p>
    <w:p w:rsidR="00D5673C" w:rsidRDefault="00D5673C" w:rsidP="00D5673C">
      <w:pPr>
        <w:spacing w:after="0"/>
      </w:pPr>
      <w:r w:rsidRPr="00616DEF">
        <w:rPr>
          <w:noProof/>
          <w:lang w:eastAsia="sk-SK"/>
        </w:rPr>
        <w:drawing>
          <wp:inline distT="0" distB="0" distL="0" distR="0" wp14:anchorId="4A29B5FE" wp14:editId="3D379E86">
            <wp:extent cx="5760720" cy="2880000"/>
            <wp:effectExtent l="0" t="0" r="11430" b="15875"/>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Zdroj: ÚIPŠ</w:t>
      </w:r>
    </w:p>
    <w:p w:rsidR="00D5673C" w:rsidRDefault="00D5673C" w:rsidP="00D5673C">
      <w:pPr>
        <w:spacing w:after="0"/>
        <w:rPr>
          <w:rFonts w:ascii="Franklin Gothic Book" w:hAnsi="Franklin Gothic Book"/>
          <w:b/>
          <w:sz w:val="20"/>
        </w:rPr>
      </w:pPr>
    </w:p>
    <w:p w:rsidR="00D5673C" w:rsidRDefault="00D5673C" w:rsidP="00D5673C">
      <w:pPr>
        <w:spacing w:after="0"/>
        <w:rPr>
          <w:rFonts w:ascii="Franklin Gothic Book" w:hAnsi="Franklin Gothic Book"/>
          <w:b/>
          <w:sz w:val="20"/>
        </w:rPr>
      </w:pPr>
    </w:p>
    <w:p w:rsidR="00D5673C" w:rsidRDefault="00D5673C" w:rsidP="00D5673C">
      <w:pPr>
        <w:spacing w:after="0"/>
        <w:rPr>
          <w:rFonts w:ascii="Franklin Gothic Book" w:hAnsi="Franklin Gothic Book"/>
          <w:b/>
          <w:sz w:val="20"/>
        </w:rPr>
      </w:pPr>
    </w:p>
    <w:p w:rsidR="00D5673C" w:rsidRPr="00616DEF" w:rsidRDefault="00D5673C" w:rsidP="00D5673C">
      <w:pPr>
        <w:spacing w:after="0"/>
        <w:rPr>
          <w:rFonts w:ascii="Franklin Gothic Book" w:hAnsi="Franklin Gothic Book"/>
          <w:b/>
        </w:rPr>
      </w:pPr>
      <w:r w:rsidRPr="00616DEF">
        <w:rPr>
          <w:rFonts w:ascii="Franklin Gothic Book" w:hAnsi="Franklin Gothic Book"/>
          <w:b/>
          <w:sz w:val="20"/>
        </w:rPr>
        <w:t xml:space="preserve">Podiel </w:t>
      </w:r>
      <w:proofErr w:type="spellStart"/>
      <w:r w:rsidRPr="00616DEF">
        <w:rPr>
          <w:rFonts w:ascii="Franklin Gothic Book" w:hAnsi="Franklin Gothic Book"/>
          <w:b/>
          <w:sz w:val="20"/>
        </w:rPr>
        <w:t>PhD</w:t>
      </w:r>
      <w:proofErr w:type="spellEnd"/>
      <w:r w:rsidRPr="00616DEF">
        <w:rPr>
          <w:rFonts w:ascii="Franklin Gothic Book" w:hAnsi="Franklin Gothic Book"/>
          <w:b/>
          <w:sz w:val="20"/>
        </w:rPr>
        <w:t xml:space="preserve"> študentov vo vede a technike ako % celkovej populácie 20-29 ročných</w:t>
      </w:r>
      <w:r w:rsidRPr="00616DEF">
        <w:rPr>
          <w:rFonts w:ascii="Franklin Gothic Book" w:hAnsi="Franklin Gothic Book"/>
          <w:b/>
        </w:rPr>
        <w:t xml:space="preserve"> </w:t>
      </w:r>
    </w:p>
    <w:p w:rsidR="00D5673C" w:rsidRDefault="00D5673C" w:rsidP="00D5673C">
      <w:pPr>
        <w:spacing w:after="0"/>
        <w:rPr>
          <w:b/>
        </w:rPr>
      </w:pPr>
      <w:r w:rsidRPr="00616DEF">
        <w:rPr>
          <w:noProof/>
          <w:lang w:eastAsia="sk-SK"/>
        </w:rPr>
        <w:drawing>
          <wp:inline distT="0" distB="0" distL="0" distR="0" wp14:anchorId="19C95EF0" wp14:editId="5D4BD203">
            <wp:extent cx="5760000" cy="2880000"/>
            <wp:effectExtent l="0" t="0" r="12700" b="1587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673C" w:rsidRPr="00D5673C" w:rsidRDefault="00D5673C" w:rsidP="00D5673C">
      <w:pPr>
        <w:jc w:val="right"/>
        <w:rPr>
          <w:rFonts w:ascii="Franklin Gothic Book" w:hAnsi="Franklin Gothic Book"/>
          <w:i/>
          <w:sz w:val="18"/>
        </w:rPr>
      </w:pPr>
      <w:r w:rsidRPr="00D5673C">
        <w:rPr>
          <w:rFonts w:ascii="Franklin Gothic Book" w:hAnsi="Franklin Gothic Book"/>
          <w:i/>
          <w:sz w:val="18"/>
        </w:rPr>
        <w:t xml:space="preserve">Zdroj: </w:t>
      </w:r>
      <w:proofErr w:type="spellStart"/>
      <w:r w:rsidRPr="00D5673C">
        <w:rPr>
          <w:rFonts w:ascii="Franklin Gothic Book" w:hAnsi="Franklin Gothic Book"/>
          <w:i/>
          <w:sz w:val="18"/>
        </w:rPr>
        <w:t>Eurostat</w:t>
      </w:r>
      <w:proofErr w:type="spellEnd"/>
    </w:p>
    <w:p w:rsidR="00D5673C" w:rsidRDefault="00D5673C" w:rsidP="00D5673C">
      <w:pPr>
        <w:spacing w:after="0"/>
        <w:jc w:val="both"/>
        <w:rPr>
          <w:rFonts w:ascii="Franklin Gothic Book" w:hAnsi="Franklin Gothic Book"/>
          <w:b/>
          <w:sz w:val="20"/>
        </w:rPr>
      </w:pPr>
    </w:p>
    <w:p w:rsidR="00D5673C" w:rsidRDefault="00D5673C" w:rsidP="00D5673C">
      <w:pPr>
        <w:spacing w:after="0"/>
        <w:jc w:val="both"/>
        <w:rPr>
          <w:rFonts w:ascii="Franklin Gothic Book" w:hAnsi="Franklin Gothic Book"/>
          <w:b/>
          <w:sz w:val="20"/>
        </w:rPr>
      </w:pPr>
    </w:p>
    <w:p w:rsidR="00D5673C" w:rsidRDefault="00D5673C" w:rsidP="00D5673C">
      <w:pPr>
        <w:spacing w:after="0"/>
        <w:jc w:val="both"/>
        <w:rPr>
          <w:rFonts w:ascii="Franklin Gothic Book" w:hAnsi="Franklin Gothic Book"/>
          <w:b/>
          <w:sz w:val="20"/>
        </w:rPr>
      </w:pPr>
    </w:p>
    <w:p w:rsidR="00D5673C" w:rsidRDefault="00D5673C" w:rsidP="00D5673C">
      <w:pPr>
        <w:spacing w:after="0"/>
        <w:jc w:val="both"/>
        <w:rPr>
          <w:rFonts w:ascii="Franklin Gothic Book" w:hAnsi="Franklin Gothic Book"/>
          <w:b/>
          <w:sz w:val="20"/>
        </w:rPr>
      </w:pPr>
    </w:p>
    <w:p w:rsidR="00D5673C" w:rsidRDefault="00D5673C" w:rsidP="00D5673C">
      <w:pPr>
        <w:spacing w:after="0"/>
        <w:jc w:val="both"/>
        <w:rPr>
          <w:rFonts w:ascii="Franklin Gothic Book" w:hAnsi="Franklin Gothic Book"/>
          <w:b/>
          <w:sz w:val="20"/>
        </w:rPr>
      </w:pPr>
    </w:p>
    <w:p w:rsidR="00D5673C" w:rsidRDefault="00D5673C" w:rsidP="00D5673C">
      <w:pPr>
        <w:spacing w:after="0"/>
        <w:jc w:val="both"/>
        <w:rPr>
          <w:rFonts w:ascii="Franklin Gothic Book" w:hAnsi="Franklin Gothic Book"/>
          <w:b/>
          <w:sz w:val="20"/>
        </w:rPr>
      </w:pPr>
    </w:p>
    <w:p w:rsidR="00D5673C" w:rsidRPr="00616DEF" w:rsidRDefault="00D5673C" w:rsidP="00D5673C">
      <w:pPr>
        <w:spacing w:after="0"/>
        <w:ind w:left="357"/>
        <w:jc w:val="both"/>
        <w:rPr>
          <w:rFonts w:ascii="Franklin Gothic Book" w:hAnsi="Franklin Gothic Book"/>
          <w:b/>
          <w:sz w:val="20"/>
        </w:rPr>
      </w:pPr>
      <w:r w:rsidRPr="00616DEF">
        <w:rPr>
          <w:rFonts w:ascii="Franklin Gothic Book" w:hAnsi="Franklin Gothic Book"/>
          <w:b/>
          <w:sz w:val="20"/>
        </w:rPr>
        <w:lastRenderedPageBreak/>
        <w:t>Počet absolventov terciárneho vzdelávania vo vede a technike na tisíc obyvateľov ako % populácie 20-29 ročných</w:t>
      </w:r>
    </w:p>
    <w:p w:rsidR="00D5673C" w:rsidRDefault="00D5673C" w:rsidP="00D5673C">
      <w:pPr>
        <w:spacing w:after="0"/>
        <w:ind w:firstLine="426"/>
        <w:rPr>
          <w:b/>
        </w:rPr>
      </w:pPr>
      <w:r w:rsidRPr="00616DEF">
        <w:rPr>
          <w:noProof/>
          <w:lang w:eastAsia="sk-SK"/>
        </w:rPr>
        <w:drawing>
          <wp:inline distT="0" distB="0" distL="0" distR="0" wp14:anchorId="40C4991A" wp14:editId="51325662">
            <wp:extent cx="5760000" cy="2880000"/>
            <wp:effectExtent l="0" t="0" r="12700" b="15875"/>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673C" w:rsidRPr="00616DEF" w:rsidRDefault="00D5673C" w:rsidP="00D5673C">
      <w:pPr>
        <w:jc w:val="right"/>
        <w:rPr>
          <w:rFonts w:ascii="Franklin Gothic Book" w:hAnsi="Franklin Gothic Book"/>
          <w:i/>
          <w:sz w:val="18"/>
          <w:szCs w:val="18"/>
        </w:rPr>
      </w:pPr>
      <w:r w:rsidRPr="00616DEF">
        <w:rPr>
          <w:rFonts w:ascii="Franklin Gothic Book" w:hAnsi="Franklin Gothic Book"/>
          <w:i/>
          <w:sz w:val="18"/>
          <w:szCs w:val="18"/>
        </w:rPr>
        <w:t xml:space="preserve">Zdroj: </w:t>
      </w:r>
      <w:proofErr w:type="spellStart"/>
      <w:r w:rsidRPr="00616DEF">
        <w:rPr>
          <w:rFonts w:ascii="Franklin Gothic Book" w:hAnsi="Franklin Gothic Book"/>
          <w:i/>
          <w:sz w:val="18"/>
          <w:szCs w:val="18"/>
        </w:rPr>
        <w:t>Eurostat</w:t>
      </w:r>
      <w:proofErr w:type="spellEnd"/>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Pr="00616DEF" w:rsidRDefault="00D5673C" w:rsidP="00D5673C">
      <w:pPr>
        <w:spacing w:after="0"/>
        <w:ind w:left="357"/>
        <w:jc w:val="both"/>
        <w:rPr>
          <w:rFonts w:ascii="Franklin Gothic Book" w:hAnsi="Franklin Gothic Book"/>
          <w:b/>
          <w:sz w:val="20"/>
        </w:rPr>
      </w:pPr>
      <w:r w:rsidRPr="00616DEF">
        <w:rPr>
          <w:rFonts w:ascii="Franklin Gothic Book" w:hAnsi="Franklin Gothic Book"/>
          <w:b/>
          <w:sz w:val="20"/>
        </w:rPr>
        <w:t>Podiel vysokoškolských študentov (ISCED 5-6) študujúcich v iných krajinách EÚ, EEA a kandidátskych krajinách na celkovom počte študentov</w:t>
      </w:r>
    </w:p>
    <w:p w:rsidR="00D5673C" w:rsidRDefault="00D5673C" w:rsidP="00D5673C">
      <w:pPr>
        <w:spacing w:after="0"/>
        <w:ind w:firstLine="426"/>
        <w:rPr>
          <w:b/>
        </w:rPr>
      </w:pPr>
      <w:r w:rsidRPr="00616DEF">
        <w:rPr>
          <w:noProof/>
          <w:lang w:eastAsia="sk-SK"/>
        </w:rPr>
        <w:drawing>
          <wp:inline distT="0" distB="0" distL="0" distR="0" wp14:anchorId="1328C293" wp14:editId="1DBD3422">
            <wp:extent cx="5760000" cy="2880000"/>
            <wp:effectExtent l="0" t="0" r="12700" b="1587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673C" w:rsidRPr="00616DEF" w:rsidRDefault="00D5673C" w:rsidP="00D5673C">
      <w:pPr>
        <w:jc w:val="right"/>
        <w:rPr>
          <w:rFonts w:ascii="Franklin Gothic Book" w:hAnsi="Franklin Gothic Book"/>
          <w:i/>
          <w:sz w:val="18"/>
          <w:szCs w:val="18"/>
        </w:rPr>
      </w:pPr>
      <w:r w:rsidRPr="00616DEF">
        <w:rPr>
          <w:rFonts w:ascii="Franklin Gothic Book" w:hAnsi="Franklin Gothic Book"/>
          <w:i/>
          <w:sz w:val="18"/>
          <w:szCs w:val="18"/>
        </w:rPr>
        <w:t xml:space="preserve">Zdroj: </w:t>
      </w:r>
      <w:proofErr w:type="spellStart"/>
      <w:r w:rsidRPr="00616DEF">
        <w:rPr>
          <w:rFonts w:ascii="Franklin Gothic Book" w:hAnsi="Franklin Gothic Book"/>
          <w:i/>
          <w:sz w:val="18"/>
          <w:szCs w:val="18"/>
        </w:rPr>
        <w:t>Eurostat</w:t>
      </w:r>
      <w:proofErr w:type="spellEnd"/>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jc w:val="both"/>
        <w:rPr>
          <w:b/>
        </w:rPr>
      </w:pPr>
    </w:p>
    <w:p w:rsidR="00D5673C" w:rsidRPr="00616DEF" w:rsidRDefault="00D5673C" w:rsidP="00D5673C">
      <w:pPr>
        <w:spacing w:after="0"/>
        <w:jc w:val="both"/>
        <w:rPr>
          <w:rFonts w:ascii="Franklin Gothic Book" w:hAnsi="Franklin Gothic Book"/>
          <w:b/>
          <w:sz w:val="20"/>
        </w:rPr>
      </w:pPr>
      <w:r w:rsidRPr="00616DEF">
        <w:rPr>
          <w:rFonts w:ascii="Franklin Gothic Book" w:hAnsi="Franklin Gothic Book"/>
          <w:b/>
          <w:sz w:val="20"/>
        </w:rPr>
        <w:t>Podiel vysokoškolských študentov (ISCED 5-6) študujúcich v krajine EÚ z krajín EÚ,  EEA a kandidátskych krajinách na celkovom počte domácich študentov</w:t>
      </w:r>
    </w:p>
    <w:p w:rsidR="00D5673C" w:rsidRDefault="00D5673C" w:rsidP="00D5673C">
      <w:pPr>
        <w:spacing w:after="0"/>
        <w:ind w:right="413"/>
        <w:rPr>
          <w:b/>
        </w:rPr>
      </w:pPr>
      <w:r w:rsidRPr="00616DEF">
        <w:rPr>
          <w:noProof/>
          <w:lang w:eastAsia="sk-SK"/>
        </w:rPr>
        <w:drawing>
          <wp:inline distT="0" distB="0" distL="0" distR="0" wp14:anchorId="73303865" wp14:editId="1BF05D86">
            <wp:extent cx="5760000" cy="2880000"/>
            <wp:effectExtent l="0" t="0" r="12700" b="1587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673C" w:rsidRPr="00616DEF" w:rsidRDefault="00D5673C" w:rsidP="00D5673C">
      <w:pPr>
        <w:jc w:val="right"/>
        <w:rPr>
          <w:rFonts w:ascii="Franklin Gothic Book" w:hAnsi="Franklin Gothic Book"/>
          <w:i/>
          <w:sz w:val="18"/>
          <w:szCs w:val="18"/>
        </w:rPr>
      </w:pPr>
      <w:r w:rsidRPr="00616DEF">
        <w:rPr>
          <w:rFonts w:ascii="Franklin Gothic Book" w:hAnsi="Franklin Gothic Book"/>
          <w:i/>
          <w:sz w:val="18"/>
          <w:szCs w:val="18"/>
        </w:rPr>
        <w:t xml:space="preserve">Zdroj: </w:t>
      </w:r>
      <w:proofErr w:type="spellStart"/>
      <w:r w:rsidRPr="00616DEF">
        <w:rPr>
          <w:rFonts w:ascii="Franklin Gothic Book" w:hAnsi="Franklin Gothic Book"/>
          <w:i/>
          <w:sz w:val="18"/>
          <w:szCs w:val="18"/>
        </w:rPr>
        <w:t>Eurostat</w:t>
      </w:r>
      <w:proofErr w:type="spellEnd"/>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Pr="00616DEF" w:rsidRDefault="00D5673C" w:rsidP="00D5673C">
      <w:pPr>
        <w:spacing w:after="0"/>
        <w:ind w:firstLine="357"/>
        <w:rPr>
          <w:rFonts w:ascii="Franklin Gothic Book" w:hAnsi="Franklin Gothic Book"/>
          <w:b/>
          <w:sz w:val="20"/>
        </w:rPr>
      </w:pPr>
      <w:r w:rsidRPr="00616DEF">
        <w:rPr>
          <w:rFonts w:ascii="Franklin Gothic Book" w:hAnsi="Franklin Gothic Book"/>
          <w:b/>
          <w:sz w:val="20"/>
        </w:rPr>
        <w:t>Zamestnanci výskumu a vývoja (vo FTE) ako % celkovej zamestnanosti</w:t>
      </w:r>
    </w:p>
    <w:p w:rsidR="00D5673C" w:rsidRDefault="00D5673C" w:rsidP="00D5673C">
      <w:pPr>
        <w:tabs>
          <w:tab w:val="left" w:pos="284"/>
          <w:tab w:val="left" w:pos="426"/>
        </w:tabs>
        <w:spacing w:after="0"/>
        <w:jc w:val="right"/>
        <w:rPr>
          <w:i/>
        </w:rPr>
      </w:pPr>
      <w:r w:rsidRPr="00616DEF">
        <w:rPr>
          <w:noProof/>
          <w:lang w:eastAsia="sk-SK"/>
        </w:rPr>
        <w:drawing>
          <wp:inline distT="0" distB="0" distL="0" distR="0" wp14:anchorId="3CA6EA0B" wp14:editId="6A6D7791">
            <wp:extent cx="5760000" cy="2880000"/>
            <wp:effectExtent l="0" t="0" r="12700" b="1587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rFonts w:ascii="Franklin Gothic Book" w:hAnsi="Franklin Gothic Book"/>
          <w:b/>
          <w:sz w:val="20"/>
        </w:rPr>
      </w:pPr>
    </w:p>
    <w:p w:rsidR="00D5673C" w:rsidRPr="00616DEF" w:rsidRDefault="00D5673C" w:rsidP="00D5673C">
      <w:pPr>
        <w:spacing w:after="0"/>
        <w:ind w:firstLine="357"/>
        <w:rPr>
          <w:rFonts w:ascii="Franklin Gothic Book" w:hAnsi="Franklin Gothic Book"/>
          <w:b/>
          <w:sz w:val="20"/>
        </w:rPr>
      </w:pPr>
      <w:r w:rsidRPr="00616DEF">
        <w:rPr>
          <w:rFonts w:ascii="Franklin Gothic Book" w:hAnsi="Franklin Gothic Book"/>
          <w:b/>
          <w:sz w:val="20"/>
        </w:rPr>
        <w:lastRenderedPageBreak/>
        <w:t>Výskumníci (vo FTE) ako % celkovej zamestnanosti</w:t>
      </w:r>
    </w:p>
    <w:p w:rsidR="00D5673C" w:rsidRDefault="00D5673C" w:rsidP="00D5673C">
      <w:pPr>
        <w:spacing w:after="0"/>
        <w:jc w:val="right"/>
        <w:rPr>
          <w:i/>
        </w:rPr>
      </w:pPr>
      <w:r w:rsidRPr="00616DEF">
        <w:rPr>
          <w:noProof/>
          <w:lang w:eastAsia="sk-SK"/>
        </w:rPr>
        <w:drawing>
          <wp:inline distT="0" distB="0" distL="0" distR="0" wp14:anchorId="0490F223" wp14:editId="47A5D0E0">
            <wp:extent cx="5760000" cy="2880000"/>
            <wp:effectExtent l="0" t="0" r="12700" b="1587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jc w:val="right"/>
        <w:rPr>
          <w:i/>
        </w:rPr>
      </w:pPr>
    </w:p>
    <w:p w:rsidR="00D5673C" w:rsidRDefault="00D5673C" w:rsidP="00D5673C">
      <w:pPr>
        <w:jc w:val="right"/>
        <w:rPr>
          <w:i/>
        </w:rPr>
      </w:pPr>
    </w:p>
    <w:p w:rsidR="00D5673C" w:rsidRDefault="00D5673C" w:rsidP="00D5673C">
      <w:pPr>
        <w:rPr>
          <w:i/>
        </w:rPr>
      </w:pPr>
    </w:p>
    <w:p w:rsidR="00D5673C" w:rsidRPr="00616DEF" w:rsidRDefault="00D5673C" w:rsidP="00D5673C">
      <w:pPr>
        <w:spacing w:after="0"/>
        <w:ind w:firstLine="357"/>
        <w:jc w:val="both"/>
        <w:rPr>
          <w:rFonts w:ascii="Franklin Gothic Book" w:hAnsi="Franklin Gothic Book"/>
          <w:i/>
          <w:sz w:val="20"/>
        </w:rPr>
      </w:pPr>
      <w:r w:rsidRPr="00616DEF">
        <w:rPr>
          <w:rFonts w:ascii="Franklin Gothic Book" w:hAnsi="Franklin Gothic Book"/>
          <w:b/>
          <w:sz w:val="20"/>
        </w:rPr>
        <w:t>Podiel populácie vo veku 30-34 rokov s ukončením terciárnym vzdelaním na celkovej populácii</w:t>
      </w:r>
    </w:p>
    <w:p w:rsidR="00D5673C" w:rsidRDefault="00D5673C" w:rsidP="00D5673C">
      <w:pPr>
        <w:spacing w:after="0"/>
        <w:jc w:val="right"/>
        <w:rPr>
          <w:i/>
        </w:rPr>
      </w:pPr>
      <w:r w:rsidRPr="00616DEF">
        <w:rPr>
          <w:noProof/>
          <w:lang w:eastAsia="sk-SK"/>
        </w:rPr>
        <w:drawing>
          <wp:inline distT="0" distB="0" distL="0" distR="0" wp14:anchorId="3F4B0900" wp14:editId="3CA526DB">
            <wp:extent cx="5760000" cy="2880000"/>
            <wp:effectExtent l="0" t="0" r="12700" b="1587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jc w:val="right"/>
        <w:rPr>
          <w:i/>
        </w:rPr>
      </w:pPr>
    </w:p>
    <w:p w:rsidR="00D5673C" w:rsidRDefault="00D5673C" w:rsidP="00D5673C">
      <w:pPr>
        <w:jc w:val="right"/>
        <w:rPr>
          <w:i/>
        </w:rPr>
      </w:pPr>
    </w:p>
    <w:p w:rsidR="00D5673C" w:rsidRDefault="00D5673C" w:rsidP="00D5673C">
      <w:pPr>
        <w:jc w:val="right"/>
        <w:rPr>
          <w:i/>
        </w:rPr>
      </w:pPr>
    </w:p>
    <w:p w:rsidR="00D5673C" w:rsidRDefault="00D5673C" w:rsidP="00D5673C">
      <w:pPr>
        <w:jc w:val="right"/>
        <w:rPr>
          <w:i/>
        </w:rPr>
      </w:pPr>
    </w:p>
    <w:p w:rsidR="00D5673C" w:rsidRDefault="00D5673C" w:rsidP="00D5673C">
      <w:pPr>
        <w:jc w:val="right"/>
        <w:rPr>
          <w:i/>
        </w:rPr>
      </w:pPr>
    </w:p>
    <w:p w:rsidR="00D5673C" w:rsidRDefault="00D5673C" w:rsidP="00D5673C">
      <w:pPr>
        <w:jc w:val="right"/>
        <w:rPr>
          <w:i/>
        </w:rPr>
      </w:pPr>
    </w:p>
    <w:p w:rsidR="00D5673C" w:rsidRPr="00616DEF" w:rsidRDefault="00D5673C" w:rsidP="00D5673C">
      <w:pPr>
        <w:spacing w:after="0"/>
        <w:ind w:left="357"/>
        <w:jc w:val="both"/>
        <w:rPr>
          <w:rFonts w:ascii="Franklin Gothic Book" w:hAnsi="Franklin Gothic Book"/>
          <w:i/>
          <w:sz w:val="20"/>
        </w:rPr>
      </w:pPr>
      <w:r w:rsidRPr="00616DEF">
        <w:rPr>
          <w:rFonts w:ascii="Franklin Gothic Book" w:hAnsi="Franklin Gothic Book"/>
          <w:b/>
          <w:sz w:val="20"/>
        </w:rPr>
        <w:t>Vývoj podielu populácie vo veku 30-34 rokov s ukončením terciárnym vzdelaním na celkovej populácii v krajinách V4 (2000-2013)</w:t>
      </w:r>
    </w:p>
    <w:p w:rsidR="00D5673C" w:rsidRDefault="00D5673C" w:rsidP="00D5673C">
      <w:pPr>
        <w:spacing w:after="0"/>
        <w:jc w:val="right"/>
        <w:rPr>
          <w:i/>
        </w:rPr>
      </w:pPr>
      <w:r w:rsidRPr="00616DEF">
        <w:rPr>
          <w:noProof/>
          <w:lang w:eastAsia="sk-SK"/>
        </w:rPr>
        <w:drawing>
          <wp:inline distT="0" distB="0" distL="0" distR="0" wp14:anchorId="26D081F1" wp14:editId="2815C0FC">
            <wp:extent cx="5760000" cy="2880000"/>
            <wp:effectExtent l="0" t="0" r="12700" b="1587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jc w:val="right"/>
        <w:rPr>
          <w:i/>
        </w:rPr>
      </w:pPr>
    </w:p>
    <w:p w:rsidR="00D5673C" w:rsidRDefault="00D5673C" w:rsidP="00D5673C">
      <w:pPr>
        <w:rPr>
          <w:i/>
        </w:rPr>
      </w:pPr>
    </w:p>
    <w:p w:rsidR="00D5673C" w:rsidRPr="00616DEF" w:rsidRDefault="00D5673C" w:rsidP="00D5673C">
      <w:pPr>
        <w:jc w:val="right"/>
        <w:rPr>
          <w:rFonts w:ascii="Franklin Gothic Book" w:hAnsi="Franklin Gothic Book"/>
          <w:i/>
          <w:sz w:val="20"/>
        </w:rPr>
      </w:pPr>
    </w:p>
    <w:p w:rsidR="00D5673C" w:rsidRPr="00616DEF" w:rsidRDefault="00D5673C" w:rsidP="00D5673C">
      <w:pPr>
        <w:spacing w:after="0"/>
        <w:ind w:firstLine="357"/>
        <w:rPr>
          <w:rFonts w:ascii="Franklin Gothic Book" w:hAnsi="Franklin Gothic Book"/>
          <w:i/>
          <w:sz w:val="20"/>
        </w:rPr>
      </w:pPr>
      <w:r w:rsidRPr="00616DEF">
        <w:rPr>
          <w:rFonts w:ascii="Franklin Gothic Book" w:hAnsi="Franklin Gothic Book"/>
          <w:b/>
          <w:sz w:val="20"/>
        </w:rPr>
        <w:t>Počet výskumníkov vo FTE podľa oblastí výskumu a vývoja a podľa sektorov</w:t>
      </w:r>
    </w:p>
    <w:tbl>
      <w:tblPr>
        <w:tblStyle w:val="Mriekatabuky"/>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76"/>
      </w:tblGrid>
      <w:tr w:rsidR="00D5673C" w:rsidTr="001152DF">
        <w:trPr>
          <w:trHeight w:val="4535"/>
        </w:trPr>
        <w:tc>
          <w:tcPr>
            <w:tcW w:w="4762" w:type="dxa"/>
          </w:tcPr>
          <w:p w:rsidR="00D5673C" w:rsidRDefault="00D5673C" w:rsidP="001152DF">
            <w:pPr>
              <w:spacing w:after="120"/>
              <w:ind w:firstLine="426"/>
              <w:jc w:val="right"/>
              <w:rPr>
                <w:i/>
              </w:rPr>
            </w:pPr>
            <w:r w:rsidRPr="00616DEF">
              <w:rPr>
                <w:noProof/>
              </w:rPr>
              <w:drawing>
                <wp:inline distT="0" distB="0" distL="0" distR="0" wp14:anchorId="6599537E" wp14:editId="462501B5">
                  <wp:extent cx="2880000" cy="2880000"/>
                  <wp:effectExtent l="0" t="0" r="15875" b="1587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76" w:type="dxa"/>
          </w:tcPr>
          <w:p w:rsidR="00D5673C" w:rsidRDefault="00D5673C" w:rsidP="001152DF">
            <w:pPr>
              <w:spacing w:after="120"/>
              <w:ind w:firstLine="186"/>
              <w:jc w:val="right"/>
              <w:rPr>
                <w:i/>
              </w:rPr>
            </w:pPr>
            <w:r w:rsidRPr="00616DEF">
              <w:rPr>
                <w:noProof/>
              </w:rPr>
              <w:drawing>
                <wp:inline distT="0" distB="0" distL="0" distR="0" wp14:anchorId="14BF5D0A" wp14:editId="0C610BC6">
                  <wp:extent cx="2880000" cy="2880000"/>
                  <wp:effectExtent l="0" t="0" r="15875" b="15875"/>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Slovstat</w:t>
      </w:r>
      <w:proofErr w:type="spellEnd"/>
    </w:p>
    <w:p w:rsidR="00D5673C" w:rsidRDefault="00D5673C" w:rsidP="00D5673C">
      <w:pPr>
        <w:jc w:val="right"/>
        <w:rPr>
          <w:i/>
        </w:rPr>
      </w:pPr>
    </w:p>
    <w:p w:rsidR="00D5673C" w:rsidRDefault="00D5673C" w:rsidP="00D5673C">
      <w:pPr>
        <w:jc w:val="right"/>
        <w:rPr>
          <w:i/>
        </w:rPr>
      </w:pPr>
    </w:p>
    <w:p w:rsidR="00D5673C" w:rsidRDefault="00D5673C" w:rsidP="00D5673C">
      <w:pPr>
        <w:jc w:val="right"/>
        <w:rPr>
          <w:i/>
        </w:rPr>
      </w:pPr>
    </w:p>
    <w:p w:rsidR="00D5673C" w:rsidRPr="00616DEF" w:rsidRDefault="00D5673C" w:rsidP="00D5673C">
      <w:pPr>
        <w:spacing w:after="0"/>
        <w:ind w:firstLine="357"/>
        <w:jc w:val="both"/>
        <w:rPr>
          <w:rFonts w:ascii="Franklin Gothic Book" w:hAnsi="Franklin Gothic Book"/>
          <w:i/>
          <w:sz w:val="20"/>
        </w:rPr>
      </w:pPr>
      <w:r w:rsidRPr="00616DEF">
        <w:rPr>
          <w:rFonts w:ascii="Franklin Gothic Book" w:hAnsi="Franklin Gothic Book"/>
          <w:b/>
          <w:sz w:val="20"/>
        </w:rPr>
        <w:lastRenderedPageBreak/>
        <w:t>Vývoj počtu študentov na jedného výskumníka (vo FTE) podľa oblastí výskumu a vývoja</w:t>
      </w:r>
    </w:p>
    <w:p w:rsidR="00D5673C" w:rsidRDefault="00D5673C" w:rsidP="00D5673C">
      <w:pPr>
        <w:jc w:val="right"/>
        <w:rPr>
          <w:i/>
        </w:rPr>
      </w:pPr>
      <w:r w:rsidRPr="00616DEF">
        <w:rPr>
          <w:noProof/>
          <w:lang w:eastAsia="sk-SK"/>
        </w:rPr>
        <w:drawing>
          <wp:inline distT="0" distB="0" distL="0" distR="0" wp14:anchorId="020D54D2" wp14:editId="547B9E02">
            <wp:extent cx="5760000" cy="2880000"/>
            <wp:effectExtent l="0" t="0" r="12700" b="15875"/>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673C" w:rsidRPr="00616DEF" w:rsidRDefault="00D5673C" w:rsidP="00D5673C">
      <w:pPr>
        <w:jc w:val="right"/>
        <w:rPr>
          <w:rFonts w:ascii="Franklin Gothic Book" w:hAnsi="Franklin Gothic Book"/>
          <w:i/>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r w:rsidRPr="00616DEF">
        <w:rPr>
          <w:rFonts w:ascii="Franklin Gothic Book" w:hAnsi="Franklin Gothic Book"/>
          <w:i/>
          <w:sz w:val="18"/>
        </w:rPr>
        <w:t xml:space="preserve"> a </w:t>
      </w:r>
      <w:proofErr w:type="spellStart"/>
      <w:r w:rsidRPr="00616DEF">
        <w:rPr>
          <w:rFonts w:ascii="Franklin Gothic Book" w:hAnsi="Franklin Gothic Book"/>
          <w:i/>
          <w:sz w:val="18"/>
        </w:rPr>
        <w:t>Slovstat</w:t>
      </w:r>
      <w:proofErr w:type="spellEnd"/>
    </w:p>
    <w:p w:rsidR="00D5673C" w:rsidRPr="00616DEF" w:rsidRDefault="00D5673C" w:rsidP="00D5673C">
      <w:pPr>
        <w:spacing w:after="0"/>
        <w:ind w:firstLine="284"/>
        <w:rPr>
          <w:rFonts w:ascii="Franklin Gothic Book" w:hAnsi="Franklin Gothic Book"/>
          <w:i/>
        </w:rPr>
      </w:pPr>
      <w:r w:rsidRPr="00616DEF">
        <w:rPr>
          <w:rFonts w:ascii="Franklin Gothic Book" w:hAnsi="Franklin Gothic Book"/>
          <w:b/>
          <w:sz w:val="20"/>
        </w:rPr>
        <w:t>Podiel výskumníčok (vo FTE) (2011)</w:t>
      </w:r>
    </w:p>
    <w:p w:rsidR="00D5673C" w:rsidRDefault="00D5673C" w:rsidP="00D5673C">
      <w:pPr>
        <w:spacing w:after="0"/>
        <w:ind w:firstLine="284"/>
        <w:rPr>
          <w:i/>
        </w:rPr>
      </w:pPr>
      <w:r w:rsidRPr="00616DEF">
        <w:rPr>
          <w:noProof/>
          <w:lang w:eastAsia="sk-SK"/>
        </w:rPr>
        <w:drawing>
          <wp:inline distT="0" distB="0" distL="0" distR="0" wp14:anchorId="25698288" wp14:editId="5BC150AE">
            <wp:extent cx="4572000" cy="4405313"/>
            <wp:effectExtent l="0" t="0" r="19050" b="14605"/>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5673C" w:rsidRPr="00616DEF" w:rsidRDefault="00D5673C" w:rsidP="00D5673C">
      <w:pPr>
        <w:jc w:val="center"/>
        <w:rPr>
          <w:rFonts w:ascii="Franklin Gothic Book" w:hAnsi="Franklin Gothic Book"/>
          <w:i/>
          <w:sz w:val="18"/>
        </w:rPr>
      </w:pPr>
      <w:r>
        <w:rPr>
          <w:i/>
        </w:rPr>
        <w:t xml:space="preserve">                                                                         </w:t>
      </w: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rPr>
          <w:b/>
          <w:sz w:val="32"/>
          <w:szCs w:val="32"/>
        </w:rPr>
      </w:pPr>
    </w:p>
    <w:p w:rsidR="00D5673C" w:rsidRDefault="00D5673C" w:rsidP="00D5673C">
      <w:pPr>
        <w:spacing w:after="0"/>
        <w:rPr>
          <w:rFonts w:ascii="Franklin Gothic Book" w:hAnsi="Franklin Gothic Book"/>
          <w:b/>
          <w:sz w:val="20"/>
        </w:rPr>
      </w:pPr>
    </w:p>
    <w:p w:rsidR="00D5673C" w:rsidRDefault="00D5673C" w:rsidP="00D5673C">
      <w:pPr>
        <w:spacing w:after="0"/>
        <w:ind w:firstLine="357"/>
        <w:rPr>
          <w:rFonts w:ascii="Franklin Gothic Book" w:hAnsi="Franklin Gothic Book"/>
          <w:b/>
          <w:sz w:val="20"/>
        </w:rPr>
      </w:pPr>
    </w:p>
    <w:p w:rsidR="00D5673C" w:rsidRPr="00616DEF" w:rsidRDefault="00D5673C" w:rsidP="00D5673C">
      <w:pPr>
        <w:spacing w:after="0"/>
        <w:ind w:firstLine="357"/>
        <w:rPr>
          <w:rFonts w:ascii="Franklin Gothic Book" w:hAnsi="Franklin Gothic Book"/>
          <w:i/>
          <w:sz w:val="20"/>
        </w:rPr>
      </w:pPr>
      <w:r w:rsidRPr="00616DEF">
        <w:rPr>
          <w:rFonts w:ascii="Franklin Gothic Book" w:hAnsi="Franklin Gothic Book"/>
          <w:b/>
          <w:sz w:val="20"/>
        </w:rPr>
        <w:lastRenderedPageBreak/>
        <w:t>Podiel výskumníkov na celkovej zamestnanosti podľa krajov (NUTS 2)</w:t>
      </w:r>
    </w:p>
    <w:p w:rsidR="00D5673C" w:rsidRDefault="00D5673C" w:rsidP="00D5673C">
      <w:pPr>
        <w:ind w:firstLine="284"/>
        <w:rPr>
          <w:b/>
          <w:sz w:val="32"/>
          <w:szCs w:val="32"/>
        </w:rPr>
      </w:pPr>
      <w:r w:rsidRPr="00616DEF">
        <w:rPr>
          <w:noProof/>
          <w:lang w:eastAsia="sk-SK"/>
        </w:rPr>
        <w:drawing>
          <wp:inline distT="0" distB="0" distL="0" distR="0" wp14:anchorId="224102AC" wp14:editId="331043B2">
            <wp:extent cx="5760000" cy="2880000"/>
            <wp:effectExtent l="0" t="0" r="12700" b="1587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5673C" w:rsidRDefault="00D5673C" w:rsidP="00D5673C">
      <w:pPr>
        <w:rPr>
          <w:b/>
          <w:sz w:val="32"/>
          <w:szCs w:val="32"/>
        </w:rPr>
      </w:pPr>
    </w:p>
    <w:p w:rsidR="00D5673C" w:rsidRPr="00616DEF" w:rsidRDefault="00D5673C" w:rsidP="00D5673C">
      <w:pPr>
        <w:ind w:firstLine="284"/>
        <w:rPr>
          <w:rFonts w:ascii="Franklin Gothic Book" w:hAnsi="Franklin Gothic Book"/>
          <w:b/>
        </w:rPr>
      </w:pPr>
      <w:r w:rsidRPr="00616DEF">
        <w:rPr>
          <w:rFonts w:ascii="Franklin Gothic Book" w:hAnsi="Franklin Gothic Book"/>
          <w:b/>
        </w:rPr>
        <w:t>Výdavky na výskum a vývoj</w:t>
      </w:r>
    </w:p>
    <w:p w:rsidR="00D5673C" w:rsidRPr="00616DEF" w:rsidRDefault="00D5673C" w:rsidP="00D5673C">
      <w:pPr>
        <w:rPr>
          <w:rFonts w:ascii="Franklin Gothic Book" w:hAnsi="Franklin Gothic Book"/>
          <w:sz w:val="20"/>
        </w:rPr>
      </w:pPr>
    </w:p>
    <w:p w:rsidR="00D5673C" w:rsidRPr="00616DEF" w:rsidRDefault="00D5673C" w:rsidP="00D5673C">
      <w:pPr>
        <w:spacing w:after="0"/>
        <w:ind w:firstLine="284"/>
        <w:rPr>
          <w:rFonts w:ascii="Franklin Gothic Book" w:hAnsi="Franklin Gothic Book"/>
          <w:b/>
          <w:sz w:val="20"/>
        </w:rPr>
      </w:pPr>
      <w:r w:rsidRPr="00616DEF">
        <w:rPr>
          <w:rFonts w:ascii="Franklin Gothic Book" w:hAnsi="Franklin Gothic Book"/>
          <w:b/>
          <w:sz w:val="20"/>
        </w:rPr>
        <w:t>Výdavky na výskum a vývoj ako % HDP</w:t>
      </w:r>
    </w:p>
    <w:p w:rsidR="00D5673C" w:rsidRDefault="00D5673C" w:rsidP="00D5673C">
      <w:pPr>
        <w:spacing w:after="0"/>
        <w:ind w:firstLine="284"/>
      </w:pPr>
      <w:r w:rsidRPr="00616DEF">
        <w:rPr>
          <w:noProof/>
          <w:lang w:eastAsia="sk-SK"/>
        </w:rPr>
        <w:drawing>
          <wp:inline distT="0" distB="0" distL="0" distR="0" wp14:anchorId="1201DAE2" wp14:editId="6C36D40F">
            <wp:extent cx="5760000" cy="2880000"/>
            <wp:effectExtent l="0" t="0" r="12700" b="15875"/>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Default="00D5673C" w:rsidP="00D5673C">
      <w:pPr>
        <w:spacing w:after="0"/>
        <w:rPr>
          <w:b/>
        </w:rPr>
      </w:pPr>
    </w:p>
    <w:p w:rsidR="00D5673C" w:rsidRPr="00616DEF" w:rsidRDefault="00D5673C" w:rsidP="00D5673C">
      <w:pPr>
        <w:spacing w:after="0"/>
        <w:jc w:val="both"/>
        <w:rPr>
          <w:rFonts w:ascii="Franklin Gothic Book" w:hAnsi="Franklin Gothic Book"/>
          <w:sz w:val="20"/>
        </w:rPr>
      </w:pPr>
      <w:r w:rsidRPr="00616DEF">
        <w:rPr>
          <w:rFonts w:ascii="Franklin Gothic Book" w:hAnsi="Franklin Gothic Book"/>
          <w:b/>
          <w:sz w:val="20"/>
        </w:rPr>
        <w:lastRenderedPageBreak/>
        <w:t>Investície do výskumu a vývoja podľa zdrojov financovania (ako % celkových výdavkov)  v roku 2012</w:t>
      </w:r>
      <w:r w:rsidRPr="00616DEF">
        <w:rPr>
          <w:rStyle w:val="Odkaznapoznmkupodiarou"/>
          <w:rFonts w:ascii="Franklin Gothic Book" w:hAnsi="Franklin Gothic Book"/>
          <w:b/>
          <w:sz w:val="20"/>
        </w:rPr>
        <w:footnoteReference w:id="1"/>
      </w:r>
    </w:p>
    <w:p w:rsidR="00D5673C" w:rsidRDefault="00D5673C" w:rsidP="00D5673C">
      <w:pPr>
        <w:spacing w:after="0"/>
      </w:pPr>
      <w:r w:rsidRPr="00616DEF">
        <w:rPr>
          <w:noProof/>
          <w:lang w:eastAsia="sk-SK"/>
        </w:rPr>
        <w:drawing>
          <wp:inline distT="0" distB="0" distL="0" distR="0" wp14:anchorId="0E7239FD" wp14:editId="4F276006">
            <wp:extent cx="5760000" cy="5760000"/>
            <wp:effectExtent l="0" t="0" r="12700" b="1270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Pr="00616DEF" w:rsidRDefault="00D5673C" w:rsidP="00D5673C">
      <w:pPr>
        <w:spacing w:after="0"/>
        <w:jc w:val="both"/>
        <w:rPr>
          <w:rFonts w:ascii="Franklin Gothic Book" w:hAnsi="Franklin Gothic Book"/>
          <w:sz w:val="20"/>
        </w:rPr>
      </w:pPr>
      <w:r w:rsidRPr="00616DEF">
        <w:rPr>
          <w:rFonts w:ascii="Franklin Gothic Book" w:hAnsi="Franklin Gothic Book"/>
          <w:b/>
          <w:sz w:val="20"/>
        </w:rPr>
        <w:lastRenderedPageBreak/>
        <w:t>Investície do výskumu a vývoja podľa sektora realizácie (ako % celkových výdavkov)  v roku 2012</w:t>
      </w:r>
      <w:r w:rsidRPr="00616DEF">
        <w:rPr>
          <w:rStyle w:val="Odkaznapoznmkupodiarou"/>
          <w:rFonts w:ascii="Franklin Gothic Book" w:hAnsi="Franklin Gothic Book"/>
          <w:b/>
          <w:sz w:val="20"/>
        </w:rPr>
        <w:footnoteReference w:id="2"/>
      </w:r>
    </w:p>
    <w:p w:rsidR="00D5673C" w:rsidRDefault="00D5673C" w:rsidP="00D5673C">
      <w:pPr>
        <w:spacing w:after="0"/>
      </w:pPr>
      <w:r w:rsidRPr="00616DEF">
        <w:rPr>
          <w:noProof/>
          <w:lang w:eastAsia="sk-SK"/>
        </w:rPr>
        <w:drawing>
          <wp:inline distT="0" distB="0" distL="0" distR="0" wp14:anchorId="349B9A1A" wp14:editId="50739BB4">
            <wp:extent cx="5760000" cy="5760000"/>
            <wp:effectExtent l="0" t="0" r="12700" b="12700"/>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Pr="00616DEF" w:rsidRDefault="00D5673C" w:rsidP="00D5673C">
      <w:pPr>
        <w:rPr>
          <w:sz w:val="20"/>
        </w:rPr>
      </w:pPr>
    </w:p>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Pr="00616DEF" w:rsidRDefault="00D5673C" w:rsidP="00D5673C">
      <w:pPr>
        <w:spacing w:after="0" w:line="240" w:lineRule="auto"/>
        <w:rPr>
          <w:rFonts w:ascii="Franklin Gothic Book" w:hAnsi="Franklin Gothic Book"/>
          <w:b/>
          <w:sz w:val="20"/>
        </w:rPr>
      </w:pPr>
      <w:r w:rsidRPr="00616DEF">
        <w:rPr>
          <w:rFonts w:ascii="Franklin Gothic Book" w:hAnsi="Franklin Gothic Book"/>
          <w:b/>
          <w:sz w:val="20"/>
        </w:rPr>
        <w:lastRenderedPageBreak/>
        <w:t>Podiel štátneho rozpočtu alokovaný na výskum a vývoj (% z celkových vládnych výdavkov)</w:t>
      </w:r>
    </w:p>
    <w:p w:rsidR="00D5673C" w:rsidRDefault="00D5673C" w:rsidP="00D5673C">
      <w:pPr>
        <w:spacing w:after="120" w:line="240" w:lineRule="auto"/>
        <w:rPr>
          <w:b/>
        </w:rPr>
      </w:pPr>
      <w:r w:rsidRPr="00616DEF">
        <w:rPr>
          <w:noProof/>
          <w:lang w:eastAsia="sk-SK"/>
        </w:rPr>
        <w:drawing>
          <wp:inline distT="0" distB="0" distL="0" distR="0" wp14:anchorId="7E29346F" wp14:editId="0DCD83AF">
            <wp:extent cx="5760000" cy="2880000"/>
            <wp:effectExtent l="0" t="0" r="12700" b="15875"/>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Pr="00616DEF" w:rsidRDefault="00D5673C" w:rsidP="00D5673C">
      <w:pPr>
        <w:spacing w:after="0" w:line="240" w:lineRule="auto"/>
        <w:jc w:val="both"/>
        <w:rPr>
          <w:rFonts w:ascii="Franklin Gothic Book" w:hAnsi="Franklin Gothic Book"/>
          <w:b/>
          <w:sz w:val="20"/>
        </w:rPr>
      </w:pPr>
      <w:r w:rsidRPr="00616DEF">
        <w:rPr>
          <w:rFonts w:ascii="Franklin Gothic Book" w:hAnsi="Franklin Gothic Book"/>
          <w:b/>
          <w:sz w:val="20"/>
        </w:rPr>
        <w:t>Podiel štátneho rozpočtu alokovaný na výskum a vývoj (% z celkových vládnych výdavkov) v krajinách V4 (2011-2012)</w:t>
      </w:r>
    </w:p>
    <w:p w:rsidR="00D5673C" w:rsidRDefault="00D5673C" w:rsidP="00D5673C">
      <w:pPr>
        <w:spacing w:after="0" w:line="240" w:lineRule="auto"/>
        <w:rPr>
          <w:b/>
        </w:rPr>
      </w:pPr>
      <w:r w:rsidRPr="00616DEF">
        <w:rPr>
          <w:noProof/>
          <w:lang w:eastAsia="sk-SK"/>
        </w:rPr>
        <w:drawing>
          <wp:inline distT="0" distB="0" distL="0" distR="0" wp14:anchorId="20417FB5" wp14:editId="0BCCFFE6">
            <wp:extent cx="5760000" cy="2880000"/>
            <wp:effectExtent l="0" t="0" r="12700" b="15875"/>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Default="00D5673C" w:rsidP="00D5673C">
      <w:pPr>
        <w:spacing w:after="0" w:line="240" w:lineRule="auto"/>
        <w:rPr>
          <w:b/>
        </w:rPr>
      </w:pPr>
    </w:p>
    <w:p w:rsidR="00D5673C" w:rsidRPr="00616DEF" w:rsidRDefault="00D5673C" w:rsidP="00D5673C">
      <w:pPr>
        <w:spacing w:after="0" w:line="240" w:lineRule="auto"/>
        <w:rPr>
          <w:rFonts w:ascii="Franklin Gothic Book" w:hAnsi="Franklin Gothic Book"/>
          <w:sz w:val="20"/>
          <w:lang w:eastAsia="sk-SK"/>
        </w:rPr>
      </w:pPr>
      <w:r w:rsidRPr="00616DEF">
        <w:rPr>
          <w:rFonts w:ascii="Franklin Gothic Book" w:hAnsi="Franklin Gothic Book"/>
          <w:b/>
          <w:sz w:val="20"/>
        </w:rPr>
        <w:t>Výdavky na výskum a vývoj ako % HDP podľa krajov (NUTS 2)</w:t>
      </w:r>
    </w:p>
    <w:p w:rsidR="00D5673C" w:rsidRDefault="00D5673C" w:rsidP="00D5673C">
      <w:pPr>
        <w:spacing w:after="0"/>
      </w:pPr>
      <w:r w:rsidRPr="00616DEF">
        <w:rPr>
          <w:noProof/>
          <w:lang w:eastAsia="sk-SK"/>
        </w:rPr>
        <w:drawing>
          <wp:inline distT="0" distB="0" distL="0" distR="0" wp14:anchorId="5281D66C" wp14:editId="5A0BCC18">
            <wp:extent cx="5760000" cy="2880000"/>
            <wp:effectExtent l="0" t="0" r="12700" b="15875"/>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Eurostat</w:t>
      </w:r>
      <w:proofErr w:type="spellEnd"/>
    </w:p>
    <w:p w:rsidR="00D5673C" w:rsidRDefault="00D5673C" w:rsidP="00D5673C">
      <w:pPr>
        <w:spacing w:after="0"/>
        <w:rPr>
          <w:rFonts w:ascii="Franklin Gothic Book" w:hAnsi="Franklin Gothic Book"/>
          <w:b/>
          <w:sz w:val="20"/>
        </w:rPr>
      </w:pPr>
    </w:p>
    <w:p w:rsidR="00D5673C" w:rsidRDefault="00D5673C" w:rsidP="00D5673C">
      <w:pPr>
        <w:spacing w:after="0"/>
        <w:rPr>
          <w:rFonts w:ascii="Franklin Gothic Book" w:hAnsi="Franklin Gothic Book"/>
          <w:b/>
          <w:sz w:val="20"/>
        </w:rPr>
      </w:pPr>
    </w:p>
    <w:p w:rsidR="00D5673C" w:rsidRDefault="00D5673C" w:rsidP="00D5673C">
      <w:pPr>
        <w:spacing w:after="0"/>
        <w:rPr>
          <w:rFonts w:ascii="Franklin Gothic Book" w:hAnsi="Franklin Gothic Book"/>
          <w:b/>
          <w:sz w:val="20"/>
        </w:rPr>
      </w:pPr>
    </w:p>
    <w:p w:rsidR="00D5673C" w:rsidRPr="00616DEF" w:rsidRDefault="00D5673C" w:rsidP="00D5673C">
      <w:pPr>
        <w:spacing w:after="0"/>
        <w:rPr>
          <w:rFonts w:ascii="Franklin Gothic Book" w:hAnsi="Franklin Gothic Book"/>
          <w:b/>
          <w:sz w:val="20"/>
        </w:rPr>
      </w:pPr>
      <w:r w:rsidRPr="00616DEF">
        <w:rPr>
          <w:rFonts w:ascii="Franklin Gothic Book" w:hAnsi="Franklin Gothic Book"/>
          <w:b/>
          <w:sz w:val="20"/>
        </w:rPr>
        <w:t>Výdavky na výskum a vývoj na jedného obyvateľa (súčasné PPP v USD)</w:t>
      </w:r>
    </w:p>
    <w:p w:rsidR="00D5673C" w:rsidRDefault="00D5673C" w:rsidP="00D5673C">
      <w:pPr>
        <w:spacing w:after="0"/>
      </w:pPr>
      <w:r w:rsidRPr="00616DEF">
        <w:rPr>
          <w:noProof/>
          <w:lang w:eastAsia="sk-SK"/>
        </w:rPr>
        <w:drawing>
          <wp:inline distT="0" distB="0" distL="0" distR="0" wp14:anchorId="11A18CEA" wp14:editId="7DA79876">
            <wp:extent cx="5760000" cy="2880000"/>
            <wp:effectExtent l="0" t="0" r="12700" b="15875"/>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Zdroj: OECD MSTI</w:t>
      </w:r>
    </w:p>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Pr="00616DEF" w:rsidRDefault="00D5673C" w:rsidP="00D5673C">
      <w:pPr>
        <w:spacing w:after="0"/>
        <w:rPr>
          <w:rFonts w:ascii="Franklin Gothic Book" w:hAnsi="Franklin Gothic Book"/>
          <w:b/>
          <w:sz w:val="20"/>
        </w:rPr>
      </w:pPr>
      <w:r w:rsidRPr="00616DEF">
        <w:rPr>
          <w:rFonts w:ascii="Franklin Gothic Book" w:hAnsi="Franklin Gothic Book"/>
          <w:b/>
          <w:sz w:val="20"/>
        </w:rPr>
        <w:t>Investície do základného výskumu (% HDP)</w:t>
      </w:r>
    </w:p>
    <w:p w:rsidR="00D5673C" w:rsidRDefault="00D5673C" w:rsidP="00D5673C">
      <w:pPr>
        <w:spacing w:after="0"/>
      </w:pPr>
      <w:r w:rsidRPr="00616DEF">
        <w:rPr>
          <w:noProof/>
          <w:lang w:eastAsia="sk-SK"/>
        </w:rPr>
        <w:drawing>
          <wp:inline distT="0" distB="0" distL="0" distR="0" wp14:anchorId="2190F48F" wp14:editId="5102D802">
            <wp:extent cx="5760000" cy="2880000"/>
            <wp:effectExtent l="0" t="0" r="12700" b="15875"/>
            <wp:docPr id="28" name="Graf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Zdroj: OECD MSTI</w:t>
      </w:r>
    </w:p>
    <w:p w:rsidR="00D5673C" w:rsidRDefault="00D5673C" w:rsidP="00D5673C">
      <w:pPr>
        <w:spacing w:after="0"/>
        <w:rPr>
          <w:rFonts w:ascii="Franklin Gothic Book" w:hAnsi="Franklin Gothic Book"/>
          <w:b/>
          <w:sz w:val="20"/>
        </w:rPr>
      </w:pPr>
    </w:p>
    <w:p w:rsidR="00D5673C" w:rsidRDefault="00D5673C" w:rsidP="00D5673C">
      <w:pPr>
        <w:spacing w:after="0"/>
        <w:rPr>
          <w:rFonts w:ascii="Franklin Gothic Book" w:hAnsi="Franklin Gothic Book"/>
          <w:b/>
          <w:sz w:val="20"/>
        </w:rPr>
      </w:pPr>
    </w:p>
    <w:p w:rsidR="00D5673C" w:rsidRPr="00616DEF" w:rsidRDefault="00D5673C" w:rsidP="00D5673C">
      <w:pPr>
        <w:spacing w:after="0"/>
        <w:rPr>
          <w:rFonts w:ascii="Franklin Gothic Book" w:hAnsi="Franklin Gothic Book"/>
          <w:b/>
          <w:sz w:val="20"/>
        </w:rPr>
      </w:pPr>
      <w:r>
        <w:rPr>
          <w:rFonts w:ascii="Franklin Gothic Book" w:hAnsi="Franklin Gothic Book"/>
          <w:b/>
          <w:sz w:val="20"/>
        </w:rPr>
        <w:t>Podiel súkromných invest</w:t>
      </w:r>
      <w:r w:rsidRPr="00616DEF">
        <w:rPr>
          <w:rFonts w:ascii="Franklin Gothic Book" w:hAnsi="Franklin Gothic Book"/>
          <w:b/>
          <w:sz w:val="20"/>
        </w:rPr>
        <w:t>í</w:t>
      </w:r>
      <w:r>
        <w:rPr>
          <w:rFonts w:ascii="Franklin Gothic Book" w:hAnsi="Franklin Gothic Book"/>
          <w:b/>
          <w:sz w:val="20"/>
        </w:rPr>
        <w:t>cií</w:t>
      </w:r>
      <w:r w:rsidRPr="00616DEF">
        <w:rPr>
          <w:rFonts w:ascii="Franklin Gothic Book" w:hAnsi="Franklin Gothic Book"/>
          <w:b/>
          <w:sz w:val="20"/>
        </w:rPr>
        <w:t xml:space="preserve"> do výskumu a vývoja financovaných štátom (%)</w:t>
      </w:r>
    </w:p>
    <w:p w:rsidR="00D5673C" w:rsidRDefault="00D5673C" w:rsidP="00D5673C">
      <w:pPr>
        <w:spacing w:after="0"/>
      </w:pPr>
      <w:r w:rsidRPr="00616DEF">
        <w:rPr>
          <w:noProof/>
          <w:lang w:eastAsia="sk-SK"/>
        </w:rPr>
        <w:drawing>
          <wp:inline distT="0" distB="0" distL="0" distR="0" wp14:anchorId="75259832" wp14:editId="3E4C9D57">
            <wp:extent cx="5760000" cy="2880000"/>
            <wp:effectExtent l="0" t="0" r="12700" b="15875"/>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Zdroj: OECD MSTI</w:t>
      </w:r>
    </w:p>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Default="00D5673C" w:rsidP="00D5673C"/>
    <w:p w:rsidR="00D5673C" w:rsidRPr="00616DEF" w:rsidRDefault="00D5673C" w:rsidP="00D5673C">
      <w:pPr>
        <w:rPr>
          <w:rFonts w:ascii="Franklin Gothic Book" w:hAnsi="Franklin Gothic Book"/>
          <w:b/>
          <w:szCs w:val="32"/>
        </w:rPr>
      </w:pPr>
      <w:r w:rsidRPr="00616DEF">
        <w:rPr>
          <w:rFonts w:ascii="Franklin Gothic Book" w:hAnsi="Franklin Gothic Book"/>
          <w:b/>
          <w:szCs w:val="32"/>
        </w:rPr>
        <w:lastRenderedPageBreak/>
        <w:t>Patenty</w:t>
      </w:r>
    </w:p>
    <w:tbl>
      <w:tblPr>
        <w:tblStyle w:val="Mriekatabuky"/>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1"/>
        <w:gridCol w:w="65"/>
        <w:gridCol w:w="4594"/>
        <w:gridCol w:w="244"/>
        <w:gridCol w:w="20"/>
      </w:tblGrid>
      <w:tr w:rsidR="00D5673C" w:rsidTr="001152DF">
        <w:trPr>
          <w:gridAfter w:val="1"/>
          <w:wAfter w:w="20" w:type="dxa"/>
        </w:trPr>
        <w:tc>
          <w:tcPr>
            <w:tcW w:w="4708" w:type="dxa"/>
            <w:gridSpan w:val="2"/>
          </w:tcPr>
          <w:p w:rsidR="00D5673C" w:rsidRPr="00616DEF" w:rsidRDefault="00D5673C" w:rsidP="001152DF">
            <w:pPr>
              <w:rPr>
                <w:rFonts w:ascii="Franklin Gothic Book" w:hAnsi="Franklin Gothic Book"/>
                <w:b/>
              </w:rPr>
            </w:pPr>
            <w:r w:rsidRPr="00616DEF">
              <w:rPr>
                <w:rFonts w:ascii="Franklin Gothic Book" w:hAnsi="Franklin Gothic Book"/>
                <w:b/>
              </w:rPr>
              <w:t>Vývoj počtu „</w:t>
            </w:r>
            <w:proofErr w:type="spellStart"/>
            <w:r w:rsidRPr="00616DEF">
              <w:rPr>
                <w:rFonts w:ascii="Franklin Gothic Book" w:hAnsi="Franklin Gothic Book"/>
                <w:b/>
              </w:rPr>
              <w:t>triadických</w:t>
            </w:r>
            <w:proofErr w:type="spellEnd"/>
            <w:r w:rsidRPr="00616DEF">
              <w:rPr>
                <w:rFonts w:ascii="Franklin Gothic Book" w:hAnsi="Franklin Gothic Book"/>
                <w:b/>
              </w:rPr>
              <w:t>“ patentových rodín v krajinách V4</w:t>
            </w:r>
          </w:p>
        </w:tc>
        <w:tc>
          <w:tcPr>
            <w:tcW w:w="4824" w:type="dxa"/>
            <w:gridSpan w:val="3"/>
          </w:tcPr>
          <w:p w:rsidR="00D5673C" w:rsidRPr="00616DEF" w:rsidRDefault="00D5673C" w:rsidP="001152DF">
            <w:pPr>
              <w:rPr>
                <w:rFonts w:ascii="Franklin Gothic Book" w:hAnsi="Franklin Gothic Book"/>
                <w:b/>
              </w:rPr>
            </w:pPr>
            <w:r w:rsidRPr="00616DEF">
              <w:rPr>
                <w:rFonts w:ascii="Franklin Gothic Book" w:hAnsi="Franklin Gothic Book"/>
                <w:b/>
              </w:rPr>
              <w:t>Vývoj počtu patentových prihlášok podaných v rámci PCT v krajinách V4</w:t>
            </w:r>
          </w:p>
        </w:tc>
      </w:tr>
      <w:tr w:rsidR="00D5673C" w:rsidTr="001152DF">
        <w:trPr>
          <w:trHeight w:val="4535"/>
        </w:trPr>
        <w:tc>
          <w:tcPr>
            <w:tcW w:w="4776" w:type="dxa"/>
            <w:gridSpan w:val="3"/>
          </w:tcPr>
          <w:p w:rsidR="00D5673C" w:rsidRDefault="00D5673C" w:rsidP="001152DF">
            <w:r w:rsidRPr="00616DEF">
              <w:rPr>
                <w:noProof/>
              </w:rPr>
              <w:drawing>
                <wp:inline distT="0" distB="0" distL="0" distR="0" wp14:anchorId="1C3CF118" wp14:editId="68F9DB11">
                  <wp:extent cx="2880000" cy="2889956"/>
                  <wp:effectExtent l="0" t="0" r="15875" b="2476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76" w:type="dxa"/>
            <w:gridSpan w:val="3"/>
          </w:tcPr>
          <w:p w:rsidR="00D5673C" w:rsidRDefault="00D5673C" w:rsidP="001152DF">
            <w:pPr>
              <w:spacing w:after="120"/>
            </w:pPr>
            <w:r w:rsidRPr="00616DEF">
              <w:rPr>
                <w:noProof/>
              </w:rPr>
              <w:drawing>
                <wp:inline distT="0" distB="0" distL="0" distR="0" wp14:anchorId="5456019A" wp14:editId="02885667">
                  <wp:extent cx="2880000" cy="2880000"/>
                  <wp:effectExtent l="0" t="0" r="15875" b="15875"/>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D5673C" w:rsidTr="001152DF">
        <w:trPr>
          <w:gridAfter w:val="1"/>
          <w:wAfter w:w="20" w:type="dxa"/>
        </w:trPr>
        <w:tc>
          <w:tcPr>
            <w:tcW w:w="4708" w:type="dxa"/>
            <w:gridSpan w:val="2"/>
          </w:tcPr>
          <w:p w:rsidR="00D5673C" w:rsidRDefault="00D5673C" w:rsidP="001152DF"/>
        </w:tc>
        <w:tc>
          <w:tcPr>
            <w:tcW w:w="4824" w:type="dxa"/>
            <w:gridSpan w:val="3"/>
          </w:tcPr>
          <w:p w:rsidR="00D5673C" w:rsidRPr="00616DEF" w:rsidRDefault="00D5673C" w:rsidP="001152DF">
            <w:pPr>
              <w:keepNext/>
              <w:keepLines/>
              <w:spacing w:before="480"/>
              <w:jc w:val="right"/>
              <w:outlineLvl w:val="0"/>
              <w:rPr>
                <w:rFonts w:ascii="Franklin Gothic Book" w:hAnsi="Franklin Gothic Book"/>
                <w:i/>
              </w:rPr>
            </w:pPr>
            <w:bookmarkStart w:id="1" w:name="_Toc387185466"/>
            <w:r w:rsidRPr="00616DEF">
              <w:rPr>
                <w:rFonts w:ascii="Franklin Gothic Book" w:hAnsi="Franklin Gothic Book"/>
                <w:i/>
                <w:sz w:val="18"/>
              </w:rPr>
              <w:t>Zdroj: OECD MSTI</w:t>
            </w:r>
            <w:bookmarkEnd w:id="1"/>
          </w:p>
        </w:tc>
      </w:tr>
      <w:tr w:rsidR="00D5673C" w:rsidTr="001152DF">
        <w:trPr>
          <w:gridAfter w:val="2"/>
          <w:wAfter w:w="264" w:type="dxa"/>
        </w:trPr>
        <w:tc>
          <w:tcPr>
            <w:tcW w:w="4644" w:type="dxa"/>
          </w:tcPr>
          <w:p w:rsidR="00D5673C" w:rsidRPr="00616DEF" w:rsidRDefault="00D5673C" w:rsidP="001152DF">
            <w:pPr>
              <w:keepNext/>
              <w:keepLines/>
              <w:spacing w:before="480"/>
              <w:outlineLvl w:val="0"/>
              <w:rPr>
                <w:rFonts w:ascii="Franklin Gothic Book" w:hAnsi="Franklin Gothic Book"/>
              </w:rPr>
            </w:pPr>
            <w:bookmarkStart w:id="2" w:name="_Toc387185467"/>
            <w:r w:rsidRPr="00616DEF">
              <w:rPr>
                <w:rFonts w:ascii="Franklin Gothic Book" w:hAnsi="Franklin Gothic Book"/>
                <w:b/>
              </w:rPr>
              <w:t>Medzinárodná spolupráca pri patentovaní. Vývoj počtu patentových prihlášok do EPO so zahraničným vlastníkom</w:t>
            </w:r>
            <w:bookmarkEnd w:id="2"/>
          </w:p>
        </w:tc>
        <w:tc>
          <w:tcPr>
            <w:tcW w:w="4644" w:type="dxa"/>
            <w:gridSpan w:val="3"/>
          </w:tcPr>
          <w:p w:rsidR="00D5673C" w:rsidRPr="00616DEF" w:rsidRDefault="00D5673C" w:rsidP="001152DF">
            <w:pPr>
              <w:keepNext/>
              <w:keepLines/>
              <w:spacing w:before="480"/>
              <w:outlineLvl w:val="0"/>
              <w:rPr>
                <w:rFonts w:ascii="Franklin Gothic Book" w:hAnsi="Franklin Gothic Book"/>
              </w:rPr>
            </w:pPr>
            <w:bookmarkStart w:id="3" w:name="_Toc387185468"/>
            <w:r w:rsidRPr="00616DEF">
              <w:rPr>
                <w:rFonts w:ascii="Franklin Gothic Book" w:hAnsi="Franklin Gothic Book"/>
                <w:b/>
              </w:rPr>
              <w:t>Medzinárodná spolupráca pri patentovaní. Pôvod zahraničného vlastníka patentu na Slovensku</w:t>
            </w:r>
            <w:bookmarkEnd w:id="3"/>
          </w:p>
        </w:tc>
      </w:tr>
      <w:tr w:rsidR="00D5673C" w:rsidTr="001152DF">
        <w:tblPrEx>
          <w:tblCellMar>
            <w:left w:w="70" w:type="dxa"/>
            <w:right w:w="70" w:type="dxa"/>
          </w:tblCellMar>
        </w:tblPrEx>
        <w:trPr>
          <w:gridAfter w:val="2"/>
          <w:wAfter w:w="264" w:type="dxa"/>
        </w:trPr>
        <w:tc>
          <w:tcPr>
            <w:tcW w:w="4644" w:type="dxa"/>
          </w:tcPr>
          <w:p w:rsidR="00D5673C" w:rsidRDefault="00D5673C" w:rsidP="001152DF">
            <w:r w:rsidRPr="00616DEF">
              <w:rPr>
                <w:noProof/>
              </w:rPr>
              <w:drawing>
                <wp:inline distT="0" distB="0" distL="0" distR="0" wp14:anchorId="43675EA5" wp14:editId="6FA6C6BE">
                  <wp:extent cx="2880000" cy="2880000"/>
                  <wp:effectExtent l="0" t="0" r="15875" b="15875"/>
                  <wp:docPr id="32" name="Graf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644" w:type="dxa"/>
            <w:gridSpan w:val="3"/>
          </w:tcPr>
          <w:p w:rsidR="00D5673C" w:rsidRDefault="00D5673C" w:rsidP="001152DF">
            <w:pPr>
              <w:spacing w:after="100" w:afterAutospacing="1"/>
            </w:pPr>
            <w:r w:rsidRPr="00616DEF">
              <w:rPr>
                <w:noProof/>
              </w:rPr>
              <w:drawing>
                <wp:inline distT="0" distB="0" distL="0" distR="0" wp14:anchorId="6C235FF5" wp14:editId="24251A4A">
                  <wp:extent cx="2880000" cy="2880000"/>
                  <wp:effectExtent l="0" t="0" r="15875" b="15875"/>
                  <wp:docPr id="33"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5673C" w:rsidTr="001152DF">
        <w:trPr>
          <w:gridAfter w:val="2"/>
          <w:wAfter w:w="264" w:type="dxa"/>
        </w:trPr>
        <w:tc>
          <w:tcPr>
            <w:tcW w:w="4644" w:type="dxa"/>
          </w:tcPr>
          <w:p w:rsidR="00D5673C" w:rsidRDefault="00D5673C" w:rsidP="001152DF"/>
        </w:tc>
        <w:tc>
          <w:tcPr>
            <w:tcW w:w="4644" w:type="dxa"/>
            <w:gridSpan w:val="3"/>
          </w:tcPr>
          <w:p w:rsidR="00D5673C" w:rsidRPr="00616DEF" w:rsidRDefault="00D5673C" w:rsidP="001152DF">
            <w:pPr>
              <w:keepNext/>
              <w:keepLines/>
              <w:spacing w:before="120"/>
              <w:jc w:val="right"/>
              <w:outlineLvl w:val="0"/>
              <w:rPr>
                <w:rFonts w:ascii="Franklin Gothic Book" w:hAnsi="Franklin Gothic Book"/>
              </w:rPr>
            </w:pPr>
            <w:bookmarkStart w:id="4" w:name="_Toc387185469"/>
            <w:r w:rsidRPr="00616DEF">
              <w:rPr>
                <w:rFonts w:ascii="Franklin Gothic Book" w:hAnsi="Franklin Gothic Book"/>
                <w:i/>
                <w:sz w:val="18"/>
              </w:rPr>
              <w:t>Zdroj: OECD MSTI</w:t>
            </w:r>
            <w:bookmarkEnd w:id="4"/>
          </w:p>
        </w:tc>
      </w:tr>
    </w:tbl>
    <w:p w:rsidR="00D5673C" w:rsidRDefault="00D5673C" w:rsidP="00D5673C"/>
    <w:p w:rsidR="00D5673C" w:rsidRDefault="00D5673C" w:rsidP="00D5673C"/>
    <w:p w:rsidR="00D5673C" w:rsidRPr="00616DEF" w:rsidRDefault="00D5673C" w:rsidP="00D5673C">
      <w:pPr>
        <w:rPr>
          <w:rFonts w:ascii="Franklin Gothic Book" w:hAnsi="Franklin Gothic Book"/>
          <w:b/>
          <w:szCs w:val="32"/>
        </w:rPr>
      </w:pPr>
      <w:r w:rsidRPr="00616DEF">
        <w:rPr>
          <w:rFonts w:ascii="Franklin Gothic Book" w:hAnsi="Franklin Gothic Book"/>
          <w:b/>
          <w:szCs w:val="32"/>
        </w:rPr>
        <w:lastRenderedPageBreak/>
        <w:t>Účasť v 7. rámcovom programe</w:t>
      </w:r>
    </w:p>
    <w:p w:rsidR="00D5673C" w:rsidRPr="00616DEF" w:rsidRDefault="00D5673C" w:rsidP="00D5673C">
      <w:pPr>
        <w:spacing w:after="0"/>
        <w:rPr>
          <w:rFonts w:ascii="Franklin Gothic Book" w:hAnsi="Franklin Gothic Book"/>
          <w:b/>
          <w:sz w:val="28"/>
          <w:szCs w:val="32"/>
        </w:rPr>
      </w:pPr>
      <w:r w:rsidRPr="00616DEF">
        <w:rPr>
          <w:rFonts w:ascii="Franklin Gothic Book" w:hAnsi="Franklin Gothic Book"/>
          <w:b/>
          <w:sz w:val="20"/>
        </w:rPr>
        <w:t>Príspevok EÚ na obyvateľa a počet účastí v projektoch na milión obyvateľov</w:t>
      </w:r>
    </w:p>
    <w:p w:rsidR="00D5673C" w:rsidRDefault="00D5673C" w:rsidP="00D5673C">
      <w:pPr>
        <w:spacing w:after="0"/>
      </w:pPr>
      <w:r w:rsidRPr="00616DEF">
        <w:rPr>
          <w:noProof/>
          <w:lang w:eastAsia="sk-SK"/>
        </w:rPr>
        <w:drawing>
          <wp:inline distT="0" distB="0" distL="0" distR="0" wp14:anchorId="3E6E4C18" wp14:editId="286A0BF0">
            <wp:extent cx="5760000" cy="2880000"/>
            <wp:effectExtent l="0" t="0" r="12700" b="15875"/>
            <wp:docPr id="34" name="Graf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E-corda</w:t>
      </w:r>
      <w:proofErr w:type="spellEnd"/>
    </w:p>
    <w:p w:rsidR="00D5673C" w:rsidRDefault="00D5673C" w:rsidP="00D5673C">
      <w:pPr>
        <w:spacing w:after="0"/>
        <w:rPr>
          <w:rFonts w:ascii="Franklin Gothic Book" w:hAnsi="Franklin Gothic Book"/>
          <w:b/>
          <w:bCs/>
          <w:sz w:val="20"/>
        </w:rPr>
      </w:pPr>
    </w:p>
    <w:p w:rsidR="00D5673C" w:rsidRDefault="00D5673C" w:rsidP="00D5673C">
      <w:pPr>
        <w:spacing w:after="0"/>
        <w:rPr>
          <w:rFonts w:ascii="Franklin Gothic Book" w:hAnsi="Franklin Gothic Book"/>
          <w:b/>
          <w:bCs/>
          <w:sz w:val="20"/>
        </w:rPr>
      </w:pPr>
    </w:p>
    <w:p w:rsidR="00D5673C" w:rsidRDefault="00D5673C" w:rsidP="00D5673C">
      <w:pPr>
        <w:spacing w:after="0"/>
        <w:rPr>
          <w:rFonts w:ascii="Franklin Gothic Book" w:hAnsi="Franklin Gothic Book"/>
          <w:b/>
          <w:bCs/>
          <w:sz w:val="20"/>
        </w:rPr>
      </w:pPr>
    </w:p>
    <w:p w:rsidR="00D5673C" w:rsidRPr="00616DEF" w:rsidRDefault="00D5673C" w:rsidP="00D5673C">
      <w:pPr>
        <w:spacing w:after="0"/>
        <w:rPr>
          <w:rFonts w:ascii="Franklin Gothic Book" w:hAnsi="Franklin Gothic Book"/>
          <w:b/>
          <w:bCs/>
          <w:sz w:val="20"/>
        </w:rPr>
      </w:pPr>
      <w:r w:rsidRPr="00616DEF">
        <w:rPr>
          <w:rFonts w:ascii="Franklin Gothic Book" w:hAnsi="Franklin Gothic Book"/>
          <w:b/>
          <w:bCs/>
          <w:sz w:val="20"/>
        </w:rPr>
        <w:t>Porovnanie príspevku EÚ podľa tematických oblastí (EU28=1)</w:t>
      </w:r>
    </w:p>
    <w:p w:rsidR="00D5673C" w:rsidRPr="00B069D5" w:rsidRDefault="00D5673C" w:rsidP="00D5673C">
      <w:r w:rsidRPr="00616DEF">
        <w:rPr>
          <w:noProof/>
          <w:lang w:eastAsia="sk-SK"/>
        </w:rPr>
        <w:drawing>
          <wp:inline distT="0" distB="0" distL="0" distR="0" wp14:anchorId="0758BA27" wp14:editId="71EA13FA">
            <wp:extent cx="4314825" cy="4243388"/>
            <wp:effectExtent l="0" t="0" r="0" b="5080"/>
            <wp:docPr id="35" name="Graf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5673C" w:rsidRPr="00616DEF" w:rsidRDefault="00D5673C" w:rsidP="00D5673C">
      <w:pPr>
        <w:jc w:val="right"/>
        <w:rPr>
          <w:rFonts w:ascii="Franklin Gothic Book" w:hAnsi="Franklin Gothic Book"/>
          <w:i/>
          <w:sz w:val="18"/>
        </w:rPr>
      </w:pPr>
      <w:r w:rsidRPr="00616DEF">
        <w:rPr>
          <w:rFonts w:ascii="Franklin Gothic Book" w:hAnsi="Franklin Gothic Book"/>
          <w:i/>
          <w:sz w:val="18"/>
        </w:rPr>
        <w:t xml:space="preserve">Zdroj: </w:t>
      </w:r>
      <w:proofErr w:type="spellStart"/>
      <w:r w:rsidRPr="00616DEF">
        <w:rPr>
          <w:rFonts w:ascii="Franklin Gothic Book" w:hAnsi="Franklin Gothic Book"/>
          <w:i/>
          <w:sz w:val="18"/>
        </w:rPr>
        <w:t>E-corda</w:t>
      </w:r>
      <w:proofErr w:type="spellEnd"/>
    </w:p>
    <w:p w:rsidR="00D5673C" w:rsidRDefault="00D5673C" w:rsidP="00D5673C">
      <w:pPr>
        <w:spacing w:after="0"/>
        <w:rPr>
          <w:b/>
          <w:bCs/>
        </w:rPr>
      </w:pPr>
    </w:p>
    <w:p w:rsidR="00D5673C" w:rsidRDefault="00D5673C" w:rsidP="00D5673C">
      <w:pPr>
        <w:spacing w:after="0"/>
        <w:rPr>
          <w:b/>
          <w:bCs/>
        </w:rPr>
      </w:pPr>
    </w:p>
    <w:p w:rsidR="00D5673C" w:rsidRPr="00616DEF" w:rsidRDefault="00D5673C" w:rsidP="00D5673C">
      <w:pPr>
        <w:spacing w:after="0"/>
        <w:rPr>
          <w:rFonts w:ascii="Franklin Gothic Book" w:hAnsi="Franklin Gothic Book"/>
        </w:rPr>
      </w:pPr>
      <w:r w:rsidRPr="00616DEF">
        <w:rPr>
          <w:rFonts w:ascii="Franklin Gothic Book" w:hAnsi="Franklin Gothic Book"/>
          <w:b/>
          <w:bCs/>
        </w:rPr>
        <w:t>Najúspešnejší slovenskí účastníci v 7.RP</w:t>
      </w:r>
    </w:p>
    <w:tbl>
      <w:tblPr>
        <w:tblW w:w="9428" w:type="dxa"/>
        <w:tblInd w:w="55" w:type="dxa"/>
        <w:tblCellMar>
          <w:left w:w="70" w:type="dxa"/>
          <w:right w:w="70" w:type="dxa"/>
        </w:tblCellMar>
        <w:tblLook w:val="04A0" w:firstRow="1" w:lastRow="0" w:firstColumn="1" w:lastColumn="0" w:noHBand="0" w:noVBand="1"/>
      </w:tblPr>
      <w:tblGrid>
        <w:gridCol w:w="4410"/>
        <w:gridCol w:w="1644"/>
        <w:gridCol w:w="2183"/>
        <w:gridCol w:w="85"/>
        <w:gridCol w:w="948"/>
        <w:gridCol w:w="158"/>
      </w:tblGrid>
      <w:tr w:rsidR="00D5673C" w:rsidRPr="0061427B" w:rsidTr="001152DF">
        <w:trPr>
          <w:trHeight w:val="300"/>
        </w:trPr>
        <w:tc>
          <w:tcPr>
            <w:tcW w:w="4410" w:type="dxa"/>
            <w:tcBorders>
              <w:top w:val="nil"/>
              <w:left w:val="nil"/>
              <w:bottom w:val="single" w:sz="4" w:space="0" w:color="auto"/>
              <w:right w:val="nil"/>
            </w:tcBorders>
            <w:shd w:val="clear" w:color="000000" w:fill="DCE6F1"/>
            <w:noWrap/>
            <w:vAlign w:val="bottom"/>
            <w:hideMark/>
          </w:tcPr>
          <w:p w:rsidR="00D5673C" w:rsidRPr="00616DEF" w:rsidRDefault="00D5673C" w:rsidP="001152DF">
            <w:pPr>
              <w:spacing w:after="0" w:line="240" w:lineRule="auto"/>
              <w:rPr>
                <w:rFonts w:ascii="Franklin Gothic Book" w:hAnsi="Franklin Gothic Book"/>
                <w:b/>
                <w:bCs/>
                <w:sz w:val="20"/>
                <w:lang w:eastAsia="sk-SK"/>
              </w:rPr>
            </w:pPr>
            <w:r w:rsidRPr="00616DEF">
              <w:rPr>
                <w:rFonts w:ascii="Franklin Gothic Book" w:hAnsi="Franklin Gothic Book"/>
                <w:b/>
                <w:bCs/>
                <w:sz w:val="20"/>
                <w:lang w:eastAsia="sk-SK"/>
              </w:rPr>
              <w:t>Účastník</w:t>
            </w:r>
          </w:p>
        </w:tc>
        <w:tc>
          <w:tcPr>
            <w:tcW w:w="1644" w:type="dxa"/>
            <w:tcBorders>
              <w:top w:val="nil"/>
              <w:left w:val="nil"/>
              <w:bottom w:val="single" w:sz="4" w:space="0" w:color="auto"/>
              <w:right w:val="nil"/>
            </w:tcBorders>
            <w:shd w:val="clear" w:color="000000" w:fill="DCE6F1"/>
            <w:noWrap/>
            <w:vAlign w:val="bottom"/>
            <w:hideMark/>
          </w:tcPr>
          <w:p w:rsidR="00D5673C" w:rsidRPr="00616DEF" w:rsidRDefault="00D5673C" w:rsidP="001152DF">
            <w:pPr>
              <w:spacing w:after="0" w:line="240" w:lineRule="auto"/>
              <w:jc w:val="center"/>
              <w:rPr>
                <w:rFonts w:ascii="Franklin Gothic Book" w:hAnsi="Franklin Gothic Book"/>
                <w:b/>
                <w:bCs/>
                <w:sz w:val="20"/>
                <w:lang w:eastAsia="sk-SK"/>
              </w:rPr>
            </w:pPr>
            <w:r w:rsidRPr="00616DEF">
              <w:rPr>
                <w:rFonts w:ascii="Franklin Gothic Book" w:hAnsi="Franklin Gothic Book"/>
                <w:b/>
                <w:bCs/>
                <w:sz w:val="20"/>
                <w:lang w:eastAsia="sk-SK"/>
              </w:rPr>
              <w:t>Príspevok EÚ</w:t>
            </w:r>
          </w:p>
        </w:tc>
        <w:tc>
          <w:tcPr>
            <w:tcW w:w="2183" w:type="dxa"/>
            <w:tcBorders>
              <w:top w:val="nil"/>
              <w:left w:val="nil"/>
              <w:bottom w:val="single" w:sz="4" w:space="0" w:color="auto"/>
              <w:right w:val="nil"/>
            </w:tcBorders>
            <w:shd w:val="clear" w:color="000000" w:fill="DCE6F1"/>
            <w:noWrap/>
            <w:vAlign w:val="bottom"/>
            <w:hideMark/>
          </w:tcPr>
          <w:p w:rsidR="00D5673C" w:rsidRPr="00616DEF" w:rsidRDefault="00D5673C" w:rsidP="001152DF">
            <w:pPr>
              <w:spacing w:after="0" w:line="240" w:lineRule="auto"/>
              <w:jc w:val="center"/>
              <w:rPr>
                <w:rFonts w:ascii="Franklin Gothic Book" w:hAnsi="Franklin Gothic Book"/>
                <w:b/>
                <w:bCs/>
                <w:sz w:val="20"/>
                <w:lang w:eastAsia="sk-SK"/>
              </w:rPr>
            </w:pPr>
            <w:r w:rsidRPr="00616DEF">
              <w:rPr>
                <w:rFonts w:ascii="Franklin Gothic Book" w:hAnsi="Franklin Gothic Book"/>
                <w:b/>
                <w:bCs/>
                <w:sz w:val="20"/>
                <w:lang w:eastAsia="sk-SK"/>
              </w:rPr>
              <w:t>Celkové náklady</w:t>
            </w:r>
          </w:p>
        </w:tc>
        <w:tc>
          <w:tcPr>
            <w:tcW w:w="1191" w:type="dxa"/>
            <w:gridSpan w:val="3"/>
            <w:tcBorders>
              <w:top w:val="nil"/>
              <w:left w:val="nil"/>
              <w:bottom w:val="single" w:sz="4" w:space="0" w:color="auto"/>
              <w:right w:val="nil"/>
            </w:tcBorders>
            <w:shd w:val="clear" w:color="000000" w:fill="DCE6F1"/>
            <w:noWrap/>
            <w:vAlign w:val="bottom"/>
            <w:hideMark/>
          </w:tcPr>
          <w:p w:rsidR="00D5673C" w:rsidRPr="00616DEF" w:rsidRDefault="00D5673C" w:rsidP="001152DF">
            <w:pPr>
              <w:spacing w:after="0" w:line="240" w:lineRule="auto"/>
              <w:jc w:val="center"/>
              <w:rPr>
                <w:rFonts w:ascii="Franklin Gothic Book" w:hAnsi="Franklin Gothic Book"/>
                <w:b/>
                <w:bCs/>
                <w:sz w:val="20"/>
                <w:lang w:eastAsia="sk-SK"/>
              </w:rPr>
            </w:pPr>
            <w:r w:rsidRPr="00616DEF">
              <w:rPr>
                <w:rFonts w:ascii="Franklin Gothic Book" w:hAnsi="Franklin Gothic Book"/>
                <w:b/>
                <w:bCs/>
                <w:sz w:val="20"/>
                <w:lang w:eastAsia="sk-SK"/>
              </w:rPr>
              <w:t>Počet účastí</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Slovenská akadémia vied (SAV)</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13 423 953</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17 854 223</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84</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Technická univerzita v Košiciach</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4 233 215</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5 823 281</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18</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Univerzita Komenského v Bratislave</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4 112 097</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4 816 168</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26</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Univerzita Pavla Jozefa Šafárika v Košiciach</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3 513 913</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4 093 632</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8</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proofErr w:type="spellStart"/>
            <w:r w:rsidRPr="00616DEF">
              <w:rPr>
                <w:rFonts w:ascii="Franklin Gothic Book" w:hAnsi="Franklin Gothic Book"/>
                <w:lang w:eastAsia="sk-SK"/>
              </w:rPr>
              <w:t>Ardaco</w:t>
            </w:r>
            <w:proofErr w:type="spellEnd"/>
            <w:r w:rsidRPr="00616DEF">
              <w:rPr>
                <w:rFonts w:ascii="Franklin Gothic Book" w:hAnsi="Franklin Gothic Book"/>
                <w:lang w:eastAsia="sk-SK"/>
              </w:rPr>
              <w:t>, a.s.</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3 157 356</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3 995 679</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6</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Slovenská technická univerzita v Bratislave</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2 600 538</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4 230 646</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25</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Slovenský zdravotnícka univerzita v Bratislave</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2 311 891</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3 100 358</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11</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Ústav informatiky  SAV</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2 070 636</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3 731 863</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7</w:t>
            </w:r>
          </w:p>
        </w:tc>
      </w:tr>
      <w:tr w:rsidR="00D5673C" w:rsidRPr="0061427B" w:rsidTr="001152DF">
        <w:trPr>
          <w:gridAfter w:val="1"/>
          <w:wAfter w:w="158" w:type="dxa"/>
          <w:trHeight w:val="300"/>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Chemický ústav SAV</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1 852 610</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1 941 078</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4</w:t>
            </w:r>
          </w:p>
        </w:tc>
      </w:tr>
      <w:tr w:rsidR="00D5673C" w:rsidRPr="0061427B" w:rsidTr="001152DF">
        <w:trPr>
          <w:gridAfter w:val="1"/>
          <w:wAfter w:w="158" w:type="dxa"/>
          <w:trHeight w:val="144"/>
        </w:trPr>
        <w:tc>
          <w:tcPr>
            <w:tcW w:w="4410"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Virologický ústav  SAV</w:t>
            </w:r>
          </w:p>
        </w:tc>
        <w:tc>
          <w:tcPr>
            <w:tcW w:w="1644"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1 685 383</w:t>
            </w:r>
          </w:p>
        </w:tc>
        <w:tc>
          <w:tcPr>
            <w:tcW w:w="2268" w:type="dxa"/>
            <w:gridSpan w:val="2"/>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2 468 724</w:t>
            </w:r>
          </w:p>
        </w:tc>
        <w:tc>
          <w:tcPr>
            <w:tcW w:w="948" w:type="dxa"/>
            <w:tcBorders>
              <w:top w:val="nil"/>
              <w:left w:val="nil"/>
              <w:bottom w:val="nil"/>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6</w:t>
            </w:r>
          </w:p>
        </w:tc>
      </w:tr>
      <w:tr w:rsidR="00D5673C" w:rsidRPr="0061427B" w:rsidTr="001152DF">
        <w:trPr>
          <w:gridAfter w:val="1"/>
          <w:wAfter w:w="158" w:type="dxa"/>
          <w:trHeight w:val="300"/>
        </w:trPr>
        <w:tc>
          <w:tcPr>
            <w:tcW w:w="4410" w:type="dxa"/>
            <w:tcBorders>
              <w:top w:val="nil"/>
              <w:left w:val="nil"/>
              <w:bottom w:val="single" w:sz="4" w:space="0" w:color="auto"/>
              <w:right w:val="nil"/>
            </w:tcBorders>
            <w:shd w:val="clear" w:color="auto" w:fill="auto"/>
            <w:noWrap/>
            <w:vAlign w:val="bottom"/>
            <w:hideMark/>
          </w:tcPr>
          <w:p w:rsidR="00D5673C" w:rsidRPr="00616DEF" w:rsidRDefault="00D5673C" w:rsidP="001152DF">
            <w:pPr>
              <w:spacing w:after="0" w:line="240" w:lineRule="auto"/>
              <w:rPr>
                <w:rFonts w:ascii="Franklin Gothic Book" w:hAnsi="Franklin Gothic Book"/>
                <w:lang w:eastAsia="sk-SK"/>
              </w:rPr>
            </w:pPr>
            <w:r w:rsidRPr="00616DEF">
              <w:rPr>
                <w:rFonts w:ascii="Franklin Gothic Book" w:hAnsi="Franklin Gothic Book"/>
                <w:lang w:eastAsia="sk-SK"/>
              </w:rPr>
              <w:t>Žilinská univerzita v Žiline</w:t>
            </w:r>
          </w:p>
        </w:tc>
        <w:tc>
          <w:tcPr>
            <w:tcW w:w="1644" w:type="dxa"/>
            <w:tcBorders>
              <w:top w:val="nil"/>
              <w:left w:val="nil"/>
              <w:bottom w:val="single" w:sz="4" w:space="0" w:color="auto"/>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1 493 496</w:t>
            </w:r>
          </w:p>
        </w:tc>
        <w:tc>
          <w:tcPr>
            <w:tcW w:w="2268" w:type="dxa"/>
            <w:gridSpan w:val="2"/>
            <w:tcBorders>
              <w:top w:val="nil"/>
              <w:left w:val="nil"/>
              <w:bottom w:val="single" w:sz="4" w:space="0" w:color="auto"/>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1 815 265</w:t>
            </w:r>
          </w:p>
        </w:tc>
        <w:tc>
          <w:tcPr>
            <w:tcW w:w="948" w:type="dxa"/>
            <w:tcBorders>
              <w:top w:val="nil"/>
              <w:left w:val="nil"/>
              <w:bottom w:val="single" w:sz="4" w:space="0" w:color="auto"/>
              <w:right w:val="nil"/>
            </w:tcBorders>
            <w:shd w:val="clear" w:color="auto" w:fill="auto"/>
            <w:noWrap/>
            <w:vAlign w:val="bottom"/>
            <w:hideMark/>
          </w:tcPr>
          <w:p w:rsidR="00D5673C" w:rsidRPr="00616DEF" w:rsidRDefault="00D5673C" w:rsidP="001152DF">
            <w:pPr>
              <w:spacing w:after="0" w:line="240" w:lineRule="auto"/>
              <w:jc w:val="center"/>
              <w:rPr>
                <w:rFonts w:ascii="Franklin Gothic Book" w:hAnsi="Franklin Gothic Book"/>
                <w:lang w:eastAsia="sk-SK"/>
              </w:rPr>
            </w:pPr>
            <w:r w:rsidRPr="00616DEF">
              <w:rPr>
                <w:rFonts w:ascii="Franklin Gothic Book" w:hAnsi="Franklin Gothic Book"/>
                <w:lang w:eastAsia="sk-SK"/>
              </w:rPr>
              <w:t>20</w:t>
            </w:r>
          </w:p>
        </w:tc>
      </w:tr>
    </w:tbl>
    <w:p w:rsidR="00D5673C" w:rsidRDefault="00D5673C" w:rsidP="00D5673C">
      <w:pPr>
        <w:spacing w:after="0"/>
        <w:jc w:val="both"/>
        <w:rPr>
          <w:rFonts w:ascii="Franklin Gothic Book" w:hAnsi="Franklin Gothic Book" w:cs="Arial"/>
          <w:b/>
          <w:color w:val="990000"/>
          <w:sz w:val="24"/>
          <w:szCs w:val="24"/>
          <w:lang w:eastAsia="cs-CZ"/>
        </w:rPr>
      </w:pPr>
    </w:p>
    <w:p w:rsidR="00D5673C" w:rsidRDefault="00D5673C" w:rsidP="00D5673C">
      <w:pPr>
        <w:spacing w:after="0" w:line="240" w:lineRule="auto"/>
      </w:pPr>
      <w:r>
        <w:rPr>
          <w:rFonts w:ascii="Franklin Gothic Book" w:hAnsi="Franklin Gothic Book"/>
          <w:b/>
        </w:rPr>
        <w:t>Štatistiky vývoja MSP</w:t>
      </w:r>
    </w:p>
    <w:p w:rsidR="00D5673C" w:rsidRDefault="00D5673C" w:rsidP="00D5673C">
      <w:pPr>
        <w:spacing w:after="0" w:line="240" w:lineRule="auto"/>
      </w:pPr>
    </w:p>
    <w:p w:rsidR="00D5673C" w:rsidRDefault="00D5673C" w:rsidP="00D5673C">
      <w:r>
        <w:rPr>
          <w:noProof/>
          <w:lang w:eastAsia="sk-SK"/>
        </w:rPr>
        <w:drawing>
          <wp:inline distT="0" distB="0" distL="0" distR="0">
            <wp:extent cx="5429250" cy="2886075"/>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0" cy="288607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 w:rsidR="00D5673C" w:rsidRDefault="00D5673C" w:rsidP="00D5673C">
      <w:r>
        <w:rPr>
          <w:noProof/>
          <w:lang w:eastAsia="sk-SK"/>
        </w:rPr>
        <w:lastRenderedPageBreak/>
        <w:drawing>
          <wp:inline distT="0" distB="0" distL="0" distR="0">
            <wp:extent cx="5429250" cy="2886075"/>
            <wp:effectExtent l="0" t="0" r="0" b="0"/>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9250" cy="288607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 w:rsidR="00D5673C" w:rsidRDefault="00D5673C" w:rsidP="00D5673C">
      <w:r>
        <w:rPr>
          <w:noProof/>
          <w:lang w:eastAsia="sk-SK"/>
        </w:rPr>
        <w:drawing>
          <wp:inline distT="0" distB="0" distL="0" distR="0">
            <wp:extent cx="5372100" cy="2743200"/>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72100" cy="2743200"/>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 w:rsidR="00D5673C" w:rsidRDefault="00D5673C" w:rsidP="00D5673C">
      <w:r>
        <w:rPr>
          <w:noProof/>
          <w:lang w:eastAsia="sk-SK"/>
        </w:rPr>
        <w:lastRenderedPageBreak/>
        <w:drawing>
          <wp:inline distT="0" distB="0" distL="0" distR="0">
            <wp:extent cx="5381625" cy="275272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81625" cy="275272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Pr>
        <w:spacing w:line="200" w:lineRule="exact"/>
      </w:pPr>
    </w:p>
    <w:p w:rsidR="00D5673C" w:rsidRDefault="00D5673C" w:rsidP="00D5673C">
      <w:r>
        <w:rPr>
          <w:noProof/>
          <w:lang w:eastAsia="sk-SK"/>
        </w:rPr>
        <w:drawing>
          <wp:inline distT="0" distB="0" distL="0" distR="0">
            <wp:extent cx="5391150" cy="26574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91150" cy="265747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 w:rsidR="00D5673C" w:rsidRDefault="00D5673C" w:rsidP="00D5673C">
      <w:r>
        <w:rPr>
          <w:noProof/>
          <w:lang w:eastAsia="sk-SK"/>
        </w:rPr>
        <w:lastRenderedPageBreak/>
        <w:drawing>
          <wp:inline distT="0" distB="0" distL="0" distR="0">
            <wp:extent cx="5362575" cy="2647950"/>
            <wp:effectExtent l="0" t="0" r="0" b="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62575" cy="2647950"/>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ŠÚSR, spracované SBA</w:t>
      </w:r>
    </w:p>
    <w:p w:rsidR="00D5673C" w:rsidRDefault="00D5673C" w:rsidP="00D5673C"/>
    <w:p w:rsidR="00D5673C" w:rsidRDefault="00D5673C" w:rsidP="00D5673C">
      <w:r>
        <w:rPr>
          <w:noProof/>
          <w:lang w:eastAsia="sk-SK"/>
        </w:rPr>
        <w:drawing>
          <wp:inline distT="0" distB="0" distL="0" distR="0">
            <wp:extent cx="5381625" cy="275272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81625" cy="275272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Datacentrum, spracované SBA</w:t>
      </w:r>
    </w:p>
    <w:p w:rsidR="00D5673C" w:rsidRDefault="00D5673C" w:rsidP="00D5673C"/>
    <w:p w:rsidR="00D5673C" w:rsidRDefault="00D5673C" w:rsidP="00D5673C">
      <w:r>
        <w:rPr>
          <w:noProof/>
          <w:lang w:eastAsia="sk-SK"/>
        </w:rPr>
        <w:lastRenderedPageBreak/>
        <w:drawing>
          <wp:inline distT="0" distB="0" distL="0" distR="0">
            <wp:extent cx="5372100" cy="279082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72100" cy="279082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Datacentrum, spracované SBA</w:t>
      </w:r>
    </w:p>
    <w:p w:rsidR="00D5673C" w:rsidRDefault="00D5673C" w:rsidP="00D5673C"/>
    <w:p w:rsidR="00D5673C" w:rsidRDefault="00D5673C" w:rsidP="00D5673C">
      <w:r>
        <w:rPr>
          <w:noProof/>
          <w:lang w:eastAsia="sk-SK"/>
        </w:rPr>
        <w:drawing>
          <wp:inline distT="0" distB="0" distL="0" distR="0">
            <wp:extent cx="5372100" cy="271462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72100" cy="271462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Zdroj: Datacentrum, spracované SBA</w:t>
      </w:r>
    </w:p>
    <w:p w:rsidR="00D5673C" w:rsidRDefault="00D5673C" w:rsidP="00D5673C"/>
    <w:p w:rsidR="00D5673C" w:rsidRDefault="00D5673C" w:rsidP="00D5673C">
      <w:pPr>
        <w:jc w:val="center"/>
      </w:pPr>
      <w:r>
        <w:rPr>
          <w:noProof/>
          <w:lang w:eastAsia="sk-SK"/>
        </w:rPr>
        <w:lastRenderedPageBreak/>
        <w:drawing>
          <wp:inline distT="0" distB="0" distL="0" distR="0">
            <wp:extent cx="5715000" cy="291465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2914650"/>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 xml:space="preserve">Zdroj: </w:t>
      </w:r>
      <w:proofErr w:type="spellStart"/>
      <w:r>
        <w:rPr>
          <w:rFonts w:ascii="Franklin Gothic Book" w:hAnsi="Franklin Gothic Book"/>
          <w:i/>
          <w:sz w:val="18"/>
        </w:rPr>
        <w:t>Eurostat</w:t>
      </w:r>
      <w:proofErr w:type="spellEnd"/>
      <w:r>
        <w:rPr>
          <w:rFonts w:ascii="Franklin Gothic Book" w:hAnsi="Franklin Gothic Book"/>
          <w:i/>
          <w:sz w:val="18"/>
        </w:rPr>
        <w:t>, spracované SBA</w:t>
      </w:r>
    </w:p>
    <w:p w:rsidR="00D5673C" w:rsidRDefault="00D5673C" w:rsidP="00D5673C"/>
    <w:p w:rsidR="00D5673C" w:rsidRDefault="00D5673C" w:rsidP="00D5673C">
      <w:pPr>
        <w:jc w:val="center"/>
      </w:pPr>
      <w:r>
        <w:rPr>
          <w:noProof/>
          <w:lang w:eastAsia="sk-SK"/>
        </w:rPr>
        <w:drawing>
          <wp:inline distT="0" distB="0" distL="0" distR="0">
            <wp:extent cx="5724525" cy="2924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24525" cy="292417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 xml:space="preserve">Zdroj: </w:t>
      </w:r>
      <w:proofErr w:type="spellStart"/>
      <w:r>
        <w:rPr>
          <w:rFonts w:ascii="Franklin Gothic Book" w:hAnsi="Franklin Gothic Book"/>
          <w:i/>
          <w:sz w:val="18"/>
        </w:rPr>
        <w:t>Eurostat</w:t>
      </w:r>
      <w:proofErr w:type="spellEnd"/>
      <w:r>
        <w:rPr>
          <w:rFonts w:ascii="Franklin Gothic Book" w:hAnsi="Franklin Gothic Book"/>
          <w:i/>
          <w:sz w:val="18"/>
        </w:rPr>
        <w:t>, spracované SBA</w:t>
      </w:r>
    </w:p>
    <w:p w:rsidR="00D5673C" w:rsidRDefault="00D5673C" w:rsidP="00D5673C"/>
    <w:p w:rsidR="00D5673C" w:rsidRDefault="00D5673C" w:rsidP="00D5673C">
      <w:r>
        <w:rPr>
          <w:noProof/>
          <w:lang w:eastAsia="sk-SK"/>
        </w:rPr>
        <w:lastRenderedPageBreak/>
        <w:drawing>
          <wp:inline distT="0" distB="0" distL="0" distR="0">
            <wp:extent cx="5372100" cy="52673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72100" cy="5267325"/>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 xml:space="preserve">Zdroj: </w:t>
      </w:r>
      <w:proofErr w:type="spellStart"/>
      <w:r>
        <w:rPr>
          <w:rFonts w:ascii="Franklin Gothic Book" w:hAnsi="Franklin Gothic Book"/>
          <w:i/>
          <w:sz w:val="18"/>
        </w:rPr>
        <w:t>Eurostat</w:t>
      </w:r>
      <w:proofErr w:type="spellEnd"/>
      <w:r>
        <w:rPr>
          <w:rFonts w:ascii="Franklin Gothic Book" w:hAnsi="Franklin Gothic Book"/>
          <w:i/>
          <w:sz w:val="18"/>
        </w:rPr>
        <w:t>, spracované SBA</w:t>
      </w:r>
    </w:p>
    <w:p w:rsidR="00D5673C" w:rsidRDefault="00D5673C" w:rsidP="00D5673C"/>
    <w:p w:rsidR="00D5673C" w:rsidRDefault="00D5673C" w:rsidP="00D5673C">
      <w:r>
        <w:rPr>
          <w:noProof/>
          <w:lang w:eastAsia="sk-SK"/>
        </w:rPr>
        <w:lastRenderedPageBreak/>
        <w:drawing>
          <wp:inline distT="0" distB="0" distL="0" distR="0">
            <wp:extent cx="5381625" cy="32956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81625" cy="3295650"/>
                    </a:xfrm>
                    <a:prstGeom prst="rect">
                      <a:avLst/>
                    </a:prstGeom>
                    <a:noFill/>
                    <a:ln>
                      <a:noFill/>
                    </a:ln>
                  </pic:spPr>
                </pic:pic>
              </a:graphicData>
            </a:graphic>
          </wp:inline>
        </w:drawing>
      </w:r>
    </w:p>
    <w:p w:rsidR="00D5673C" w:rsidRDefault="00D5673C" w:rsidP="00D5673C">
      <w:pPr>
        <w:jc w:val="right"/>
      </w:pPr>
      <w:r>
        <w:rPr>
          <w:rFonts w:ascii="Franklin Gothic Book" w:hAnsi="Franklin Gothic Book"/>
          <w:i/>
          <w:sz w:val="18"/>
        </w:rPr>
        <w:t xml:space="preserve">Zdroj: </w:t>
      </w:r>
      <w:proofErr w:type="spellStart"/>
      <w:r>
        <w:rPr>
          <w:rFonts w:ascii="Franklin Gothic Book" w:hAnsi="Franklin Gothic Book"/>
          <w:i/>
          <w:sz w:val="18"/>
        </w:rPr>
        <w:t>Eurostat</w:t>
      </w:r>
      <w:proofErr w:type="spellEnd"/>
      <w:r>
        <w:rPr>
          <w:rFonts w:ascii="Franklin Gothic Book" w:hAnsi="Franklin Gothic Book"/>
          <w:i/>
          <w:sz w:val="18"/>
        </w:rPr>
        <w:t>, spracované SBA</w:t>
      </w:r>
    </w:p>
    <w:p w:rsidR="00D5673C" w:rsidRDefault="00D5673C" w:rsidP="00D5673C">
      <w:pPr>
        <w:spacing w:after="0" w:line="240" w:lineRule="auto"/>
      </w:pPr>
    </w:p>
    <w:p w:rsidR="00D5673C" w:rsidRDefault="00D5673C" w:rsidP="00D5673C">
      <w:pPr>
        <w:rPr>
          <w:i/>
        </w:rPr>
      </w:pPr>
      <w:r>
        <w:rPr>
          <w:i/>
        </w:rPr>
        <w:t>Profil SBA na Slovensku - 2013</w:t>
      </w:r>
    </w:p>
    <w:p w:rsidR="00D5673C" w:rsidRDefault="00D5673C" w:rsidP="00D5673C">
      <w:r>
        <w:rPr>
          <w:noProof/>
          <w:lang w:eastAsia="sk-SK"/>
        </w:rPr>
        <mc:AlternateContent>
          <mc:Choice Requires="wpg">
            <w:drawing>
              <wp:inline distT="0" distB="0" distL="0" distR="0">
                <wp:extent cx="5399405" cy="4285615"/>
                <wp:effectExtent l="0" t="0" r="10795" b="0"/>
                <wp:docPr id="114" name="Skupina 114"/>
                <wp:cNvGraphicFramePr/>
                <a:graphic xmlns:a="http://schemas.openxmlformats.org/drawingml/2006/main">
                  <a:graphicData uri="http://schemas.microsoft.com/office/word/2010/wordprocessingGroup">
                    <wpg:wgp>
                      <wpg:cNvGrpSpPr/>
                      <wpg:grpSpPr>
                        <a:xfrm>
                          <a:off x="0" y="0"/>
                          <a:ext cx="5399405" cy="4123690"/>
                          <a:chOff x="0" y="0"/>
                          <a:chExt cx="5399405" cy="4123690"/>
                        </a:xfrm>
                      </wpg:grpSpPr>
                      <wps:wsp>
                        <wps:cNvPr id="44" name="Obdĺžnik 44"/>
                        <wps:cNvSpPr/>
                        <wps:spPr>
                          <a:xfrm>
                            <a:off x="0" y="0"/>
                            <a:ext cx="5399405" cy="4123690"/>
                          </a:xfrm>
                          <a:prstGeom prst="rect">
                            <a:avLst/>
                          </a:prstGeom>
                          <a:noFill/>
                          <a:ln w="9525" cap="flat" cmpd="sng" algn="ctr">
                            <a:solidFill>
                              <a:srgbClr val="000000"/>
                            </a:solidFill>
                            <a:prstDash val="solid"/>
                            <a:miter lim="800000"/>
                            <a:headEnd type="none" w="med" len="med"/>
                            <a:tailEnd type="none" w="med" len="med"/>
                          </a:ln>
                        </wps:spPr>
                        <wps:bodyPr/>
                      </wps:wsp>
                      <wps:wsp>
                        <wps:cNvPr id="45" name="Rectangle 22"/>
                        <wps:cNvSpPr>
                          <a:spLocks noChangeArrowheads="1"/>
                        </wps:cNvSpPr>
                        <wps:spPr bwMode="auto">
                          <a:xfrm>
                            <a:off x="0" y="0"/>
                            <a:ext cx="222250" cy="4031615"/>
                          </a:xfrm>
                          <a:prstGeom prst="rect">
                            <a:avLst/>
                          </a:prstGeom>
                          <a:solidFill>
                            <a:srgbClr val="FFFFFF"/>
                          </a:solidFill>
                          <a:ln w="9525">
                            <a:solidFill>
                              <a:srgbClr val="FFFFFF"/>
                            </a:solidFill>
                            <a:miter lim="800000"/>
                            <a:headEnd/>
                            <a:tailEnd/>
                          </a:ln>
                        </wps:spPr>
                        <wps:txbx>
                          <w:txbxContent>
                            <w:p w:rsidR="00D5673C" w:rsidRDefault="00D5673C" w:rsidP="00D5673C">
                              <w:pPr>
                                <w:autoSpaceDE w:val="0"/>
                                <w:autoSpaceDN w:val="0"/>
                                <w:adjustRightInd w:val="0"/>
                                <w:rPr>
                                  <w:rFonts w:ascii="Tahoma" w:hAnsi="Tahoma" w:cs="Tahoma"/>
                                  <w:color w:val="FFFFFF"/>
                                  <w:sz w:val="25"/>
                                  <w:szCs w:val="36"/>
                                </w:rPr>
                              </w:pPr>
                            </w:p>
                          </w:txbxContent>
                        </wps:txbx>
                        <wps:bodyPr rot="0" vert="horz" wrap="none" lIns="63094" tIns="31547" rIns="63094" bIns="31547" anchor="ctr" anchorCtr="0">
                          <a:noAutofit/>
                        </wps:bodyPr>
                      </wps:wsp>
                      <wps:wsp>
                        <wps:cNvPr id="46" name="Obdĺžnik 46"/>
                        <wps:cNvSpPr>
                          <a:spLocks noChangeArrowheads="1"/>
                        </wps:cNvSpPr>
                        <wps:spPr bwMode="auto">
                          <a:xfrm>
                            <a:off x="3276600" y="3667125"/>
                            <a:ext cx="2122805" cy="364490"/>
                          </a:xfrm>
                          <a:prstGeom prst="rect">
                            <a:avLst/>
                          </a:prstGeom>
                          <a:solidFill>
                            <a:srgbClr val="FFFFFF"/>
                          </a:solidFill>
                          <a:ln w="25400">
                            <a:solidFill>
                              <a:srgbClr val="006F6F"/>
                            </a:solidFill>
                            <a:miter lim="800000"/>
                            <a:headEnd/>
                            <a:tailEnd/>
                          </a:ln>
                        </wps:spPr>
                        <wps:txbx>
                          <w:txbxContent>
                            <w:p w:rsidR="00D5673C" w:rsidRDefault="00D5673C" w:rsidP="00D5673C">
                              <w:pPr>
                                <w:autoSpaceDE w:val="0"/>
                                <w:autoSpaceDN w:val="0"/>
                                <w:adjustRightInd w:val="0"/>
                                <w:jc w:val="center"/>
                                <w:rPr>
                                  <w:rFonts w:ascii="Tahoma" w:hAnsi="Tahoma" w:cs="Tahoma"/>
                                  <w:color w:val="FFFFFF"/>
                                  <w:sz w:val="25"/>
                                  <w:szCs w:val="36"/>
                                </w:rPr>
                              </w:pPr>
                            </w:p>
                          </w:txbxContent>
                        </wps:txbx>
                        <wps:bodyPr rot="0" vert="horz" wrap="square" lIns="63094" tIns="31547" rIns="63094" bIns="31547" anchor="ctr" anchorCtr="0">
                          <a:noAutofit/>
                        </wps:bodyPr>
                      </wps:wsp>
                      <wps:wsp>
                        <wps:cNvPr id="47" name="Text Box 8"/>
                        <wps:cNvSpPr txBox="1">
                          <a:spLocks noChangeArrowheads="1"/>
                        </wps:cNvSpPr>
                        <wps:spPr bwMode="auto">
                          <a:xfrm>
                            <a:off x="3657600" y="3626485"/>
                            <a:ext cx="174180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rPr>
                                  <w:rFonts w:ascii="Tahoma" w:hAnsi="Tahoma" w:cs="Tahoma"/>
                                  <w:sz w:val="17"/>
                                </w:rPr>
                              </w:pPr>
                              <w:r>
                                <w:rPr>
                                  <w:rFonts w:ascii="Tahoma" w:hAnsi="Tahoma" w:cs="Tahoma"/>
                                  <w:sz w:val="17"/>
                                </w:rPr>
                                <w:t>priemer EÚ</w:t>
                              </w:r>
                              <w:r>
                                <w:rPr>
                                  <w:rFonts w:ascii="Tahoma" w:hAnsi="Tahoma" w:cs="Tahoma"/>
                                  <w:sz w:val="17"/>
                                  <w:lang w:val="en-US"/>
                                </w:rPr>
                                <w:t xml:space="preserve"> +/-</w:t>
                              </w:r>
                              <w:r>
                                <w:rPr>
                                  <w:rFonts w:ascii="Tahoma" w:hAnsi="Tahoma" w:cs="Tahoma"/>
                                  <w:sz w:val="17"/>
                                </w:rPr>
                                <w:t xml:space="preserve"> štandardné </w:t>
                              </w:r>
                              <w:proofErr w:type="spellStart"/>
                              <w:r>
                                <w:rPr>
                                  <w:rFonts w:ascii="Tahoma" w:hAnsi="Tahoma" w:cs="Tahoma"/>
                                  <w:sz w:val="17"/>
                                </w:rPr>
                                <w:t>odch</w:t>
                              </w:r>
                              <w:proofErr w:type="spellEnd"/>
                              <w:r>
                                <w:rPr>
                                  <w:rFonts w:ascii="Tahoma" w:hAnsi="Tahoma" w:cs="Tahoma"/>
                                  <w:sz w:val="17"/>
                                </w:rPr>
                                <w:t>.</w:t>
                              </w:r>
                            </w:p>
                          </w:txbxContent>
                        </wps:txbx>
                        <wps:bodyPr rot="0" vert="horz" wrap="square" lIns="0" tIns="31547" rIns="63094" bIns="31547" anchor="t" anchorCtr="0">
                          <a:spAutoFit/>
                        </wps:bodyPr>
                      </wps:wsp>
                      <wps:wsp>
                        <wps:cNvPr id="48" name="Rectangle 9"/>
                        <wps:cNvSpPr>
                          <a:spLocks noChangeAspect="1" noChangeArrowheads="1"/>
                        </wps:cNvSpPr>
                        <wps:spPr bwMode="auto">
                          <a:xfrm>
                            <a:off x="3352800" y="3707765"/>
                            <a:ext cx="252095" cy="106680"/>
                          </a:xfrm>
                          <a:prstGeom prst="rect">
                            <a:avLst/>
                          </a:prstGeom>
                          <a:solidFill>
                            <a:srgbClr val="C0C0C0"/>
                          </a:solidFill>
                          <a:ln w="9525">
                            <a:solidFill>
                              <a:srgbClr val="003366"/>
                            </a:solidFill>
                            <a:miter lim="800000"/>
                            <a:headEnd/>
                            <a:tailEnd/>
                          </a:ln>
                        </wps:spPr>
                        <wps:txbx>
                          <w:txbxContent>
                            <w:p w:rsidR="00D5673C" w:rsidRDefault="00D5673C" w:rsidP="00D5673C">
                              <w:pPr>
                                <w:autoSpaceDE w:val="0"/>
                                <w:autoSpaceDN w:val="0"/>
                                <w:adjustRightInd w:val="0"/>
                                <w:rPr>
                                  <w:rFonts w:ascii="Tahoma" w:hAnsi="Tahoma" w:cs="Tahoma"/>
                                  <w:color w:val="FFFFFF"/>
                                  <w:sz w:val="25"/>
                                  <w:szCs w:val="36"/>
                                </w:rPr>
                              </w:pPr>
                            </w:p>
                          </w:txbxContent>
                        </wps:txbx>
                        <wps:bodyPr rot="0" vert="horz" wrap="square" lIns="63094" tIns="31547" rIns="63094" bIns="31547" anchor="ctr" anchorCtr="0">
                          <a:noAutofit/>
                        </wps:bodyPr>
                      </wps:wsp>
                      <wps:wsp>
                        <wps:cNvPr id="49" name="Rectangle 7"/>
                        <wps:cNvSpPr>
                          <a:spLocks noChangeArrowheads="1"/>
                        </wps:cNvSpPr>
                        <wps:spPr bwMode="auto">
                          <a:xfrm>
                            <a:off x="3362325" y="3876675"/>
                            <a:ext cx="228600" cy="90170"/>
                          </a:xfrm>
                          <a:prstGeom prst="rect">
                            <a:avLst/>
                          </a:prstGeom>
                          <a:solidFill>
                            <a:srgbClr val="FFFFFF"/>
                          </a:solidFill>
                          <a:ln w="31750">
                            <a:solidFill>
                              <a:srgbClr val="FF0000"/>
                            </a:solidFill>
                            <a:miter lim="800000"/>
                            <a:headEnd/>
                            <a:tailEnd/>
                          </a:ln>
                        </wps:spPr>
                        <wps:txbx>
                          <w:txbxContent>
                            <w:p w:rsidR="00D5673C" w:rsidRDefault="00D5673C" w:rsidP="00D5673C">
                              <w:pPr>
                                <w:rPr>
                                  <w:sz w:val="4"/>
                                  <w:szCs w:val="4"/>
                                </w:rPr>
                              </w:pPr>
                            </w:p>
                          </w:txbxContent>
                        </wps:txbx>
                        <wps:bodyPr rot="0" vert="horz" wrap="square" lIns="63094" tIns="31547" rIns="63094" bIns="31547" anchor="ctr" anchorCtr="0">
                          <a:noAutofit/>
                        </wps:bodyPr>
                      </wps:wsp>
                      <wps:wsp>
                        <wps:cNvPr id="50" name="Text Box 6"/>
                        <wps:cNvSpPr txBox="1">
                          <a:spLocks noChangeArrowheads="1"/>
                        </wps:cNvSpPr>
                        <wps:spPr bwMode="auto">
                          <a:xfrm>
                            <a:off x="3657600" y="3808730"/>
                            <a:ext cx="124142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rPr>
                                  <w:rFonts w:ascii="Tahoma" w:hAnsi="Tahoma" w:cs="Tahoma"/>
                                  <w:sz w:val="17"/>
                                </w:rPr>
                              </w:pPr>
                              <w:r>
                                <w:rPr>
                                  <w:rFonts w:ascii="Tahoma" w:hAnsi="Tahoma" w:cs="Tahoma"/>
                                  <w:sz w:val="17"/>
                                </w:rPr>
                                <w:t>Slovensko</w:t>
                              </w:r>
                            </w:p>
                          </w:txbxContent>
                        </wps:txbx>
                        <wps:bodyPr rot="0" vert="horz" wrap="square" lIns="0" tIns="31547" rIns="63094" bIns="31547" anchor="t" anchorCtr="0">
                          <a:spAutoFit/>
                        </wps:bodyPr>
                      </wps:wsp>
                      <wps:wsp>
                        <wps:cNvPr id="51" name="Text Box 11"/>
                        <wps:cNvSpPr txBox="1">
                          <a:spLocks noChangeArrowheads="1"/>
                        </wps:cNvSpPr>
                        <wps:spPr bwMode="auto">
                          <a:xfrm>
                            <a:off x="2246630" y="0"/>
                            <a:ext cx="84010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1. podnikanie</w:t>
                              </w:r>
                            </w:p>
                          </w:txbxContent>
                        </wps:txbx>
                        <wps:bodyPr rot="0" vert="horz" wrap="square" lIns="63094" tIns="31547" rIns="63094" bIns="31547" anchor="t" anchorCtr="0">
                          <a:spAutoFit/>
                        </wps:bodyPr>
                      </wps:wsp>
                      <pic:pic xmlns:pic="http://schemas.openxmlformats.org/drawingml/2006/picture">
                        <pic:nvPicPr>
                          <pic:cNvPr id="52"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146810" y="386080"/>
                            <a:ext cx="3040380" cy="3059430"/>
                          </a:xfrm>
                          <a:prstGeom prst="rect">
                            <a:avLst/>
                          </a:prstGeom>
                          <a:noFill/>
                          <a:extLst>
                            <a:ext uri="{909E8E84-426E-40DD-AFC4-6F175D3DCCD1}">
                              <a14:hiddenFill xmlns:a14="http://schemas.microsoft.com/office/drawing/2010/main">
                                <a:solidFill>
                                  <a:srgbClr val="FFFFFF"/>
                                </a:solidFill>
                              </a14:hiddenFill>
                            </a:ext>
                          </a:extLst>
                        </pic:spPr>
                      </pic:pic>
                      <wps:wsp>
                        <wps:cNvPr id="53" name="Text Box 12"/>
                        <wps:cNvSpPr txBox="1">
                          <a:spLocks noChangeArrowheads="1"/>
                        </wps:cNvSpPr>
                        <wps:spPr bwMode="auto">
                          <a:xfrm>
                            <a:off x="3630930" y="266700"/>
                            <a:ext cx="90868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2. druhá šanca</w:t>
                              </w:r>
                            </w:p>
                          </w:txbxContent>
                        </wps:txbx>
                        <wps:bodyPr rot="0" vert="horz" wrap="square" lIns="63094" tIns="31547" rIns="63094" bIns="31547" anchor="t" anchorCtr="0">
                          <a:spAutoFit/>
                        </wps:bodyPr>
                      </wps:wsp>
                      <wps:wsp>
                        <wps:cNvPr id="54" name="Text Box 13"/>
                        <wps:cNvSpPr txBox="1">
                          <a:spLocks noChangeArrowheads="1"/>
                        </wps:cNvSpPr>
                        <wps:spPr bwMode="auto">
                          <a:xfrm>
                            <a:off x="4032885" y="1129030"/>
                            <a:ext cx="972185"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3. najskôr myslieť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v malom</w:t>
                              </w:r>
                            </w:p>
                          </w:txbxContent>
                        </wps:txbx>
                        <wps:bodyPr rot="0" vert="horz" wrap="square" lIns="0" tIns="31547" rIns="0" bIns="31547" anchor="t" anchorCtr="0">
                          <a:spAutoFit/>
                        </wps:bodyPr>
                      </wps:wsp>
                      <wps:wsp>
                        <wps:cNvPr id="55" name="Text Box 14"/>
                        <wps:cNvSpPr txBox="1">
                          <a:spLocks noChangeArrowheads="1"/>
                        </wps:cNvSpPr>
                        <wps:spPr bwMode="auto">
                          <a:xfrm>
                            <a:off x="4157980" y="2167890"/>
                            <a:ext cx="909955"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 xml:space="preserve">4. ústretová </w:t>
                              </w:r>
                            </w:p>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verejná správa</w:t>
                              </w:r>
                            </w:p>
                          </w:txbxContent>
                        </wps:txbx>
                        <wps:bodyPr rot="0" vert="horz" wrap="square" lIns="63094" tIns="31547" rIns="63094" bIns="31547" anchor="t" anchorCtr="0">
                          <a:spAutoFit/>
                        </wps:bodyPr>
                      </wps:wsp>
                      <wps:wsp>
                        <wps:cNvPr id="56" name="Text Box 16"/>
                        <wps:cNvSpPr txBox="1">
                          <a:spLocks noChangeArrowheads="1"/>
                        </wps:cNvSpPr>
                        <wps:spPr bwMode="auto">
                          <a:xfrm>
                            <a:off x="3460750" y="3063875"/>
                            <a:ext cx="139954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5. štátna pomoc,</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    verejné obstarávanie </w:t>
                              </w:r>
                            </w:p>
                          </w:txbxContent>
                        </wps:txbx>
                        <wps:bodyPr rot="0" vert="horz" wrap="square" lIns="63094" tIns="31547" rIns="63094" bIns="31547" anchor="t" anchorCtr="0">
                          <a:spAutoFit/>
                        </wps:bodyPr>
                      </wps:wsp>
                      <wps:wsp>
                        <wps:cNvPr id="57" name="Text Box 17"/>
                        <wps:cNvSpPr txBox="1">
                          <a:spLocks noChangeArrowheads="1"/>
                        </wps:cNvSpPr>
                        <wps:spPr bwMode="auto">
                          <a:xfrm>
                            <a:off x="2168525" y="3498215"/>
                            <a:ext cx="101790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6. prístup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k financovaniu</w:t>
                              </w:r>
                            </w:p>
                          </w:txbxContent>
                        </wps:txbx>
                        <wps:bodyPr rot="0" vert="horz" wrap="square" lIns="63094" tIns="31547" rIns="63094" bIns="31547" anchor="t" anchorCtr="0">
                          <a:spAutoFit/>
                        </wps:bodyPr>
                      </wps:wsp>
                      <wps:wsp>
                        <wps:cNvPr id="58" name="Text Box 18"/>
                        <wps:cNvSpPr txBox="1">
                          <a:spLocks noChangeArrowheads="1"/>
                        </wps:cNvSpPr>
                        <wps:spPr bwMode="auto">
                          <a:xfrm>
                            <a:off x="846455" y="3095625"/>
                            <a:ext cx="89535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7. jednotný trh</w:t>
                              </w:r>
                            </w:p>
                          </w:txbxContent>
                        </wps:txbx>
                        <wps:bodyPr rot="0" vert="horz" wrap="square" lIns="63094" tIns="31547" rIns="63094" bIns="31547" anchor="t" anchorCtr="0">
                          <a:spAutoFit/>
                        </wps:bodyPr>
                      </wps:wsp>
                      <wps:wsp>
                        <wps:cNvPr id="59" name="Text Box 19"/>
                        <wps:cNvSpPr txBox="1">
                          <a:spLocks noChangeArrowheads="1"/>
                        </wps:cNvSpPr>
                        <wps:spPr bwMode="auto">
                          <a:xfrm>
                            <a:off x="367030" y="2183130"/>
                            <a:ext cx="777875"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8. zručnosti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a inovácie</w:t>
                              </w:r>
                            </w:p>
                          </w:txbxContent>
                        </wps:txbx>
                        <wps:bodyPr rot="0" vert="horz" wrap="square" lIns="63094" tIns="31547" rIns="63094" bIns="31547" anchor="t" anchorCtr="0">
                          <a:spAutoFit/>
                        </wps:bodyPr>
                      </wps:wsp>
                      <wps:wsp>
                        <wps:cNvPr id="60" name="Text Box 20"/>
                        <wps:cNvSpPr txBox="1">
                          <a:spLocks noChangeArrowheads="1"/>
                        </wps:cNvSpPr>
                        <wps:spPr bwMode="auto">
                          <a:xfrm>
                            <a:off x="27940" y="1162685"/>
                            <a:ext cx="121666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9. životné prostredie</w:t>
                              </w:r>
                            </w:p>
                          </w:txbxContent>
                        </wps:txbx>
                        <wps:bodyPr rot="0" vert="horz" wrap="square" lIns="63094" tIns="31547" rIns="63094" bIns="31547" anchor="t" anchorCtr="0">
                          <a:spAutoFit/>
                        </wps:bodyPr>
                      </wps:wsp>
                      <wps:wsp>
                        <wps:cNvPr id="61" name="Text Box 21"/>
                        <wps:cNvSpPr txBox="1">
                          <a:spLocks noChangeArrowheads="1"/>
                        </wps:cNvSpPr>
                        <wps:spPr bwMode="auto">
                          <a:xfrm>
                            <a:off x="474345" y="266700"/>
                            <a:ext cx="131699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10. internacionalizácia</w:t>
                              </w:r>
                            </w:p>
                          </w:txbxContent>
                        </wps:txbx>
                        <wps:bodyPr rot="0" vert="horz" wrap="square" lIns="63094" tIns="31547" rIns="63094" bIns="31547" anchor="t" anchorCtr="0">
                          <a:spAutoFit/>
                        </wps:bodyPr>
                      </wps:wsp>
                      <wps:wsp>
                        <wps:cNvPr id="62" name="Line 50"/>
                        <wps:cNvCnPr/>
                        <wps:spPr bwMode="auto">
                          <a:xfrm>
                            <a:off x="3347720" y="3754755"/>
                            <a:ext cx="252095" cy="76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Skupina 114" o:spid="_x0000_s1026" style="width:425.15pt;height:337.45pt;mso-position-horizontal-relative:char;mso-position-vertical-relative:line" coordsize="53994,4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">
                <v:rect id="Obdĺžnik 44" o:spid="_x0000_s1027" style="position:absolute;width:53994;height:4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QTsMA&#10;AADbAAAADwAAAGRycy9kb3ducmV2LnhtbESPT2sCMRTE7wW/Q3iCt5pVtMjWKKtU8CT4B2xvj81r&#10;srh5WTapu/32jSD0OMzMb5jlune1uFMbKs8KJuMMBHHpdcVGweW8e12ACBFZY+2ZFPxSgPVq8LLE&#10;XPuOj3Q/RSMShEOOCmyMTS5lKC05DGPfECfv27cOY5KtkbrFLsFdLadZ9iYdVpwWLDa0tVTeTj9O&#10;wUfzdSjmJsjiGu3nzW+6nT0YpUbDvngHEamP/+Fne68Vz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QTsMAAADbAAAADwAAAAAAAAAAAAAAAACYAgAAZHJzL2Rv&#10;d25yZXYueG1sUEsFBgAAAAAEAAQA9QAAAIgDAAAAAA==&#10;" filled="f"/>
                <v:rect id="Rectangle 22" o:spid="_x0000_s1028" style="position:absolute;width:2222;height:403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9ksUA&#10;AADbAAAADwAAAGRycy9kb3ducmV2LnhtbESPQWvCQBSE70L/w/KEXkQ3tVUkdROkINSDlaqgx9fs&#10;MwnNvl2yG03/vVso9DjMzDfMMu9NI67U+tqygqdJAoK4sLrmUsHxsB4vQPiArLGxTAp+yEOePQyW&#10;mGp740+67kMpIoR9igqqEFwqpS8qMugn1hFH72JbgyHKtpS6xVuEm0ZOk2QuDdYcFyp09FZR8b3v&#10;jILzh+s2XzN/fF5td51N0J1GYaPU47BfvYII1If/8F/7XSt4mcHvl/g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T2SxQAAANsAAAAPAAAAAAAAAAAAAAAAAJgCAABkcnMv&#10;ZG93bnJldi54bWxQSwUGAAAAAAQABAD1AAAAigMAAAAA&#10;" strokecolor="white">
                  <v:textbox inset="1.75261mm,.87631mm,1.75261mm,.87631mm">
                    <w:txbxContent>
                      <w:p w:rsidR="00D5673C" w:rsidRDefault="00D5673C" w:rsidP="00D5673C">
                        <w:pPr>
                          <w:autoSpaceDE w:val="0"/>
                          <w:autoSpaceDN w:val="0"/>
                          <w:adjustRightInd w:val="0"/>
                          <w:rPr>
                            <w:rFonts w:ascii="Tahoma" w:hAnsi="Tahoma" w:cs="Tahoma"/>
                            <w:color w:val="FFFFFF"/>
                            <w:sz w:val="25"/>
                            <w:szCs w:val="36"/>
                          </w:rPr>
                        </w:pPr>
                      </w:p>
                    </w:txbxContent>
                  </v:textbox>
                </v:rect>
                <v:rect id="Obdĺžnik 46" o:spid="_x0000_s1029" style="position:absolute;left:32766;top:36671;width:21228;height:3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8kMQA&#10;AADbAAAADwAAAGRycy9kb3ducmV2LnhtbESPQWvCQBSE70L/w/IKXqRulBpK6iptqWAvgmnx/My+&#10;JEuzb2N2jem/7wqCx2FmvmGW68E2oqfOG8cKZtMEBHHhtOFKwc/35ukFhA/IGhvHpOCPPKxXD6Ml&#10;ZtpdeE99HioRIewzVFCH0GZS+qImi37qWuLola6zGKLsKqk7vES4beQ8SVJp0XBcqLGlj5qK3/xs&#10;FZA5Lpry6zgv3/vUHE7pYfK5s0qNH4e3VxCBhnAP39pbreA5he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c/JDEAAAA2wAAAA8AAAAAAAAAAAAAAAAAmAIAAGRycy9k&#10;b3ducmV2LnhtbFBLBQYAAAAABAAEAPUAAACJAwAAAAA=&#10;" strokecolor="#006f6f" strokeweight="2pt">
                  <v:textbox inset="1.75261mm,.87631mm,1.75261mm,.87631mm">
                    <w:txbxContent>
                      <w:p w:rsidR="00D5673C" w:rsidRDefault="00D5673C" w:rsidP="00D5673C">
                        <w:pPr>
                          <w:autoSpaceDE w:val="0"/>
                          <w:autoSpaceDN w:val="0"/>
                          <w:adjustRightInd w:val="0"/>
                          <w:jc w:val="center"/>
                          <w:rPr>
                            <w:rFonts w:ascii="Tahoma" w:hAnsi="Tahoma" w:cs="Tahoma"/>
                            <w:color w:val="FFFFFF"/>
                            <w:sz w:val="25"/>
                            <w:szCs w:val="36"/>
                          </w:rPr>
                        </w:pPr>
                      </w:p>
                    </w:txbxContent>
                  </v:textbox>
                </v:rect>
                <v:shapetype id="_x0000_t202" coordsize="21600,21600" o:spt="202" path="m,l,21600r21600,l21600,xe">
                  <v:stroke joinstyle="miter"/>
                  <v:path gradientshapeok="t" o:connecttype="rect"/>
                </v:shapetype>
                <v:shape id="Text Box 8" o:spid="_x0000_s1030" type="#_x0000_t202" style="position:absolute;left:36576;top:36264;width:17418;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y0sUA&#10;AADbAAAADwAAAGRycy9kb3ducmV2LnhtbESPQU8CMRSE7yb8h+aReJOuYNSsFEIgiDciCnh82T63&#10;C9vXTVtg3V9vSUw8Tmbmm8x42tpanMmHyrGC+0EGgrhwuuJSwefH8u4ZRIjIGmvHpOCHAkwnvZsx&#10;5tpd+J3Om1iKBOGQowITY5NLGQpDFsPANcTJ+3beYkzSl1J7vCS4reUwyx6lxYrTgsGG5oaK4+Zk&#10;FezWsvjqOtuV81dzPGx3+4UfrZS67bezFxCR2vgf/mu/aQUPT3D9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fLSxQAAANsAAAAPAAAAAAAAAAAAAAAAAJgCAABkcnMv&#10;ZG93bnJldi54bWxQSwUGAAAAAAQABAD1AAAAigMAAAAA&#10;" filled="f" stroked="f">
                  <v:textbox style="mso-fit-shape-to-text:t" inset="0,.87631mm,1.75261mm,.87631mm">
                    <w:txbxContent>
                      <w:p w:rsidR="00D5673C" w:rsidRDefault="00D5673C" w:rsidP="00D5673C">
                        <w:pPr>
                          <w:autoSpaceDE w:val="0"/>
                          <w:autoSpaceDN w:val="0"/>
                          <w:adjustRightInd w:val="0"/>
                          <w:rPr>
                            <w:rFonts w:ascii="Tahoma" w:hAnsi="Tahoma" w:cs="Tahoma"/>
                            <w:sz w:val="17"/>
                          </w:rPr>
                        </w:pPr>
                        <w:r>
                          <w:rPr>
                            <w:rFonts w:ascii="Tahoma" w:hAnsi="Tahoma" w:cs="Tahoma"/>
                            <w:sz w:val="17"/>
                          </w:rPr>
                          <w:t>priemer EÚ</w:t>
                        </w:r>
                        <w:r>
                          <w:rPr>
                            <w:rFonts w:ascii="Tahoma" w:hAnsi="Tahoma" w:cs="Tahoma"/>
                            <w:sz w:val="17"/>
                            <w:lang w:val="en-US"/>
                          </w:rPr>
                          <w:t xml:space="preserve"> +/-</w:t>
                        </w:r>
                        <w:r>
                          <w:rPr>
                            <w:rFonts w:ascii="Tahoma" w:hAnsi="Tahoma" w:cs="Tahoma"/>
                            <w:sz w:val="17"/>
                          </w:rPr>
                          <w:t xml:space="preserve"> štandardné </w:t>
                        </w:r>
                        <w:proofErr w:type="spellStart"/>
                        <w:r>
                          <w:rPr>
                            <w:rFonts w:ascii="Tahoma" w:hAnsi="Tahoma" w:cs="Tahoma"/>
                            <w:sz w:val="17"/>
                          </w:rPr>
                          <w:t>odch</w:t>
                        </w:r>
                        <w:proofErr w:type="spellEnd"/>
                        <w:r>
                          <w:rPr>
                            <w:rFonts w:ascii="Tahoma" w:hAnsi="Tahoma" w:cs="Tahoma"/>
                            <w:sz w:val="17"/>
                          </w:rPr>
                          <w:t>.</w:t>
                        </w:r>
                      </w:p>
                    </w:txbxContent>
                  </v:textbox>
                </v:shape>
                <v:rect id="Rectangle 9" o:spid="_x0000_s1031" style="position:absolute;left:33528;top:37077;width:2520;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NCcEA&#10;AADbAAAADwAAAGRycy9kb3ducmV2LnhtbERP3WrCMBS+H/gO4QjejJnofhi1UWTgJrvT7QEOzbGt&#10;bU5qktXOpzcXgpcf33++GmwrevKhdqxhNlUgiAtnai41/P5snt5BhIhssHVMGv4pwGo5esgxM+7M&#10;O+r3sRQphEOGGqoYu0zKUFRkMUxdR5y4g/MWY4K+lMbjOYXbVs6VepMWa04NFXb0UVHR7P+sht1n&#10;86jmUq2Pz19Db2ceL9+vJ60n42G9ABFpiHfxzb01Gl7S2PQl/QC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YDQnBAAAA2wAAAA8AAAAAAAAAAAAAAAAAmAIAAGRycy9kb3du&#10;cmV2LnhtbFBLBQYAAAAABAAEAPUAAACGAwAAAAA=&#10;" fillcolor="silver" strokecolor="#036">
                  <o:lock v:ext="edit" aspectratio="t"/>
                  <v:textbox inset="1.75261mm,.87631mm,1.75261mm,.87631mm">
                    <w:txbxContent>
                      <w:p w:rsidR="00D5673C" w:rsidRDefault="00D5673C" w:rsidP="00D5673C">
                        <w:pPr>
                          <w:autoSpaceDE w:val="0"/>
                          <w:autoSpaceDN w:val="0"/>
                          <w:adjustRightInd w:val="0"/>
                          <w:rPr>
                            <w:rFonts w:ascii="Tahoma" w:hAnsi="Tahoma" w:cs="Tahoma"/>
                            <w:color w:val="FFFFFF"/>
                            <w:sz w:val="25"/>
                            <w:szCs w:val="36"/>
                          </w:rPr>
                        </w:pPr>
                      </w:p>
                    </w:txbxContent>
                  </v:textbox>
                </v:rect>
                <v:rect id="Rectangle 7" o:spid="_x0000_s1032" style="position:absolute;left:33623;top:38766;width:2286;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lZ8QA&#10;AADbAAAADwAAAGRycy9kb3ducmV2LnhtbESP3WoCMRSE74W+QziCN1KzdaXUrVkprULxpnTrAxw2&#10;p/vj5mTZpBp9elMQvBxm5htmtQ6mE0caXGNZwdMsAUFcWt1wpWD/s318AeE8ssbOMik4k4N1/jBa&#10;Yabtib/pWPhKRAi7DBXU3veZlK6syaCb2Z44er92MOijHCqpBzxFuOnkPEmepcGG40KNPb3XVB6K&#10;P6NgWuqvj0vbUZJu2j6EdJdeUlRqMg5vryA8BX8P39qfWsFiCf9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5WfEAAAA2wAAAA8AAAAAAAAAAAAAAAAAmAIAAGRycy9k&#10;b3ducmV2LnhtbFBLBQYAAAAABAAEAPUAAACJAwAAAAA=&#10;" strokecolor="red" strokeweight="2.5pt">
                  <v:textbox inset="1.75261mm,.87631mm,1.75261mm,.87631mm">
                    <w:txbxContent>
                      <w:p w:rsidR="00D5673C" w:rsidRDefault="00D5673C" w:rsidP="00D5673C">
                        <w:pPr>
                          <w:rPr>
                            <w:sz w:val="4"/>
                            <w:szCs w:val="4"/>
                          </w:rPr>
                        </w:pPr>
                      </w:p>
                    </w:txbxContent>
                  </v:textbox>
                </v:rect>
                <v:shape id="Text Box 6" o:spid="_x0000_s1033" type="#_x0000_t202" style="position:absolute;left:36576;top:38087;width:12414;height:3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8e8IA&#10;AADbAAAADwAAAGRycy9kb3ducmV2LnhtbERPy2oCMRTdC/2HcAvuasaKpYxGEYvWXdHWx/IyuZ1M&#10;ndwMSarT+XqzKLg8nPd03tpaXMiHyrGC4SADQVw4XXGp4Otz9fQKIkRkjbVjUvBHAeazh94Uc+2u&#10;vKXLLpYihXDIUYGJscmlDIUhi2HgGuLEfTtvMSboS6k9XlO4reVzlr1IixWnBoMNLQ0V592vVXD4&#10;kMWp62xXLtfm/LM/HN/86F2p/mO7mICI1Ma7+N+90QrGaX36kn6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fx7wgAAANsAAAAPAAAAAAAAAAAAAAAAAJgCAABkcnMvZG93&#10;bnJldi54bWxQSwUGAAAAAAQABAD1AAAAhwMAAAAA&#10;" filled="f" stroked="f">
                  <v:textbox style="mso-fit-shape-to-text:t" inset="0,.87631mm,1.75261mm,.87631mm">
                    <w:txbxContent>
                      <w:p w:rsidR="00D5673C" w:rsidRDefault="00D5673C" w:rsidP="00D5673C">
                        <w:pPr>
                          <w:autoSpaceDE w:val="0"/>
                          <w:autoSpaceDN w:val="0"/>
                          <w:adjustRightInd w:val="0"/>
                          <w:rPr>
                            <w:rFonts w:ascii="Tahoma" w:hAnsi="Tahoma" w:cs="Tahoma"/>
                            <w:sz w:val="17"/>
                          </w:rPr>
                        </w:pPr>
                        <w:r>
                          <w:rPr>
                            <w:rFonts w:ascii="Tahoma" w:hAnsi="Tahoma" w:cs="Tahoma"/>
                            <w:sz w:val="17"/>
                          </w:rPr>
                          <w:t>Slovensko</w:t>
                        </w:r>
                      </w:p>
                    </w:txbxContent>
                  </v:textbox>
                </v:shape>
                <v:shape id="Text Box 11" o:spid="_x0000_s1034" type="#_x0000_t202" style="position:absolute;left:22466;width:8401;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iucEA&#10;AADbAAAADwAAAGRycy9kb3ducmV2LnhtbESP3YrCMBSE7xd8h3CEvVtThRWpRlFBXBZU/AFvD82x&#10;LTYnNYla394IgpfDzHzDjCaNqcSNnC8tK+h2EhDEmdUl5woO+8XPAIQPyBory6TgQR4m49bXCFNt&#10;77yl2y7kIkLYp6igCKFOpfRZQQZ9x9bE0TtZZzBE6XKpHd4j3FSylyR9abDkuFBgTfOCsvPuahTk&#10;DucLOvHqsrTrY7PR/9mM+0p9t5vpEESgJnzC7/afVvDbhde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AIrnBAAAA2wAAAA8AAAAAAAAAAAAAAAAAmAIAAGRycy9kb3du&#10;cmV2LnhtbFBLBQYAAAAABAAEAPUAAACGAw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1. podnikanie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5" type="#_x0000_t75" style="position:absolute;left:11468;top:3860;width:30403;height:30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hLrDGAAAA2wAAAA8AAABkcnMvZG93bnJldi54bWxEj91qwkAUhO+FvsNyCr0pdZNAbYluQmvx&#10;B4RCVBDvDtnTJJg9G7JbTd/eFQpeDjPzDTPLB9OKM/WusawgHkcgiEurG64U7HeLl3cQziNrbC2T&#10;gj9ykGcPoxmm2l64oPPWVyJA2KWooPa+S6V0ZU0G3dh2xMH7sb1BH2RfSd3jJcBNK5MomkiDDYeF&#10;Gjua11Setr9GwVdx2hwP6zcbF98mnq+Wh+T5k5V6ehw+piA8Df4e/m+vtYLXBG5fwg+Q2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OEusMYAAADbAAAADwAAAAAAAAAAAAAA&#10;AACfAgAAZHJzL2Rvd25yZXYueG1sUEsFBgAAAAAEAAQA9wAAAJIDAAAAAA==&#10;">
                  <v:imagedata r:id="rId51" o:title=""/>
                </v:shape>
                <v:shape id="Text Box 12" o:spid="_x0000_s1036" type="#_x0000_t202" style="position:absolute;left:36309;top:2667;width:9087;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4ZVcIA&#10;AADbAAAADwAAAGRycy9kb3ducmV2LnhtbESP3YrCMBSE7wXfIRzBuzV1RZFqFBXEZcEVf8DbQ3Ns&#10;i81JN4la394sLHg5zMw3zHTemErcyfnSsoJ+LwFBnFldcq7gdFx/jEH4gKyxskwKnuRhPmu3pphq&#10;++A93Q8hFxHCPkUFRQh1KqXPCjLoe7Ymjt7FOoMhSpdL7fAR4aaSn0kykgZLjgsF1rQqKLsebkZB&#10;7nC1pgtvfzf259zs9He25JFS3U6zmIAI1IR3+L/9pRUMB/D3Jf4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hlVwgAAANsAAAAPAAAAAAAAAAAAAAAAAJgCAABkcnMvZG93&#10;bnJldi54bWxQSwUGAAAAAAQABAD1AAAAhwMAAAAA&#10;" filled="f" stroked="f">
                  <v:textbox style="mso-fit-shape-to-text:t" inset="1.75261mm,.87631mm,1.75261mm,.87631mm">
                    <w:txbxContent>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2. druhá šanca</w:t>
                        </w:r>
                      </w:p>
                    </w:txbxContent>
                  </v:textbox>
                </v:shape>
                <v:shape id="Text Box 13" o:spid="_x0000_s1037" type="#_x0000_t202" style="position:absolute;left:40328;top:11290;width:9722;height:7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38r8QA&#10;AADbAAAADwAAAGRycy9kb3ducmV2LnhtbESPT2vCQBTE7wW/w/KEXoJu2lSR6CrWUOihF//g+ZF9&#10;JsHs25BdNcmn7xYKHoeZ+Q2z2nSmFndqXWVZwds0BkGcW11xoeB0/JosQDiPrLG2TAp6crBZj15W&#10;mGr74D3dD74QAcIuRQWl900qpctLMuimtiEO3sW2Bn2QbSF1i48AN7V8j+O5NFhxWCixoV1J+fVw&#10;Mwqqz8TyJcoiO/wU7JPzMEv6TKnXcbddgvDU+Wf4v/2tFcw+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t/K/EAAAA2wAAAA8AAAAAAAAAAAAAAAAAmAIAAGRycy9k&#10;b3ducmV2LnhtbFBLBQYAAAAABAAEAPUAAACJAwAAAAA=&#10;" filled="f" stroked="f">
                  <v:textbox style="mso-fit-shape-to-text:t" inset="0,.87631mm,0,.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3. najskôr myslieť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v malom</w:t>
                        </w:r>
                      </w:p>
                    </w:txbxContent>
                  </v:textbox>
                </v:shape>
                <v:shape id="Text Box 14" o:spid="_x0000_s1038" type="#_x0000_t202" style="position:absolute;left:41579;top:21678;width:9100;height:7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kusEA&#10;AADbAAAADwAAAGRycy9kb3ducmV2LnhtbESPQYvCMBSE74L/ITxhb5q6oCzVKCrIyoK7WAWvj+bZ&#10;FpuXmkSt/34jCB6HmfmGmc5bU4sbOV9ZVjAcJCCIc6srLhQc9uv+FwgfkDXWlknBgzzMZ93OFFNt&#10;77yjWxYKESHsU1RQhtCkUvq8JIN+YBvi6J2sMxiidIXUDu8Rbmr5mSRjabDiuFBiQ6uS8nN2NQoK&#10;h6s1nXh7+ba/x/ZP/+RLHiv10WsXExCB2vAOv9obrWA0gueX+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7JLrBAAAA2wAAAA8AAAAAAAAAAAAAAAAAmAIAAGRycy9kb3du&#10;cmV2LnhtbFBLBQYAAAAABAAEAPUAAACGAwAAAAA=&#10;" filled="f" stroked="f">
                  <v:textbox style="mso-fit-shape-to-text:t" inset="1.75261mm,.87631mm,1.75261mm,.87631mm">
                    <w:txbxContent>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 xml:space="preserve">4. ústretová </w:t>
                        </w:r>
                      </w:p>
                      <w:p w:rsidR="00D5673C" w:rsidRDefault="00D5673C" w:rsidP="00D5673C">
                        <w:pPr>
                          <w:autoSpaceDE w:val="0"/>
                          <w:autoSpaceDN w:val="0"/>
                          <w:adjustRightInd w:val="0"/>
                          <w:rPr>
                            <w:rFonts w:ascii="Tahoma" w:hAnsi="Tahoma" w:cs="Tahoma"/>
                            <w:b/>
                            <w:bCs/>
                            <w:sz w:val="19"/>
                            <w:szCs w:val="28"/>
                          </w:rPr>
                        </w:pPr>
                        <w:r>
                          <w:rPr>
                            <w:rFonts w:ascii="Tahoma" w:hAnsi="Tahoma" w:cs="Tahoma"/>
                            <w:b/>
                            <w:bCs/>
                            <w:sz w:val="19"/>
                            <w:szCs w:val="28"/>
                          </w:rPr>
                          <w:t>verejná správa</w:t>
                        </w:r>
                      </w:p>
                    </w:txbxContent>
                  </v:textbox>
                </v:shape>
                <v:shape id="Text Box 16" o:spid="_x0000_s1039" type="#_x0000_t202" style="position:absolute;left:34607;top:30638;width:13995;height:7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6zcMA&#10;AADbAAAADwAAAGRycy9kb3ducmV2LnhtbESPQWvCQBSE7wX/w/KE3urGQoNEV6mB0FJQqS14fWSf&#10;SWj2bbq7TeK/dwWhx2FmvmFWm9G0oifnG8sK5rMEBHFpdcOVgu+v4mkBwgdkja1lUnAhD5v15GGF&#10;mbYDf1J/DJWIEPYZKqhD6DIpfVmTQT+zHXH0ztYZDFG6SmqHQ4SbVj4nSSoNNhwXauwor6n8Of4Z&#10;BZXDvKAz737f7P40HvRHueVUqcfp+LoEEWgM/+F7+10reEnh9iX+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m6zcMAAADbAAAADwAAAAAAAAAAAAAAAACYAgAAZHJzL2Rv&#10;d25yZXYueG1sUEsFBgAAAAAEAAQA9QAAAIgDA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5. štátna pomoc,</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    verejné obstarávanie </w:t>
                        </w:r>
                      </w:p>
                    </w:txbxContent>
                  </v:textbox>
                </v:shape>
                <v:shape id="Text Box 17" o:spid="_x0000_s1040" type="#_x0000_t202" style="position:absolute;left:21685;top:34982;width:10179;height:6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fVsMA&#10;AADbAAAADwAAAGRycy9kb3ducmV2LnhtbESPQWvCQBSE7wX/w/KE3upGoVaiq9RAaClY0Ra8PrLP&#10;JDT7Nu5uk/jvXaHQ4zAz3zCrzWAa0ZHztWUF00kCgriwuuZSwfdX/rQA4QOyxsYyKbiSh8169LDC&#10;VNueD9QdQykihH2KCqoQ2lRKX1Rk0E9sSxy9s3UGQ5SulNphH+GmkbMkmUuDNceFClvKKip+jr9G&#10;Qekwy+nMu8ub/TwNe/1RbHmu1ON4eF2CCDSE//Bf+10reH6B+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fVsMAAADbAAAADwAAAAAAAAAAAAAAAACYAgAAZHJzL2Rv&#10;d25yZXYueG1sUEsFBgAAAAAEAAQA9QAAAIgDA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6. prístup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k financovaniu</w:t>
                        </w:r>
                      </w:p>
                    </w:txbxContent>
                  </v:textbox>
                </v:shape>
                <v:shape id="Text Box 18" o:spid="_x0000_s1041" type="#_x0000_t202" style="position:absolute;left:8464;top:30956;width:8954;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qLJL8A&#10;AADbAAAADwAAAGRycy9kb3ducmV2LnhtbERPTYvCMBC9C/sfwix403QFRbqmxRVEEVR0F/Y6NGNb&#10;bCY1iVr/vTkIHh/ve5Z3phE3cr62rOBrmIAgLqyuuVTw97scTEH4gKyxsUwKHuQhzz56M0y1vfOB&#10;bsdQihjCPkUFVQhtKqUvKjLoh7YljtzJOoMhQldK7fAew00jR0kykQZrjg0VtrSoqDgfr0ZB6XCx&#10;pBNvLyu7++/2elP88ESp/mc3/wYRqAtv8cu91grGcWz8En+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uoskvwAAANsAAAAPAAAAAAAAAAAAAAAAAJgCAABkcnMvZG93bnJl&#10;di54bWxQSwUGAAAAAAQABAD1AAAAhAM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7. jednotný trh</w:t>
                        </w:r>
                      </w:p>
                    </w:txbxContent>
                  </v:textbox>
                </v:shape>
                <v:shape id="Text Box 19" o:spid="_x0000_s1042" type="#_x0000_t202" style="position:absolute;left:3670;top:21831;width:7779;height:7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uv8MA&#10;AADbAAAADwAAAGRycy9kb3ducmV2LnhtbESPQWvCQBSE7wX/w/KE3upGoVKjq9RAaClY0Ra8PrLP&#10;JDT7Nu5uk/jvXaHQ4zAz3zCrzWAa0ZHztWUF00kCgriwuuZSwfdX/vQCwgdkjY1lUnAlD5v16GGF&#10;qbY9H6g7hlJECPsUFVQhtKmUvqjIoJ/Yljh6Z+sMhihdKbXDPsJNI2dJMpcGa44LFbaUVVT8HH+N&#10;gtJhltOZd5c3+3ka9vqj2PJcqcfx8LoEEWgI/+G/9rtW8LyA+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Yuv8MAAADbAAAADwAAAAAAAAAAAAAAAACYAgAAZHJzL2Rv&#10;d25yZXYueG1sUEsFBgAAAAAEAAQA9QAAAIgDA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 xml:space="preserve">8. zručnosti </w:t>
                        </w:r>
                      </w:p>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a inovácie</w:t>
                        </w:r>
                      </w:p>
                    </w:txbxContent>
                  </v:textbox>
                </v:shape>
                <v:shape id="Text Box 20" o:spid="_x0000_s1043" type="#_x0000_t202" style="position:absolute;left:279;top:11626;width:1216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Nn78A&#10;AADbAAAADwAAAGRycy9kb3ducmV2LnhtbERPy4rCMBTdD/gP4QqzG1NdFOkYiwqiCOOgI7i9NLcP&#10;bG5qErX+vVkMuDyc9yzvTSvu5HxjWcF4lIAgLqxuuFJw+lt/TUH4gKyxtUwKnuQhnw8+Zphp++AD&#10;3Y+hEjGEfYYK6hC6TEpf1GTQj2xHHLnSOoMhQldJ7fARw00rJ0mSSoMNx4YaO1rVVFyON6Ogcrha&#10;U8k/143dn/tfvSuWnCr1OewX3yAC9eEt/ndvtYI0ro9f4g+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oE2fvwAAANsAAAAPAAAAAAAAAAAAAAAAAJgCAABkcnMvZG93bnJl&#10;di54bWxQSwUGAAAAAAQABAD1AAAAhAM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9. životné prostredie</w:t>
                        </w:r>
                      </w:p>
                    </w:txbxContent>
                  </v:textbox>
                </v:shape>
                <v:shape id="Text Box 21" o:spid="_x0000_s1044" type="#_x0000_t202" style="position:absolute;left:4743;top:2667;width:1317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oBMMA&#10;AADbAAAADwAAAGRycy9kb3ducmV2LnhtbESPQWvCQBSE7wX/w/IK3upGD6FEV7GBoAhtaSz0+sg+&#10;k2D2bdxdk/TfdwuFHoeZ+YbZ7CbTiYGcby0rWC4SEMSV1S3XCj7PxdMzCB+QNXaWScE3edhtZw8b&#10;zLQd+YOGMtQiQthnqKAJoc+k9FVDBv3C9sTRu1hnMETpaqkdjhFuOrlKklQabDkuNNhT3lB1Le9G&#10;Qe0wL+jCr7eDffua3vWpeuFUqfnjtF+DCDSF//Bf+6gVpE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oBMMAAADbAAAADwAAAAAAAAAAAAAAAACYAgAAZHJzL2Rv&#10;d25yZXYueG1sUEsFBgAAAAAEAAQA9QAAAIgDAAAAAA==&#10;" filled="f" stroked="f">
                  <v:textbox style="mso-fit-shape-to-text:t" inset="1.75261mm,.87631mm,1.75261mm,.87631mm">
                    <w:txbxContent>
                      <w:p w:rsidR="00D5673C" w:rsidRDefault="00D5673C" w:rsidP="00D5673C">
                        <w:pPr>
                          <w:autoSpaceDE w:val="0"/>
                          <w:autoSpaceDN w:val="0"/>
                          <w:adjustRightInd w:val="0"/>
                          <w:jc w:val="center"/>
                          <w:rPr>
                            <w:rFonts w:ascii="Tahoma" w:hAnsi="Tahoma" w:cs="Tahoma"/>
                            <w:b/>
                            <w:bCs/>
                            <w:sz w:val="19"/>
                            <w:szCs w:val="28"/>
                          </w:rPr>
                        </w:pPr>
                        <w:r>
                          <w:rPr>
                            <w:rFonts w:ascii="Tahoma" w:hAnsi="Tahoma" w:cs="Tahoma"/>
                            <w:b/>
                            <w:bCs/>
                            <w:sz w:val="19"/>
                            <w:szCs w:val="28"/>
                          </w:rPr>
                          <w:t>10. internacionalizácia</w:t>
                        </w:r>
                      </w:p>
                    </w:txbxContent>
                  </v:textbox>
                </v:shape>
                <v:line id="Line 50" o:spid="_x0000_s1045" style="position:absolute;visibility:visible;mso-wrap-style:square" from="33477,37547" to="35998,3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nPb8AAADbAAAADwAAAGRycy9kb3ducmV2LnhtbESPwQrCMBBE74L/EFbwpqmCItUoIlS8&#10;idVLb2uztsVmU5qo9e+NIHgcZuYNs9p0phZPal1lWcFkHIEgzq2uuFBwOSejBQjnkTXWlknBmxxs&#10;1v3eCmNtX3yiZ+oLESDsYlRQet/EUrq8JINubBvi4N1sa9AH2RZSt/gKcFPLaRTNpcGKw0KJDe1K&#10;yu/pwyi4Z5dZsj/u9LlOt/paJD673rRSw0G3XYLw1Pl/+Nc+aAX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xnPb8AAADbAAAADwAAAAAAAAAAAAAAAACh&#10;AgAAZHJzL2Rvd25yZXYueG1sUEsFBgAAAAAEAAQA+QAAAI0DAAAAAA==&#10;" strokeweight="2pt"/>
                <w10:anchorlock/>
              </v:group>
            </w:pict>
          </mc:Fallback>
        </mc:AlternateContent>
      </w:r>
    </w:p>
    <w:p w:rsidR="00565E4D" w:rsidRDefault="00D5673C" w:rsidP="00D5673C">
      <w:pPr>
        <w:jc w:val="right"/>
      </w:pPr>
      <w:r>
        <w:rPr>
          <w:rFonts w:ascii="Franklin Gothic Book" w:hAnsi="Franklin Gothic Book"/>
          <w:i/>
          <w:sz w:val="18"/>
        </w:rPr>
        <w:t>Zdroj: Európska komisia</w:t>
      </w:r>
    </w:p>
    <w:sectPr w:rsidR="00565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6C" w:rsidRDefault="004D576C" w:rsidP="00D5673C">
      <w:pPr>
        <w:spacing w:after="0" w:line="240" w:lineRule="auto"/>
      </w:pPr>
      <w:r>
        <w:separator/>
      </w:r>
    </w:p>
  </w:endnote>
  <w:endnote w:type="continuationSeparator" w:id="0">
    <w:p w:rsidR="004D576C" w:rsidRDefault="004D576C" w:rsidP="00D5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6C" w:rsidRDefault="004D576C" w:rsidP="00D5673C">
      <w:pPr>
        <w:spacing w:after="0" w:line="240" w:lineRule="auto"/>
      </w:pPr>
      <w:r>
        <w:separator/>
      </w:r>
    </w:p>
  </w:footnote>
  <w:footnote w:type="continuationSeparator" w:id="0">
    <w:p w:rsidR="004D576C" w:rsidRDefault="004D576C" w:rsidP="00D5673C">
      <w:pPr>
        <w:spacing w:after="0" w:line="240" w:lineRule="auto"/>
      </w:pPr>
      <w:r>
        <w:continuationSeparator/>
      </w:r>
    </w:p>
  </w:footnote>
  <w:footnote w:id="1">
    <w:p w:rsidR="00D5673C" w:rsidRPr="00616DEF" w:rsidRDefault="00D5673C" w:rsidP="00D5673C">
      <w:pPr>
        <w:pStyle w:val="Textpoznmkypodiarou"/>
        <w:rPr>
          <w:rFonts w:ascii="Franklin Gothic Book" w:hAnsi="Franklin Gothic Book"/>
        </w:rPr>
      </w:pPr>
      <w:r w:rsidRPr="00616DEF">
        <w:rPr>
          <w:rStyle w:val="Odkaznapoznmkupodiarou"/>
          <w:rFonts w:ascii="Franklin Gothic Book" w:hAnsi="Franklin Gothic Book"/>
          <w:sz w:val="16"/>
        </w:rPr>
        <w:footnoteRef/>
      </w:r>
      <w:r w:rsidRPr="00616DEF">
        <w:rPr>
          <w:rFonts w:ascii="Franklin Gothic Book" w:hAnsi="Franklin Gothic Book"/>
          <w:sz w:val="16"/>
        </w:rPr>
        <w:t xml:space="preserve"> Alebo poslednom dostupnom.</w:t>
      </w:r>
    </w:p>
  </w:footnote>
  <w:footnote w:id="2">
    <w:p w:rsidR="00D5673C" w:rsidRDefault="00D5673C" w:rsidP="00D5673C">
      <w:pPr>
        <w:pStyle w:val="Textpoznmkypodiarou"/>
      </w:pPr>
      <w:r>
        <w:rPr>
          <w:rStyle w:val="Odkaznapoznmkupodiarou"/>
        </w:rPr>
        <w:footnoteRef/>
      </w:r>
      <w:r>
        <w:t xml:space="preserve"> Alebo poslednom dostupnom.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3C"/>
    <w:rsid w:val="00004816"/>
    <w:rsid w:val="00034B6E"/>
    <w:rsid w:val="000504B8"/>
    <w:rsid w:val="000541BA"/>
    <w:rsid w:val="000562EB"/>
    <w:rsid w:val="00060D09"/>
    <w:rsid w:val="00061B09"/>
    <w:rsid w:val="000632A4"/>
    <w:rsid w:val="00073B33"/>
    <w:rsid w:val="00073FD7"/>
    <w:rsid w:val="0008685A"/>
    <w:rsid w:val="0009379A"/>
    <w:rsid w:val="00095D60"/>
    <w:rsid w:val="000C28AE"/>
    <w:rsid w:val="000C3502"/>
    <w:rsid w:val="000D2A77"/>
    <w:rsid w:val="000F5D53"/>
    <w:rsid w:val="00170A79"/>
    <w:rsid w:val="00173608"/>
    <w:rsid w:val="00181BEC"/>
    <w:rsid w:val="00194BBD"/>
    <w:rsid w:val="001954D4"/>
    <w:rsid w:val="00196C44"/>
    <w:rsid w:val="001C12AA"/>
    <w:rsid w:val="001D207D"/>
    <w:rsid w:val="001F0959"/>
    <w:rsid w:val="0021533F"/>
    <w:rsid w:val="00215D8F"/>
    <w:rsid w:val="00220D3F"/>
    <w:rsid w:val="00236E33"/>
    <w:rsid w:val="0025593D"/>
    <w:rsid w:val="002940E7"/>
    <w:rsid w:val="00296F65"/>
    <w:rsid w:val="002B152A"/>
    <w:rsid w:val="002B7CBC"/>
    <w:rsid w:val="002D3B67"/>
    <w:rsid w:val="002E6862"/>
    <w:rsid w:val="002F5062"/>
    <w:rsid w:val="00301D0F"/>
    <w:rsid w:val="003046EE"/>
    <w:rsid w:val="003250CB"/>
    <w:rsid w:val="00331650"/>
    <w:rsid w:val="00337B87"/>
    <w:rsid w:val="00337D52"/>
    <w:rsid w:val="0034503B"/>
    <w:rsid w:val="00351589"/>
    <w:rsid w:val="0035422E"/>
    <w:rsid w:val="0036271A"/>
    <w:rsid w:val="003A0AD2"/>
    <w:rsid w:val="003A7ABF"/>
    <w:rsid w:val="003B4730"/>
    <w:rsid w:val="003D79C3"/>
    <w:rsid w:val="003E5455"/>
    <w:rsid w:val="003F383B"/>
    <w:rsid w:val="00405336"/>
    <w:rsid w:val="00406A69"/>
    <w:rsid w:val="004228D8"/>
    <w:rsid w:val="00432566"/>
    <w:rsid w:val="00444130"/>
    <w:rsid w:val="00455958"/>
    <w:rsid w:val="004568A3"/>
    <w:rsid w:val="0046008C"/>
    <w:rsid w:val="004778A4"/>
    <w:rsid w:val="00480ADC"/>
    <w:rsid w:val="00482B8E"/>
    <w:rsid w:val="00483AA7"/>
    <w:rsid w:val="00484629"/>
    <w:rsid w:val="00494794"/>
    <w:rsid w:val="004D306C"/>
    <w:rsid w:val="004D53F5"/>
    <w:rsid w:val="004D576C"/>
    <w:rsid w:val="005110EE"/>
    <w:rsid w:val="00513061"/>
    <w:rsid w:val="00515FE6"/>
    <w:rsid w:val="005205F5"/>
    <w:rsid w:val="0052152C"/>
    <w:rsid w:val="0052512F"/>
    <w:rsid w:val="005377B4"/>
    <w:rsid w:val="00550534"/>
    <w:rsid w:val="00550DAB"/>
    <w:rsid w:val="00562921"/>
    <w:rsid w:val="00565E4D"/>
    <w:rsid w:val="00574B75"/>
    <w:rsid w:val="00577CFB"/>
    <w:rsid w:val="005972D4"/>
    <w:rsid w:val="00597874"/>
    <w:rsid w:val="005B38D3"/>
    <w:rsid w:val="005B4B11"/>
    <w:rsid w:val="005B74E0"/>
    <w:rsid w:val="005D4AA8"/>
    <w:rsid w:val="005E2617"/>
    <w:rsid w:val="005E4DA1"/>
    <w:rsid w:val="005F0DA5"/>
    <w:rsid w:val="005F6940"/>
    <w:rsid w:val="005F7212"/>
    <w:rsid w:val="006036B1"/>
    <w:rsid w:val="00624515"/>
    <w:rsid w:val="00626224"/>
    <w:rsid w:val="00646393"/>
    <w:rsid w:val="006537A3"/>
    <w:rsid w:val="0065552D"/>
    <w:rsid w:val="00665D6F"/>
    <w:rsid w:val="00667852"/>
    <w:rsid w:val="006725A1"/>
    <w:rsid w:val="00673EE3"/>
    <w:rsid w:val="0067460D"/>
    <w:rsid w:val="00687679"/>
    <w:rsid w:val="0069660A"/>
    <w:rsid w:val="006B7EBC"/>
    <w:rsid w:val="006F52A4"/>
    <w:rsid w:val="00701A36"/>
    <w:rsid w:val="00703063"/>
    <w:rsid w:val="00707AAE"/>
    <w:rsid w:val="00717F67"/>
    <w:rsid w:val="00737AF3"/>
    <w:rsid w:val="00750EB6"/>
    <w:rsid w:val="007528AD"/>
    <w:rsid w:val="00767F8A"/>
    <w:rsid w:val="007908A8"/>
    <w:rsid w:val="007A2543"/>
    <w:rsid w:val="007B7F39"/>
    <w:rsid w:val="007E2F77"/>
    <w:rsid w:val="007E3C3A"/>
    <w:rsid w:val="007E75BF"/>
    <w:rsid w:val="008226E5"/>
    <w:rsid w:val="008260CF"/>
    <w:rsid w:val="00831FFD"/>
    <w:rsid w:val="008717C6"/>
    <w:rsid w:val="00877822"/>
    <w:rsid w:val="008B6FE5"/>
    <w:rsid w:val="008C5539"/>
    <w:rsid w:val="008C56E5"/>
    <w:rsid w:val="008F1080"/>
    <w:rsid w:val="00905C60"/>
    <w:rsid w:val="0093363F"/>
    <w:rsid w:val="00973E79"/>
    <w:rsid w:val="0098085E"/>
    <w:rsid w:val="00985AAA"/>
    <w:rsid w:val="00987812"/>
    <w:rsid w:val="00990CDC"/>
    <w:rsid w:val="009B6622"/>
    <w:rsid w:val="009C2C91"/>
    <w:rsid w:val="009E5653"/>
    <w:rsid w:val="009F7F40"/>
    <w:rsid w:val="00A06AB9"/>
    <w:rsid w:val="00A140B7"/>
    <w:rsid w:val="00A3030D"/>
    <w:rsid w:val="00A35D5E"/>
    <w:rsid w:val="00A400F1"/>
    <w:rsid w:val="00A51B70"/>
    <w:rsid w:val="00A55B7C"/>
    <w:rsid w:val="00A57489"/>
    <w:rsid w:val="00A61159"/>
    <w:rsid w:val="00AD1C9B"/>
    <w:rsid w:val="00AE71B5"/>
    <w:rsid w:val="00B11424"/>
    <w:rsid w:val="00B12506"/>
    <w:rsid w:val="00B2061B"/>
    <w:rsid w:val="00B2459A"/>
    <w:rsid w:val="00B52057"/>
    <w:rsid w:val="00B812D3"/>
    <w:rsid w:val="00B871B6"/>
    <w:rsid w:val="00BA37F2"/>
    <w:rsid w:val="00BC3ECA"/>
    <w:rsid w:val="00BC4673"/>
    <w:rsid w:val="00BD2407"/>
    <w:rsid w:val="00BD4BCB"/>
    <w:rsid w:val="00BE121D"/>
    <w:rsid w:val="00BE4540"/>
    <w:rsid w:val="00BF2F69"/>
    <w:rsid w:val="00C1073D"/>
    <w:rsid w:val="00C12359"/>
    <w:rsid w:val="00C12546"/>
    <w:rsid w:val="00C23FD2"/>
    <w:rsid w:val="00C37C8F"/>
    <w:rsid w:val="00C414D3"/>
    <w:rsid w:val="00C4572D"/>
    <w:rsid w:val="00C660FE"/>
    <w:rsid w:val="00C72C3B"/>
    <w:rsid w:val="00C85BF8"/>
    <w:rsid w:val="00C97C33"/>
    <w:rsid w:val="00CB01C7"/>
    <w:rsid w:val="00CB1564"/>
    <w:rsid w:val="00CC15AC"/>
    <w:rsid w:val="00CC2F0C"/>
    <w:rsid w:val="00CD3BA0"/>
    <w:rsid w:val="00D21EEC"/>
    <w:rsid w:val="00D32B97"/>
    <w:rsid w:val="00D4549F"/>
    <w:rsid w:val="00D5673C"/>
    <w:rsid w:val="00D67AE8"/>
    <w:rsid w:val="00D736D9"/>
    <w:rsid w:val="00DA5C1F"/>
    <w:rsid w:val="00DB3008"/>
    <w:rsid w:val="00DF1E34"/>
    <w:rsid w:val="00E01AC4"/>
    <w:rsid w:val="00E12A13"/>
    <w:rsid w:val="00E142F1"/>
    <w:rsid w:val="00E16258"/>
    <w:rsid w:val="00E4209A"/>
    <w:rsid w:val="00E555AB"/>
    <w:rsid w:val="00E56646"/>
    <w:rsid w:val="00E61A5D"/>
    <w:rsid w:val="00E62F01"/>
    <w:rsid w:val="00E97017"/>
    <w:rsid w:val="00EA405E"/>
    <w:rsid w:val="00EC4691"/>
    <w:rsid w:val="00EC7924"/>
    <w:rsid w:val="00ED53C1"/>
    <w:rsid w:val="00EE1024"/>
    <w:rsid w:val="00EF61B2"/>
    <w:rsid w:val="00F0239B"/>
    <w:rsid w:val="00F034F5"/>
    <w:rsid w:val="00F05D64"/>
    <w:rsid w:val="00F208F1"/>
    <w:rsid w:val="00F24228"/>
    <w:rsid w:val="00F371D7"/>
    <w:rsid w:val="00F76B87"/>
    <w:rsid w:val="00F8705B"/>
    <w:rsid w:val="00FA72D5"/>
    <w:rsid w:val="00FA79B4"/>
    <w:rsid w:val="00FC1EAD"/>
    <w:rsid w:val="00FC7562"/>
    <w:rsid w:val="00FD3AA7"/>
    <w:rsid w:val="00FE30E9"/>
    <w:rsid w:val="00FE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673C"/>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59"/>
    <w:rsid w:val="00D5673C"/>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rsid w:val="00D5673C"/>
    <w:pPr>
      <w:widowControl w:val="0"/>
      <w:autoSpaceDE w:val="0"/>
      <w:autoSpaceDN w:val="0"/>
      <w:adjustRightInd w:val="0"/>
      <w:spacing w:after="0" w:line="240" w:lineRule="auto"/>
    </w:pPr>
    <w:rPr>
      <w:color w:val="auto"/>
      <w:sz w:val="20"/>
      <w:szCs w:val="20"/>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rsid w:val="00D5673C"/>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rsid w:val="00D5673C"/>
    <w:rPr>
      <w:rFonts w:cs="Times New Roman"/>
      <w:vertAlign w:val="superscript"/>
    </w:rPr>
  </w:style>
  <w:style w:type="paragraph" w:styleId="Textbubliny">
    <w:name w:val="Balloon Text"/>
    <w:basedOn w:val="Normlny"/>
    <w:link w:val="TextbublinyChar"/>
    <w:uiPriority w:val="99"/>
    <w:semiHidden/>
    <w:unhideWhenUsed/>
    <w:rsid w:val="00D567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673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673C"/>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59"/>
    <w:rsid w:val="00D5673C"/>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rsid w:val="00D5673C"/>
    <w:pPr>
      <w:widowControl w:val="0"/>
      <w:autoSpaceDE w:val="0"/>
      <w:autoSpaceDN w:val="0"/>
      <w:adjustRightInd w:val="0"/>
      <w:spacing w:after="0" w:line="240" w:lineRule="auto"/>
    </w:pPr>
    <w:rPr>
      <w:color w:val="auto"/>
      <w:sz w:val="20"/>
      <w:szCs w:val="20"/>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rsid w:val="00D5673C"/>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rsid w:val="00D5673C"/>
    <w:rPr>
      <w:rFonts w:cs="Times New Roman"/>
      <w:vertAlign w:val="superscript"/>
    </w:rPr>
  </w:style>
  <w:style w:type="paragraph" w:styleId="Textbubliny">
    <w:name w:val="Balloon Text"/>
    <w:basedOn w:val="Normlny"/>
    <w:link w:val="TextbublinyChar"/>
    <w:uiPriority w:val="99"/>
    <w:semiHidden/>
    <w:unhideWhenUsed/>
    <w:rsid w:val="00D567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673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image" Target="media/image3.emf"/><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image" Target="media/image6.emf"/><Relationship Id="rId47" Type="http://schemas.openxmlformats.org/officeDocument/2006/relationships/image" Target="media/image11.emf"/><Relationship Id="rId50" Type="http://schemas.openxmlformats.org/officeDocument/2006/relationships/image" Target="media/image14.png"/><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image" Target="media/image1.emf"/><Relationship Id="rId40" Type="http://schemas.openxmlformats.org/officeDocument/2006/relationships/image" Target="media/image4.emf"/><Relationship Id="rId45" Type="http://schemas.openxmlformats.org/officeDocument/2006/relationships/image" Target="media/image9.emf"/><Relationship Id="rId53"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image" Target="media/image7.emf"/><Relationship Id="rId48" Type="http://schemas.openxmlformats.org/officeDocument/2006/relationships/image" Target="media/image12.emf"/><Relationship Id="rId56" Type="http://schemas.openxmlformats.org/officeDocument/2006/relationships/customXml" Target="../customXml/item4.xml"/><Relationship Id="rId8" Type="http://schemas.openxmlformats.org/officeDocument/2006/relationships/chart" Target="charts/chart1.xml"/><Relationship Id="rId51" Type="http://schemas.openxmlformats.org/officeDocument/2006/relationships/image" Target="media/image15.png"/><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image" Target="media/image2.emf"/><Relationship Id="rId46" Type="http://schemas.openxmlformats.org/officeDocument/2006/relationships/image" Target="media/image10.emf"/><Relationship Id="rId20" Type="http://schemas.openxmlformats.org/officeDocument/2006/relationships/chart" Target="charts/chart13.xml"/><Relationship Id="rId41" Type="http://schemas.openxmlformats.org/officeDocument/2006/relationships/image" Target="media/image5.emf"/><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image" Target="media/image13.emf"/><Relationship Id="rId57" Type="http://schemas.openxmlformats.org/officeDocument/2006/relationships/customXml" Target="../customXml/item5.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image" Target="media/image8.emf"/><Relationship Id="rId5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352;tatistiky\vzdel&#225;vanie\&#353;tudenti%20V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traka.straka-nb\AppData\Local\Temp\Eurostat_Table_tgs00043FlagNoDesc_ee895159-570b-4f0d-a909-be02aa39a4cf.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o&#353;it3"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traka.straka-nb\Documents\01_FP7\01_E-corda\E-corda_2013_10_25\PROJECTS\Grafy_1%20(automaticky%20ulo&#382;en&#2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traka.straka-nb\Documents\30_ANALYZY\01_OPVaV\anal&#253;za_grafy.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traka.straka-nb\Documents\30_ANALYZY\01_OPVaV\anal&#253;za_grafy.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traka.straka-nb\Documents\30_ANALYZY\01_OPVaV\anal&#253;za_graf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Zo&#353;it3"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o&#353;it3"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o&#353;it3"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o&#353;it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23840769903747"/>
          <c:y val="0.34848972003499595"/>
          <c:w val="0.85520603674540685"/>
          <c:h val="0.53553040244969374"/>
        </c:manualLayout>
      </c:layout>
      <c:lineChart>
        <c:grouping val="standard"/>
        <c:varyColors val="0"/>
        <c:ser>
          <c:idx val="0"/>
          <c:order val="0"/>
          <c:tx>
            <c:strRef>
              <c:f>Hárok1!$A$83</c:f>
              <c:strCache>
                <c:ptCount val="1"/>
                <c:pt idx="0">
                  <c:v>Spoločenské vedy, náuky a služby</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Hárok1!$B$83:$K$83</c:f>
              <c:numCache>
                <c:formatCode>General</c:formatCode>
                <c:ptCount val="10"/>
                <c:pt idx="0">
                  <c:v>46071</c:v>
                </c:pt>
                <c:pt idx="1">
                  <c:v>50651</c:v>
                </c:pt>
                <c:pt idx="2">
                  <c:v>57152</c:v>
                </c:pt>
                <c:pt idx="3">
                  <c:v>63619</c:v>
                </c:pt>
                <c:pt idx="4">
                  <c:v>68787</c:v>
                </c:pt>
                <c:pt idx="5">
                  <c:v>72714</c:v>
                </c:pt>
                <c:pt idx="6">
                  <c:v>74937</c:v>
                </c:pt>
                <c:pt idx="7">
                  <c:v>70863</c:v>
                </c:pt>
                <c:pt idx="8">
                  <c:v>70169</c:v>
                </c:pt>
                <c:pt idx="9">
                  <c:v>67992</c:v>
                </c:pt>
              </c:numCache>
            </c:numRef>
          </c:val>
          <c:smooth val="0"/>
        </c:ser>
        <c:ser>
          <c:idx val="1"/>
          <c:order val="1"/>
          <c:tx>
            <c:strRef>
              <c:f>Hárok1!$A$84</c:f>
              <c:strCache>
                <c:ptCount val="1"/>
                <c:pt idx="0">
                  <c:v>Technické vedy a náuky </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Hárok1!$B$84:$K$84</c:f>
              <c:numCache>
                <c:formatCode>General</c:formatCode>
                <c:ptCount val="10"/>
                <c:pt idx="0">
                  <c:v>28941</c:v>
                </c:pt>
                <c:pt idx="1">
                  <c:v>33008</c:v>
                </c:pt>
                <c:pt idx="2">
                  <c:v>32690</c:v>
                </c:pt>
                <c:pt idx="3">
                  <c:v>33425</c:v>
                </c:pt>
                <c:pt idx="4">
                  <c:v>33574</c:v>
                </c:pt>
                <c:pt idx="5">
                  <c:v>35002</c:v>
                </c:pt>
                <c:pt idx="6">
                  <c:v>35755</c:v>
                </c:pt>
                <c:pt idx="7">
                  <c:v>35026</c:v>
                </c:pt>
                <c:pt idx="8">
                  <c:v>33937</c:v>
                </c:pt>
                <c:pt idx="9">
                  <c:v>32617</c:v>
                </c:pt>
              </c:numCache>
            </c:numRef>
          </c:val>
          <c:smooth val="0"/>
        </c:ser>
        <c:ser>
          <c:idx val="2"/>
          <c:order val="2"/>
          <c:tx>
            <c:strRef>
              <c:f>Hárok1!$A$85</c:f>
              <c:strCache>
                <c:ptCount val="1"/>
                <c:pt idx="0">
                  <c:v>Zdravotníctvo</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Hárok1!$B$85:$K$85</c:f>
              <c:numCache>
                <c:formatCode>General</c:formatCode>
                <c:ptCount val="10"/>
                <c:pt idx="0">
                  <c:v>6126</c:v>
                </c:pt>
                <c:pt idx="1">
                  <c:v>6920</c:v>
                </c:pt>
                <c:pt idx="2">
                  <c:v>7751</c:v>
                </c:pt>
                <c:pt idx="3">
                  <c:v>9006</c:v>
                </c:pt>
                <c:pt idx="4">
                  <c:v>9502</c:v>
                </c:pt>
                <c:pt idx="5">
                  <c:v>9422</c:v>
                </c:pt>
                <c:pt idx="6">
                  <c:v>9614</c:v>
                </c:pt>
                <c:pt idx="7">
                  <c:v>9550</c:v>
                </c:pt>
                <c:pt idx="8">
                  <c:v>10042</c:v>
                </c:pt>
                <c:pt idx="9">
                  <c:v>9796</c:v>
                </c:pt>
              </c:numCache>
            </c:numRef>
          </c:val>
          <c:smooth val="0"/>
        </c:ser>
        <c:ser>
          <c:idx val="3"/>
          <c:order val="3"/>
          <c:tx>
            <c:strRef>
              <c:f>Hárok1!$A$86</c:f>
              <c:strCache>
                <c:ptCount val="1"/>
                <c:pt idx="0">
                  <c:v>Prírodné vedy</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Hárok1!$B$86:$K$86</c:f>
              <c:numCache>
                <c:formatCode>General</c:formatCode>
                <c:ptCount val="10"/>
                <c:pt idx="0">
                  <c:v>6314</c:v>
                </c:pt>
                <c:pt idx="1">
                  <c:v>6005</c:v>
                </c:pt>
                <c:pt idx="2">
                  <c:v>7129</c:v>
                </c:pt>
                <c:pt idx="3">
                  <c:v>7752</c:v>
                </c:pt>
                <c:pt idx="4">
                  <c:v>8151</c:v>
                </c:pt>
                <c:pt idx="5">
                  <c:v>8654</c:v>
                </c:pt>
                <c:pt idx="6">
                  <c:v>8342</c:v>
                </c:pt>
                <c:pt idx="7">
                  <c:v>8283</c:v>
                </c:pt>
                <c:pt idx="8">
                  <c:v>8070</c:v>
                </c:pt>
                <c:pt idx="9">
                  <c:v>7878</c:v>
                </c:pt>
              </c:numCache>
            </c:numRef>
          </c:val>
          <c:smooth val="0"/>
        </c:ser>
        <c:ser>
          <c:idx val="4"/>
          <c:order val="4"/>
          <c:tx>
            <c:strRef>
              <c:f>Hárok1!$A$87</c:f>
              <c:strCache>
                <c:ptCount val="1"/>
                <c:pt idx="0">
                  <c:v>Poľnohosp.-lesnícke a veterinárne vedy a náuky</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Hárok1!$B$87:$K$87</c:f>
              <c:numCache>
                <c:formatCode>General</c:formatCode>
                <c:ptCount val="10"/>
                <c:pt idx="0">
                  <c:v>7350</c:v>
                </c:pt>
                <c:pt idx="1">
                  <c:v>6622</c:v>
                </c:pt>
                <c:pt idx="2">
                  <c:v>5835</c:v>
                </c:pt>
                <c:pt idx="3">
                  <c:v>5753</c:v>
                </c:pt>
                <c:pt idx="4">
                  <c:v>5486</c:v>
                </c:pt>
                <c:pt idx="5">
                  <c:v>5225</c:v>
                </c:pt>
                <c:pt idx="6">
                  <c:v>4974</c:v>
                </c:pt>
                <c:pt idx="7">
                  <c:v>5139</c:v>
                </c:pt>
                <c:pt idx="8">
                  <c:v>5192</c:v>
                </c:pt>
                <c:pt idx="9">
                  <c:v>5034</c:v>
                </c:pt>
              </c:numCache>
            </c:numRef>
          </c:val>
          <c:smooth val="0"/>
        </c:ser>
        <c:ser>
          <c:idx val="5"/>
          <c:order val="5"/>
          <c:tx>
            <c:strRef>
              <c:f>Hárok1!$A$88</c:f>
              <c:strCache>
                <c:ptCount val="1"/>
                <c:pt idx="0">
                  <c:v>Vedy a náuky o kultúre a umení</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Hárok1!$B$88:$K$88</c:f>
              <c:numCache>
                <c:formatCode>General</c:formatCode>
                <c:ptCount val="10"/>
                <c:pt idx="0">
                  <c:v>3206</c:v>
                </c:pt>
                <c:pt idx="1">
                  <c:v>3047</c:v>
                </c:pt>
                <c:pt idx="2">
                  <c:v>3186</c:v>
                </c:pt>
                <c:pt idx="3">
                  <c:v>3419</c:v>
                </c:pt>
                <c:pt idx="4">
                  <c:v>3535</c:v>
                </c:pt>
                <c:pt idx="5">
                  <c:v>3787</c:v>
                </c:pt>
                <c:pt idx="6">
                  <c:v>3943</c:v>
                </c:pt>
                <c:pt idx="7">
                  <c:v>5582</c:v>
                </c:pt>
                <c:pt idx="8">
                  <c:v>3841</c:v>
                </c:pt>
                <c:pt idx="9">
                  <c:v>3755</c:v>
                </c:pt>
              </c:numCache>
            </c:numRef>
          </c:val>
          <c:smooth val="0"/>
        </c:ser>
        <c:ser>
          <c:idx val="6"/>
          <c:order val="6"/>
          <c:tx>
            <c:strRef>
              <c:f>Hárok1!$A$89</c:f>
              <c:strCache>
                <c:ptCount val="1"/>
                <c:pt idx="0">
                  <c:v>Vojenské a bezpečnostné vedy a náuky</c:v>
                </c:pt>
              </c:strCache>
            </c:strRef>
          </c:tx>
          <c:marker>
            <c:symbol val="none"/>
          </c:marker>
          <c:cat>
            <c:numRef>
              <c:f>Hárok1!$B$82:$K$82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Hárok1!$B$89:$K$89</c:f>
              <c:numCache>
                <c:formatCode>General</c:formatCode>
                <c:ptCount val="10"/>
                <c:pt idx="0">
                  <c:v>401</c:v>
                </c:pt>
                <c:pt idx="1">
                  <c:v>769</c:v>
                </c:pt>
                <c:pt idx="2">
                  <c:v>811</c:v>
                </c:pt>
                <c:pt idx="3">
                  <c:v>1523</c:v>
                </c:pt>
                <c:pt idx="4">
                  <c:v>2061</c:v>
                </c:pt>
                <c:pt idx="5">
                  <c:v>2543</c:v>
                </c:pt>
                <c:pt idx="6">
                  <c:v>3115</c:v>
                </c:pt>
                <c:pt idx="7">
                  <c:v>1678</c:v>
                </c:pt>
                <c:pt idx="8">
                  <c:v>3496</c:v>
                </c:pt>
                <c:pt idx="9">
                  <c:v>3384</c:v>
                </c:pt>
              </c:numCache>
            </c:numRef>
          </c:val>
          <c:smooth val="0"/>
        </c:ser>
        <c:dLbls>
          <c:showLegendKey val="0"/>
          <c:showVal val="0"/>
          <c:showCatName val="0"/>
          <c:showSerName val="0"/>
          <c:showPercent val="0"/>
          <c:showBubbleSize val="0"/>
        </c:dLbls>
        <c:marker val="1"/>
        <c:smooth val="0"/>
        <c:axId val="36378880"/>
        <c:axId val="36392960"/>
      </c:lineChart>
      <c:catAx>
        <c:axId val="36378880"/>
        <c:scaling>
          <c:orientation val="minMax"/>
        </c:scaling>
        <c:delete val="0"/>
        <c:axPos val="b"/>
        <c:numFmt formatCode="General" sourceLinked="1"/>
        <c:majorTickMark val="out"/>
        <c:minorTickMark val="none"/>
        <c:tickLblPos val="nextTo"/>
        <c:crossAx val="36392960"/>
        <c:crosses val="autoZero"/>
        <c:auto val="1"/>
        <c:lblAlgn val="ctr"/>
        <c:lblOffset val="100"/>
        <c:noMultiLvlLbl val="0"/>
      </c:catAx>
      <c:valAx>
        <c:axId val="36392960"/>
        <c:scaling>
          <c:orientation val="minMax"/>
        </c:scaling>
        <c:delete val="0"/>
        <c:axPos val="l"/>
        <c:majorGridlines/>
        <c:numFmt formatCode="General" sourceLinked="1"/>
        <c:majorTickMark val="out"/>
        <c:minorTickMark val="none"/>
        <c:tickLblPos val="nextTo"/>
        <c:crossAx val="36378880"/>
        <c:crosses val="autoZero"/>
        <c:crossBetween val="between"/>
      </c:valAx>
    </c:plotArea>
    <c:legend>
      <c:legendPos val="t"/>
      <c:layout>
        <c:manualLayout>
          <c:xMode val="edge"/>
          <c:yMode val="edge"/>
          <c:x val="7.4711286089239014E-3"/>
          <c:y val="2.7777777777777842E-2"/>
          <c:w val="0.98505752405949254"/>
          <c:h val="0.28782990667833186"/>
        </c:manualLayout>
      </c:layout>
      <c:overlay val="0"/>
      <c:txPr>
        <a:bodyPr/>
        <a:lstStyle/>
        <a:p>
          <a:pPr>
            <a:defRPr sz="800"/>
          </a:pPr>
          <a:endParaRPr lang="sk-SK"/>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Hárok9!$B$2</c:f>
              <c:strCache>
                <c:ptCount val="1"/>
                <c:pt idx="0">
                  <c:v>2012</c:v>
                </c:pt>
              </c:strCache>
            </c:strRef>
          </c:tx>
          <c:invertIfNegative val="0"/>
          <c:dLbls>
            <c:numFmt formatCode="#,##0" sourceLinked="0"/>
            <c:showLegendKey val="0"/>
            <c:showVal val="1"/>
            <c:showCatName val="0"/>
            <c:showSerName val="0"/>
            <c:showPercent val="0"/>
            <c:showBubbleSize val="0"/>
            <c:showLeaderLines val="0"/>
          </c:dLbls>
          <c:cat>
            <c:strRef>
              <c:f>Hárok9!$A$3:$A$8</c:f>
              <c:strCache>
                <c:ptCount val="6"/>
                <c:pt idx="0">
                  <c:v>Technické vedy</c:v>
                </c:pt>
                <c:pt idx="1">
                  <c:v>Prírodné vedy</c:v>
                </c:pt>
                <c:pt idx="2">
                  <c:v>Spoločenské vedy</c:v>
                </c:pt>
                <c:pt idx="3">
                  <c:v>Lekárske a farmaceutické vedy</c:v>
                </c:pt>
                <c:pt idx="4">
                  <c:v>Humanitné vedy</c:v>
                </c:pt>
                <c:pt idx="5">
                  <c:v>Pôdohospodárske vedy</c:v>
                </c:pt>
              </c:strCache>
            </c:strRef>
          </c:cat>
          <c:val>
            <c:numRef>
              <c:f>Hárok9!$B$3:$B$8</c:f>
              <c:numCache>
                <c:formatCode>#,##0.00</c:formatCode>
                <c:ptCount val="6"/>
                <c:pt idx="0">
                  <c:v>6563.2</c:v>
                </c:pt>
                <c:pt idx="1">
                  <c:v>3737.1</c:v>
                </c:pt>
                <c:pt idx="2">
                  <c:v>2372</c:v>
                </c:pt>
                <c:pt idx="3">
                  <c:v>2214.1999999999998</c:v>
                </c:pt>
                <c:pt idx="4">
                  <c:v>1967.3</c:v>
                </c:pt>
                <c:pt idx="5">
                  <c:v>1272.8</c:v>
                </c:pt>
              </c:numCache>
            </c:numRef>
          </c:val>
        </c:ser>
        <c:dLbls>
          <c:showLegendKey val="0"/>
          <c:showVal val="0"/>
          <c:showCatName val="0"/>
          <c:showSerName val="0"/>
          <c:showPercent val="0"/>
          <c:showBubbleSize val="0"/>
        </c:dLbls>
        <c:gapWidth val="150"/>
        <c:axId val="89559808"/>
        <c:axId val="89561344"/>
      </c:barChart>
      <c:lineChart>
        <c:grouping val="standard"/>
        <c:varyColors val="0"/>
        <c:ser>
          <c:idx val="1"/>
          <c:order val="1"/>
          <c:tx>
            <c:strRef>
              <c:f>Hárok9!$C$2</c:f>
              <c:strCache>
                <c:ptCount val="1"/>
                <c:pt idx="0">
                  <c:v>2005</c:v>
                </c:pt>
              </c:strCache>
            </c:strRef>
          </c:tx>
          <c:spPr>
            <a:ln>
              <a:noFill/>
            </a:ln>
          </c:spPr>
          <c:marker>
            <c:symbol val="diamond"/>
            <c:size val="7"/>
          </c:marker>
          <c:cat>
            <c:strRef>
              <c:f>Hárok9!$A$3:$A$8</c:f>
              <c:strCache>
                <c:ptCount val="6"/>
                <c:pt idx="0">
                  <c:v>Technické vedy</c:v>
                </c:pt>
                <c:pt idx="1">
                  <c:v>Prírodné vedy</c:v>
                </c:pt>
                <c:pt idx="2">
                  <c:v>Spoločenské vedy</c:v>
                </c:pt>
                <c:pt idx="3">
                  <c:v>Lekárske a farmaceutické vedy</c:v>
                </c:pt>
                <c:pt idx="4">
                  <c:v>Humanitné vedy</c:v>
                </c:pt>
                <c:pt idx="5">
                  <c:v>Pôdohospodárske vedy</c:v>
                </c:pt>
              </c:strCache>
            </c:strRef>
          </c:cat>
          <c:val>
            <c:numRef>
              <c:f>Hárok9!$C$3:$C$8</c:f>
              <c:numCache>
                <c:formatCode>#,##0.00</c:formatCode>
                <c:ptCount val="6"/>
                <c:pt idx="0">
                  <c:v>4681.9000000000005</c:v>
                </c:pt>
                <c:pt idx="1">
                  <c:v>4232.6000000000004</c:v>
                </c:pt>
                <c:pt idx="2">
                  <c:v>1774.7</c:v>
                </c:pt>
                <c:pt idx="3">
                  <c:v>1536.5</c:v>
                </c:pt>
                <c:pt idx="4" formatCode="General">
                  <c:v>891.4</c:v>
                </c:pt>
                <c:pt idx="5">
                  <c:v>1286.5</c:v>
                </c:pt>
              </c:numCache>
            </c:numRef>
          </c:val>
          <c:smooth val="0"/>
        </c:ser>
        <c:dLbls>
          <c:showLegendKey val="0"/>
          <c:showVal val="0"/>
          <c:showCatName val="0"/>
          <c:showSerName val="0"/>
          <c:showPercent val="0"/>
          <c:showBubbleSize val="0"/>
        </c:dLbls>
        <c:marker val="1"/>
        <c:smooth val="0"/>
        <c:axId val="89559808"/>
        <c:axId val="89561344"/>
      </c:lineChart>
      <c:catAx>
        <c:axId val="89559808"/>
        <c:scaling>
          <c:orientation val="minMax"/>
        </c:scaling>
        <c:delete val="0"/>
        <c:axPos val="b"/>
        <c:majorTickMark val="out"/>
        <c:minorTickMark val="none"/>
        <c:tickLblPos val="nextTo"/>
        <c:txPr>
          <a:bodyPr/>
          <a:lstStyle/>
          <a:p>
            <a:pPr>
              <a:defRPr sz="800"/>
            </a:pPr>
            <a:endParaRPr lang="sk-SK"/>
          </a:p>
        </c:txPr>
        <c:crossAx val="89561344"/>
        <c:crosses val="autoZero"/>
        <c:auto val="1"/>
        <c:lblAlgn val="ctr"/>
        <c:lblOffset val="100"/>
        <c:noMultiLvlLbl val="0"/>
      </c:catAx>
      <c:valAx>
        <c:axId val="89561344"/>
        <c:scaling>
          <c:orientation val="minMax"/>
        </c:scaling>
        <c:delete val="0"/>
        <c:axPos val="l"/>
        <c:majorGridlines/>
        <c:numFmt formatCode="#,##0" sourceLinked="0"/>
        <c:majorTickMark val="out"/>
        <c:minorTickMark val="none"/>
        <c:tickLblPos val="nextTo"/>
        <c:crossAx val="89559808"/>
        <c:crosses val="autoZero"/>
        <c:crossBetween val="between"/>
      </c:val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Hárok10!$B$2</c:f>
              <c:strCache>
                <c:ptCount val="1"/>
                <c:pt idx="0">
                  <c:v>2012</c:v>
                </c:pt>
              </c:strCache>
            </c:strRef>
          </c:tx>
          <c:invertIfNegative val="0"/>
          <c:dLbls>
            <c:numFmt formatCode="#,##0" sourceLinked="0"/>
            <c:showLegendKey val="0"/>
            <c:showVal val="1"/>
            <c:showCatName val="0"/>
            <c:showSerName val="0"/>
            <c:showPercent val="0"/>
            <c:showBubbleSize val="0"/>
            <c:showLeaderLines val="0"/>
          </c:dLbls>
          <c:cat>
            <c:strRef>
              <c:f>Hárok10!$A$3:$A$6</c:f>
              <c:strCache>
                <c:ptCount val="4"/>
                <c:pt idx="0">
                  <c:v>Sektor vysokých škôl</c:v>
                </c:pt>
                <c:pt idx="1">
                  <c:v>Vládny sektor</c:v>
                </c:pt>
                <c:pt idx="2">
                  <c:v>Podnikateľský sektor</c:v>
                </c:pt>
                <c:pt idx="3">
                  <c:v>Súkromný neziskový sektor</c:v>
                </c:pt>
              </c:strCache>
            </c:strRef>
          </c:cat>
          <c:val>
            <c:numRef>
              <c:f>Hárok10!$B$3:$B$6</c:f>
              <c:numCache>
                <c:formatCode>#,##0.00</c:formatCode>
                <c:ptCount val="4"/>
                <c:pt idx="0">
                  <c:v>10123.9</c:v>
                </c:pt>
                <c:pt idx="1">
                  <c:v>4168.3</c:v>
                </c:pt>
                <c:pt idx="2">
                  <c:v>3790.3</c:v>
                </c:pt>
                <c:pt idx="3" formatCode="General">
                  <c:v>44.1</c:v>
                </c:pt>
              </c:numCache>
            </c:numRef>
          </c:val>
        </c:ser>
        <c:dLbls>
          <c:showLegendKey val="0"/>
          <c:showVal val="0"/>
          <c:showCatName val="0"/>
          <c:showSerName val="0"/>
          <c:showPercent val="0"/>
          <c:showBubbleSize val="0"/>
        </c:dLbls>
        <c:gapWidth val="150"/>
        <c:axId val="89477120"/>
        <c:axId val="89478656"/>
      </c:barChart>
      <c:lineChart>
        <c:grouping val="standard"/>
        <c:varyColors val="0"/>
        <c:ser>
          <c:idx val="1"/>
          <c:order val="1"/>
          <c:tx>
            <c:strRef>
              <c:f>Hárok10!$C$2</c:f>
              <c:strCache>
                <c:ptCount val="1"/>
                <c:pt idx="0">
                  <c:v>2005</c:v>
                </c:pt>
              </c:strCache>
            </c:strRef>
          </c:tx>
          <c:spPr>
            <a:ln>
              <a:noFill/>
            </a:ln>
          </c:spPr>
          <c:marker>
            <c:symbol val="diamond"/>
            <c:size val="7"/>
          </c:marker>
          <c:cat>
            <c:strRef>
              <c:f>Hárok10!$A$3:$A$6</c:f>
              <c:strCache>
                <c:ptCount val="4"/>
                <c:pt idx="0">
                  <c:v>Sektor vysokých škôl</c:v>
                </c:pt>
                <c:pt idx="1">
                  <c:v>Vládny sektor</c:v>
                </c:pt>
                <c:pt idx="2">
                  <c:v>Podnikateľský sektor</c:v>
                </c:pt>
                <c:pt idx="3">
                  <c:v>Súkromný neziskový sektor</c:v>
                </c:pt>
              </c:strCache>
            </c:strRef>
          </c:cat>
          <c:val>
            <c:numRef>
              <c:f>Hárok10!$C$3:$C$6</c:f>
              <c:numCache>
                <c:formatCode>#,##0.00</c:formatCode>
                <c:ptCount val="4"/>
                <c:pt idx="0">
                  <c:v>7146.3</c:v>
                </c:pt>
                <c:pt idx="1">
                  <c:v>3717.4</c:v>
                </c:pt>
                <c:pt idx="2">
                  <c:v>3524</c:v>
                </c:pt>
                <c:pt idx="3" formatCode="General">
                  <c:v>15.9</c:v>
                </c:pt>
              </c:numCache>
            </c:numRef>
          </c:val>
          <c:smooth val="0"/>
        </c:ser>
        <c:dLbls>
          <c:showLegendKey val="0"/>
          <c:showVal val="0"/>
          <c:showCatName val="0"/>
          <c:showSerName val="0"/>
          <c:showPercent val="0"/>
          <c:showBubbleSize val="0"/>
        </c:dLbls>
        <c:marker val="1"/>
        <c:smooth val="0"/>
        <c:axId val="89477120"/>
        <c:axId val="89478656"/>
      </c:lineChart>
      <c:catAx>
        <c:axId val="89477120"/>
        <c:scaling>
          <c:orientation val="minMax"/>
        </c:scaling>
        <c:delete val="0"/>
        <c:axPos val="b"/>
        <c:majorTickMark val="out"/>
        <c:minorTickMark val="none"/>
        <c:tickLblPos val="nextTo"/>
        <c:txPr>
          <a:bodyPr/>
          <a:lstStyle/>
          <a:p>
            <a:pPr>
              <a:defRPr sz="800"/>
            </a:pPr>
            <a:endParaRPr lang="sk-SK"/>
          </a:p>
        </c:txPr>
        <c:crossAx val="89478656"/>
        <c:crosses val="autoZero"/>
        <c:auto val="1"/>
        <c:lblAlgn val="ctr"/>
        <c:lblOffset val="100"/>
        <c:noMultiLvlLbl val="0"/>
      </c:catAx>
      <c:valAx>
        <c:axId val="89478656"/>
        <c:scaling>
          <c:orientation val="minMax"/>
        </c:scaling>
        <c:delete val="0"/>
        <c:axPos val="l"/>
        <c:majorGridlines/>
        <c:numFmt formatCode="#,##0" sourceLinked="0"/>
        <c:majorTickMark val="out"/>
        <c:minorTickMark val="none"/>
        <c:tickLblPos val="nextTo"/>
        <c:crossAx val="89477120"/>
        <c:crosses val="autoZero"/>
        <c:crossBetween val="between"/>
      </c:valAx>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Hárok15!$A$22</c:f>
              <c:strCache>
                <c:ptCount val="1"/>
                <c:pt idx="0">
                  <c:v>Spoločenské a humunitné vedy</c:v>
                </c:pt>
              </c:strCache>
            </c:strRef>
          </c:tx>
          <c:marker>
            <c:symbol val="none"/>
          </c:marker>
          <c:cat>
            <c:strRef>
              <c:f>Hárok15!$B$21:$K$21</c:f>
              <c:strCache>
                <c:ptCount val="10"/>
                <c:pt idx="0">
                  <c:v>2003</c:v>
                </c:pt>
                <c:pt idx="1">
                  <c:v>2004</c:v>
                </c:pt>
                <c:pt idx="2">
                  <c:v>2005</c:v>
                </c:pt>
                <c:pt idx="3">
                  <c:v>2006</c:v>
                </c:pt>
                <c:pt idx="4">
                  <c:v>2007</c:v>
                </c:pt>
                <c:pt idx="5">
                  <c:v>2008</c:v>
                </c:pt>
                <c:pt idx="6">
                  <c:v>2009</c:v>
                </c:pt>
                <c:pt idx="7">
                  <c:v>2010</c:v>
                </c:pt>
                <c:pt idx="8">
                  <c:v>2011</c:v>
                </c:pt>
                <c:pt idx="9">
                  <c:v>2012</c:v>
                </c:pt>
              </c:strCache>
            </c:strRef>
          </c:cat>
          <c:val>
            <c:numRef>
              <c:f>Hárok15!$B$22:$K$22</c:f>
              <c:numCache>
                <c:formatCode>#,##0.00</c:formatCode>
                <c:ptCount val="10"/>
                <c:pt idx="0">
                  <c:v>24.284108129246739</c:v>
                </c:pt>
                <c:pt idx="1">
                  <c:v>21.840089819158742</c:v>
                </c:pt>
                <c:pt idx="2">
                  <c:v>22.935748846629863</c:v>
                </c:pt>
                <c:pt idx="3">
                  <c:v>24.573835125448063</c:v>
                </c:pt>
                <c:pt idx="4">
                  <c:v>25.271973635035504</c:v>
                </c:pt>
                <c:pt idx="5">
                  <c:v>25.257708899185172</c:v>
                </c:pt>
                <c:pt idx="6">
                  <c:v>21.864167244413633</c:v>
                </c:pt>
                <c:pt idx="7">
                  <c:v>17.914421335045521</c:v>
                </c:pt>
                <c:pt idx="8">
                  <c:v>17.141277423920734</c:v>
                </c:pt>
                <c:pt idx="9">
                  <c:v>17.314082916599471</c:v>
                </c:pt>
              </c:numCache>
            </c:numRef>
          </c:val>
          <c:smooth val="0"/>
        </c:ser>
        <c:ser>
          <c:idx val="1"/>
          <c:order val="1"/>
          <c:tx>
            <c:strRef>
              <c:f>Hárok15!$A$23</c:f>
              <c:strCache>
                <c:ptCount val="1"/>
                <c:pt idx="0">
                  <c:v>Technické vedy</c:v>
                </c:pt>
              </c:strCache>
            </c:strRef>
          </c:tx>
          <c:marker>
            <c:symbol val="none"/>
          </c:marker>
          <c:cat>
            <c:strRef>
              <c:f>Hárok15!$B$21:$K$21</c:f>
              <c:strCache>
                <c:ptCount val="10"/>
                <c:pt idx="0">
                  <c:v>2003</c:v>
                </c:pt>
                <c:pt idx="1">
                  <c:v>2004</c:v>
                </c:pt>
                <c:pt idx="2">
                  <c:v>2005</c:v>
                </c:pt>
                <c:pt idx="3">
                  <c:v>2006</c:v>
                </c:pt>
                <c:pt idx="4">
                  <c:v>2007</c:v>
                </c:pt>
                <c:pt idx="5">
                  <c:v>2008</c:v>
                </c:pt>
                <c:pt idx="6">
                  <c:v>2009</c:v>
                </c:pt>
                <c:pt idx="7">
                  <c:v>2010</c:v>
                </c:pt>
                <c:pt idx="8">
                  <c:v>2011</c:v>
                </c:pt>
                <c:pt idx="9">
                  <c:v>2012</c:v>
                </c:pt>
              </c:strCache>
            </c:strRef>
          </c:cat>
          <c:val>
            <c:numRef>
              <c:f>Hárok15!$B$23:$K$23</c:f>
              <c:numCache>
                <c:formatCode>0.00</c:formatCode>
                <c:ptCount val="10"/>
                <c:pt idx="0">
                  <c:v>6.9604848601457361</c:v>
                </c:pt>
                <c:pt idx="1">
                  <c:v>7.6848575153659802</c:v>
                </c:pt>
                <c:pt idx="2">
                  <c:v>6.9822080779170852</c:v>
                </c:pt>
                <c:pt idx="3">
                  <c:v>7.0211738016216438</c:v>
                </c:pt>
                <c:pt idx="4">
                  <c:v>7.0069915475320865</c:v>
                </c:pt>
                <c:pt idx="5">
                  <c:v>6.8878524903083624</c:v>
                </c:pt>
                <c:pt idx="6">
                  <c:v>6.3777603367700051</c:v>
                </c:pt>
                <c:pt idx="7">
                  <c:v>5.5491128010139406</c:v>
                </c:pt>
                <c:pt idx="8">
                  <c:v>5.07317437775618</c:v>
                </c:pt>
                <c:pt idx="9">
                  <c:v>4.9696794246709013</c:v>
                </c:pt>
              </c:numCache>
            </c:numRef>
          </c:val>
          <c:smooth val="0"/>
        </c:ser>
        <c:ser>
          <c:idx val="2"/>
          <c:order val="2"/>
          <c:tx>
            <c:strRef>
              <c:f>Hárok15!$A$24</c:f>
              <c:strCache>
                <c:ptCount val="1"/>
                <c:pt idx="0">
                  <c:v>Lekárske a farmaceutické vedy</c:v>
                </c:pt>
              </c:strCache>
            </c:strRef>
          </c:tx>
          <c:marker>
            <c:symbol val="none"/>
          </c:marker>
          <c:cat>
            <c:strRef>
              <c:f>Hárok15!$B$21:$K$21</c:f>
              <c:strCache>
                <c:ptCount val="10"/>
                <c:pt idx="0">
                  <c:v>2003</c:v>
                </c:pt>
                <c:pt idx="1">
                  <c:v>2004</c:v>
                </c:pt>
                <c:pt idx="2">
                  <c:v>2005</c:v>
                </c:pt>
                <c:pt idx="3">
                  <c:v>2006</c:v>
                </c:pt>
                <c:pt idx="4">
                  <c:v>2007</c:v>
                </c:pt>
                <c:pt idx="5">
                  <c:v>2008</c:v>
                </c:pt>
                <c:pt idx="6">
                  <c:v>2009</c:v>
                </c:pt>
                <c:pt idx="7">
                  <c:v>2010</c:v>
                </c:pt>
                <c:pt idx="8">
                  <c:v>2011</c:v>
                </c:pt>
                <c:pt idx="9">
                  <c:v>2012</c:v>
                </c:pt>
              </c:strCache>
            </c:strRef>
          </c:cat>
          <c:val>
            <c:numRef>
              <c:f>Hárok15!$B$24:$K$24</c:f>
              <c:numCache>
                <c:formatCode>0.00</c:formatCode>
                <c:ptCount val="10"/>
                <c:pt idx="0">
                  <c:v>19.466603887805164</c:v>
                </c:pt>
                <c:pt idx="1">
                  <c:v>17.496024594508629</c:v>
                </c:pt>
                <c:pt idx="2">
                  <c:v>21.275626423690206</c:v>
                </c:pt>
                <c:pt idx="3">
                  <c:v>15.778417673716012</c:v>
                </c:pt>
                <c:pt idx="4">
                  <c:v>16.777772225276099</c:v>
                </c:pt>
                <c:pt idx="5">
                  <c:v>17.473043130990416</c:v>
                </c:pt>
                <c:pt idx="6">
                  <c:v>15.999194558797228</c:v>
                </c:pt>
                <c:pt idx="7">
                  <c:v>14.351389002704268</c:v>
                </c:pt>
                <c:pt idx="8">
                  <c:v>15.746566443949519</c:v>
                </c:pt>
                <c:pt idx="9">
                  <c:v>14.730828290127361</c:v>
                </c:pt>
              </c:numCache>
            </c:numRef>
          </c:val>
          <c:smooth val="0"/>
        </c:ser>
        <c:ser>
          <c:idx val="3"/>
          <c:order val="3"/>
          <c:tx>
            <c:strRef>
              <c:f>Hárok15!$A$25</c:f>
              <c:strCache>
                <c:ptCount val="1"/>
                <c:pt idx="0">
                  <c:v>Prírodné vedy</c:v>
                </c:pt>
              </c:strCache>
            </c:strRef>
          </c:tx>
          <c:marker>
            <c:symbol val="none"/>
          </c:marker>
          <c:cat>
            <c:strRef>
              <c:f>Hárok15!$B$21:$K$21</c:f>
              <c:strCache>
                <c:ptCount val="10"/>
                <c:pt idx="0">
                  <c:v>2003</c:v>
                </c:pt>
                <c:pt idx="1">
                  <c:v>2004</c:v>
                </c:pt>
                <c:pt idx="2">
                  <c:v>2005</c:v>
                </c:pt>
                <c:pt idx="3">
                  <c:v>2006</c:v>
                </c:pt>
                <c:pt idx="4">
                  <c:v>2007</c:v>
                </c:pt>
                <c:pt idx="5">
                  <c:v>2008</c:v>
                </c:pt>
                <c:pt idx="6">
                  <c:v>2009</c:v>
                </c:pt>
                <c:pt idx="7">
                  <c:v>2010</c:v>
                </c:pt>
                <c:pt idx="8">
                  <c:v>2011</c:v>
                </c:pt>
                <c:pt idx="9">
                  <c:v>2012</c:v>
                </c:pt>
              </c:strCache>
            </c:strRef>
          </c:cat>
          <c:val>
            <c:numRef>
              <c:f>Hárok15!$B$25:$K$25</c:f>
              <c:numCache>
                <c:formatCode>0.00</c:formatCode>
                <c:ptCount val="10"/>
                <c:pt idx="0">
                  <c:v>1.489431968295905</c:v>
                </c:pt>
                <c:pt idx="1">
                  <c:v>1.4046783625730994</c:v>
                </c:pt>
                <c:pt idx="2">
                  <c:v>1.6843075178377371</c:v>
                </c:pt>
                <c:pt idx="3">
                  <c:v>1.896560160493225</c:v>
                </c:pt>
                <c:pt idx="4">
                  <c:v>1.8820133918263693</c:v>
                </c:pt>
                <c:pt idx="5">
                  <c:v>2.11279296875</c:v>
                </c:pt>
                <c:pt idx="6">
                  <c:v>2.5352540724531969</c:v>
                </c:pt>
                <c:pt idx="7">
                  <c:v>2.2752994176464152</c:v>
                </c:pt>
                <c:pt idx="8">
                  <c:v>2.3693482090428626</c:v>
                </c:pt>
                <c:pt idx="9">
                  <c:v>2.1080516978405743</c:v>
                </c:pt>
              </c:numCache>
            </c:numRef>
          </c:val>
          <c:smooth val="0"/>
        </c:ser>
        <c:ser>
          <c:idx val="4"/>
          <c:order val="4"/>
          <c:tx>
            <c:strRef>
              <c:f>Hárok15!$A$26</c:f>
              <c:strCache>
                <c:ptCount val="1"/>
                <c:pt idx="0">
                  <c:v>Pôdohospodárske vedy</c:v>
                </c:pt>
              </c:strCache>
            </c:strRef>
          </c:tx>
          <c:marker>
            <c:symbol val="none"/>
          </c:marker>
          <c:cat>
            <c:strRef>
              <c:f>Hárok15!$B$21:$K$21</c:f>
              <c:strCache>
                <c:ptCount val="10"/>
                <c:pt idx="0">
                  <c:v>2003</c:v>
                </c:pt>
                <c:pt idx="1">
                  <c:v>2004</c:v>
                </c:pt>
                <c:pt idx="2">
                  <c:v>2005</c:v>
                </c:pt>
                <c:pt idx="3">
                  <c:v>2006</c:v>
                </c:pt>
                <c:pt idx="4">
                  <c:v>2007</c:v>
                </c:pt>
                <c:pt idx="5">
                  <c:v>2008</c:v>
                </c:pt>
                <c:pt idx="6">
                  <c:v>2009</c:v>
                </c:pt>
                <c:pt idx="7">
                  <c:v>2010</c:v>
                </c:pt>
                <c:pt idx="8">
                  <c:v>2011</c:v>
                </c:pt>
                <c:pt idx="9">
                  <c:v>2012</c:v>
                </c:pt>
              </c:strCache>
            </c:strRef>
          </c:cat>
          <c:val>
            <c:numRef>
              <c:f>Hárok15!$B$26:$K$26</c:f>
              <c:numCache>
                <c:formatCode>0.00</c:formatCode>
                <c:ptCount val="10"/>
                <c:pt idx="0">
                  <c:v>5.161154413313672</c:v>
                </c:pt>
                <c:pt idx="1">
                  <c:v>4.8048178783920967</c:v>
                </c:pt>
                <c:pt idx="2">
                  <c:v>4.5355616012436908</c:v>
                </c:pt>
                <c:pt idx="3">
                  <c:v>4.5245772709398278</c:v>
                </c:pt>
                <c:pt idx="4">
                  <c:v>4.0513994535115661</c:v>
                </c:pt>
                <c:pt idx="5">
                  <c:v>4.1281504305917665</c:v>
                </c:pt>
                <c:pt idx="6">
                  <c:v>4.6485981308411271</c:v>
                </c:pt>
                <c:pt idx="7">
                  <c:v>3.5846819196428572</c:v>
                </c:pt>
                <c:pt idx="8">
                  <c:v>3.8754945136970962</c:v>
                </c:pt>
                <c:pt idx="9">
                  <c:v>3.955059710873662</c:v>
                </c:pt>
              </c:numCache>
            </c:numRef>
          </c:val>
          <c:smooth val="0"/>
        </c:ser>
        <c:dLbls>
          <c:showLegendKey val="0"/>
          <c:showVal val="0"/>
          <c:showCatName val="0"/>
          <c:showSerName val="0"/>
          <c:showPercent val="0"/>
          <c:showBubbleSize val="0"/>
        </c:dLbls>
        <c:marker val="1"/>
        <c:smooth val="0"/>
        <c:axId val="89588096"/>
        <c:axId val="89589632"/>
      </c:lineChart>
      <c:catAx>
        <c:axId val="89588096"/>
        <c:scaling>
          <c:orientation val="minMax"/>
        </c:scaling>
        <c:delete val="0"/>
        <c:axPos val="b"/>
        <c:majorTickMark val="out"/>
        <c:minorTickMark val="none"/>
        <c:tickLblPos val="nextTo"/>
        <c:crossAx val="89589632"/>
        <c:crosses val="autoZero"/>
        <c:auto val="1"/>
        <c:lblAlgn val="ctr"/>
        <c:lblOffset val="100"/>
        <c:noMultiLvlLbl val="0"/>
      </c:catAx>
      <c:valAx>
        <c:axId val="89589632"/>
        <c:scaling>
          <c:orientation val="minMax"/>
        </c:scaling>
        <c:delete val="0"/>
        <c:axPos val="l"/>
        <c:majorGridlines/>
        <c:numFmt formatCode="#,##0" sourceLinked="0"/>
        <c:majorTickMark val="out"/>
        <c:minorTickMark val="none"/>
        <c:tickLblPos val="nextTo"/>
        <c:crossAx val="89588096"/>
        <c:crosses val="autoZero"/>
        <c:crossBetween val="between"/>
      </c:valAx>
    </c:plotArea>
    <c:legend>
      <c:legendPos val="t"/>
      <c:overlay val="0"/>
      <c:txPr>
        <a:bodyPr/>
        <a:lstStyle/>
        <a:p>
          <a:pPr>
            <a:defRPr sz="800"/>
          </a:pPr>
          <a:endParaRPr lang="sk-SK"/>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Hárok17!$B$3</c:f>
              <c:strCache>
                <c:ptCount val="1"/>
                <c:pt idx="0">
                  <c:v>Ženy</c:v>
                </c:pt>
              </c:strCache>
            </c:strRef>
          </c:tx>
          <c:invertIfNegative val="0"/>
          <c:dPt>
            <c:idx val="19"/>
            <c:invertIfNegative val="0"/>
            <c:bubble3D val="0"/>
            <c:spPr>
              <a:solidFill>
                <a:srgbClr val="FFFF00"/>
              </a:solidFill>
              <a:ln>
                <a:solidFill>
                  <a:srgbClr val="FFFF00"/>
                </a:solidFill>
              </a:ln>
            </c:spPr>
          </c:dPt>
          <c:dLbls>
            <c:dLbl>
              <c:idx val="19"/>
              <c:showLegendKey val="0"/>
              <c:showVal val="1"/>
              <c:showCatName val="0"/>
              <c:showSerName val="0"/>
              <c:showPercent val="0"/>
              <c:showBubbleSize val="0"/>
            </c:dLbl>
            <c:showLegendKey val="0"/>
            <c:showVal val="0"/>
            <c:showCatName val="0"/>
            <c:showSerName val="0"/>
            <c:showPercent val="0"/>
            <c:showBubbleSize val="0"/>
          </c:dLbls>
          <c:cat>
            <c:strRef>
              <c:f>Hárok17!$A$4:$A$29</c:f>
              <c:strCache>
                <c:ptCount val="26"/>
                <c:pt idx="0">
                  <c:v>Germany</c:v>
                </c:pt>
                <c:pt idx="1">
                  <c:v>Luxembourg</c:v>
                </c:pt>
                <c:pt idx="2">
                  <c:v>Austria</c:v>
                </c:pt>
                <c:pt idx="3">
                  <c:v>Czech Republic</c:v>
                </c:pt>
                <c:pt idx="4">
                  <c:v>Malta</c:v>
                </c:pt>
                <c:pt idx="5">
                  <c:v>Netherlands</c:v>
                </c:pt>
                <c:pt idx="6">
                  <c:v>France</c:v>
                </c:pt>
                <c:pt idx="7">
                  <c:v>Hungary</c:v>
                </c:pt>
                <c:pt idx="8">
                  <c:v>Sweden</c:v>
                </c:pt>
                <c:pt idx="9">
                  <c:v>Ireland</c:v>
                </c:pt>
                <c:pt idx="10">
                  <c:v>Belgium</c:v>
                </c:pt>
                <c:pt idx="11">
                  <c:v>Denmark</c:v>
                </c:pt>
                <c:pt idx="12">
                  <c:v>Italy</c:v>
                </c:pt>
                <c:pt idx="13">
                  <c:v>Slovenia</c:v>
                </c:pt>
                <c:pt idx="14">
                  <c:v>Cyprus</c:v>
                </c:pt>
                <c:pt idx="15">
                  <c:v>Poland</c:v>
                </c:pt>
                <c:pt idx="16">
                  <c:v>Spain</c:v>
                </c:pt>
                <c:pt idx="17">
                  <c:v>Greece</c:v>
                </c:pt>
                <c:pt idx="18">
                  <c:v>Estonia</c:v>
                </c:pt>
                <c:pt idx="19">
                  <c:v>Slovakia</c:v>
                </c:pt>
                <c:pt idx="20">
                  <c:v>Portugal</c:v>
                </c:pt>
                <c:pt idx="21">
                  <c:v>Romania</c:v>
                </c:pt>
                <c:pt idx="22">
                  <c:v>Lithuania</c:v>
                </c:pt>
                <c:pt idx="23">
                  <c:v>Croatia</c:v>
                </c:pt>
                <c:pt idx="24">
                  <c:v>Bulgaria</c:v>
                </c:pt>
                <c:pt idx="25">
                  <c:v>Latvia</c:v>
                </c:pt>
              </c:strCache>
            </c:strRef>
          </c:cat>
          <c:val>
            <c:numRef>
              <c:f>Hárok17!$B$4:$B$29</c:f>
              <c:numCache>
                <c:formatCode>General</c:formatCode>
                <c:ptCount val="26"/>
                <c:pt idx="0">
                  <c:v>22.1</c:v>
                </c:pt>
                <c:pt idx="1">
                  <c:v>22.3</c:v>
                </c:pt>
                <c:pt idx="2">
                  <c:v>22.8</c:v>
                </c:pt>
                <c:pt idx="3">
                  <c:v>25.1</c:v>
                </c:pt>
                <c:pt idx="4">
                  <c:v>25.1</c:v>
                </c:pt>
                <c:pt idx="5">
                  <c:v>25.3</c:v>
                </c:pt>
                <c:pt idx="6">
                  <c:v>26</c:v>
                </c:pt>
                <c:pt idx="7">
                  <c:v>29.9</c:v>
                </c:pt>
                <c:pt idx="8">
                  <c:v>30.2</c:v>
                </c:pt>
                <c:pt idx="9">
                  <c:v>30.3</c:v>
                </c:pt>
                <c:pt idx="10">
                  <c:v>31.7</c:v>
                </c:pt>
                <c:pt idx="11">
                  <c:v>32.6</c:v>
                </c:pt>
                <c:pt idx="12">
                  <c:v>34.9</c:v>
                </c:pt>
                <c:pt idx="13">
                  <c:v>35.300000000000004</c:v>
                </c:pt>
                <c:pt idx="14">
                  <c:v>37.4</c:v>
                </c:pt>
                <c:pt idx="15">
                  <c:v>38.1</c:v>
                </c:pt>
                <c:pt idx="16">
                  <c:v>38.6</c:v>
                </c:pt>
                <c:pt idx="17">
                  <c:v>38.9</c:v>
                </c:pt>
                <c:pt idx="18">
                  <c:v>41.4</c:v>
                </c:pt>
                <c:pt idx="19">
                  <c:v>42.3</c:v>
                </c:pt>
                <c:pt idx="20">
                  <c:v>45.5</c:v>
                </c:pt>
                <c:pt idx="21">
                  <c:v>46</c:v>
                </c:pt>
                <c:pt idx="22">
                  <c:v>48.9</c:v>
                </c:pt>
                <c:pt idx="23">
                  <c:v>49</c:v>
                </c:pt>
                <c:pt idx="24">
                  <c:v>49.9</c:v>
                </c:pt>
                <c:pt idx="25">
                  <c:v>51.8</c:v>
                </c:pt>
              </c:numCache>
            </c:numRef>
          </c:val>
        </c:ser>
        <c:ser>
          <c:idx val="1"/>
          <c:order val="1"/>
          <c:tx>
            <c:strRef>
              <c:f>Hárok17!$C$3</c:f>
              <c:strCache>
                <c:ptCount val="1"/>
                <c:pt idx="0">
                  <c:v>Muži</c:v>
                </c:pt>
              </c:strCache>
            </c:strRef>
          </c:tx>
          <c:invertIfNegative val="0"/>
          <c:dPt>
            <c:idx val="19"/>
            <c:invertIfNegative val="0"/>
            <c:bubble3D val="0"/>
            <c:spPr>
              <a:solidFill>
                <a:schemeClr val="accent3">
                  <a:lumMod val="50000"/>
                </a:schemeClr>
              </a:solidFill>
              <a:ln>
                <a:solidFill>
                  <a:schemeClr val="accent3">
                    <a:lumMod val="50000"/>
                  </a:schemeClr>
                </a:solidFill>
              </a:ln>
            </c:spPr>
          </c:dPt>
          <c:cat>
            <c:strRef>
              <c:f>Hárok17!$A$4:$A$29</c:f>
              <c:strCache>
                <c:ptCount val="26"/>
                <c:pt idx="0">
                  <c:v>Germany</c:v>
                </c:pt>
                <c:pt idx="1">
                  <c:v>Luxembourg</c:v>
                </c:pt>
                <c:pt idx="2">
                  <c:v>Austria</c:v>
                </c:pt>
                <c:pt idx="3">
                  <c:v>Czech Republic</c:v>
                </c:pt>
                <c:pt idx="4">
                  <c:v>Malta</c:v>
                </c:pt>
                <c:pt idx="5">
                  <c:v>Netherlands</c:v>
                </c:pt>
                <c:pt idx="6">
                  <c:v>France</c:v>
                </c:pt>
                <c:pt idx="7">
                  <c:v>Hungary</c:v>
                </c:pt>
                <c:pt idx="8">
                  <c:v>Sweden</c:v>
                </c:pt>
                <c:pt idx="9">
                  <c:v>Ireland</c:v>
                </c:pt>
                <c:pt idx="10">
                  <c:v>Belgium</c:v>
                </c:pt>
                <c:pt idx="11">
                  <c:v>Denmark</c:v>
                </c:pt>
                <c:pt idx="12">
                  <c:v>Italy</c:v>
                </c:pt>
                <c:pt idx="13">
                  <c:v>Slovenia</c:v>
                </c:pt>
                <c:pt idx="14">
                  <c:v>Cyprus</c:v>
                </c:pt>
                <c:pt idx="15">
                  <c:v>Poland</c:v>
                </c:pt>
                <c:pt idx="16">
                  <c:v>Spain</c:v>
                </c:pt>
                <c:pt idx="17">
                  <c:v>Greece</c:v>
                </c:pt>
                <c:pt idx="18">
                  <c:v>Estonia</c:v>
                </c:pt>
                <c:pt idx="19">
                  <c:v>Slovakia</c:v>
                </c:pt>
                <c:pt idx="20">
                  <c:v>Portugal</c:v>
                </c:pt>
                <c:pt idx="21">
                  <c:v>Romania</c:v>
                </c:pt>
                <c:pt idx="22">
                  <c:v>Lithuania</c:v>
                </c:pt>
                <c:pt idx="23">
                  <c:v>Croatia</c:v>
                </c:pt>
                <c:pt idx="24">
                  <c:v>Bulgaria</c:v>
                </c:pt>
                <c:pt idx="25">
                  <c:v>Latvia</c:v>
                </c:pt>
              </c:strCache>
            </c:strRef>
          </c:cat>
          <c:val>
            <c:numRef>
              <c:f>Hárok17!$C$4:$C$29</c:f>
              <c:numCache>
                <c:formatCode>General</c:formatCode>
                <c:ptCount val="26"/>
                <c:pt idx="0">
                  <c:v>77.900000000000006</c:v>
                </c:pt>
                <c:pt idx="1">
                  <c:v>77.7</c:v>
                </c:pt>
                <c:pt idx="2">
                  <c:v>77.2</c:v>
                </c:pt>
                <c:pt idx="3">
                  <c:v>74.900000000000006</c:v>
                </c:pt>
                <c:pt idx="4">
                  <c:v>74.900000000000006</c:v>
                </c:pt>
                <c:pt idx="5">
                  <c:v>74.7</c:v>
                </c:pt>
                <c:pt idx="6">
                  <c:v>74</c:v>
                </c:pt>
                <c:pt idx="7">
                  <c:v>70.099999999999994</c:v>
                </c:pt>
                <c:pt idx="8">
                  <c:v>69.8</c:v>
                </c:pt>
                <c:pt idx="9">
                  <c:v>69.7</c:v>
                </c:pt>
                <c:pt idx="10">
                  <c:v>68.3</c:v>
                </c:pt>
                <c:pt idx="11">
                  <c:v>67.400000000000006</c:v>
                </c:pt>
                <c:pt idx="12">
                  <c:v>65.099999999999994</c:v>
                </c:pt>
                <c:pt idx="13">
                  <c:v>64.7</c:v>
                </c:pt>
                <c:pt idx="14">
                  <c:v>62.6</c:v>
                </c:pt>
                <c:pt idx="15">
                  <c:v>61.9</c:v>
                </c:pt>
                <c:pt idx="16">
                  <c:v>61.4</c:v>
                </c:pt>
                <c:pt idx="17">
                  <c:v>61.1</c:v>
                </c:pt>
                <c:pt idx="18">
                  <c:v>58.6</c:v>
                </c:pt>
                <c:pt idx="19">
                  <c:v>57.7</c:v>
                </c:pt>
                <c:pt idx="20">
                  <c:v>54.5</c:v>
                </c:pt>
                <c:pt idx="21">
                  <c:v>54</c:v>
                </c:pt>
                <c:pt idx="22">
                  <c:v>51.1</c:v>
                </c:pt>
                <c:pt idx="23">
                  <c:v>51</c:v>
                </c:pt>
                <c:pt idx="24">
                  <c:v>50.1</c:v>
                </c:pt>
                <c:pt idx="25">
                  <c:v>48.2</c:v>
                </c:pt>
              </c:numCache>
            </c:numRef>
          </c:val>
        </c:ser>
        <c:dLbls>
          <c:showLegendKey val="0"/>
          <c:showVal val="0"/>
          <c:showCatName val="0"/>
          <c:showSerName val="0"/>
          <c:showPercent val="0"/>
          <c:showBubbleSize val="0"/>
        </c:dLbls>
        <c:gapWidth val="150"/>
        <c:overlap val="100"/>
        <c:axId val="89616384"/>
        <c:axId val="89617920"/>
      </c:barChart>
      <c:catAx>
        <c:axId val="89616384"/>
        <c:scaling>
          <c:orientation val="minMax"/>
        </c:scaling>
        <c:delete val="0"/>
        <c:axPos val="l"/>
        <c:majorTickMark val="out"/>
        <c:minorTickMark val="none"/>
        <c:tickLblPos val="nextTo"/>
        <c:txPr>
          <a:bodyPr/>
          <a:lstStyle/>
          <a:p>
            <a:pPr>
              <a:defRPr sz="800"/>
            </a:pPr>
            <a:endParaRPr lang="sk-SK"/>
          </a:p>
        </c:txPr>
        <c:crossAx val="89617920"/>
        <c:crosses val="autoZero"/>
        <c:auto val="1"/>
        <c:lblAlgn val="ctr"/>
        <c:lblOffset val="100"/>
        <c:noMultiLvlLbl val="0"/>
      </c:catAx>
      <c:valAx>
        <c:axId val="89617920"/>
        <c:scaling>
          <c:orientation val="minMax"/>
        </c:scaling>
        <c:delete val="0"/>
        <c:axPos val="b"/>
        <c:majorGridlines/>
        <c:numFmt formatCode="0%" sourceLinked="1"/>
        <c:majorTickMark val="out"/>
        <c:minorTickMark val="none"/>
        <c:tickLblPos val="nextTo"/>
        <c:crossAx val="89616384"/>
        <c:crosses val="autoZero"/>
        <c:crossBetween val="between"/>
      </c:valAx>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Sheet0!$A$4</c:f>
              <c:strCache>
                <c:ptCount val="1"/>
                <c:pt idx="0">
                  <c:v>Bratislavský kraj</c:v>
                </c:pt>
              </c:strCache>
            </c:strRef>
          </c:tx>
          <c:marker>
            <c:symbol val="none"/>
          </c:marker>
          <c:cat>
            <c:strRef>
              <c:f>Sheet0!$B$3:$L$3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Sheet0!$B$4:$L$4</c:f>
              <c:numCache>
                <c:formatCode>General</c:formatCode>
                <c:ptCount val="11"/>
                <c:pt idx="0">
                  <c:v>1.56</c:v>
                </c:pt>
                <c:pt idx="1">
                  <c:v>1.6600000000000001</c:v>
                </c:pt>
                <c:pt idx="2">
                  <c:v>1.6600000000000001</c:v>
                </c:pt>
                <c:pt idx="3">
                  <c:v>1.9600000000000013</c:v>
                </c:pt>
                <c:pt idx="4">
                  <c:v>1.81</c:v>
                </c:pt>
                <c:pt idx="5">
                  <c:v>1.9800000000000013</c:v>
                </c:pt>
                <c:pt idx="6">
                  <c:v>1.9500000000000013</c:v>
                </c:pt>
                <c:pt idx="7">
                  <c:v>1.9100000000000001</c:v>
                </c:pt>
                <c:pt idx="8">
                  <c:v>2.0299999999999998</c:v>
                </c:pt>
                <c:pt idx="9">
                  <c:v>2.56</c:v>
                </c:pt>
                <c:pt idx="10">
                  <c:v>2.5299999999999998</c:v>
                </c:pt>
              </c:numCache>
            </c:numRef>
          </c:val>
          <c:smooth val="0"/>
        </c:ser>
        <c:ser>
          <c:idx val="1"/>
          <c:order val="1"/>
          <c:tx>
            <c:strRef>
              <c:f>Sheet0!$A$5</c:f>
              <c:strCache>
                <c:ptCount val="1"/>
                <c:pt idx="0">
                  <c:v>Západné Slovensko</c:v>
                </c:pt>
              </c:strCache>
            </c:strRef>
          </c:tx>
          <c:marker>
            <c:symbol val="none"/>
          </c:marker>
          <c:cat>
            <c:strRef>
              <c:f>Sheet0!$B$3:$L$3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Sheet0!$B$5:$L$5</c:f>
              <c:numCache>
                <c:formatCode>General</c:formatCode>
                <c:ptCount val="11"/>
                <c:pt idx="0">
                  <c:v>0.21000000000000016</c:v>
                </c:pt>
                <c:pt idx="1">
                  <c:v>0.18000000000000016</c:v>
                </c:pt>
                <c:pt idx="2">
                  <c:v>0.19</c:v>
                </c:pt>
                <c:pt idx="3">
                  <c:v>0.21000000000000016</c:v>
                </c:pt>
                <c:pt idx="4">
                  <c:v>0.22</c:v>
                </c:pt>
                <c:pt idx="5">
                  <c:v>0.23</c:v>
                </c:pt>
                <c:pt idx="6">
                  <c:v>0.25</c:v>
                </c:pt>
                <c:pt idx="7">
                  <c:v>0.25</c:v>
                </c:pt>
                <c:pt idx="8">
                  <c:v>0.28000000000000008</c:v>
                </c:pt>
                <c:pt idx="9">
                  <c:v>0.31000000000000033</c:v>
                </c:pt>
                <c:pt idx="10">
                  <c:v>0.29000000000000031</c:v>
                </c:pt>
              </c:numCache>
            </c:numRef>
          </c:val>
          <c:smooth val="0"/>
        </c:ser>
        <c:ser>
          <c:idx val="2"/>
          <c:order val="2"/>
          <c:tx>
            <c:strRef>
              <c:f>Sheet0!$A$6</c:f>
              <c:strCache>
                <c:ptCount val="1"/>
                <c:pt idx="0">
                  <c:v>Stredné Slovensko</c:v>
                </c:pt>
              </c:strCache>
            </c:strRef>
          </c:tx>
          <c:marker>
            <c:symbol val="none"/>
          </c:marker>
          <c:cat>
            <c:strRef>
              <c:f>Sheet0!$B$3:$L$3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Sheet0!$B$6:$L$6</c:f>
              <c:numCache>
                <c:formatCode>General</c:formatCode>
                <c:ptCount val="11"/>
                <c:pt idx="0">
                  <c:v>0.24000000000000016</c:v>
                </c:pt>
                <c:pt idx="1">
                  <c:v>0.23</c:v>
                </c:pt>
                <c:pt idx="2">
                  <c:v>0.25</c:v>
                </c:pt>
                <c:pt idx="3">
                  <c:v>0.27</c:v>
                </c:pt>
                <c:pt idx="4">
                  <c:v>0.27</c:v>
                </c:pt>
                <c:pt idx="5">
                  <c:v>0.27</c:v>
                </c:pt>
                <c:pt idx="6">
                  <c:v>0.26</c:v>
                </c:pt>
                <c:pt idx="7">
                  <c:v>0.29000000000000031</c:v>
                </c:pt>
                <c:pt idx="8">
                  <c:v>0.3200000000000004</c:v>
                </c:pt>
                <c:pt idx="9">
                  <c:v>0.34</c:v>
                </c:pt>
                <c:pt idx="10">
                  <c:v>0.34</c:v>
                </c:pt>
              </c:numCache>
            </c:numRef>
          </c:val>
          <c:smooth val="0"/>
        </c:ser>
        <c:ser>
          <c:idx val="3"/>
          <c:order val="3"/>
          <c:tx>
            <c:strRef>
              <c:f>Sheet0!$A$7</c:f>
              <c:strCache>
                <c:ptCount val="1"/>
                <c:pt idx="0">
                  <c:v>Východné Slovensko</c:v>
                </c:pt>
              </c:strCache>
            </c:strRef>
          </c:tx>
          <c:marker>
            <c:symbol val="none"/>
          </c:marker>
          <c:cat>
            <c:strRef>
              <c:f>Sheet0!$B$3:$L$3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Sheet0!$B$7:$L$7</c:f>
              <c:numCache>
                <c:formatCode>General</c:formatCode>
                <c:ptCount val="11"/>
                <c:pt idx="0">
                  <c:v>0.36000000000000032</c:v>
                </c:pt>
                <c:pt idx="1">
                  <c:v>0.30000000000000032</c:v>
                </c:pt>
                <c:pt idx="2">
                  <c:v>0.30000000000000032</c:v>
                </c:pt>
                <c:pt idx="3">
                  <c:v>0.33000000000000046</c:v>
                </c:pt>
                <c:pt idx="4">
                  <c:v>0.35000000000000031</c:v>
                </c:pt>
                <c:pt idx="5">
                  <c:v>0.36000000000000032</c:v>
                </c:pt>
                <c:pt idx="6">
                  <c:v>0.3900000000000004</c:v>
                </c:pt>
                <c:pt idx="7">
                  <c:v>0.36000000000000032</c:v>
                </c:pt>
                <c:pt idx="8">
                  <c:v>0.37000000000000033</c:v>
                </c:pt>
                <c:pt idx="9">
                  <c:v>0.4</c:v>
                </c:pt>
                <c:pt idx="10">
                  <c:v>0.41000000000000031</c:v>
                </c:pt>
              </c:numCache>
            </c:numRef>
          </c:val>
          <c:smooth val="0"/>
        </c:ser>
        <c:dLbls>
          <c:showLegendKey val="0"/>
          <c:showVal val="0"/>
          <c:showCatName val="0"/>
          <c:showSerName val="0"/>
          <c:showPercent val="0"/>
          <c:showBubbleSize val="0"/>
        </c:dLbls>
        <c:marker val="1"/>
        <c:smooth val="0"/>
        <c:axId val="89648512"/>
        <c:axId val="89650304"/>
      </c:lineChart>
      <c:catAx>
        <c:axId val="89648512"/>
        <c:scaling>
          <c:orientation val="minMax"/>
        </c:scaling>
        <c:delete val="0"/>
        <c:axPos val="b"/>
        <c:majorTickMark val="out"/>
        <c:minorTickMark val="none"/>
        <c:tickLblPos val="nextTo"/>
        <c:crossAx val="89650304"/>
        <c:crosses val="autoZero"/>
        <c:auto val="1"/>
        <c:lblAlgn val="ctr"/>
        <c:lblOffset val="100"/>
        <c:noMultiLvlLbl val="0"/>
      </c:catAx>
      <c:valAx>
        <c:axId val="89650304"/>
        <c:scaling>
          <c:orientation val="minMax"/>
        </c:scaling>
        <c:delete val="0"/>
        <c:axPos val="l"/>
        <c:majorGridlines/>
        <c:numFmt formatCode="General" sourceLinked="1"/>
        <c:majorTickMark val="out"/>
        <c:minorTickMark val="none"/>
        <c:tickLblPos val="nextTo"/>
        <c:crossAx val="89648512"/>
        <c:crosses val="autoZero"/>
        <c:crossBetween val="between"/>
      </c:valAx>
    </c:plotArea>
    <c:legend>
      <c:legendPos val="t"/>
      <c:overlay val="0"/>
      <c:txPr>
        <a:bodyPr/>
        <a:lstStyle/>
        <a:p>
          <a:pPr>
            <a:defRPr sz="800"/>
          </a:pPr>
          <a:endParaRPr lang="sk-SK"/>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Hárok11!$B$4</c:f>
              <c:strCache>
                <c:ptCount val="1"/>
                <c:pt idx="0">
                  <c:v>2012</c:v>
                </c:pt>
              </c:strCache>
            </c:strRef>
          </c:tx>
          <c:invertIfNegative val="0"/>
          <c:dPt>
            <c:idx val="22"/>
            <c:invertIfNegative val="0"/>
            <c:bubble3D val="0"/>
            <c:spPr>
              <a:solidFill>
                <a:srgbClr val="FFFF00"/>
              </a:solidFill>
              <a:ln>
                <a:solidFill>
                  <a:srgbClr val="FFFF00"/>
                </a:solidFill>
              </a:ln>
            </c:spPr>
          </c:dPt>
          <c:dLbls>
            <c:dLbl>
              <c:idx val="22"/>
              <c:showLegendKey val="0"/>
              <c:showVal val="1"/>
              <c:showCatName val="0"/>
              <c:showSerName val="0"/>
              <c:showPercent val="0"/>
              <c:showBubbleSize val="0"/>
            </c:dLbl>
            <c:showLegendKey val="0"/>
            <c:showVal val="0"/>
            <c:showCatName val="0"/>
            <c:showSerName val="0"/>
            <c:showPercent val="0"/>
            <c:showBubbleSize val="0"/>
          </c:dLbls>
          <c:cat>
            <c:strRef>
              <c:f>Hárok11!$A$5:$A$33</c:f>
              <c:strCache>
                <c:ptCount val="29"/>
                <c:pt idx="0">
                  <c:v>Finland</c:v>
                </c:pt>
                <c:pt idx="1">
                  <c:v>Sweden</c:v>
                </c:pt>
                <c:pt idx="2">
                  <c:v>Denmark</c:v>
                </c:pt>
                <c:pt idx="3">
                  <c:v>Germany</c:v>
                </c:pt>
                <c:pt idx="4">
                  <c:v>Austria</c:v>
                </c:pt>
                <c:pt idx="5">
                  <c:v>Slovenia</c:v>
                </c:pt>
                <c:pt idx="6">
                  <c:v>France</c:v>
                </c:pt>
                <c:pt idx="7">
                  <c:v>Belgium</c:v>
                </c:pt>
                <c:pt idx="8">
                  <c:v>Estonia</c:v>
                </c:pt>
                <c:pt idx="9">
                  <c:v>Netherlands</c:v>
                </c:pt>
                <c:pt idx="10">
                  <c:v>EU (28 countries)</c:v>
                </c:pt>
                <c:pt idx="11">
                  <c:v>Czech Republic</c:v>
                </c:pt>
                <c:pt idx="12">
                  <c:v>Ireland</c:v>
                </c:pt>
                <c:pt idx="13">
                  <c:v>United Kingdom</c:v>
                </c:pt>
                <c:pt idx="14">
                  <c:v>Luxembourg</c:v>
                </c:pt>
                <c:pt idx="15">
                  <c:v>Portugal</c:v>
                </c:pt>
                <c:pt idx="16">
                  <c:v>Spain</c:v>
                </c:pt>
                <c:pt idx="17">
                  <c:v>Hungary</c:v>
                </c:pt>
                <c:pt idx="18">
                  <c:v>Italy</c:v>
                </c:pt>
                <c:pt idx="19">
                  <c:v>Lithuania</c:v>
                </c:pt>
                <c:pt idx="20">
                  <c:v>Poland</c:v>
                </c:pt>
                <c:pt idx="21">
                  <c:v>Malta</c:v>
                </c:pt>
                <c:pt idx="22">
                  <c:v>Slovakia</c:v>
                </c:pt>
                <c:pt idx="23">
                  <c:v>Croatia</c:v>
                </c:pt>
                <c:pt idx="24">
                  <c:v>Greece</c:v>
                </c:pt>
                <c:pt idx="25">
                  <c:v>Latvia</c:v>
                </c:pt>
                <c:pt idx="26">
                  <c:v>Bulgaria</c:v>
                </c:pt>
                <c:pt idx="27">
                  <c:v>Cyprus</c:v>
                </c:pt>
                <c:pt idx="28">
                  <c:v>Romania</c:v>
                </c:pt>
              </c:strCache>
            </c:strRef>
          </c:cat>
          <c:val>
            <c:numRef>
              <c:f>Hárok11!$B$5:$B$33</c:f>
              <c:numCache>
                <c:formatCode>General</c:formatCode>
                <c:ptCount val="29"/>
                <c:pt idx="0">
                  <c:v>3.55</c:v>
                </c:pt>
                <c:pt idx="1">
                  <c:v>3.4099999999999997</c:v>
                </c:pt>
                <c:pt idx="2">
                  <c:v>2.9899999999999998</c:v>
                </c:pt>
                <c:pt idx="3">
                  <c:v>2.92</c:v>
                </c:pt>
                <c:pt idx="4">
                  <c:v>2.84</c:v>
                </c:pt>
                <c:pt idx="5">
                  <c:v>2.8</c:v>
                </c:pt>
                <c:pt idx="6">
                  <c:v>2.2599999999999998</c:v>
                </c:pt>
                <c:pt idx="7">
                  <c:v>2.2400000000000002</c:v>
                </c:pt>
                <c:pt idx="8">
                  <c:v>2.1800000000000002</c:v>
                </c:pt>
                <c:pt idx="9">
                  <c:v>2.16</c:v>
                </c:pt>
                <c:pt idx="10">
                  <c:v>2.06</c:v>
                </c:pt>
                <c:pt idx="11">
                  <c:v>1.8800000000000001</c:v>
                </c:pt>
                <c:pt idx="12">
                  <c:v>1.72</c:v>
                </c:pt>
                <c:pt idx="13">
                  <c:v>1.72</c:v>
                </c:pt>
                <c:pt idx="14">
                  <c:v>1.51</c:v>
                </c:pt>
                <c:pt idx="15">
                  <c:v>1.5</c:v>
                </c:pt>
                <c:pt idx="16">
                  <c:v>1.3</c:v>
                </c:pt>
                <c:pt idx="17">
                  <c:v>1.3</c:v>
                </c:pt>
                <c:pt idx="18">
                  <c:v>1.27</c:v>
                </c:pt>
                <c:pt idx="19">
                  <c:v>0.9</c:v>
                </c:pt>
                <c:pt idx="20">
                  <c:v>0.9</c:v>
                </c:pt>
                <c:pt idx="21">
                  <c:v>0.84000000000000064</c:v>
                </c:pt>
                <c:pt idx="22">
                  <c:v>0.82000000000000062</c:v>
                </c:pt>
                <c:pt idx="23">
                  <c:v>0.75000000000000078</c:v>
                </c:pt>
                <c:pt idx="24">
                  <c:v>0.69000000000000061</c:v>
                </c:pt>
                <c:pt idx="25">
                  <c:v>0.66000000000000092</c:v>
                </c:pt>
                <c:pt idx="26">
                  <c:v>0.64000000000000079</c:v>
                </c:pt>
                <c:pt idx="27">
                  <c:v>0.47000000000000008</c:v>
                </c:pt>
                <c:pt idx="28">
                  <c:v>0.42000000000000032</c:v>
                </c:pt>
              </c:numCache>
            </c:numRef>
          </c:val>
        </c:ser>
        <c:dLbls>
          <c:showLegendKey val="0"/>
          <c:showVal val="0"/>
          <c:showCatName val="0"/>
          <c:showSerName val="0"/>
          <c:showPercent val="0"/>
          <c:showBubbleSize val="0"/>
        </c:dLbls>
        <c:gapWidth val="150"/>
        <c:axId val="99463168"/>
        <c:axId val="99464704"/>
      </c:barChart>
      <c:lineChart>
        <c:grouping val="standard"/>
        <c:varyColors val="0"/>
        <c:ser>
          <c:idx val="1"/>
          <c:order val="1"/>
          <c:tx>
            <c:strRef>
              <c:f>Hárok11!$C$4</c:f>
              <c:strCache>
                <c:ptCount val="1"/>
                <c:pt idx="0">
                  <c:v>2005</c:v>
                </c:pt>
              </c:strCache>
            </c:strRef>
          </c:tx>
          <c:spPr>
            <a:ln>
              <a:noFill/>
            </a:ln>
          </c:spPr>
          <c:marker>
            <c:symbol val="diamond"/>
            <c:size val="7"/>
          </c:marker>
          <c:cat>
            <c:strRef>
              <c:f>Hárok11!$A$5:$A$33</c:f>
              <c:strCache>
                <c:ptCount val="29"/>
                <c:pt idx="0">
                  <c:v>Finland</c:v>
                </c:pt>
                <c:pt idx="1">
                  <c:v>Sweden</c:v>
                </c:pt>
                <c:pt idx="2">
                  <c:v>Denmark</c:v>
                </c:pt>
                <c:pt idx="3">
                  <c:v>Germany</c:v>
                </c:pt>
                <c:pt idx="4">
                  <c:v>Austria</c:v>
                </c:pt>
                <c:pt idx="5">
                  <c:v>Slovenia</c:v>
                </c:pt>
                <c:pt idx="6">
                  <c:v>France</c:v>
                </c:pt>
                <c:pt idx="7">
                  <c:v>Belgium</c:v>
                </c:pt>
                <c:pt idx="8">
                  <c:v>Estonia</c:v>
                </c:pt>
                <c:pt idx="9">
                  <c:v>Netherlands</c:v>
                </c:pt>
                <c:pt idx="10">
                  <c:v>EU (28 countries)</c:v>
                </c:pt>
                <c:pt idx="11">
                  <c:v>Czech Republic</c:v>
                </c:pt>
                <c:pt idx="12">
                  <c:v>Ireland</c:v>
                </c:pt>
                <c:pt idx="13">
                  <c:v>United Kingdom</c:v>
                </c:pt>
                <c:pt idx="14">
                  <c:v>Luxembourg</c:v>
                </c:pt>
                <c:pt idx="15">
                  <c:v>Portugal</c:v>
                </c:pt>
                <c:pt idx="16">
                  <c:v>Spain</c:v>
                </c:pt>
                <c:pt idx="17">
                  <c:v>Hungary</c:v>
                </c:pt>
                <c:pt idx="18">
                  <c:v>Italy</c:v>
                </c:pt>
                <c:pt idx="19">
                  <c:v>Lithuania</c:v>
                </c:pt>
                <c:pt idx="20">
                  <c:v>Poland</c:v>
                </c:pt>
                <c:pt idx="21">
                  <c:v>Malta</c:v>
                </c:pt>
                <c:pt idx="22">
                  <c:v>Slovakia</c:v>
                </c:pt>
                <c:pt idx="23">
                  <c:v>Croatia</c:v>
                </c:pt>
                <c:pt idx="24">
                  <c:v>Greece</c:v>
                </c:pt>
                <c:pt idx="25">
                  <c:v>Latvia</c:v>
                </c:pt>
                <c:pt idx="26">
                  <c:v>Bulgaria</c:v>
                </c:pt>
                <c:pt idx="27">
                  <c:v>Cyprus</c:v>
                </c:pt>
                <c:pt idx="28">
                  <c:v>Romania</c:v>
                </c:pt>
              </c:strCache>
            </c:strRef>
          </c:cat>
          <c:val>
            <c:numRef>
              <c:f>Hárok11!$C$5:$C$33</c:f>
              <c:numCache>
                <c:formatCode>General</c:formatCode>
                <c:ptCount val="29"/>
                <c:pt idx="0">
                  <c:v>3.48</c:v>
                </c:pt>
                <c:pt idx="1">
                  <c:v>3.56</c:v>
                </c:pt>
                <c:pt idx="2">
                  <c:v>2.46</c:v>
                </c:pt>
                <c:pt idx="3">
                  <c:v>2.5099999999999998</c:v>
                </c:pt>
                <c:pt idx="4">
                  <c:v>2.46</c:v>
                </c:pt>
                <c:pt idx="5">
                  <c:v>1.44</c:v>
                </c:pt>
                <c:pt idx="6">
                  <c:v>2.11</c:v>
                </c:pt>
                <c:pt idx="7">
                  <c:v>1.83</c:v>
                </c:pt>
                <c:pt idx="8">
                  <c:v>0.93</c:v>
                </c:pt>
                <c:pt idx="9">
                  <c:v>1.9000000000000001</c:v>
                </c:pt>
                <c:pt idx="10">
                  <c:v>1.82</c:v>
                </c:pt>
                <c:pt idx="11">
                  <c:v>1.22</c:v>
                </c:pt>
                <c:pt idx="12">
                  <c:v>1.25</c:v>
                </c:pt>
                <c:pt idx="13">
                  <c:v>1.7</c:v>
                </c:pt>
                <c:pt idx="14">
                  <c:v>1.56</c:v>
                </c:pt>
                <c:pt idx="15">
                  <c:v>0.78</c:v>
                </c:pt>
                <c:pt idx="16">
                  <c:v>1.1200000000000001</c:v>
                </c:pt>
                <c:pt idx="17">
                  <c:v>0.94000000000000061</c:v>
                </c:pt>
                <c:pt idx="18">
                  <c:v>1.0900000000000001</c:v>
                </c:pt>
                <c:pt idx="19">
                  <c:v>0.75000000000000078</c:v>
                </c:pt>
                <c:pt idx="20">
                  <c:v>0.56999999999999995</c:v>
                </c:pt>
                <c:pt idx="21">
                  <c:v>0.55000000000000004</c:v>
                </c:pt>
                <c:pt idx="22">
                  <c:v>0.51</c:v>
                </c:pt>
                <c:pt idx="23">
                  <c:v>0.87000000000000066</c:v>
                </c:pt>
                <c:pt idx="24">
                  <c:v>0.60000000000000064</c:v>
                </c:pt>
                <c:pt idx="25">
                  <c:v>0.56000000000000005</c:v>
                </c:pt>
                <c:pt idx="26">
                  <c:v>0.46</c:v>
                </c:pt>
                <c:pt idx="27">
                  <c:v>0.41000000000000031</c:v>
                </c:pt>
                <c:pt idx="28">
                  <c:v>0.41000000000000031</c:v>
                </c:pt>
              </c:numCache>
            </c:numRef>
          </c:val>
          <c:smooth val="0"/>
        </c:ser>
        <c:dLbls>
          <c:showLegendKey val="0"/>
          <c:showVal val="0"/>
          <c:showCatName val="0"/>
          <c:showSerName val="0"/>
          <c:showPercent val="0"/>
          <c:showBubbleSize val="0"/>
        </c:dLbls>
        <c:marker val="1"/>
        <c:smooth val="0"/>
        <c:axId val="99463168"/>
        <c:axId val="99464704"/>
      </c:lineChart>
      <c:catAx>
        <c:axId val="99463168"/>
        <c:scaling>
          <c:orientation val="minMax"/>
        </c:scaling>
        <c:delete val="0"/>
        <c:axPos val="b"/>
        <c:majorTickMark val="out"/>
        <c:minorTickMark val="none"/>
        <c:tickLblPos val="nextTo"/>
        <c:txPr>
          <a:bodyPr/>
          <a:lstStyle/>
          <a:p>
            <a:pPr>
              <a:defRPr sz="800"/>
            </a:pPr>
            <a:endParaRPr lang="sk-SK"/>
          </a:p>
        </c:txPr>
        <c:crossAx val="99464704"/>
        <c:crosses val="autoZero"/>
        <c:auto val="1"/>
        <c:lblAlgn val="ctr"/>
        <c:lblOffset val="100"/>
        <c:noMultiLvlLbl val="0"/>
      </c:catAx>
      <c:valAx>
        <c:axId val="99464704"/>
        <c:scaling>
          <c:orientation val="minMax"/>
        </c:scaling>
        <c:delete val="0"/>
        <c:axPos val="l"/>
        <c:majorGridlines/>
        <c:numFmt formatCode="General" sourceLinked="1"/>
        <c:majorTickMark val="out"/>
        <c:minorTickMark val="none"/>
        <c:tickLblPos val="nextTo"/>
        <c:crossAx val="99463168"/>
        <c:crosses val="autoZero"/>
        <c:crossBetween val="between"/>
      </c:valAx>
    </c:plotArea>
    <c:legend>
      <c:legendPos val="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Hárok12!$B$2</c:f>
              <c:strCache>
                <c:ptCount val="1"/>
                <c:pt idx="0">
                  <c:v>Business enterprise sector</c:v>
                </c:pt>
              </c:strCache>
            </c:strRef>
          </c:tx>
          <c:invertIfNegative val="0"/>
          <c:dLbls>
            <c:dLbl>
              <c:idx val="8"/>
              <c:showLegendKey val="0"/>
              <c:showVal val="1"/>
              <c:showCatName val="0"/>
              <c:showSerName val="0"/>
              <c:showPercent val="0"/>
              <c:showBubbleSize val="0"/>
            </c:dLbl>
            <c:showLegendKey val="0"/>
            <c:showVal val="0"/>
            <c:showCatName val="0"/>
            <c:showSerName val="0"/>
            <c:showPercent val="0"/>
            <c:showBubbleSize val="0"/>
          </c:dLbls>
          <c:cat>
            <c:strRef>
              <c:f>Hárok12!$A$3:$A$30</c:f>
              <c:strCache>
                <c:ptCount val="28"/>
                <c:pt idx="0">
                  <c:v>Cyprus</c:v>
                </c:pt>
                <c:pt idx="1">
                  <c:v>Bulgaria</c:v>
                </c:pt>
                <c:pt idx="2">
                  <c:v>Latvia</c:v>
                </c:pt>
                <c:pt idx="3">
                  <c:v>Lithuania</c:v>
                </c:pt>
                <c:pt idx="4">
                  <c:v>Greece</c:v>
                </c:pt>
                <c:pt idx="5">
                  <c:v>Romania</c:v>
                </c:pt>
                <c:pt idx="6">
                  <c:v>Poland</c:v>
                </c:pt>
                <c:pt idx="7">
                  <c:v>Czech Republic</c:v>
                </c:pt>
                <c:pt idx="8">
                  <c:v>Slovakia</c:v>
                </c:pt>
                <c:pt idx="9">
                  <c:v>Croatia</c:v>
                </c:pt>
                <c:pt idx="10">
                  <c:v>Austria</c:v>
                </c:pt>
                <c:pt idx="11">
                  <c:v>Portugal</c:v>
                </c:pt>
                <c:pt idx="12">
                  <c:v>Spain</c:v>
                </c:pt>
                <c:pt idx="13">
                  <c:v>Luxembourg</c:v>
                </c:pt>
                <c:pt idx="14">
                  <c:v>Italy</c:v>
                </c:pt>
                <c:pt idx="15">
                  <c:v>United Kingdom</c:v>
                </c:pt>
                <c:pt idx="16">
                  <c:v>Malta</c:v>
                </c:pt>
                <c:pt idx="17">
                  <c:v>Hungary</c:v>
                </c:pt>
                <c:pt idx="18">
                  <c:v>Ireland</c:v>
                </c:pt>
                <c:pt idx="19">
                  <c:v>Netherlands</c:v>
                </c:pt>
                <c:pt idx="20">
                  <c:v>Estonia</c:v>
                </c:pt>
                <c:pt idx="21">
                  <c:v>France</c:v>
                </c:pt>
                <c:pt idx="22">
                  <c:v>Sweden</c:v>
                </c:pt>
                <c:pt idx="23">
                  <c:v>Denmark</c:v>
                </c:pt>
                <c:pt idx="24">
                  <c:v>Belgium</c:v>
                </c:pt>
                <c:pt idx="25">
                  <c:v>Slovenia</c:v>
                </c:pt>
                <c:pt idx="26">
                  <c:v>Finland</c:v>
                </c:pt>
                <c:pt idx="27">
                  <c:v>Germany</c:v>
                </c:pt>
              </c:strCache>
            </c:strRef>
          </c:cat>
          <c:val>
            <c:numRef>
              <c:f>Hárok12!$B$3:$B$30</c:f>
              <c:numCache>
                <c:formatCode>General</c:formatCode>
                <c:ptCount val="28"/>
                <c:pt idx="0">
                  <c:v>11</c:v>
                </c:pt>
                <c:pt idx="1">
                  <c:v>16.899999999999999</c:v>
                </c:pt>
                <c:pt idx="2">
                  <c:v>23.8</c:v>
                </c:pt>
                <c:pt idx="3">
                  <c:v>26.1</c:v>
                </c:pt>
                <c:pt idx="4">
                  <c:v>31</c:v>
                </c:pt>
                <c:pt idx="5">
                  <c:v>32.1</c:v>
                </c:pt>
                <c:pt idx="6">
                  <c:v>32.300000000000004</c:v>
                </c:pt>
                <c:pt idx="7">
                  <c:v>36.4</c:v>
                </c:pt>
                <c:pt idx="8">
                  <c:v>37.700000000000003</c:v>
                </c:pt>
                <c:pt idx="9">
                  <c:v>38.200000000000003</c:v>
                </c:pt>
                <c:pt idx="10">
                  <c:v>43.8</c:v>
                </c:pt>
                <c:pt idx="11">
                  <c:v>44</c:v>
                </c:pt>
                <c:pt idx="12">
                  <c:v>44.3</c:v>
                </c:pt>
                <c:pt idx="13">
                  <c:v>44.3</c:v>
                </c:pt>
                <c:pt idx="14">
                  <c:v>45.1</c:v>
                </c:pt>
                <c:pt idx="15">
                  <c:v>45.6</c:v>
                </c:pt>
                <c:pt idx="16">
                  <c:v>46.6</c:v>
                </c:pt>
                <c:pt idx="17">
                  <c:v>46.9</c:v>
                </c:pt>
                <c:pt idx="18">
                  <c:v>48.6</c:v>
                </c:pt>
                <c:pt idx="19">
                  <c:v>49.9</c:v>
                </c:pt>
                <c:pt idx="20">
                  <c:v>51.2</c:v>
                </c:pt>
                <c:pt idx="21">
                  <c:v>55</c:v>
                </c:pt>
                <c:pt idx="22">
                  <c:v>57.3</c:v>
                </c:pt>
                <c:pt idx="23">
                  <c:v>60.1</c:v>
                </c:pt>
                <c:pt idx="24">
                  <c:v>60.2</c:v>
                </c:pt>
                <c:pt idx="25">
                  <c:v>62.8</c:v>
                </c:pt>
                <c:pt idx="26">
                  <c:v>63.1</c:v>
                </c:pt>
                <c:pt idx="27">
                  <c:v>65.599999999999994</c:v>
                </c:pt>
              </c:numCache>
            </c:numRef>
          </c:val>
        </c:ser>
        <c:ser>
          <c:idx val="1"/>
          <c:order val="1"/>
          <c:tx>
            <c:strRef>
              <c:f>Hárok12!$C$2</c:f>
              <c:strCache>
                <c:ptCount val="1"/>
                <c:pt idx="0">
                  <c:v>Government sector</c:v>
                </c:pt>
              </c:strCache>
            </c:strRef>
          </c:tx>
          <c:invertIfNegative val="0"/>
          <c:dLbls>
            <c:dLbl>
              <c:idx val="8"/>
              <c:showLegendKey val="0"/>
              <c:showVal val="1"/>
              <c:showCatName val="0"/>
              <c:showSerName val="0"/>
              <c:showPercent val="0"/>
              <c:showBubbleSize val="0"/>
            </c:dLbl>
            <c:showLegendKey val="0"/>
            <c:showVal val="0"/>
            <c:showCatName val="0"/>
            <c:showSerName val="0"/>
            <c:showPercent val="0"/>
            <c:showBubbleSize val="0"/>
          </c:dLbls>
          <c:cat>
            <c:strRef>
              <c:f>Hárok12!$A$3:$A$30</c:f>
              <c:strCache>
                <c:ptCount val="28"/>
                <c:pt idx="0">
                  <c:v>Cyprus</c:v>
                </c:pt>
                <c:pt idx="1">
                  <c:v>Bulgaria</c:v>
                </c:pt>
                <c:pt idx="2">
                  <c:v>Latvia</c:v>
                </c:pt>
                <c:pt idx="3">
                  <c:v>Lithuania</c:v>
                </c:pt>
                <c:pt idx="4">
                  <c:v>Greece</c:v>
                </c:pt>
                <c:pt idx="5">
                  <c:v>Romania</c:v>
                </c:pt>
                <c:pt idx="6">
                  <c:v>Poland</c:v>
                </c:pt>
                <c:pt idx="7">
                  <c:v>Czech Republic</c:v>
                </c:pt>
                <c:pt idx="8">
                  <c:v>Slovakia</c:v>
                </c:pt>
                <c:pt idx="9">
                  <c:v>Croatia</c:v>
                </c:pt>
                <c:pt idx="10">
                  <c:v>Austria</c:v>
                </c:pt>
                <c:pt idx="11">
                  <c:v>Portugal</c:v>
                </c:pt>
                <c:pt idx="12">
                  <c:v>Spain</c:v>
                </c:pt>
                <c:pt idx="13">
                  <c:v>Luxembourg</c:v>
                </c:pt>
                <c:pt idx="14">
                  <c:v>Italy</c:v>
                </c:pt>
                <c:pt idx="15">
                  <c:v>United Kingdom</c:v>
                </c:pt>
                <c:pt idx="16">
                  <c:v>Malta</c:v>
                </c:pt>
                <c:pt idx="17">
                  <c:v>Hungary</c:v>
                </c:pt>
                <c:pt idx="18">
                  <c:v>Ireland</c:v>
                </c:pt>
                <c:pt idx="19">
                  <c:v>Netherlands</c:v>
                </c:pt>
                <c:pt idx="20">
                  <c:v>Estonia</c:v>
                </c:pt>
                <c:pt idx="21">
                  <c:v>France</c:v>
                </c:pt>
                <c:pt idx="22">
                  <c:v>Sweden</c:v>
                </c:pt>
                <c:pt idx="23">
                  <c:v>Denmark</c:v>
                </c:pt>
                <c:pt idx="24">
                  <c:v>Belgium</c:v>
                </c:pt>
                <c:pt idx="25">
                  <c:v>Slovenia</c:v>
                </c:pt>
                <c:pt idx="26">
                  <c:v>Finland</c:v>
                </c:pt>
                <c:pt idx="27">
                  <c:v>Germany</c:v>
                </c:pt>
              </c:strCache>
            </c:strRef>
          </c:cat>
          <c:val>
            <c:numRef>
              <c:f>Hárok12!$C$3:$C$30</c:f>
              <c:numCache>
                <c:formatCode>General</c:formatCode>
                <c:ptCount val="28"/>
                <c:pt idx="0">
                  <c:v>70.599999999999994</c:v>
                </c:pt>
                <c:pt idx="1">
                  <c:v>38.800000000000004</c:v>
                </c:pt>
                <c:pt idx="2">
                  <c:v>23.9</c:v>
                </c:pt>
                <c:pt idx="3">
                  <c:v>39.9</c:v>
                </c:pt>
                <c:pt idx="4">
                  <c:v>50.4</c:v>
                </c:pt>
                <c:pt idx="5">
                  <c:v>53.5</c:v>
                </c:pt>
                <c:pt idx="6">
                  <c:v>51.3</c:v>
                </c:pt>
                <c:pt idx="7">
                  <c:v>36.800000000000004</c:v>
                </c:pt>
                <c:pt idx="8">
                  <c:v>41.6</c:v>
                </c:pt>
                <c:pt idx="9">
                  <c:v>45.5</c:v>
                </c:pt>
                <c:pt idx="10">
                  <c:v>40.4</c:v>
                </c:pt>
                <c:pt idx="11">
                  <c:v>41.8</c:v>
                </c:pt>
                <c:pt idx="12">
                  <c:v>44.5</c:v>
                </c:pt>
                <c:pt idx="13">
                  <c:v>34.800000000000004</c:v>
                </c:pt>
                <c:pt idx="14">
                  <c:v>41.9</c:v>
                </c:pt>
                <c:pt idx="15">
                  <c:v>28.9</c:v>
                </c:pt>
                <c:pt idx="16">
                  <c:v>34.4</c:v>
                </c:pt>
                <c:pt idx="17">
                  <c:v>36.9</c:v>
                </c:pt>
                <c:pt idx="18">
                  <c:v>29.8</c:v>
                </c:pt>
                <c:pt idx="19">
                  <c:v>35.5</c:v>
                </c:pt>
                <c:pt idx="20">
                  <c:v>38.4</c:v>
                </c:pt>
                <c:pt idx="21">
                  <c:v>35.4</c:v>
                </c:pt>
                <c:pt idx="22">
                  <c:v>27.7</c:v>
                </c:pt>
                <c:pt idx="23">
                  <c:v>29</c:v>
                </c:pt>
                <c:pt idx="24">
                  <c:v>23.4</c:v>
                </c:pt>
                <c:pt idx="25">
                  <c:v>28.1</c:v>
                </c:pt>
                <c:pt idx="26">
                  <c:v>26.7</c:v>
                </c:pt>
                <c:pt idx="27">
                  <c:v>29.8</c:v>
                </c:pt>
              </c:numCache>
            </c:numRef>
          </c:val>
        </c:ser>
        <c:ser>
          <c:idx val="2"/>
          <c:order val="2"/>
          <c:tx>
            <c:strRef>
              <c:f>Hárok12!$D$2</c:f>
              <c:strCache>
                <c:ptCount val="1"/>
                <c:pt idx="0">
                  <c:v>Higher education sector</c:v>
                </c:pt>
              </c:strCache>
            </c:strRef>
          </c:tx>
          <c:invertIfNegative val="0"/>
          <c:cat>
            <c:strRef>
              <c:f>Hárok12!$A$3:$A$30</c:f>
              <c:strCache>
                <c:ptCount val="28"/>
                <c:pt idx="0">
                  <c:v>Cyprus</c:v>
                </c:pt>
                <c:pt idx="1">
                  <c:v>Bulgaria</c:v>
                </c:pt>
                <c:pt idx="2">
                  <c:v>Latvia</c:v>
                </c:pt>
                <c:pt idx="3">
                  <c:v>Lithuania</c:v>
                </c:pt>
                <c:pt idx="4">
                  <c:v>Greece</c:v>
                </c:pt>
                <c:pt idx="5">
                  <c:v>Romania</c:v>
                </c:pt>
                <c:pt idx="6">
                  <c:v>Poland</c:v>
                </c:pt>
                <c:pt idx="7">
                  <c:v>Czech Republic</c:v>
                </c:pt>
                <c:pt idx="8">
                  <c:v>Slovakia</c:v>
                </c:pt>
                <c:pt idx="9">
                  <c:v>Croatia</c:v>
                </c:pt>
                <c:pt idx="10">
                  <c:v>Austria</c:v>
                </c:pt>
                <c:pt idx="11">
                  <c:v>Portugal</c:v>
                </c:pt>
                <c:pt idx="12">
                  <c:v>Spain</c:v>
                </c:pt>
                <c:pt idx="13">
                  <c:v>Luxembourg</c:v>
                </c:pt>
                <c:pt idx="14">
                  <c:v>Italy</c:v>
                </c:pt>
                <c:pt idx="15">
                  <c:v>United Kingdom</c:v>
                </c:pt>
                <c:pt idx="16">
                  <c:v>Malta</c:v>
                </c:pt>
                <c:pt idx="17">
                  <c:v>Hungary</c:v>
                </c:pt>
                <c:pt idx="18">
                  <c:v>Ireland</c:v>
                </c:pt>
                <c:pt idx="19">
                  <c:v>Netherlands</c:v>
                </c:pt>
                <c:pt idx="20">
                  <c:v>Estonia</c:v>
                </c:pt>
                <c:pt idx="21">
                  <c:v>France</c:v>
                </c:pt>
                <c:pt idx="22">
                  <c:v>Sweden</c:v>
                </c:pt>
                <c:pt idx="23">
                  <c:v>Denmark</c:v>
                </c:pt>
                <c:pt idx="24">
                  <c:v>Belgium</c:v>
                </c:pt>
                <c:pt idx="25">
                  <c:v>Slovenia</c:v>
                </c:pt>
                <c:pt idx="26">
                  <c:v>Finland</c:v>
                </c:pt>
                <c:pt idx="27">
                  <c:v>Germany</c:v>
                </c:pt>
              </c:strCache>
            </c:strRef>
          </c:cat>
          <c:val>
            <c:numRef>
              <c:f>Hárok12!$D$3:$D$30</c:f>
              <c:numCache>
                <c:formatCode>General</c:formatCode>
                <c:ptCount val="28"/>
                <c:pt idx="0">
                  <c:v>3.9</c:v>
                </c:pt>
                <c:pt idx="1">
                  <c:v>0.2</c:v>
                </c:pt>
                <c:pt idx="2">
                  <c:v>2</c:v>
                </c:pt>
                <c:pt idx="3">
                  <c:v>0.5</c:v>
                </c:pt>
                <c:pt idx="4">
                  <c:v>2</c:v>
                </c:pt>
                <c:pt idx="5">
                  <c:v>1.1000000000000001</c:v>
                </c:pt>
                <c:pt idx="6">
                  <c:v>2.6</c:v>
                </c:pt>
                <c:pt idx="7">
                  <c:v>0.9</c:v>
                </c:pt>
                <c:pt idx="8">
                  <c:v>1.7</c:v>
                </c:pt>
                <c:pt idx="9">
                  <c:v>1.7</c:v>
                </c:pt>
                <c:pt idx="10">
                  <c:v>0.70000000000000062</c:v>
                </c:pt>
                <c:pt idx="11">
                  <c:v>6.2</c:v>
                </c:pt>
                <c:pt idx="12">
                  <c:v>4</c:v>
                </c:pt>
                <c:pt idx="13">
                  <c:v>0.1</c:v>
                </c:pt>
                <c:pt idx="14">
                  <c:v>0.9</c:v>
                </c:pt>
                <c:pt idx="15">
                  <c:v>1.1000000000000001</c:v>
                </c:pt>
                <c:pt idx="16">
                  <c:v>1.4</c:v>
                </c:pt>
                <c:pt idx="17">
                  <c:v>0</c:v>
                </c:pt>
                <c:pt idx="18">
                  <c:v>0.70000000000000062</c:v>
                </c:pt>
                <c:pt idx="19">
                  <c:v>0.30000000000000032</c:v>
                </c:pt>
                <c:pt idx="20">
                  <c:v>0.30000000000000032</c:v>
                </c:pt>
                <c:pt idx="21">
                  <c:v>1.1000000000000001</c:v>
                </c:pt>
                <c:pt idx="22">
                  <c:v>0.9</c:v>
                </c:pt>
                <c:pt idx="23">
                  <c:v>0</c:v>
                </c:pt>
                <c:pt idx="24">
                  <c:v>2.9</c:v>
                </c:pt>
                <c:pt idx="25">
                  <c:v>0.4</c:v>
                </c:pt>
                <c:pt idx="26">
                  <c:v>0.2</c:v>
                </c:pt>
                <c:pt idx="27">
                  <c:v>0</c:v>
                </c:pt>
              </c:numCache>
            </c:numRef>
          </c:val>
        </c:ser>
        <c:ser>
          <c:idx val="3"/>
          <c:order val="3"/>
          <c:tx>
            <c:strRef>
              <c:f>Hárok12!$E$2</c:f>
              <c:strCache>
                <c:ptCount val="1"/>
                <c:pt idx="0">
                  <c:v>Private non-profit sector</c:v>
                </c:pt>
              </c:strCache>
            </c:strRef>
          </c:tx>
          <c:invertIfNegative val="0"/>
          <c:cat>
            <c:strRef>
              <c:f>Hárok12!$A$3:$A$30</c:f>
              <c:strCache>
                <c:ptCount val="28"/>
                <c:pt idx="0">
                  <c:v>Cyprus</c:v>
                </c:pt>
                <c:pt idx="1">
                  <c:v>Bulgaria</c:v>
                </c:pt>
                <c:pt idx="2">
                  <c:v>Latvia</c:v>
                </c:pt>
                <c:pt idx="3">
                  <c:v>Lithuania</c:v>
                </c:pt>
                <c:pt idx="4">
                  <c:v>Greece</c:v>
                </c:pt>
                <c:pt idx="5">
                  <c:v>Romania</c:v>
                </c:pt>
                <c:pt idx="6">
                  <c:v>Poland</c:v>
                </c:pt>
                <c:pt idx="7">
                  <c:v>Czech Republic</c:v>
                </c:pt>
                <c:pt idx="8">
                  <c:v>Slovakia</c:v>
                </c:pt>
                <c:pt idx="9">
                  <c:v>Croatia</c:v>
                </c:pt>
                <c:pt idx="10">
                  <c:v>Austria</c:v>
                </c:pt>
                <c:pt idx="11">
                  <c:v>Portugal</c:v>
                </c:pt>
                <c:pt idx="12">
                  <c:v>Spain</c:v>
                </c:pt>
                <c:pt idx="13">
                  <c:v>Luxembourg</c:v>
                </c:pt>
                <c:pt idx="14">
                  <c:v>Italy</c:v>
                </c:pt>
                <c:pt idx="15">
                  <c:v>United Kingdom</c:v>
                </c:pt>
                <c:pt idx="16">
                  <c:v>Malta</c:v>
                </c:pt>
                <c:pt idx="17">
                  <c:v>Hungary</c:v>
                </c:pt>
                <c:pt idx="18">
                  <c:v>Ireland</c:v>
                </c:pt>
                <c:pt idx="19">
                  <c:v>Netherlands</c:v>
                </c:pt>
                <c:pt idx="20">
                  <c:v>Estonia</c:v>
                </c:pt>
                <c:pt idx="21">
                  <c:v>France</c:v>
                </c:pt>
                <c:pt idx="22">
                  <c:v>Sweden</c:v>
                </c:pt>
                <c:pt idx="23">
                  <c:v>Denmark</c:v>
                </c:pt>
                <c:pt idx="24">
                  <c:v>Belgium</c:v>
                </c:pt>
                <c:pt idx="25">
                  <c:v>Slovenia</c:v>
                </c:pt>
                <c:pt idx="26">
                  <c:v>Finland</c:v>
                </c:pt>
                <c:pt idx="27">
                  <c:v>Germany</c:v>
                </c:pt>
              </c:strCache>
            </c:strRef>
          </c:cat>
          <c:val>
            <c:numRef>
              <c:f>Hárok12!$E$3:$E$30</c:f>
              <c:numCache>
                <c:formatCode>General</c:formatCode>
                <c:ptCount val="28"/>
                <c:pt idx="0">
                  <c:v>0.5</c:v>
                </c:pt>
                <c:pt idx="1">
                  <c:v>0.2</c:v>
                </c:pt>
                <c:pt idx="2">
                  <c:v>0</c:v>
                </c:pt>
                <c:pt idx="3">
                  <c:v>0.2</c:v>
                </c:pt>
                <c:pt idx="4">
                  <c:v>0.9</c:v>
                </c:pt>
                <c:pt idx="5">
                  <c:v>0.30000000000000032</c:v>
                </c:pt>
                <c:pt idx="6">
                  <c:v>0.4</c:v>
                </c:pt>
                <c:pt idx="7">
                  <c:v>0</c:v>
                </c:pt>
                <c:pt idx="8">
                  <c:v>0.30000000000000032</c:v>
                </c:pt>
                <c:pt idx="9">
                  <c:v>0.30000000000000032</c:v>
                </c:pt>
                <c:pt idx="10">
                  <c:v>0.5</c:v>
                </c:pt>
                <c:pt idx="11">
                  <c:v>2</c:v>
                </c:pt>
                <c:pt idx="12">
                  <c:v>0.60000000000000064</c:v>
                </c:pt>
                <c:pt idx="13">
                  <c:v>0.1</c:v>
                </c:pt>
                <c:pt idx="14">
                  <c:v>3.1</c:v>
                </c:pt>
                <c:pt idx="15">
                  <c:v>4.5999999999999996</c:v>
                </c:pt>
                <c:pt idx="16">
                  <c:v>0.30000000000000032</c:v>
                </c:pt>
                <c:pt idx="17">
                  <c:v>0.9</c:v>
                </c:pt>
                <c:pt idx="18">
                  <c:v>0.5</c:v>
                </c:pt>
                <c:pt idx="19">
                  <c:v>3.3</c:v>
                </c:pt>
                <c:pt idx="20">
                  <c:v>0.1</c:v>
                </c:pt>
                <c:pt idx="21">
                  <c:v>0.8</c:v>
                </c:pt>
                <c:pt idx="22">
                  <c:v>3</c:v>
                </c:pt>
                <c:pt idx="23">
                  <c:v>3.7</c:v>
                </c:pt>
                <c:pt idx="24">
                  <c:v>0.60000000000000064</c:v>
                </c:pt>
                <c:pt idx="25">
                  <c:v>0.1</c:v>
                </c:pt>
                <c:pt idx="26">
                  <c:v>1.3</c:v>
                </c:pt>
                <c:pt idx="27">
                  <c:v>0.30000000000000032</c:v>
                </c:pt>
              </c:numCache>
            </c:numRef>
          </c:val>
        </c:ser>
        <c:ser>
          <c:idx val="4"/>
          <c:order val="4"/>
          <c:tx>
            <c:strRef>
              <c:f>Hárok12!$F$2</c:f>
              <c:strCache>
                <c:ptCount val="1"/>
                <c:pt idx="0">
                  <c:v>Abroad</c:v>
                </c:pt>
              </c:strCache>
            </c:strRef>
          </c:tx>
          <c:invertIfNegative val="0"/>
          <c:dLbls>
            <c:dLbl>
              <c:idx val="8"/>
              <c:showLegendKey val="0"/>
              <c:showVal val="1"/>
              <c:showCatName val="0"/>
              <c:showSerName val="0"/>
              <c:showPercent val="0"/>
              <c:showBubbleSize val="0"/>
            </c:dLbl>
            <c:showLegendKey val="0"/>
            <c:showVal val="0"/>
            <c:showCatName val="0"/>
            <c:showSerName val="0"/>
            <c:showPercent val="0"/>
            <c:showBubbleSize val="0"/>
          </c:dLbls>
          <c:cat>
            <c:strRef>
              <c:f>Hárok12!$A$3:$A$30</c:f>
              <c:strCache>
                <c:ptCount val="28"/>
                <c:pt idx="0">
                  <c:v>Cyprus</c:v>
                </c:pt>
                <c:pt idx="1">
                  <c:v>Bulgaria</c:v>
                </c:pt>
                <c:pt idx="2">
                  <c:v>Latvia</c:v>
                </c:pt>
                <c:pt idx="3">
                  <c:v>Lithuania</c:v>
                </c:pt>
                <c:pt idx="4">
                  <c:v>Greece</c:v>
                </c:pt>
                <c:pt idx="5">
                  <c:v>Romania</c:v>
                </c:pt>
                <c:pt idx="6">
                  <c:v>Poland</c:v>
                </c:pt>
                <c:pt idx="7">
                  <c:v>Czech Republic</c:v>
                </c:pt>
                <c:pt idx="8">
                  <c:v>Slovakia</c:v>
                </c:pt>
                <c:pt idx="9">
                  <c:v>Croatia</c:v>
                </c:pt>
                <c:pt idx="10">
                  <c:v>Austria</c:v>
                </c:pt>
                <c:pt idx="11">
                  <c:v>Portugal</c:v>
                </c:pt>
                <c:pt idx="12">
                  <c:v>Spain</c:v>
                </c:pt>
                <c:pt idx="13">
                  <c:v>Luxembourg</c:v>
                </c:pt>
                <c:pt idx="14">
                  <c:v>Italy</c:v>
                </c:pt>
                <c:pt idx="15">
                  <c:v>United Kingdom</c:v>
                </c:pt>
                <c:pt idx="16">
                  <c:v>Malta</c:v>
                </c:pt>
                <c:pt idx="17">
                  <c:v>Hungary</c:v>
                </c:pt>
                <c:pt idx="18">
                  <c:v>Ireland</c:v>
                </c:pt>
                <c:pt idx="19">
                  <c:v>Netherlands</c:v>
                </c:pt>
                <c:pt idx="20">
                  <c:v>Estonia</c:v>
                </c:pt>
                <c:pt idx="21">
                  <c:v>France</c:v>
                </c:pt>
                <c:pt idx="22">
                  <c:v>Sweden</c:v>
                </c:pt>
                <c:pt idx="23">
                  <c:v>Denmark</c:v>
                </c:pt>
                <c:pt idx="24">
                  <c:v>Belgium</c:v>
                </c:pt>
                <c:pt idx="25">
                  <c:v>Slovenia</c:v>
                </c:pt>
                <c:pt idx="26">
                  <c:v>Finland</c:v>
                </c:pt>
                <c:pt idx="27">
                  <c:v>Germany</c:v>
                </c:pt>
              </c:strCache>
            </c:strRef>
          </c:cat>
          <c:val>
            <c:numRef>
              <c:f>Hárok12!$F$3:$F$30</c:f>
              <c:numCache>
                <c:formatCode>General</c:formatCode>
                <c:ptCount val="28"/>
                <c:pt idx="0">
                  <c:v>14.1</c:v>
                </c:pt>
                <c:pt idx="1">
                  <c:v>43.9</c:v>
                </c:pt>
                <c:pt idx="2">
                  <c:v>50.4</c:v>
                </c:pt>
                <c:pt idx="3">
                  <c:v>33.300000000000004</c:v>
                </c:pt>
                <c:pt idx="4">
                  <c:v>15.8</c:v>
                </c:pt>
                <c:pt idx="5">
                  <c:v>13</c:v>
                </c:pt>
                <c:pt idx="6">
                  <c:v>13.3</c:v>
                </c:pt>
                <c:pt idx="7">
                  <c:v>25.9</c:v>
                </c:pt>
                <c:pt idx="8">
                  <c:v>18.7</c:v>
                </c:pt>
                <c:pt idx="9">
                  <c:v>14.4</c:v>
                </c:pt>
                <c:pt idx="10">
                  <c:v>15.2</c:v>
                </c:pt>
                <c:pt idx="11">
                  <c:v>5.9</c:v>
                </c:pt>
                <c:pt idx="12">
                  <c:v>6.7</c:v>
                </c:pt>
                <c:pt idx="13">
                  <c:v>20.7</c:v>
                </c:pt>
                <c:pt idx="14">
                  <c:v>9.1</c:v>
                </c:pt>
                <c:pt idx="15">
                  <c:v>19.7</c:v>
                </c:pt>
                <c:pt idx="16">
                  <c:v>17.3</c:v>
                </c:pt>
                <c:pt idx="17">
                  <c:v>15.4</c:v>
                </c:pt>
                <c:pt idx="18">
                  <c:v>20.399999999999999</c:v>
                </c:pt>
                <c:pt idx="19">
                  <c:v>10.9</c:v>
                </c:pt>
                <c:pt idx="20">
                  <c:v>10</c:v>
                </c:pt>
                <c:pt idx="21">
                  <c:v>7.7</c:v>
                </c:pt>
                <c:pt idx="22">
                  <c:v>11.1</c:v>
                </c:pt>
                <c:pt idx="23">
                  <c:v>7.2</c:v>
                </c:pt>
                <c:pt idx="24">
                  <c:v>13</c:v>
                </c:pt>
                <c:pt idx="25">
                  <c:v>8.6</c:v>
                </c:pt>
                <c:pt idx="26">
                  <c:v>8.8000000000000007</c:v>
                </c:pt>
                <c:pt idx="27">
                  <c:v>4.2</c:v>
                </c:pt>
              </c:numCache>
            </c:numRef>
          </c:val>
        </c:ser>
        <c:dLbls>
          <c:showLegendKey val="0"/>
          <c:showVal val="0"/>
          <c:showCatName val="0"/>
          <c:showSerName val="0"/>
          <c:showPercent val="0"/>
          <c:showBubbleSize val="0"/>
        </c:dLbls>
        <c:gapWidth val="150"/>
        <c:overlap val="100"/>
        <c:axId val="43146240"/>
        <c:axId val="43160320"/>
      </c:barChart>
      <c:catAx>
        <c:axId val="43146240"/>
        <c:scaling>
          <c:orientation val="minMax"/>
        </c:scaling>
        <c:delete val="0"/>
        <c:axPos val="l"/>
        <c:majorTickMark val="out"/>
        <c:minorTickMark val="none"/>
        <c:tickLblPos val="nextTo"/>
        <c:txPr>
          <a:bodyPr/>
          <a:lstStyle/>
          <a:p>
            <a:pPr>
              <a:defRPr sz="800"/>
            </a:pPr>
            <a:endParaRPr lang="sk-SK"/>
          </a:p>
        </c:txPr>
        <c:crossAx val="43160320"/>
        <c:crosses val="autoZero"/>
        <c:auto val="1"/>
        <c:lblAlgn val="ctr"/>
        <c:lblOffset val="100"/>
        <c:noMultiLvlLbl val="0"/>
      </c:catAx>
      <c:valAx>
        <c:axId val="43160320"/>
        <c:scaling>
          <c:orientation val="minMax"/>
        </c:scaling>
        <c:delete val="0"/>
        <c:axPos val="b"/>
        <c:majorGridlines/>
        <c:numFmt formatCode="0%" sourceLinked="1"/>
        <c:majorTickMark val="out"/>
        <c:minorTickMark val="none"/>
        <c:tickLblPos val="nextTo"/>
        <c:crossAx val="43146240"/>
        <c:crosses val="autoZero"/>
        <c:crossBetween val="between"/>
      </c:valAx>
    </c:plotArea>
    <c:legend>
      <c:legendPos val="b"/>
      <c:overlay val="0"/>
      <c:txPr>
        <a:bodyPr/>
        <a:lstStyle/>
        <a:p>
          <a:pPr>
            <a:defRPr sz="900"/>
          </a:pPr>
          <a:endParaRPr lang="sk-SK"/>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Hárok13!$B$2</c:f>
              <c:strCache>
                <c:ptCount val="1"/>
                <c:pt idx="0">
                  <c:v>Business enterprise sector</c:v>
                </c:pt>
              </c:strCache>
            </c:strRef>
          </c:tx>
          <c:invertIfNegative val="0"/>
          <c:dLbls>
            <c:dLbl>
              <c:idx val="7"/>
              <c:showLegendKey val="0"/>
              <c:showVal val="1"/>
              <c:showCatName val="0"/>
              <c:showSerName val="0"/>
              <c:showPercent val="0"/>
              <c:showBubbleSize val="0"/>
            </c:dLbl>
            <c:showLegendKey val="0"/>
            <c:showVal val="0"/>
            <c:showCatName val="0"/>
            <c:showSerName val="0"/>
            <c:showPercent val="0"/>
            <c:showBubbleSize val="0"/>
          </c:dLbls>
          <c:cat>
            <c:strRef>
              <c:f>Hárok13!$A$3:$A$30</c:f>
              <c:strCache>
                <c:ptCount val="28"/>
                <c:pt idx="0">
                  <c:v>Cyprus</c:v>
                </c:pt>
                <c:pt idx="1">
                  <c:v>Romania</c:v>
                </c:pt>
                <c:pt idx="2">
                  <c:v>Latvia</c:v>
                </c:pt>
                <c:pt idx="3">
                  <c:v>Greece</c:v>
                </c:pt>
                <c:pt idx="4">
                  <c:v>Lithuania</c:v>
                </c:pt>
                <c:pt idx="5">
                  <c:v>Poland</c:v>
                </c:pt>
                <c:pt idx="6">
                  <c:v>Croatia</c:v>
                </c:pt>
                <c:pt idx="7">
                  <c:v>Slovakia</c:v>
                </c:pt>
                <c:pt idx="8">
                  <c:v>Bulgaria</c:v>
                </c:pt>
                <c:pt idx="9">
                  <c:v>Malta</c:v>
                </c:pt>
                <c:pt idx="10">
                  <c:v>Spain</c:v>
                </c:pt>
                <c:pt idx="11">
                  <c:v>Italy</c:v>
                </c:pt>
                <c:pt idx="12">
                  <c:v>Portugal</c:v>
                </c:pt>
                <c:pt idx="13">
                  <c:v>Hungary</c:v>
                </c:pt>
                <c:pt idx="14">
                  <c:v>Luxembourg</c:v>
                </c:pt>
                <c:pt idx="15">
                  <c:v>Czech Republic</c:v>
                </c:pt>
                <c:pt idx="16">
                  <c:v>United Kingdom</c:v>
                </c:pt>
                <c:pt idx="17">
                  <c:v>Ireland</c:v>
                </c:pt>
                <c:pt idx="18">
                  <c:v>Netherlands</c:v>
                </c:pt>
                <c:pt idx="19">
                  <c:v>Estonia</c:v>
                </c:pt>
                <c:pt idx="20">
                  <c:v>France</c:v>
                </c:pt>
                <c:pt idx="21">
                  <c:v>Belgium</c:v>
                </c:pt>
                <c:pt idx="22">
                  <c:v>Germany</c:v>
                </c:pt>
                <c:pt idx="23">
                  <c:v>Austria</c:v>
                </c:pt>
                <c:pt idx="24">
                  <c:v>Denmark</c:v>
                </c:pt>
                <c:pt idx="25">
                  <c:v>Slovenia</c:v>
                </c:pt>
                <c:pt idx="26">
                  <c:v>Sweden</c:v>
                </c:pt>
                <c:pt idx="27">
                  <c:v>Finland</c:v>
                </c:pt>
              </c:strCache>
            </c:strRef>
          </c:cat>
          <c:val>
            <c:numRef>
              <c:f>Hárok13!$B$3:$B$30</c:f>
              <c:numCache>
                <c:formatCode>General</c:formatCode>
                <c:ptCount val="28"/>
                <c:pt idx="0">
                  <c:v>6.0000000000000032E-2</c:v>
                </c:pt>
                <c:pt idx="1">
                  <c:v>0.12000000000000002</c:v>
                </c:pt>
                <c:pt idx="2">
                  <c:v>0.15000000000000016</c:v>
                </c:pt>
                <c:pt idx="3">
                  <c:v>0.24000000000000016</c:v>
                </c:pt>
                <c:pt idx="4">
                  <c:v>0.24000000000000016</c:v>
                </c:pt>
                <c:pt idx="5">
                  <c:v>0.33000000000000046</c:v>
                </c:pt>
                <c:pt idx="6">
                  <c:v>0.34</c:v>
                </c:pt>
                <c:pt idx="7">
                  <c:v>0.34</c:v>
                </c:pt>
                <c:pt idx="8">
                  <c:v>0.3900000000000004</c:v>
                </c:pt>
                <c:pt idx="9">
                  <c:v>0.5</c:v>
                </c:pt>
                <c:pt idx="10">
                  <c:v>0.69000000000000061</c:v>
                </c:pt>
                <c:pt idx="11">
                  <c:v>0.69000000000000061</c:v>
                </c:pt>
                <c:pt idx="12">
                  <c:v>0.70000000000000062</c:v>
                </c:pt>
                <c:pt idx="13">
                  <c:v>0.85000000000000064</c:v>
                </c:pt>
                <c:pt idx="14">
                  <c:v>1</c:v>
                </c:pt>
                <c:pt idx="15">
                  <c:v>1.01</c:v>
                </c:pt>
                <c:pt idx="16">
                  <c:v>1.0900000000000001</c:v>
                </c:pt>
                <c:pt idx="17">
                  <c:v>1.2</c:v>
                </c:pt>
                <c:pt idx="18">
                  <c:v>1.22</c:v>
                </c:pt>
                <c:pt idx="19">
                  <c:v>1.25</c:v>
                </c:pt>
                <c:pt idx="20">
                  <c:v>1.45</c:v>
                </c:pt>
                <c:pt idx="21">
                  <c:v>1.52</c:v>
                </c:pt>
                <c:pt idx="22">
                  <c:v>1.9500000000000013</c:v>
                </c:pt>
                <c:pt idx="23">
                  <c:v>1.9500000000000013</c:v>
                </c:pt>
                <c:pt idx="24">
                  <c:v>1.9600000000000013</c:v>
                </c:pt>
                <c:pt idx="25">
                  <c:v>2.16</c:v>
                </c:pt>
                <c:pt idx="26">
                  <c:v>2.3099999999999987</c:v>
                </c:pt>
                <c:pt idx="27">
                  <c:v>2.44</c:v>
                </c:pt>
              </c:numCache>
            </c:numRef>
          </c:val>
        </c:ser>
        <c:ser>
          <c:idx val="1"/>
          <c:order val="1"/>
          <c:tx>
            <c:strRef>
              <c:f>Hárok13!$C$2</c:f>
              <c:strCache>
                <c:ptCount val="1"/>
                <c:pt idx="0">
                  <c:v>Government sector</c:v>
                </c:pt>
              </c:strCache>
            </c:strRef>
          </c:tx>
          <c:invertIfNegative val="0"/>
          <c:dLbls>
            <c:dLbl>
              <c:idx val="7"/>
              <c:showLegendKey val="0"/>
              <c:showVal val="1"/>
              <c:showCatName val="0"/>
              <c:showSerName val="0"/>
              <c:showPercent val="0"/>
              <c:showBubbleSize val="0"/>
            </c:dLbl>
            <c:showLegendKey val="0"/>
            <c:showVal val="0"/>
            <c:showCatName val="0"/>
            <c:showSerName val="0"/>
            <c:showPercent val="0"/>
            <c:showBubbleSize val="0"/>
          </c:dLbls>
          <c:cat>
            <c:strRef>
              <c:f>Hárok13!$A$3:$A$30</c:f>
              <c:strCache>
                <c:ptCount val="28"/>
                <c:pt idx="0">
                  <c:v>Cyprus</c:v>
                </c:pt>
                <c:pt idx="1">
                  <c:v>Romania</c:v>
                </c:pt>
                <c:pt idx="2">
                  <c:v>Latvia</c:v>
                </c:pt>
                <c:pt idx="3">
                  <c:v>Greece</c:v>
                </c:pt>
                <c:pt idx="4">
                  <c:v>Lithuania</c:v>
                </c:pt>
                <c:pt idx="5">
                  <c:v>Poland</c:v>
                </c:pt>
                <c:pt idx="6">
                  <c:v>Croatia</c:v>
                </c:pt>
                <c:pt idx="7">
                  <c:v>Slovakia</c:v>
                </c:pt>
                <c:pt idx="8">
                  <c:v>Bulgaria</c:v>
                </c:pt>
                <c:pt idx="9">
                  <c:v>Malta</c:v>
                </c:pt>
                <c:pt idx="10">
                  <c:v>Spain</c:v>
                </c:pt>
                <c:pt idx="11">
                  <c:v>Italy</c:v>
                </c:pt>
                <c:pt idx="12">
                  <c:v>Portugal</c:v>
                </c:pt>
                <c:pt idx="13">
                  <c:v>Hungary</c:v>
                </c:pt>
                <c:pt idx="14">
                  <c:v>Luxembourg</c:v>
                </c:pt>
                <c:pt idx="15">
                  <c:v>Czech Republic</c:v>
                </c:pt>
                <c:pt idx="16">
                  <c:v>United Kingdom</c:v>
                </c:pt>
                <c:pt idx="17">
                  <c:v>Ireland</c:v>
                </c:pt>
                <c:pt idx="18">
                  <c:v>Netherlands</c:v>
                </c:pt>
                <c:pt idx="19">
                  <c:v>Estonia</c:v>
                </c:pt>
                <c:pt idx="20">
                  <c:v>France</c:v>
                </c:pt>
                <c:pt idx="21">
                  <c:v>Belgium</c:v>
                </c:pt>
                <c:pt idx="22">
                  <c:v>Germany</c:v>
                </c:pt>
                <c:pt idx="23">
                  <c:v>Austria</c:v>
                </c:pt>
                <c:pt idx="24">
                  <c:v>Denmark</c:v>
                </c:pt>
                <c:pt idx="25">
                  <c:v>Slovenia</c:v>
                </c:pt>
                <c:pt idx="26">
                  <c:v>Sweden</c:v>
                </c:pt>
                <c:pt idx="27">
                  <c:v>Finland</c:v>
                </c:pt>
              </c:strCache>
            </c:strRef>
          </c:cat>
          <c:val>
            <c:numRef>
              <c:f>Hárok13!$C$3:$C$30</c:f>
              <c:numCache>
                <c:formatCode>General</c:formatCode>
                <c:ptCount val="28"/>
                <c:pt idx="0">
                  <c:v>8.0000000000000043E-2</c:v>
                </c:pt>
                <c:pt idx="1">
                  <c:v>0.2</c:v>
                </c:pt>
                <c:pt idx="2">
                  <c:v>0.18000000000000016</c:v>
                </c:pt>
                <c:pt idx="3">
                  <c:v>0.17</c:v>
                </c:pt>
                <c:pt idx="4">
                  <c:v>0.18000000000000016</c:v>
                </c:pt>
                <c:pt idx="5">
                  <c:v>0.25</c:v>
                </c:pt>
                <c:pt idx="6">
                  <c:v>0.21000000000000016</c:v>
                </c:pt>
                <c:pt idx="7">
                  <c:v>0.2</c:v>
                </c:pt>
                <c:pt idx="8">
                  <c:v>0.19</c:v>
                </c:pt>
                <c:pt idx="9">
                  <c:v>3.0000000000000002E-2</c:v>
                </c:pt>
                <c:pt idx="10">
                  <c:v>0.25</c:v>
                </c:pt>
                <c:pt idx="11">
                  <c:v>0.17</c:v>
                </c:pt>
                <c:pt idx="12">
                  <c:v>0.1</c:v>
                </c:pt>
                <c:pt idx="13">
                  <c:v>0.19</c:v>
                </c:pt>
                <c:pt idx="14">
                  <c:v>0.30000000000000032</c:v>
                </c:pt>
                <c:pt idx="15">
                  <c:v>0.35000000000000031</c:v>
                </c:pt>
                <c:pt idx="16">
                  <c:v>0.14000000000000001</c:v>
                </c:pt>
                <c:pt idx="17">
                  <c:v>8.0000000000000043E-2</c:v>
                </c:pt>
                <c:pt idx="18">
                  <c:v>0.23</c:v>
                </c:pt>
                <c:pt idx="19">
                  <c:v>0.2</c:v>
                </c:pt>
                <c:pt idx="20">
                  <c:v>0.31000000000000033</c:v>
                </c:pt>
                <c:pt idx="21">
                  <c:v>0.18000000000000016</c:v>
                </c:pt>
                <c:pt idx="22">
                  <c:v>0.43000000000000033</c:v>
                </c:pt>
                <c:pt idx="23">
                  <c:v>0.15000000000000016</c:v>
                </c:pt>
                <c:pt idx="24">
                  <c:v>7.0000000000000021E-2</c:v>
                </c:pt>
                <c:pt idx="25">
                  <c:v>0.34</c:v>
                </c:pt>
                <c:pt idx="26">
                  <c:v>0.16</c:v>
                </c:pt>
                <c:pt idx="27">
                  <c:v>0.3200000000000004</c:v>
                </c:pt>
              </c:numCache>
            </c:numRef>
          </c:val>
        </c:ser>
        <c:ser>
          <c:idx val="2"/>
          <c:order val="2"/>
          <c:tx>
            <c:strRef>
              <c:f>Hárok13!$D$2</c:f>
              <c:strCache>
                <c:ptCount val="1"/>
                <c:pt idx="0">
                  <c:v>Higher education sector</c:v>
                </c:pt>
              </c:strCache>
            </c:strRef>
          </c:tx>
          <c:invertIfNegative val="0"/>
          <c:dLbls>
            <c:dLbl>
              <c:idx val="7"/>
              <c:showLegendKey val="0"/>
              <c:showVal val="1"/>
              <c:showCatName val="0"/>
              <c:showSerName val="0"/>
              <c:showPercent val="0"/>
              <c:showBubbleSize val="0"/>
            </c:dLbl>
            <c:showLegendKey val="0"/>
            <c:showVal val="0"/>
            <c:showCatName val="0"/>
            <c:showSerName val="0"/>
            <c:showPercent val="0"/>
            <c:showBubbleSize val="0"/>
          </c:dLbls>
          <c:cat>
            <c:strRef>
              <c:f>Hárok13!$A$3:$A$30</c:f>
              <c:strCache>
                <c:ptCount val="28"/>
                <c:pt idx="0">
                  <c:v>Cyprus</c:v>
                </c:pt>
                <c:pt idx="1">
                  <c:v>Romania</c:v>
                </c:pt>
                <c:pt idx="2">
                  <c:v>Latvia</c:v>
                </c:pt>
                <c:pt idx="3">
                  <c:v>Greece</c:v>
                </c:pt>
                <c:pt idx="4">
                  <c:v>Lithuania</c:v>
                </c:pt>
                <c:pt idx="5">
                  <c:v>Poland</c:v>
                </c:pt>
                <c:pt idx="6">
                  <c:v>Croatia</c:v>
                </c:pt>
                <c:pt idx="7">
                  <c:v>Slovakia</c:v>
                </c:pt>
                <c:pt idx="8">
                  <c:v>Bulgaria</c:v>
                </c:pt>
                <c:pt idx="9">
                  <c:v>Malta</c:v>
                </c:pt>
                <c:pt idx="10">
                  <c:v>Spain</c:v>
                </c:pt>
                <c:pt idx="11">
                  <c:v>Italy</c:v>
                </c:pt>
                <c:pt idx="12">
                  <c:v>Portugal</c:v>
                </c:pt>
                <c:pt idx="13">
                  <c:v>Hungary</c:v>
                </c:pt>
                <c:pt idx="14">
                  <c:v>Luxembourg</c:v>
                </c:pt>
                <c:pt idx="15">
                  <c:v>Czech Republic</c:v>
                </c:pt>
                <c:pt idx="16">
                  <c:v>United Kingdom</c:v>
                </c:pt>
                <c:pt idx="17">
                  <c:v>Ireland</c:v>
                </c:pt>
                <c:pt idx="18">
                  <c:v>Netherlands</c:v>
                </c:pt>
                <c:pt idx="19">
                  <c:v>Estonia</c:v>
                </c:pt>
                <c:pt idx="20">
                  <c:v>France</c:v>
                </c:pt>
                <c:pt idx="21">
                  <c:v>Belgium</c:v>
                </c:pt>
                <c:pt idx="22">
                  <c:v>Germany</c:v>
                </c:pt>
                <c:pt idx="23">
                  <c:v>Austria</c:v>
                </c:pt>
                <c:pt idx="24">
                  <c:v>Denmark</c:v>
                </c:pt>
                <c:pt idx="25">
                  <c:v>Slovenia</c:v>
                </c:pt>
                <c:pt idx="26">
                  <c:v>Sweden</c:v>
                </c:pt>
                <c:pt idx="27">
                  <c:v>Finland</c:v>
                </c:pt>
              </c:strCache>
            </c:strRef>
          </c:cat>
          <c:val>
            <c:numRef>
              <c:f>Hárok13!$D$3:$D$30</c:f>
              <c:numCache>
                <c:formatCode>General</c:formatCode>
                <c:ptCount val="28"/>
                <c:pt idx="0">
                  <c:v>0.26</c:v>
                </c:pt>
                <c:pt idx="1">
                  <c:v>0.1</c:v>
                </c:pt>
                <c:pt idx="2">
                  <c:v>0.33000000000000046</c:v>
                </c:pt>
                <c:pt idx="3">
                  <c:v>0.28000000000000008</c:v>
                </c:pt>
                <c:pt idx="4">
                  <c:v>0.48000000000000032</c:v>
                </c:pt>
                <c:pt idx="5">
                  <c:v>0.31000000000000033</c:v>
                </c:pt>
                <c:pt idx="6">
                  <c:v>0.2</c:v>
                </c:pt>
                <c:pt idx="7">
                  <c:v>0.28000000000000008</c:v>
                </c:pt>
                <c:pt idx="8">
                  <c:v>0.05</c:v>
                </c:pt>
                <c:pt idx="9">
                  <c:v>0.30000000000000032</c:v>
                </c:pt>
                <c:pt idx="10">
                  <c:v>0.36000000000000032</c:v>
                </c:pt>
                <c:pt idx="11">
                  <c:v>0.36000000000000032</c:v>
                </c:pt>
                <c:pt idx="12">
                  <c:v>0.58000000000000007</c:v>
                </c:pt>
                <c:pt idx="13">
                  <c:v>0.24000000000000016</c:v>
                </c:pt>
                <c:pt idx="14">
                  <c:v>0.19</c:v>
                </c:pt>
                <c:pt idx="15">
                  <c:v>0.52</c:v>
                </c:pt>
                <c:pt idx="16">
                  <c:v>0.46</c:v>
                </c:pt>
                <c:pt idx="17">
                  <c:v>0.45</c:v>
                </c:pt>
                <c:pt idx="18">
                  <c:v>0.70000000000000062</c:v>
                </c:pt>
                <c:pt idx="19">
                  <c:v>0.70000000000000062</c:v>
                </c:pt>
                <c:pt idx="20">
                  <c:v>0.47000000000000008</c:v>
                </c:pt>
                <c:pt idx="21">
                  <c:v>0.52</c:v>
                </c:pt>
                <c:pt idx="22">
                  <c:v>0.53</c:v>
                </c:pt>
                <c:pt idx="23">
                  <c:v>0.73000000000000065</c:v>
                </c:pt>
                <c:pt idx="24">
                  <c:v>0.95000000000000062</c:v>
                </c:pt>
                <c:pt idx="25">
                  <c:v>0.29000000000000031</c:v>
                </c:pt>
                <c:pt idx="26">
                  <c:v>0.92</c:v>
                </c:pt>
                <c:pt idx="27">
                  <c:v>0.77000000000000079</c:v>
                </c:pt>
              </c:numCache>
            </c:numRef>
          </c:val>
        </c:ser>
        <c:ser>
          <c:idx val="3"/>
          <c:order val="3"/>
          <c:tx>
            <c:strRef>
              <c:f>Hárok13!$E$2</c:f>
              <c:strCache>
                <c:ptCount val="1"/>
                <c:pt idx="0">
                  <c:v>Private non-profit sector</c:v>
                </c:pt>
              </c:strCache>
            </c:strRef>
          </c:tx>
          <c:invertIfNegative val="0"/>
          <c:cat>
            <c:strRef>
              <c:f>Hárok13!$A$3:$A$30</c:f>
              <c:strCache>
                <c:ptCount val="28"/>
                <c:pt idx="0">
                  <c:v>Cyprus</c:v>
                </c:pt>
                <c:pt idx="1">
                  <c:v>Romania</c:v>
                </c:pt>
                <c:pt idx="2">
                  <c:v>Latvia</c:v>
                </c:pt>
                <c:pt idx="3">
                  <c:v>Greece</c:v>
                </c:pt>
                <c:pt idx="4">
                  <c:v>Lithuania</c:v>
                </c:pt>
                <c:pt idx="5">
                  <c:v>Poland</c:v>
                </c:pt>
                <c:pt idx="6">
                  <c:v>Croatia</c:v>
                </c:pt>
                <c:pt idx="7">
                  <c:v>Slovakia</c:v>
                </c:pt>
                <c:pt idx="8">
                  <c:v>Bulgaria</c:v>
                </c:pt>
                <c:pt idx="9">
                  <c:v>Malta</c:v>
                </c:pt>
                <c:pt idx="10">
                  <c:v>Spain</c:v>
                </c:pt>
                <c:pt idx="11">
                  <c:v>Italy</c:v>
                </c:pt>
                <c:pt idx="12">
                  <c:v>Portugal</c:v>
                </c:pt>
                <c:pt idx="13">
                  <c:v>Hungary</c:v>
                </c:pt>
                <c:pt idx="14">
                  <c:v>Luxembourg</c:v>
                </c:pt>
                <c:pt idx="15">
                  <c:v>Czech Republic</c:v>
                </c:pt>
                <c:pt idx="16">
                  <c:v>United Kingdom</c:v>
                </c:pt>
                <c:pt idx="17">
                  <c:v>Ireland</c:v>
                </c:pt>
                <c:pt idx="18">
                  <c:v>Netherlands</c:v>
                </c:pt>
                <c:pt idx="19">
                  <c:v>Estonia</c:v>
                </c:pt>
                <c:pt idx="20">
                  <c:v>France</c:v>
                </c:pt>
                <c:pt idx="21">
                  <c:v>Belgium</c:v>
                </c:pt>
                <c:pt idx="22">
                  <c:v>Germany</c:v>
                </c:pt>
                <c:pt idx="23">
                  <c:v>Austria</c:v>
                </c:pt>
                <c:pt idx="24">
                  <c:v>Denmark</c:v>
                </c:pt>
                <c:pt idx="25">
                  <c:v>Slovenia</c:v>
                </c:pt>
                <c:pt idx="26">
                  <c:v>Sweden</c:v>
                </c:pt>
                <c:pt idx="27">
                  <c:v>Finland</c:v>
                </c:pt>
              </c:strCache>
            </c:strRef>
          </c:cat>
          <c:val>
            <c:numRef>
              <c:f>Hárok13!$E$3:$E$30</c:f>
              <c:numCache>
                <c:formatCode>General</c:formatCode>
                <c:ptCount val="28"/>
                <c:pt idx="0">
                  <c:v>6.0000000000000032E-2</c:v>
                </c:pt>
                <c:pt idx="1">
                  <c:v>0</c:v>
                </c:pt>
                <c:pt idx="2">
                  <c:v>0</c:v>
                </c:pt>
                <c:pt idx="3">
                  <c:v>1.0000000000000005E-2</c:v>
                </c:pt>
                <c:pt idx="4">
                  <c:v>0</c:v>
                </c:pt>
                <c:pt idx="5">
                  <c:v>0</c:v>
                </c:pt>
                <c:pt idx="6">
                  <c:v>0</c:v>
                </c:pt>
                <c:pt idx="7">
                  <c:v>0</c:v>
                </c:pt>
                <c:pt idx="8">
                  <c:v>1.0000000000000005E-2</c:v>
                </c:pt>
                <c:pt idx="9">
                  <c:v>0</c:v>
                </c:pt>
                <c:pt idx="10">
                  <c:v>0</c:v>
                </c:pt>
                <c:pt idx="11">
                  <c:v>4.0000000000000022E-2</c:v>
                </c:pt>
                <c:pt idx="12">
                  <c:v>0.12000000000000002</c:v>
                </c:pt>
                <c:pt idx="13">
                  <c:v>0</c:v>
                </c:pt>
                <c:pt idx="14">
                  <c:v>0</c:v>
                </c:pt>
                <c:pt idx="15">
                  <c:v>1.0000000000000005E-2</c:v>
                </c:pt>
                <c:pt idx="16">
                  <c:v>3.0000000000000002E-2</c:v>
                </c:pt>
                <c:pt idx="17">
                  <c:v>0</c:v>
                </c:pt>
                <c:pt idx="18">
                  <c:v>0</c:v>
                </c:pt>
                <c:pt idx="19">
                  <c:v>2.0000000000000011E-2</c:v>
                </c:pt>
                <c:pt idx="20">
                  <c:v>3.0000000000000002E-2</c:v>
                </c:pt>
                <c:pt idx="21">
                  <c:v>2.0000000000000011E-2</c:v>
                </c:pt>
                <c:pt idx="22">
                  <c:v>0</c:v>
                </c:pt>
                <c:pt idx="23">
                  <c:v>1.0000000000000005E-2</c:v>
                </c:pt>
                <c:pt idx="24">
                  <c:v>1.0000000000000005E-2</c:v>
                </c:pt>
                <c:pt idx="25">
                  <c:v>0</c:v>
                </c:pt>
                <c:pt idx="26">
                  <c:v>1.0000000000000005E-2</c:v>
                </c:pt>
                <c:pt idx="27">
                  <c:v>2.0000000000000011E-2</c:v>
                </c:pt>
              </c:numCache>
            </c:numRef>
          </c:val>
        </c:ser>
        <c:dLbls>
          <c:showLegendKey val="0"/>
          <c:showVal val="0"/>
          <c:showCatName val="0"/>
          <c:showSerName val="0"/>
          <c:showPercent val="0"/>
          <c:showBubbleSize val="0"/>
        </c:dLbls>
        <c:gapWidth val="150"/>
        <c:overlap val="100"/>
        <c:axId val="99569664"/>
        <c:axId val="99571200"/>
      </c:barChart>
      <c:catAx>
        <c:axId val="99569664"/>
        <c:scaling>
          <c:orientation val="minMax"/>
        </c:scaling>
        <c:delete val="0"/>
        <c:axPos val="l"/>
        <c:majorTickMark val="out"/>
        <c:minorTickMark val="none"/>
        <c:tickLblPos val="nextTo"/>
        <c:txPr>
          <a:bodyPr/>
          <a:lstStyle/>
          <a:p>
            <a:pPr>
              <a:defRPr sz="800"/>
            </a:pPr>
            <a:endParaRPr lang="sk-SK"/>
          </a:p>
        </c:txPr>
        <c:crossAx val="99571200"/>
        <c:crosses val="autoZero"/>
        <c:auto val="1"/>
        <c:lblAlgn val="ctr"/>
        <c:lblOffset val="100"/>
        <c:noMultiLvlLbl val="0"/>
      </c:catAx>
      <c:valAx>
        <c:axId val="99571200"/>
        <c:scaling>
          <c:orientation val="minMax"/>
        </c:scaling>
        <c:delete val="0"/>
        <c:axPos val="b"/>
        <c:majorGridlines/>
        <c:numFmt formatCode="0%" sourceLinked="1"/>
        <c:majorTickMark val="out"/>
        <c:minorTickMark val="none"/>
        <c:tickLblPos val="nextTo"/>
        <c:crossAx val="99569664"/>
        <c:crosses val="autoZero"/>
        <c:crossBetween val="between"/>
      </c:valAx>
    </c:plotArea>
    <c:legend>
      <c:legendPos val="b"/>
      <c:overlay val="0"/>
      <c:txPr>
        <a:bodyPr/>
        <a:lstStyle/>
        <a:p>
          <a:pPr>
            <a:defRPr sz="900"/>
          </a:pPr>
          <a:endParaRPr lang="sk-SK"/>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Hárok20!$B$3</c:f>
              <c:strCache>
                <c:ptCount val="1"/>
                <c:pt idx="0">
                  <c:v>2012</c:v>
                </c:pt>
              </c:strCache>
            </c:strRef>
          </c:tx>
          <c:invertIfNegative val="0"/>
          <c:dPt>
            <c:idx val="17"/>
            <c:invertIfNegative val="0"/>
            <c:bubble3D val="0"/>
            <c:spPr>
              <a:solidFill>
                <a:srgbClr val="FFFF00"/>
              </a:solidFill>
              <a:ln>
                <a:solidFill>
                  <a:srgbClr val="FFFF00"/>
                </a:solidFill>
              </a:ln>
            </c:spPr>
          </c:dPt>
          <c:dLbls>
            <c:dLbl>
              <c:idx val="17"/>
              <c:showLegendKey val="0"/>
              <c:showVal val="1"/>
              <c:showCatName val="0"/>
              <c:showSerName val="0"/>
              <c:showPercent val="0"/>
              <c:showBubbleSize val="0"/>
            </c:dLbl>
            <c:showLegendKey val="0"/>
            <c:showVal val="0"/>
            <c:showCatName val="0"/>
            <c:showSerName val="0"/>
            <c:showPercent val="0"/>
            <c:showBubbleSize val="0"/>
          </c:dLbls>
          <c:cat>
            <c:strRef>
              <c:f>Hárok20!$A$4:$A$31</c:f>
              <c:strCache>
                <c:ptCount val="28"/>
                <c:pt idx="0">
                  <c:v>Estonia</c:v>
                </c:pt>
                <c:pt idx="1">
                  <c:v>Germany</c:v>
                </c:pt>
                <c:pt idx="2">
                  <c:v>Portugal</c:v>
                </c:pt>
                <c:pt idx="3">
                  <c:v>Finland</c:v>
                </c:pt>
                <c:pt idx="4">
                  <c:v>Denmark</c:v>
                </c:pt>
                <c:pt idx="5">
                  <c:v>Sweden</c:v>
                </c:pt>
                <c:pt idx="6">
                  <c:v>Croatia</c:v>
                </c:pt>
                <c:pt idx="7">
                  <c:v>Austria</c:v>
                </c:pt>
                <c:pt idx="8">
                  <c:v>Netherlands</c:v>
                </c:pt>
                <c:pt idx="9">
                  <c:v>Czech Republic</c:v>
                </c:pt>
                <c:pt idx="10">
                  <c:v>Luxembourg</c:v>
                </c:pt>
                <c:pt idx="11">
                  <c:v>France</c:v>
                </c:pt>
                <c:pt idx="12">
                  <c:v>Spain</c:v>
                </c:pt>
                <c:pt idx="13">
                  <c:v>Belgium</c:v>
                </c:pt>
                <c:pt idx="14">
                  <c:v>United Kingdom</c:v>
                </c:pt>
                <c:pt idx="15">
                  <c:v>Slovenia</c:v>
                </c:pt>
                <c:pt idx="16">
                  <c:v>Italy</c:v>
                </c:pt>
                <c:pt idx="17">
                  <c:v>Slovakia</c:v>
                </c:pt>
                <c:pt idx="18">
                  <c:v>Ireland</c:v>
                </c:pt>
                <c:pt idx="19">
                  <c:v>Lithuania</c:v>
                </c:pt>
                <c:pt idx="20">
                  <c:v>Cyprus</c:v>
                </c:pt>
                <c:pt idx="21">
                  <c:v>Poland</c:v>
                </c:pt>
                <c:pt idx="22">
                  <c:v>Bulgaria</c:v>
                </c:pt>
                <c:pt idx="23">
                  <c:v>Greece</c:v>
                </c:pt>
                <c:pt idx="24">
                  <c:v>Hungary</c:v>
                </c:pt>
                <c:pt idx="25">
                  <c:v>Malta</c:v>
                </c:pt>
                <c:pt idx="26">
                  <c:v>Romania</c:v>
                </c:pt>
                <c:pt idx="27">
                  <c:v>Latvia</c:v>
                </c:pt>
              </c:strCache>
            </c:strRef>
          </c:cat>
          <c:val>
            <c:numRef>
              <c:f>Hárok20!$B$4:$B$31</c:f>
              <c:numCache>
                <c:formatCode>General</c:formatCode>
                <c:ptCount val="28"/>
                <c:pt idx="0">
                  <c:v>2.12</c:v>
                </c:pt>
                <c:pt idx="1">
                  <c:v>2.02</c:v>
                </c:pt>
                <c:pt idx="2">
                  <c:v>1.9900000000000013</c:v>
                </c:pt>
                <c:pt idx="3">
                  <c:v>1.8900000000000001</c:v>
                </c:pt>
                <c:pt idx="4">
                  <c:v>1.73</c:v>
                </c:pt>
                <c:pt idx="5">
                  <c:v>1.6900000000000013</c:v>
                </c:pt>
                <c:pt idx="6">
                  <c:v>1.59</c:v>
                </c:pt>
                <c:pt idx="7">
                  <c:v>1.56</c:v>
                </c:pt>
                <c:pt idx="8">
                  <c:v>1.54</c:v>
                </c:pt>
                <c:pt idx="9">
                  <c:v>1.53</c:v>
                </c:pt>
                <c:pt idx="10">
                  <c:v>1.49</c:v>
                </c:pt>
                <c:pt idx="11">
                  <c:v>1.31</c:v>
                </c:pt>
                <c:pt idx="12">
                  <c:v>1.26</c:v>
                </c:pt>
                <c:pt idx="13">
                  <c:v>1.2</c:v>
                </c:pt>
                <c:pt idx="14">
                  <c:v>1.1900000000000013</c:v>
                </c:pt>
                <c:pt idx="15">
                  <c:v>1.1200000000000001</c:v>
                </c:pt>
                <c:pt idx="16">
                  <c:v>1.1100000000000001</c:v>
                </c:pt>
                <c:pt idx="17">
                  <c:v>1.1000000000000001</c:v>
                </c:pt>
                <c:pt idx="18">
                  <c:v>1.0900000000000001</c:v>
                </c:pt>
                <c:pt idx="19">
                  <c:v>1.01</c:v>
                </c:pt>
                <c:pt idx="20">
                  <c:v>0.86000000000000065</c:v>
                </c:pt>
                <c:pt idx="21">
                  <c:v>0.85000000000000064</c:v>
                </c:pt>
                <c:pt idx="22">
                  <c:v>0.71000000000000063</c:v>
                </c:pt>
                <c:pt idx="23">
                  <c:v>0.71000000000000063</c:v>
                </c:pt>
                <c:pt idx="24">
                  <c:v>0.71000000000000063</c:v>
                </c:pt>
                <c:pt idx="25">
                  <c:v>0.69000000000000061</c:v>
                </c:pt>
                <c:pt idx="26">
                  <c:v>0.60000000000000064</c:v>
                </c:pt>
                <c:pt idx="27">
                  <c:v>0.4</c:v>
                </c:pt>
              </c:numCache>
            </c:numRef>
          </c:val>
        </c:ser>
        <c:dLbls>
          <c:showLegendKey val="0"/>
          <c:showVal val="0"/>
          <c:showCatName val="0"/>
          <c:showSerName val="0"/>
          <c:showPercent val="0"/>
          <c:showBubbleSize val="0"/>
        </c:dLbls>
        <c:gapWidth val="150"/>
        <c:axId val="99592832"/>
        <c:axId val="99602816"/>
      </c:barChart>
      <c:lineChart>
        <c:grouping val="standard"/>
        <c:varyColors val="0"/>
        <c:ser>
          <c:idx val="1"/>
          <c:order val="1"/>
          <c:tx>
            <c:strRef>
              <c:f>Hárok20!$C$3</c:f>
              <c:strCache>
                <c:ptCount val="1"/>
                <c:pt idx="0">
                  <c:v>2005</c:v>
                </c:pt>
              </c:strCache>
            </c:strRef>
          </c:tx>
          <c:spPr>
            <a:ln>
              <a:noFill/>
            </a:ln>
          </c:spPr>
          <c:marker>
            <c:symbol val="diamond"/>
            <c:size val="7"/>
          </c:marker>
          <c:cat>
            <c:strRef>
              <c:f>Hárok20!$A$4:$A$31</c:f>
              <c:strCache>
                <c:ptCount val="28"/>
                <c:pt idx="0">
                  <c:v>Estonia</c:v>
                </c:pt>
                <c:pt idx="1">
                  <c:v>Germany</c:v>
                </c:pt>
                <c:pt idx="2">
                  <c:v>Portugal</c:v>
                </c:pt>
                <c:pt idx="3">
                  <c:v>Finland</c:v>
                </c:pt>
                <c:pt idx="4">
                  <c:v>Denmark</c:v>
                </c:pt>
                <c:pt idx="5">
                  <c:v>Sweden</c:v>
                </c:pt>
                <c:pt idx="6">
                  <c:v>Croatia</c:v>
                </c:pt>
                <c:pt idx="7">
                  <c:v>Austria</c:v>
                </c:pt>
                <c:pt idx="8">
                  <c:v>Netherlands</c:v>
                </c:pt>
                <c:pt idx="9">
                  <c:v>Czech Republic</c:v>
                </c:pt>
                <c:pt idx="10">
                  <c:v>Luxembourg</c:v>
                </c:pt>
                <c:pt idx="11">
                  <c:v>France</c:v>
                </c:pt>
                <c:pt idx="12">
                  <c:v>Spain</c:v>
                </c:pt>
                <c:pt idx="13">
                  <c:v>Belgium</c:v>
                </c:pt>
                <c:pt idx="14">
                  <c:v>United Kingdom</c:v>
                </c:pt>
                <c:pt idx="15">
                  <c:v>Slovenia</c:v>
                </c:pt>
                <c:pt idx="16">
                  <c:v>Italy</c:v>
                </c:pt>
                <c:pt idx="17">
                  <c:v>Slovakia</c:v>
                </c:pt>
                <c:pt idx="18">
                  <c:v>Ireland</c:v>
                </c:pt>
                <c:pt idx="19">
                  <c:v>Lithuania</c:v>
                </c:pt>
                <c:pt idx="20">
                  <c:v>Cyprus</c:v>
                </c:pt>
                <c:pt idx="21">
                  <c:v>Poland</c:v>
                </c:pt>
                <c:pt idx="22">
                  <c:v>Bulgaria</c:v>
                </c:pt>
                <c:pt idx="23">
                  <c:v>Greece</c:v>
                </c:pt>
                <c:pt idx="24">
                  <c:v>Hungary</c:v>
                </c:pt>
                <c:pt idx="25">
                  <c:v>Malta</c:v>
                </c:pt>
                <c:pt idx="26">
                  <c:v>Romania</c:v>
                </c:pt>
                <c:pt idx="27">
                  <c:v>Latvia</c:v>
                </c:pt>
              </c:strCache>
            </c:strRef>
          </c:cat>
          <c:val>
            <c:numRef>
              <c:f>Hárok20!$C$4:$C$31</c:f>
              <c:numCache>
                <c:formatCode>General</c:formatCode>
                <c:ptCount val="28"/>
                <c:pt idx="0">
                  <c:v>1.2</c:v>
                </c:pt>
                <c:pt idx="1">
                  <c:v>1.6500000000000001</c:v>
                </c:pt>
                <c:pt idx="2">
                  <c:v>1.51</c:v>
                </c:pt>
                <c:pt idx="3">
                  <c:v>2.04</c:v>
                </c:pt>
                <c:pt idx="4">
                  <c:v>1.35</c:v>
                </c:pt>
                <c:pt idx="5">
                  <c:v>1.59</c:v>
                </c:pt>
                <c:pt idx="6">
                  <c:v>0</c:v>
                </c:pt>
                <c:pt idx="7">
                  <c:v>1.32</c:v>
                </c:pt>
                <c:pt idx="8">
                  <c:v>1.77</c:v>
                </c:pt>
                <c:pt idx="9">
                  <c:v>1.23</c:v>
                </c:pt>
                <c:pt idx="10">
                  <c:v>0.63000000000000078</c:v>
                </c:pt>
                <c:pt idx="11">
                  <c:v>1.81</c:v>
                </c:pt>
                <c:pt idx="12">
                  <c:v>1.42</c:v>
                </c:pt>
                <c:pt idx="13">
                  <c:v>1.1399999999999986</c:v>
                </c:pt>
                <c:pt idx="14">
                  <c:v>1.52</c:v>
                </c:pt>
                <c:pt idx="15">
                  <c:v>1.29</c:v>
                </c:pt>
                <c:pt idx="16">
                  <c:v>1.3900000000000001</c:v>
                </c:pt>
                <c:pt idx="17">
                  <c:v>0.74000000000000066</c:v>
                </c:pt>
                <c:pt idx="18">
                  <c:v>1.31</c:v>
                </c:pt>
                <c:pt idx="19">
                  <c:v>1.04</c:v>
                </c:pt>
                <c:pt idx="20">
                  <c:v>0.75000000000000078</c:v>
                </c:pt>
                <c:pt idx="21">
                  <c:v>0.68</c:v>
                </c:pt>
                <c:pt idx="22">
                  <c:v>0.79</c:v>
                </c:pt>
                <c:pt idx="23">
                  <c:v>0.74000000000000066</c:v>
                </c:pt>
                <c:pt idx="24">
                  <c:v>0.83000000000000063</c:v>
                </c:pt>
                <c:pt idx="25">
                  <c:v>0.42000000000000032</c:v>
                </c:pt>
                <c:pt idx="26">
                  <c:v>0.65000000000000091</c:v>
                </c:pt>
                <c:pt idx="27">
                  <c:v>0.55000000000000004</c:v>
                </c:pt>
              </c:numCache>
            </c:numRef>
          </c:val>
          <c:smooth val="0"/>
        </c:ser>
        <c:dLbls>
          <c:showLegendKey val="0"/>
          <c:showVal val="0"/>
          <c:showCatName val="0"/>
          <c:showSerName val="0"/>
          <c:showPercent val="0"/>
          <c:showBubbleSize val="0"/>
        </c:dLbls>
        <c:marker val="1"/>
        <c:smooth val="0"/>
        <c:axId val="99592832"/>
        <c:axId val="99602816"/>
      </c:lineChart>
      <c:catAx>
        <c:axId val="99592832"/>
        <c:scaling>
          <c:orientation val="minMax"/>
        </c:scaling>
        <c:delete val="0"/>
        <c:axPos val="b"/>
        <c:majorTickMark val="out"/>
        <c:minorTickMark val="none"/>
        <c:tickLblPos val="nextTo"/>
        <c:txPr>
          <a:bodyPr/>
          <a:lstStyle/>
          <a:p>
            <a:pPr>
              <a:defRPr sz="800"/>
            </a:pPr>
            <a:endParaRPr lang="sk-SK"/>
          </a:p>
        </c:txPr>
        <c:crossAx val="99602816"/>
        <c:crosses val="autoZero"/>
        <c:auto val="1"/>
        <c:lblAlgn val="ctr"/>
        <c:lblOffset val="100"/>
        <c:noMultiLvlLbl val="0"/>
      </c:catAx>
      <c:valAx>
        <c:axId val="99602816"/>
        <c:scaling>
          <c:orientation val="minMax"/>
        </c:scaling>
        <c:delete val="0"/>
        <c:axPos val="l"/>
        <c:majorGridlines/>
        <c:numFmt formatCode="General" sourceLinked="1"/>
        <c:majorTickMark val="out"/>
        <c:minorTickMark val="none"/>
        <c:tickLblPos val="nextTo"/>
        <c:crossAx val="99592832"/>
        <c:crosses val="autoZero"/>
        <c:crossBetween val="between"/>
      </c:valAx>
    </c:plotArea>
    <c:legend>
      <c:legendPos val="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Hárok20!$A$34</c:f>
              <c:strCache>
                <c:ptCount val="1"/>
                <c:pt idx="0">
                  <c:v>Czech Republic</c:v>
                </c:pt>
              </c:strCache>
            </c:strRef>
          </c:tx>
          <c:marker>
            <c:symbol val="none"/>
          </c:marker>
          <c:cat>
            <c:strRef>
              <c:f>Hárok20!$B$33:$M$33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strCache>
            </c:strRef>
          </c:cat>
          <c:val>
            <c:numRef>
              <c:f>Hárok20!$B$34:$M$34</c:f>
              <c:numCache>
                <c:formatCode>General</c:formatCode>
                <c:ptCount val="12"/>
                <c:pt idx="0">
                  <c:v>1.1700000000000013</c:v>
                </c:pt>
                <c:pt idx="1">
                  <c:v>1.04</c:v>
                </c:pt>
                <c:pt idx="2">
                  <c:v>1</c:v>
                </c:pt>
                <c:pt idx="3">
                  <c:v>1.1200000000000001</c:v>
                </c:pt>
                <c:pt idx="4">
                  <c:v>1.23</c:v>
                </c:pt>
                <c:pt idx="5">
                  <c:v>1.3</c:v>
                </c:pt>
                <c:pt idx="6">
                  <c:v>1.36</c:v>
                </c:pt>
                <c:pt idx="7">
                  <c:v>1.29</c:v>
                </c:pt>
                <c:pt idx="8">
                  <c:v>1.37</c:v>
                </c:pt>
                <c:pt idx="9">
                  <c:v>1.36</c:v>
                </c:pt>
                <c:pt idx="10">
                  <c:v>1.56</c:v>
                </c:pt>
                <c:pt idx="11">
                  <c:v>1.53</c:v>
                </c:pt>
              </c:numCache>
            </c:numRef>
          </c:val>
          <c:smooth val="0"/>
        </c:ser>
        <c:ser>
          <c:idx val="1"/>
          <c:order val="1"/>
          <c:tx>
            <c:strRef>
              <c:f>Hárok20!$A$35</c:f>
              <c:strCache>
                <c:ptCount val="1"/>
                <c:pt idx="0">
                  <c:v>Slovakia</c:v>
                </c:pt>
              </c:strCache>
            </c:strRef>
          </c:tx>
          <c:marker>
            <c:symbol val="none"/>
          </c:marker>
          <c:cat>
            <c:strRef>
              <c:f>Hárok20!$B$33:$M$33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strCache>
            </c:strRef>
          </c:cat>
          <c:val>
            <c:numRef>
              <c:f>Hárok20!$B$35:$M$35</c:f>
              <c:numCache>
                <c:formatCode>General</c:formatCode>
                <c:ptCount val="12"/>
                <c:pt idx="0">
                  <c:v>0.76000000000000079</c:v>
                </c:pt>
                <c:pt idx="1">
                  <c:v>0.70000000000000062</c:v>
                </c:pt>
                <c:pt idx="2">
                  <c:v>0.74000000000000066</c:v>
                </c:pt>
                <c:pt idx="3">
                  <c:v>0.8</c:v>
                </c:pt>
                <c:pt idx="4">
                  <c:v>0.74000000000000066</c:v>
                </c:pt>
                <c:pt idx="5">
                  <c:v>0.74000000000000066</c:v>
                </c:pt>
                <c:pt idx="6">
                  <c:v>0.62000000000000066</c:v>
                </c:pt>
                <c:pt idx="7">
                  <c:v>0.79</c:v>
                </c:pt>
                <c:pt idx="8">
                  <c:v>0.88</c:v>
                </c:pt>
                <c:pt idx="9">
                  <c:v>0.96000000000000063</c:v>
                </c:pt>
                <c:pt idx="10">
                  <c:v>1.22</c:v>
                </c:pt>
                <c:pt idx="11">
                  <c:v>1.1000000000000001</c:v>
                </c:pt>
              </c:numCache>
            </c:numRef>
          </c:val>
          <c:smooth val="0"/>
        </c:ser>
        <c:ser>
          <c:idx val="2"/>
          <c:order val="2"/>
          <c:tx>
            <c:strRef>
              <c:f>Hárok20!$A$36</c:f>
              <c:strCache>
                <c:ptCount val="1"/>
                <c:pt idx="0">
                  <c:v>Hungary</c:v>
                </c:pt>
              </c:strCache>
            </c:strRef>
          </c:tx>
          <c:marker>
            <c:symbol val="none"/>
          </c:marker>
          <c:cat>
            <c:strRef>
              <c:f>Hárok20!$B$33:$M$33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strCache>
            </c:strRef>
          </c:cat>
          <c:val>
            <c:numRef>
              <c:f>Hárok20!$B$36:$M$36</c:f>
              <c:numCache>
                <c:formatCode>General</c:formatCode>
                <c:ptCount val="12"/>
                <c:pt idx="0">
                  <c:v>0</c:v>
                </c:pt>
                <c:pt idx="1">
                  <c:v>0</c:v>
                </c:pt>
                <c:pt idx="2">
                  <c:v>0</c:v>
                </c:pt>
                <c:pt idx="3">
                  <c:v>0</c:v>
                </c:pt>
                <c:pt idx="4">
                  <c:v>0.83000000000000063</c:v>
                </c:pt>
                <c:pt idx="5">
                  <c:v>0.70000000000000062</c:v>
                </c:pt>
                <c:pt idx="6">
                  <c:v>0.78</c:v>
                </c:pt>
                <c:pt idx="7">
                  <c:v>0.87000000000000066</c:v>
                </c:pt>
                <c:pt idx="8">
                  <c:v>0.91</c:v>
                </c:pt>
                <c:pt idx="9">
                  <c:v>0.73000000000000065</c:v>
                </c:pt>
                <c:pt idx="10">
                  <c:v>0.60000000000000064</c:v>
                </c:pt>
                <c:pt idx="11">
                  <c:v>0.71000000000000063</c:v>
                </c:pt>
              </c:numCache>
            </c:numRef>
          </c:val>
          <c:smooth val="0"/>
        </c:ser>
        <c:ser>
          <c:idx val="3"/>
          <c:order val="3"/>
          <c:tx>
            <c:strRef>
              <c:f>Hárok20!$A$37</c:f>
              <c:strCache>
                <c:ptCount val="1"/>
                <c:pt idx="0">
                  <c:v>Poland</c:v>
                </c:pt>
              </c:strCache>
            </c:strRef>
          </c:tx>
          <c:marker>
            <c:symbol val="none"/>
          </c:marker>
          <c:cat>
            <c:strRef>
              <c:f>Hárok20!$B$33:$M$33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strCache>
            </c:strRef>
          </c:cat>
          <c:val>
            <c:numRef>
              <c:f>Hárok20!$B$37:$M$37</c:f>
              <c:numCache>
                <c:formatCode>General</c:formatCode>
                <c:ptCount val="12"/>
                <c:pt idx="0">
                  <c:v>0</c:v>
                </c:pt>
                <c:pt idx="1">
                  <c:v>0</c:v>
                </c:pt>
                <c:pt idx="2">
                  <c:v>0</c:v>
                </c:pt>
                <c:pt idx="3">
                  <c:v>0.73000000000000065</c:v>
                </c:pt>
                <c:pt idx="4">
                  <c:v>0.68</c:v>
                </c:pt>
                <c:pt idx="5">
                  <c:v>0.72000000000000064</c:v>
                </c:pt>
                <c:pt idx="6">
                  <c:v>0.75000000000000078</c:v>
                </c:pt>
                <c:pt idx="7">
                  <c:v>0.70000000000000062</c:v>
                </c:pt>
                <c:pt idx="8">
                  <c:v>0.76000000000000079</c:v>
                </c:pt>
                <c:pt idx="9">
                  <c:v>0.82000000000000062</c:v>
                </c:pt>
                <c:pt idx="10">
                  <c:v>0.73000000000000065</c:v>
                </c:pt>
                <c:pt idx="11">
                  <c:v>0.85000000000000064</c:v>
                </c:pt>
              </c:numCache>
            </c:numRef>
          </c:val>
          <c:smooth val="0"/>
        </c:ser>
        <c:dLbls>
          <c:showLegendKey val="0"/>
          <c:showVal val="0"/>
          <c:showCatName val="0"/>
          <c:showSerName val="0"/>
          <c:showPercent val="0"/>
          <c:showBubbleSize val="0"/>
        </c:dLbls>
        <c:marker val="1"/>
        <c:smooth val="0"/>
        <c:axId val="99698176"/>
        <c:axId val="99699712"/>
      </c:lineChart>
      <c:catAx>
        <c:axId val="99698176"/>
        <c:scaling>
          <c:orientation val="minMax"/>
        </c:scaling>
        <c:delete val="0"/>
        <c:axPos val="b"/>
        <c:majorTickMark val="out"/>
        <c:minorTickMark val="none"/>
        <c:tickLblPos val="nextTo"/>
        <c:crossAx val="99699712"/>
        <c:crosses val="autoZero"/>
        <c:auto val="1"/>
        <c:lblAlgn val="ctr"/>
        <c:lblOffset val="100"/>
        <c:noMultiLvlLbl val="0"/>
      </c:catAx>
      <c:valAx>
        <c:axId val="99699712"/>
        <c:scaling>
          <c:orientation val="minMax"/>
        </c:scaling>
        <c:delete val="0"/>
        <c:axPos val="l"/>
        <c:majorGridlines/>
        <c:numFmt formatCode="General" sourceLinked="1"/>
        <c:majorTickMark val="out"/>
        <c:minorTickMark val="none"/>
        <c:tickLblPos val="nextTo"/>
        <c:crossAx val="99698176"/>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'Doctorate students'!$B$4</c:f>
              <c:strCache>
                <c:ptCount val="1"/>
                <c:pt idx="0">
                  <c:v>2011</c:v>
                </c:pt>
              </c:strCache>
            </c:strRef>
          </c:tx>
          <c:invertIfNegative val="0"/>
          <c:dPt>
            <c:idx val="9"/>
            <c:invertIfNegative val="0"/>
            <c:bubble3D val="0"/>
            <c:spPr>
              <a:solidFill>
                <a:srgbClr val="FFFF00"/>
              </a:solidFill>
              <a:ln>
                <a:solidFill>
                  <a:srgbClr val="FFFF00"/>
                </a:solidFill>
              </a:ln>
            </c:spPr>
          </c:dPt>
          <c:dLbls>
            <c:dLbl>
              <c:idx val="9"/>
              <c:showLegendKey val="0"/>
              <c:showVal val="1"/>
              <c:showCatName val="0"/>
              <c:showSerName val="0"/>
              <c:showPercent val="0"/>
              <c:showBubbleSize val="0"/>
            </c:dLbl>
            <c:showLegendKey val="0"/>
            <c:showVal val="0"/>
            <c:showCatName val="0"/>
            <c:showSerName val="0"/>
            <c:showPercent val="0"/>
            <c:showBubbleSize val="0"/>
          </c:dLbls>
          <c:cat>
            <c:strRef>
              <c:f>'Doctorate students'!$A$5:$A$32</c:f>
              <c:strCache>
                <c:ptCount val="28"/>
                <c:pt idx="0">
                  <c:v>Finland</c:v>
                </c:pt>
                <c:pt idx="1">
                  <c:v>Germany</c:v>
                </c:pt>
                <c:pt idx="2">
                  <c:v>Czech Republic</c:v>
                </c:pt>
                <c:pt idx="3">
                  <c:v>Austria</c:v>
                </c:pt>
                <c:pt idx="4">
                  <c:v>Sweden</c:v>
                </c:pt>
                <c:pt idx="5">
                  <c:v>Estonia</c:v>
                </c:pt>
                <c:pt idx="6">
                  <c:v>Greece</c:v>
                </c:pt>
                <c:pt idx="7">
                  <c:v>Slovenia</c:v>
                </c:pt>
                <c:pt idx="8">
                  <c:v>Ireland</c:v>
                </c:pt>
                <c:pt idx="9">
                  <c:v>Slovakia</c:v>
                </c:pt>
                <c:pt idx="10">
                  <c:v>Portugal</c:v>
                </c:pt>
                <c:pt idx="11">
                  <c:v>Denmark</c:v>
                </c:pt>
                <c:pt idx="12">
                  <c:v>Spain</c:v>
                </c:pt>
                <c:pt idx="13">
                  <c:v>France</c:v>
                </c:pt>
                <c:pt idx="14">
                  <c:v>United Kingdom</c:v>
                </c:pt>
                <c:pt idx="15">
                  <c:v>Belgium</c:v>
                </c:pt>
                <c:pt idx="16">
                  <c:v>Lithuania</c:v>
                </c:pt>
                <c:pt idx="17">
                  <c:v>Romania</c:v>
                </c:pt>
                <c:pt idx="18">
                  <c:v>Croatia</c:v>
                </c:pt>
                <c:pt idx="19">
                  <c:v>Latvia</c:v>
                </c:pt>
                <c:pt idx="20">
                  <c:v>Luxembourg</c:v>
                </c:pt>
                <c:pt idx="21">
                  <c:v>Italy</c:v>
                </c:pt>
                <c:pt idx="22">
                  <c:v>Netherlands</c:v>
                </c:pt>
                <c:pt idx="23">
                  <c:v>Cyprus</c:v>
                </c:pt>
                <c:pt idx="24">
                  <c:v>Poland</c:v>
                </c:pt>
                <c:pt idx="25">
                  <c:v>Hungary</c:v>
                </c:pt>
                <c:pt idx="26">
                  <c:v>Bulgaria</c:v>
                </c:pt>
                <c:pt idx="27">
                  <c:v>Malta</c:v>
                </c:pt>
              </c:strCache>
            </c:strRef>
          </c:cat>
          <c:val>
            <c:numRef>
              <c:f>'Doctorate students'!$B$5:$B$32</c:f>
              <c:numCache>
                <c:formatCode>General</c:formatCode>
                <c:ptCount val="28"/>
                <c:pt idx="0">
                  <c:v>1.3</c:v>
                </c:pt>
                <c:pt idx="1">
                  <c:v>0.99</c:v>
                </c:pt>
                <c:pt idx="2">
                  <c:v>0.87000000000000066</c:v>
                </c:pt>
                <c:pt idx="3">
                  <c:v>0.70000000000000062</c:v>
                </c:pt>
                <c:pt idx="4">
                  <c:v>0.70000000000000062</c:v>
                </c:pt>
                <c:pt idx="5">
                  <c:v>0.62000000000000066</c:v>
                </c:pt>
                <c:pt idx="6">
                  <c:v>0.58000000000000007</c:v>
                </c:pt>
                <c:pt idx="7">
                  <c:v>0.58000000000000007</c:v>
                </c:pt>
                <c:pt idx="8">
                  <c:v>0.56999999999999995</c:v>
                </c:pt>
                <c:pt idx="9">
                  <c:v>0.55000000000000004</c:v>
                </c:pt>
                <c:pt idx="10">
                  <c:v>0.53</c:v>
                </c:pt>
                <c:pt idx="11">
                  <c:v>0.52</c:v>
                </c:pt>
                <c:pt idx="12">
                  <c:v>0.46</c:v>
                </c:pt>
                <c:pt idx="13">
                  <c:v>0.43000000000000033</c:v>
                </c:pt>
                <c:pt idx="14">
                  <c:v>0.42000000000000032</c:v>
                </c:pt>
                <c:pt idx="15">
                  <c:v>0.41000000000000031</c:v>
                </c:pt>
                <c:pt idx="16">
                  <c:v>0.31000000000000033</c:v>
                </c:pt>
                <c:pt idx="17">
                  <c:v>0.31000000000000033</c:v>
                </c:pt>
                <c:pt idx="18">
                  <c:v>0.28000000000000008</c:v>
                </c:pt>
                <c:pt idx="19">
                  <c:v>0.28000000000000008</c:v>
                </c:pt>
                <c:pt idx="20">
                  <c:v>0.26</c:v>
                </c:pt>
                <c:pt idx="21">
                  <c:v>0.24000000000000016</c:v>
                </c:pt>
                <c:pt idx="22">
                  <c:v>0.23</c:v>
                </c:pt>
                <c:pt idx="23">
                  <c:v>0.21000000000000016</c:v>
                </c:pt>
                <c:pt idx="24">
                  <c:v>0.21000000000000016</c:v>
                </c:pt>
                <c:pt idx="25">
                  <c:v>0.18000000000000016</c:v>
                </c:pt>
                <c:pt idx="26">
                  <c:v>0.15000000000000016</c:v>
                </c:pt>
                <c:pt idx="27">
                  <c:v>4.0000000000000022E-2</c:v>
                </c:pt>
              </c:numCache>
            </c:numRef>
          </c:val>
        </c:ser>
        <c:dLbls>
          <c:showLegendKey val="0"/>
          <c:showVal val="0"/>
          <c:showCatName val="0"/>
          <c:showSerName val="0"/>
          <c:showPercent val="0"/>
          <c:showBubbleSize val="0"/>
        </c:dLbls>
        <c:gapWidth val="150"/>
        <c:axId val="36407936"/>
        <c:axId val="36409728"/>
      </c:barChart>
      <c:lineChart>
        <c:grouping val="standard"/>
        <c:varyColors val="0"/>
        <c:ser>
          <c:idx val="1"/>
          <c:order val="1"/>
          <c:tx>
            <c:strRef>
              <c:f>'Doctorate students'!$C$4</c:f>
              <c:strCache>
                <c:ptCount val="1"/>
                <c:pt idx="0">
                  <c:v>2005</c:v>
                </c:pt>
              </c:strCache>
            </c:strRef>
          </c:tx>
          <c:spPr>
            <a:ln>
              <a:noFill/>
            </a:ln>
          </c:spPr>
          <c:marker>
            <c:symbol val="diamond"/>
            <c:size val="7"/>
          </c:marker>
          <c:cat>
            <c:strRef>
              <c:f>'Doctorate students'!$A$5:$A$32</c:f>
              <c:strCache>
                <c:ptCount val="28"/>
                <c:pt idx="0">
                  <c:v>Finland</c:v>
                </c:pt>
                <c:pt idx="1">
                  <c:v>Germany</c:v>
                </c:pt>
                <c:pt idx="2">
                  <c:v>Czech Republic</c:v>
                </c:pt>
                <c:pt idx="3">
                  <c:v>Austria</c:v>
                </c:pt>
                <c:pt idx="4">
                  <c:v>Sweden</c:v>
                </c:pt>
                <c:pt idx="5">
                  <c:v>Estonia</c:v>
                </c:pt>
                <c:pt idx="6">
                  <c:v>Greece</c:v>
                </c:pt>
                <c:pt idx="7">
                  <c:v>Slovenia</c:v>
                </c:pt>
                <c:pt idx="8">
                  <c:v>Ireland</c:v>
                </c:pt>
                <c:pt idx="9">
                  <c:v>Slovakia</c:v>
                </c:pt>
                <c:pt idx="10">
                  <c:v>Portugal</c:v>
                </c:pt>
                <c:pt idx="11">
                  <c:v>Denmark</c:v>
                </c:pt>
                <c:pt idx="12">
                  <c:v>Spain</c:v>
                </c:pt>
                <c:pt idx="13">
                  <c:v>France</c:v>
                </c:pt>
                <c:pt idx="14">
                  <c:v>United Kingdom</c:v>
                </c:pt>
                <c:pt idx="15">
                  <c:v>Belgium</c:v>
                </c:pt>
                <c:pt idx="16">
                  <c:v>Lithuania</c:v>
                </c:pt>
                <c:pt idx="17">
                  <c:v>Romania</c:v>
                </c:pt>
                <c:pt idx="18">
                  <c:v>Croatia</c:v>
                </c:pt>
                <c:pt idx="19">
                  <c:v>Latvia</c:v>
                </c:pt>
                <c:pt idx="20">
                  <c:v>Luxembourg</c:v>
                </c:pt>
                <c:pt idx="21">
                  <c:v>Italy</c:v>
                </c:pt>
                <c:pt idx="22">
                  <c:v>Netherlands</c:v>
                </c:pt>
                <c:pt idx="23">
                  <c:v>Cyprus</c:v>
                </c:pt>
                <c:pt idx="24">
                  <c:v>Poland</c:v>
                </c:pt>
                <c:pt idx="25">
                  <c:v>Hungary</c:v>
                </c:pt>
                <c:pt idx="26">
                  <c:v>Bulgaria</c:v>
                </c:pt>
                <c:pt idx="27">
                  <c:v>Malta</c:v>
                </c:pt>
              </c:strCache>
            </c:strRef>
          </c:cat>
          <c:val>
            <c:numRef>
              <c:f>'Doctorate students'!$C$5:$C$32</c:f>
              <c:numCache>
                <c:formatCode>General</c:formatCode>
                <c:ptCount val="28"/>
                <c:pt idx="0">
                  <c:v>1.33</c:v>
                </c:pt>
                <c:pt idx="1">
                  <c:v>0</c:v>
                </c:pt>
                <c:pt idx="2">
                  <c:v>0.79</c:v>
                </c:pt>
                <c:pt idx="3">
                  <c:v>0.47000000000000008</c:v>
                </c:pt>
                <c:pt idx="4">
                  <c:v>0.87000000000000066</c:v>
                </c:pt>
                <c:pt idx="5">
                  <c:v>0.3900000000000004</c:v>
                </c:pt>
                <c:pt idx="6">
                  <c:v>0.85000000000000064</c:v>
                </c:pt>
                <c:pt idx="7">
                  <c:v>0.17</c:v>
                </c:pt>
                <c:pt idx="8">
                  <c:v>0.35000000000000031</c:v>
                </c:pt>
                <c:pt idx="9">
                  <c:v>0.43000000000000033</c:v>
                </c:pt>
                <c:pt idx="10">
                  <c:v>0.38000000000000039</c:v>
                </c:pt>
                <c:pt idx="11">
                  <c:v>0.27</c:v>
                </c:pt>
                <c:pt idx="12">
                  <c:v>0.29000000000000031</c:v>
                </c:pt>
                <c:pt idx="13">
                  <c:v>0.36000000000000032</c:v>
                </c:pt>
                <c:pt idx="14">
                  <c:v>0.52</c:v>
                </c:pt>
                <c:pt idx="15">
                  <c:v>0.26</c:v>
                </c:pt>
                <c:pt idx="16">
                  <c:v>0.24000000000000016</c:v>
                </c:pt>
                <c:pt idx="17">
                  <c:v>0.23</c:v>
                </c:pt>
                <c:pt idx="18">
                  <c:v>6.0000000000000032E-2</c:v>
                </c:pt>
                <c:pt idx="19">
                  <c:v>0.13</c:v>
                </c:pt>
                <c:pt idx="20">
                  <c:v>0</c:v>
                </c:pt>
                <c:pt idx="21">
                  <c:v>0.23</c:v>
                </c:pt>
                <c:pt idx="22">
                  <c:v>0</c:v>
                </c:pt>
                <c:pt idx="23">
                  <c:v>0.12000000000000002</c:v>
                </c:pt>
                <c:pt idx="24">
                  <c:v>0.19</c:v>
                </c:pt>
                <c:pt idx="25">
                  <c:v>0.17</c:v>
                </c:pt>
                <c:pt idx="26">
                  <c:v>0.2</c:v>
                </c:pt>
                <c:pt idx="27">
                  <c:v>2.0000000000000011E-2</c:v>
                </c:pt>
              </c:numCache>
            </c:numRef>
          </c:val>
          <c:smooth val="0"/>
        </c:ser>
        <c:dLbls>
          <c:showLegendKey val="0"/>
          <c:showVal val="0"/>
          <c:showCatName val="0"/>
          <c:showSerName val="0"/>
          <c:showPercent val="0"/>
          <c:showBubbleSize val="0"/>
        </c:dLbls>
        <c:marker val="1"/>
        <c:smooth val="0"/>
        <c:axId val="36407936"/>
        <c:axId val="36409728"/>
      </c:lineChart>
      <c:catAx>
        <c:axId val="36407936"/>
        <c:scaling>
          <c:orientation val="minMax"/>
        </c:scaling>
        <c:delete val="0"/>
        <c:axPos val="b"/>
        <c:majorTickMark val="out"/>
        <c:minorTickMark val="none"/>
        <c:tickLblPos val="nextTo"/>
        <c:txPr>
          <a:bodyPr rot="-5400000" vert="horz"/>
          <a:lstStyle/>
          <a:p>
            <a:pPr>
              <a:defRPr sz="800"/>
            </a:pPr>
            <a:endParaRPr lang="sk-SK"/>
          </a:p>
        </c:txPr>
        <c:crossAx val="36409728"/>
        <c:crosses val="autoZero"/>
        <c:auto val="1"/>
        <c:lblAlgn val="ctr"/>
        <c:lblOffset val="100"/>
        <c:noMultiLvlLbl val="0"/>
      </c:catAx>
      <c:valAx>
        <c:axId val="36409728"/>
        <c:scaling>
          <c:orientation val="minMax"/>
        </c:scaling>
        <c:delete val="0"/>
        <c:axPos val="l"/>
        <c:majorGridlines/>
        <c:numFmt formatCode="General" sourceLinked="1"/>
        <c:majorTickMark val="out"/>
        <c:minorTickMark val="none"/>
        <c:tickLblPos val="nextTo"/>
        <c:crossAx val="36407936"/>
        <c:crosses val="autoZero"/>
        <c:crossBetween val="between"/>
      </c:valAx>
    </c:plotArea>
    <c:legend>
      <c:legendPos val="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Hárok18!$A$4</c:f>
              <c:strCache>
                <c:ptCount val="1"/>
                <c:pt idx="0">
                  <c:v>Bratislavský kraj</c:v>
                </c:pt>
              </c:strCache>
            </c:strRef>
          </c:tx>
          <c:marker>
            <c:symbol val="none"/>
          </c:marker>
          <c:dLbls>
            <c:dLbl>
              <c:idx val="10"/>
              <c:showLegendKey val="0"/>
              <c:showVal val="1"/>
              <c:showCatName val="0"/>
              <c:showSerName val="0"/>
              <c:showPercent val="0"/>
              <c:showBubbleSize val="0"/>
            </c:dLbl>
            <c:showLegendKey val="0"/>
            <c:showVal val="0"/>
            <c:showCatName val="0"/>
            <c:showSerName val="0"/>
            <c:showPercent val="0"/>
            <c:showBubbleSize val="0"/>
          </c:dLbls>
          <c:cat>
            <c:strRef>
              <c:f>Hárok18!$B$3:$L$3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Hárok18!$B$4:$L$4</c:f>
              <c:numCache>
                <c:formatCode>General</c:formatCode>
                <c:ptCount val="11"/>
                <c:pt idx="0">
                  <c:v>1.02</c:v>
                </c:pt>
                <c:pt idx="1">
                  <c:v>0.95000000000000062</c:v>
                </c:pt>
                <c:pt idx="2">
                  <c:v>1.1000000000000001</c:v>
                </c:pt>
                <c:pt idx="3">
                  <c:v>1</c:v>
                </c:pt>
                <c:pt idx="4">
                  <c:v>0.88</c:v>
                </c:pt>
                <c:pt idx="5">
                  <c:v>0.91</c:v>
                </c:pt>
                <c:pt idx="6">
                  <c:v>0.84000000000000064</c:v>
                </c:pt>
                <c:pt idx="7">
                  <c:v>0.9</c:v>
                </c:pt>
                <c:pt idx="8">
                  <c:v>0.89</c:v>
                </c:pt>
                <c:pt idx="9">
                  <c:v>1.1399999999999986</c:v>
                </c:pt>
                <c:pt idx="10">
                  <c:v>1.28</c:v>
                </c:pt>
              </c:numCache>
            </c:numRef>
          </c:val>
          <c:smooth val="0"/>
        </c:ser>
        <c:ser>
          <c:idx val="1"/>
          <c:order val="1"/>
          <c:tx>
            <c:strRef>
              <c:f>Hárok18!$A$5</c:f>
              <c:strCache>
                <c:ptCount val="1"/>
                <c:pt idx="0">
                  <c:v>Západné Slovensko</c:v>
                </c:pt>
              </c:strCache>
            </c:strRef>
          </c:tx>
          <c:marker>
            <c:symbol val="none"/>
          </c:marker>
          <c:dLbls>
            <c:dLbl>
              <c:idx val="10"/>
              <c:showLegendKey val="0"/>
              <c:showVal val="1"/>
              <c:showCatName val="0"/>
              <c:showSerName val="0"/>
              <c:showPercent val="0"/>
              <c:showBubbleSize val="0"/>
            </c:dLbl>
            <c:showLegendKey val="0"/>
            <c:showVal val="0"/>
            <c:showCatName val="0"/>
            <c:showSerName val="0"/>
            <c:showPercent val="0"/>
            <c:showBubbleSize val="0"/>
          </c:dLbls>
          <c:cat>
            <c:strRef>
              <c:f>Hárok18!$B$3:$L$3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Hárok18!$B$5:$L$5</c:f>
              <c:numCache>
                <c:formatCode>General</c:formatCode>
                <c:ptCount val="11"/>
                <c:pt idx="0">
                  <c:v>0.59</c:v>
                </c:pt>
                <c:pt idx="1">
                  <c:v>0.55000000000000004</c:v>
                </c:pt>
                <c:pt idx="2">
                  <c:v>0.52</c:v>
                </c:pt>
                <c:pt idx="3">
                  <c:v>0.42000000000000032</c:v>
                </c:pt>
                <c:pt idx="4">
                  <c:v>0.45</c:v>
                </c:pt>
                <c:pt idx="5">
                  <c:v>0.4</c:v>
                </c:pt>
                <c:pt idx="6">
                  <c:v>0.38000000000000039</c:v>
                </c:pt>
                <c:pt idx="7">
                  <c:v>0.3900000000000004</c:v>
                </c:pt>
                <c:pt idx="8">
                  <c:v>0.34</c:v>
                </c:pt>
                <c:pt idx="9">
                  <c:v>0.45</c:v>
                </c:pt>
                <c:pt idx="10">
                  <c:v>0.36000000000000032</c:v>
                </c:pt>
              </c:numCache>
            </c:numRef>
          </c:val>
          <c:smooth val="0"/>
        </c:ser>
        <c:ser>
          <c:idx val="2"/>
          <c:order val="2"/>
          <c:tx>
            <c:strRef>
              <c:f>Hárok18!$A$6</c:f>
              <c:strCache>
                <c:ptCount val="1"/>
                <c:pt idx="0">
                  <c:v>Stredné Slovensko</c:v>
                </c:pt>
              </c:strCache>
            </c:strRef>
          </c:tx>
          <c:marker>
            <c:symbol val="none"/>
          </c:marker>
          <c:dLbls>
            <c:dLbl>
              <c:idx val="10"/>
              <c:layout>
                <c:manualLayout>
                  <c:x val="-6.6115702479338893E-3"/>
                  <c:y val="3.0905077262693283E-2"/>
                </c:manualLayout>
              </c:layout>
              <c:showLegendKey val="0"/>
              <c:showVal val="1"/>
              <c:showCatName val="0"/>
              <c:showSerName val="0"/>
              <c:showPercent val="0"/>
              <c:showBubbleSize val="0"/>
            </c:dLbl>
            <c:showLegendKey val="0"/>
            <c:showVal val="0"/>
            <c:showCatName val="0"/>
            <c:showSerName val="0"/>
            <c:showPercent val="0"/>
            <c:showBubbleSize val="0"/>
          </c:dLbls>
          <c:cat>
            <c:strRef>
              <c:f>Hárok18!$B$3:$L$3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Hárok18!$B$6:$L$6</c:f>
              <c:numCache>
                <c:formatCode>General</c:formatCode>
                <c:ptCount val="11"/>
                <c:pt idx="0">
                  <c:v>0.54</c:v>
                </c:pt>
                <c:pt idx="1">
                  <c:v>0.42000000000000032</c:v>
                </c:pt>
                <c:pt idx="2">
                  <c:v>0.33000000000000046</c:v>
                </c:pt>
                <c:pt idx="3">
                  <c:v>0.30000000000000032</c:v>
                </c:pt>
                <c:pt idx="4">
                  <c:v>0.31000000000000033</c:v>
                </c:pt>
                <c:pt idx="5">
                  <c:v>0.25</c:v>
                </c:pt>
                <c:pt idx="6">
                  <c:v>0.23</c:v>
                </c:pt>
                <c:pt idx="7">
                  <c:v>0.26</c:v>
                </c:pt>
                <c:pt idx="8">
                  <c:v>0.31000000000000033</c:v>
                </c:pt>
                <c:pt idx="9">
                  <c:v>0.37000000000000033</c:v>
                </c:pt>
                <c:pt idx="10">
                  <c:v>0.51</c:v>
                </c:pt>
              </c:numCache>
            </c:numRef>
          </c:val>
          <c:smooth val="0"/>
        </c:ser>
        <c:ser>
          <c:idx val="3"/>
          <c:order val="3"/>
          <c:tx>
            <c:strRef>
              <c:f>Hárok18!$A$7</c:f>
              <c:strCache>
                <c:ptCount val="1"/>
                <c:pt idx="0">
                  <c:v>Východné Slovensko</c:v>
                </c:pt>
              </c:strCache>
            </c:strRef>
          </c:tx>
          <c:marker>
            <c:symbol val="none"/>
          </c:marker>
          <c:dLbls>
            <c:dLbl>
              <c:idx val="10"/>
              <c:showLegendKey val="0"/>
              <c:showVal val="1"/>
              <c:showCatName val="0"/>
              <c:showSerName val="0"/>
              <c:showPercent val="0"/>
              <c:showBubbleSize val="0"/>
            </c:dLbl>
            <c:showLegendKey val="0"/>
            <c:showVal val="0"/>
            <c:showCatName val="0"/>
            <c:showSerName val="0"/>
            <c:showPercent val="0"/>
            <c:showBubbleSize val="0"/>
          </c:dLbls>
          <c:cat>
            <c:strRef>
              <c:f>Hárok18!$B$3:$L$3</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Hárok18!$B$7:$L$7</c:f>
              <c:numCache>
                <c:formatCode>General</c:formatCode>
                <c:ptCount val="11"/>
                <c:pt idx="0">
                  <c:v>0.36000000000000032</c:v>
                </c:pt>
                <c:pt idx="1">
                  <c:v>0.31000000000000033</c:v>
                </c:pt>
                <c:pt idx="2">
                  <c:v>0.28000000000000008</c:v>
                </c:pt>
                <c:pt idx="3">
                  <c:v>0.28000000000000008</c:v>
                </c:pt>
                <c:pt idx="4">
                  <c:v>0.28000000000000008</c:v>
                </c:pt>
                <c:pt idx="5">
                  <c:v>0.3200000000000004</c:v>
                </c:pt>
                <c:pt idx="6">
                  <c:v>0.31000000000000033</c:v>
                </c:pt>
                <c:pt idx="7">
                  <c:v>0.27</c:v>
                </c:pt>
                <c:pt idx="8">
                  <c:v>0.3200000000000004</c:v>
                </c:pt>
                <c:pt idx="9">
                  <c:v>0.49000000000000032</c:v>
                </c:pt>
                <c:pt idx="10">
                  <c:v>0.54</c:v>
                </c:pt>
              </c:numCache>
            </c:numRef>
          </c:val>
          <c:smooth val="0"/>
        </c:ser>
        <c:dLbls>
          <c:showLegendKey val="0"/>
          <c:showVal val="0"/>
          <c:showCatName val="0"/>
          <c:showSerName val="0"/>
          <c:showPercent val="0"/>
          <c:showBubbleSize val="0"/>
        </c:dLbls>
        <c:marker val="1"/>
        <c:smooth val="0"/>
        <c:axId val="43191296"/>
        <c:axId val="43205376"/>
      </c:lineChart>
      <c:catAx>
        <c:axId val="43191296"/>
        <c:scaling>
          <c:orientation val="minMax"/>
        </c:scaling>
        <c:delete val="0"/>
        <c:axPos val="b"/>
        <c:majorTickMark val="out"/>
        <c:minorTickMark val="none"/>
        <c:tickLblPos val="nextTo"/>
        <c:crossAx val="43205376"/>
        <c:crosses val="autoZero"/>
        <c:auto val="1"/>
        <c:lblAlgn val="ctr"/>
        <c:lblOffset val="100"/>
        <c:noMultiLvlLbl val="0"/>
      </c:catAx>
      <c:valAx>
        <c:axId val="43205376"/>
        <c:scaling>
          <c:orientation val="minMax"/>
        </c:scaling>
        <c:delete val="0"/>
        <c:axPos val="l"/>
        <c:majorGridlines/>
        <c:numFmt formatCode="General" sourceLinked="1"/>
        <c:majorTickMark val="out"/>
        <c:minorTickMark val="none"/>
        <c:tickLblPos val="nextTo"/>
        <c:crossAx val="43191296"/>
        <c:crosses val="autoZero"/>
        <c:crossBetween val="between"/>
      </c:valAx>
    </c:plotArea>
    <c:legend>
      <c:legendPos val="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'\Users\straka.straka-nb\Downloads\[67e72818-f473-4ce6-bb8f-464b59bb2b80.xls]OECD.Stat export'!$S$5</c:f>
              <c:strCache>
                <c:ptCount val="1"/>
                <c:pt idx="0">
                  <c:v>2012</c:v>
                </c:pt>
              </c:strCache>
            </c:strRef>
          </c:tx>
          <c:invertIfNegative val="0"/>
          <c:dPt>
            <c:idx val="25"/>
            <c:invertIfNegative val="0"/>
            <c:bubble3D val="0"/>
            <c:spPr>
              <a:solidFill>
                <a:srgbClr val="FFFF00"/>
              </a:solidFill>
              <a:ln>
                <a:solidFill>
                  <a:srgbClr val="FFFF00"/>
                </a:solidFill>
              </a:ln>
            </c:spPr>
          </c:dPt>
          <c:dLbls>
            <c:dLbl>
              <c:idx val="25"/>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'\Users\straka.straka-nb\Downloads\[67e72818-f473-4ce6-bb8f-464b59bb2b80.xls]OECD.Stat export'!$R$6:$R$33</c:f>
              <c:strCache>
                <c:ptCount val="28"/>
                <c:pt idx="0">
                  <c:v>Sweden</c:v>
                </c:pt>
                <c:pt idx="1">
                  <c:v>United States</c:v>
                </c:pt>
                <c:pt idx="2">
                  <c:v>Finland</c:v>
                </c:pt>
                <c:pt idx="3">
                  <c:v>Korea</c:v>
                </c:pt>
                <c:pt idx="4">
                  <c:v>Denmark</c:v>
                </c:pt>
                <c:pt idx="5">
                  <c:v>Luxembourg</c:v>
                </c:pt>
                <c:pt idx="6">
                  <c:v>Austria</c:v>
                </c:pt>
                <c:pt idx="7">
                  <c:v>Israel</c:v>
                </c:pt>
                <c:pt idx="8">
                  <c:v>Germany</c:v>
                </c:pt>
                <c:pt idx="9">
                  <c:v>Japan</c:v>
                </c:pt>
                <c:pt idx="10">
                  <c:v>Norway</c:v>
                </c:pt>
                <c:pt idx="11">
                  <c:v>Netherlands</c:v>
                </c:pt>
                <c:pt idx="12">
                  <c:v>Belgium</c:v>
                </c:pt>
                <c:pt idx="13">
                  <c:v>France</c:v>
                </c:pt>
                <c:pt idx="14">
                  <c:v>Slovenia</c:v>
                </c:pt>
                <c:pt idx="15">
                  <c:v>Ireland</c:v>
                </c:pt>
                <c:pt idx="16">
                  <c:v>Canada</c:v>
                </c:pt>
                <c:pt idx="17">
                  <c:v>United Kingdom</c:v>
                </c:pt>
                <c:pt idx="18">
                  <c:v>Australia</c:v>
                </c:pt>
                <c:pt idx="19">
                  <c:v>Estonia</c:v>
                </c:pt>
                <c:pt idx="20">
                  <c:v>Czech Republic</c:v>
                </c:pt>
                <c:pt idx="21">
                  <c:v>Italy</c:v>
                </c:pt>
                <c:pt idx="22">
                  <c:v>Spain</c:v>
                </c:pt>
                <c:pt idx="23">
                  <c:v>Portugal</c:v>
                </c:pt>
                <c:pt idx="24">
                  <c:v>Hungary</c:v>
                </c:pt>
                <c:pt idx="25">
                  <c:v>Slovak Republic</c:v>
                </c:pt>
                <c:pt idx="26">
                  <c:v>Poland</c:v>
                </c:pt>
                <c:pt idx="27">
                  <c:v>Greece</c:v>
                </c:pt>
              </c:strCache>
            </c:strRef>
          </c:cat>
          <c:val>
            <c:numRef>
              <c:f>'\Users\straka.straka-nb\Downloads\[67e72818-f473-4ce6-bb8f-464b59bb2b80.xls]OECD.Stat export'!$S$6:$S$33</c:f>
              <c:numCache>
                <c:formatCode>General</c:formatCode>
                <c:ptCount val="28"/>
                <c:pt idx="0">
                  <c:v>1460.39293916509</c:v>
                </c:pt>
                <c:pt idx="1">
                  <c:v>1443.1299677355701</c:v>
                </c:pt>
                <c:pt idx="2">
                  <c:v>1391.1659159306801</c:v>
                </c:pt>
                <c:pt idx="3">
                  <c:v>1307.7722424722099</c:v>
                </c:pt>
                <c:pt idx="4">
                  <c:v>1276.83980615064</c:v>
                </c:pt>
                <c:pt idx="5">
                  <c:v>1264.0065426639201</c:v>
                </c:pt>
                <c:pt idx="6">
                  <c:v>1252.0186442453899</c:v>
                </c:pt>
                <c:pt idx="7">
                  <c:v>1231.4432331913899</c:v>
                </c:pt>
                <c:pt idx="8">
                  <c:v>1223.77076481275</c:v>
                </c:pt>
                <c:pt idx="9">
                  <c:v>1190.44228065877</c:v>
                </c:pt>
                <c:pt idx="10">
                  <c:v>1094.3605620252501</c:v>
                </c:pt>
                <c:pt idx="11">
                  <c:v>934.90542512634397</c:v>
                </c:pt>
                <c:pt idx="12">
                  <c:v>913.22442228291789</c:v>
                </c:pt>
                <c:pt idx="13">
                  <c:v>835.65769511776546</c:v>
                </c:pt>
                <c:pt idx="14">
                  <c:v>797.33663535261701</c:v>
                </c:pt>
                <c:pt idx="15">
                  <c:v>755.07768861923398</c:v>
                </c:pt>
                <c:pt idx="16">
                  <c:v>711.06085337941602</c:v>
                </c:pt>
                <c:pt idx="17">
                  <c:v>613.92020396856003</c:v>
                </c:pt>
                <c:pt idx="18">
                  <c:v>576.8419854951228</c:v>
                </c:pt>
                <c:pt idx="19">
                  <c:v>529.32758581054247</c:v>
                </c:pt>
                <c:pt idx="20">
                  <c:v>517.81319769728896</c:v>
                </c:pt>
                <c:pt idx="21">
                  <c:v>432.15403560521702</c:v>
                </c:pt>
                <c:pt idx="22">
                  <c:v>423.6208226748094</c:v>
                </c:pt>
                <c:pt idx="23">
                  <c:v>385.81773638078499</c:v>
                </c:pt>
                <c:pt idx="24">
                  <c:v>293.49757561892369</c:v>
                </c:pt>
                <c:pt idx="25">
                  <c:v>212.76820138862817</c:v>
                </c:pt>
                <c:pt idx="26">
                  <c:v>204.99065351139095</c:v>
                </c:pt>
                <c:pt idx="27">
                  <c:v>176.638005317302</c:v>
                </c:pt>
              </c:numCache>
            </c:numRef>
          </c:val>
        </c:ser>
        <c:dLbls>
          <c:showLegendKey val="0"/>
          <c:showVal val="0"/>
          <c:showCatName val="0"/>
          <c:showSerName val="0"/>
          <c:showPercent val="0"/>
          <c:showBubbleSize val="0"/>
        </c:dLbls>
        <c:gapWidth val="150"/>
        <c:axId val="43244928"/>
        <c:axId val="43250816"/>
      </c:barChart>
      <c:lineChart>
        <c:grouping val="standard"/>
        <c:varyColors val="0"/>
        <c:ser>
          <c:idx val="1"/>
          <c:order val="1"/>
          <c:tx>
            <c:strRef>
              <c:f>'\Users\straka.straka-nb\Downloads\[67e72818-f473-4ce6-bb8f-464b59bb2b80.xls]OECD.Stat export'!$T$5</c:f>
              <c:strCache>
                <c:ptCount val="1"/>
                <c:pt idx="0">
                  <c:v>2005</c:v>
                </c:pt>
              </c:strCache>
            </c:strRef>
          </c:tx>
          <c:spPr>
            <a:ln>
              <a:noFill/>
            </a:ln>
          </c:spPr>
          <c:marker>
            <c:symbol val="diamond"/>
            <c:size val="7"/>
          </c:marker>
          <c:cat>
            <c:strRef>
              <c:f>'\Users\straka.straka-nb\Downloads\[67e72818-f473-4ce6-bb8f-464b59bb2b80.xls]OECD.Stat export'!$R$6:$R$33</c:f>
              <c:strCache>
                <c:ptCount val="28"/>
                <c:pt idx="0">
                  <c:v>Sweden</c:v>
                </c:pt>
                <c:pt idx="1">
                  <c:v>United States</c:v>
                </c:pt>
                <c:pt idx="2">
                  <c:v>Finland</c:v>
                </c:pt>
                <c:pt idx="3">
                  <c:v>Korea</c:v>
                </c:pt>
                <c:pt idx="4">
                  <c:v>Denmark</c:v>
                </c:pt>
                <c:pt idx="5">
                  <c:v>Luxembourg</c:v>
                </c:pt>
                <c:pt idx="6">
                  <c:v>Austria</c:v>
                </c:pt>
                <c:pt idx="7">
                  <c:v>Israel</c:v>
                </c:pt>
                <c:pt idx="8">
                  <c:v>Germany</c:v>
                </c:pt>
                <c:pt idx="9">
                  <c:v>Japan</c:v>
                </c:pt>
                <c:pt idx="10">
                  <c:v>Norway</c:v>
                </c:pt>
                <c:pt idx="11">
                  <c:v>Netherlands</c:v>
                </c:pt>
                <c:pt idx="12">
                  <c:v>Belgium</c:v>
                </c:pt>
                <c:pt idx="13">
                  <c:v>France</c:v>
                </c:pt>
                <c:pt idx="14">
                  <c:v>Slovenia</c:v>
                </c:pt>
                <c:pt idx="15">
                  <c:v>Ireland</c:v>
                </c:pt>
                <c:pt idx="16">
                  <c:v>Canada</c:v>
                </c:pt>
                <c:pt idx="17">
                  <c:v>United Kingdom</c:v>
                </c:pt>
                <c:pt idx="18">
                  <c:v>Australia</c:v>
                </c:pt>
                <c:pt idx="19">
                  <c:v>Estonia</c:v>
                </c:pt>
                <c:pt idx="20">
                  <c:v>Czech Republic</c:v>
                </c:pt>
                <c:pt idx="21">
                  <c:v>Italy</c:v>
                </c:pt>
                <c:pt idx="22">
                  <c:v>Spain</c:v>
                </c:pt>
                <c:pt idx="23">
                  <c:v>Portugal</c:v>
                </c:pt>
                <c:pt idx="24">
                  <c:v>Hungary</c:v>
                </c:pt>
                <c:pt idx="25">
                  <c:v>Slovak Republic</c:v>
                </c:pt>
                <c:pt idx="26">
                  <c:v>Poland</c:v>
                </c:pt>
                <c:pt idx="27">
                  <c:v>Greece</c:v>
                </c:pt>
              </c:strCache>
            </c:strRef>
          </c:cat>
          <c:val>
            <c:numRef>
              <c:f>'\Users\straka.straka-nb\Downloads\[67e72818-f473-4ce6-bb8f-464b59bb2b80.xls]OECD.Stat export'!$T$6:$T$33</c:f>
              <c:numCache>
                <c:formatCode>General</c:formatCode>
                <c:ptCount val="28"/>
                <c:pt idx="0">
                  <c:v>1163.8905600247201</c:v>
                </c:pt>
                <c:pt idx="1">
                  <c:v>1108.5667566462714</c:v>
                </c:pt>
                <c:pt idx="2">
                  <c:v>1067.6937235524986</c:v>
                </c:pt>
                <c:pt idx="3">
                  <c:v>636.05181033483996</c:v>
                </c:pt>
                <c:pt idx="4">
                  <c:v>815.44134971769802</c:v>
                </c:pt>
                <c:pt idx="5">
                  <c:v>1063.62878191457</c:v>
                </c:pt>
                <c:pt idx="6">
                  <c:v>827.02978559131952</c:v>
                </c:pt>
                <c:pt idx="7">
                  <c:v>1001.6102773914894</c:v>
                </c:pt>
                <c:pt idx="8">
                  <c:v>779.71948947742305</c:v>
                </c:pt>
                <c:pt idx="9">
                  <c:v>1007.35440012862</c:v>
                </c:pt>
                <c:pt idx="10">
                  <c:v>717.40738053639882</c:v>
                </c:pt>
                <c:pt idx="11">
                  <c:v>668.29777966457709</c:v>
                </c:pt>
                <c:pt idx="12">
                  <c:v>589.18603981266301</c:v>
                </c:pt>
                <c:pt idx="13">
                  <c:v>623.20105636116955</c:v>
                </c:pt>
                <c:pt idx="14">
                  <c:v>337.30820388066996</c:v>
                </c:pt>
                <c:pt idx="15">
                  <c:v>483.03911285631068</c:v>
                </c:pt>
                <c:pt idx="16">
                  <c:v>716.07432991064184</c:v>
                </c:pt>
                <c:pt idx="17">
                  <c:v>565.79498193549455</c:v>
                </c:pt>
                <c:pt idx="18">
                  <c:v>576.8419854951228</c:v>
                </c:pt>
                <c:pt idx="19">
                  <c:v>153.78372736604192</c:v>
                </c:pt>
                <c:pt idx="20">
                  <c:v>260.35620432122198</c:v>
                </c:pt>
                <c:pt idx="21">
                  <c:v>307.11408720855633</c:v>
                </c:pt>
                <c:pt idx="22">
                  <c:v>307.17406841962401</c:v>
                </c:pt>
                <c:pt idx="23">
                  <c:v>166.3753216776102</c:v>
                </c:pt>
                <c:pt idx="24">
                  <c:v>160.17154674746317</c:v>
                </c:pt>
                <c:pt idx="25">
                  <c:v>81.687026978839</c:v>
                </c:pt>
                <c:pt idx="26">
                  <c:v>78.153121088904982</c:v>
                </c:pt>
                <c:pt idx="27">
                  <c:v>145.48897871471416</c:v>
                </c:pt>
              </c:numCache>
            </c:numRef>
          </c:val>
          <c:smooth val="0"/>
        </c:ser>
        <c:dLbls>
          <c:showLegendKey val="0"/>
          <c:showVal val="0"/>
          <c:showCatName val="0"/>
          <c:showSerName val="0"/>
          <c:showPercent val="0"/>
          <c:showBubbleSize val="0"/>
        </c:dLbls>
        <c:marker val="1"/>
        <c:smooth val="0"/>
        <c:axId val="43244928"/>
        <c:axId val="43250816"/>
      </c:lineChart>
      <c:catAx>
        <c:axId val="43244928"/>
        <c:scaling>
          <c:orientation val="minMax"/>
        </c:scaling>
        <c:delete val="0"/>
        <c:axPos val="b"/>
        <c:majorTickMark val="out"/>
        <c:minorTickMark val="none"/>
        <c:tickLblPos val="nextTo"/>
        <c:txPr>
          <a:bodyPr rot="-5400000"/>
          <a:lstStyle/>
          <a:p>
            <a:pPr>
              <a:defRPr sz="800" baseline="0"/>
            </a:pPr>
            <a:endParaRPr lang="sk-SK"/>
          </a:p>
        </c:txPr>
        <c:crossAx val="43250816"/>
        <c:crosses val="autoZero"/>
        <c:auto val="1"/>
        <c:lblAlgn val="ctr"/>
        <c:lblOffset val="100"/>
        <c:noMultiLvlLbl val="0"/>
      </c:catAx>
      <c:valAx>
        <c:axId val="43250816"/>
        <c:scaling>
          <c:orientation val="minMax"/>
        </c:scaling>
        <c:delete val="0"/>
        <c:axPos val="l"/>
        <c:majorGridlines/>
        <c:numFmt formatCode="General" sourceLinked="1"/>
        <c:majorTickMark val="out"/>
        <c:minorTickMark val="none"/>
        <c:tickLblPos val="nextTo"/>
        <c:crossAx val="43244928"/>
        <c:crosses val="autoZero"/>
        <c:crossBetween val="between"/>
      </c:valAx>
    </c:plotArea>
    <c:legend>
      <c:legendPos val="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Hárok22!$S$5</c:f>
              <c:strCache>
                <c:ptCount val="1"/>
                <c:pt idx="0">
                  <c:v>2012 or 2011</c:v>
                </c:pt>
              </c:strCache>
            </c:strRef>
          </c:tx>
          <c:invertIfNegative val="0"/>
          <c:dPt>
            <c:idx val="12"/>
            <c:invertIfNegative val="0"/>
            <c:bubble3D val="0"/>
            <c:spPr>
              <a:solidFill>
                <a:srgbClr val="FFFF00"/>
              </a:solidFill>
              <a:ln>
                <a:solidFill>
                  <a:srgbClr val="FFFF00"/>
                </a:solidFill>
              </a:ln>
            </c:spPr>
          </c:dPt>
          <c:dLbls>
            <c:dLbl>
              <c:idx val="12"/>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Hárok22!$R$6:$R$28</c:f>
              <c:strCache>
                <c:ptCount val="23"/>
                <c:pt idx="0">
                  <c:v>Korea</c:v>
                </c:pt>
                <c:pt idx="1">
                  <c:v>Netherlands</c:v>
                </c:pt>
                <c:pt idx="2">
                  <c:v>Iceland</c:v>
                </c:pt>
                <c:pt idx="3">
                  <c:v>Czech Republic</c:v>
                </c:pt>
                <c:pt idx="4">
                  <c:v>France</c:v>
                </c:pt>
                <c:pt idx="5">
                  <c:v>Denmark</c:v>
                </c:pt>
                <c:pt idx="6">
                  <c:v>Austria</c:v>
                </c:pt>
                <c:pt idx="7">
                  <c:v>United States</c:v>
                </c:pt>
                <c:pt idx="8">
                  <c:v>Japan</c:v>
                </c:pt>
                <c:pt idx="9">
                  <c:v>Israel</c:v>
                </c:pt>
                <c:pt idx="10">
                  <c:v>Estonia</c:v>
                </c:pt>
                <c:pt idx="11">
                  <c:v>New Zealand</c:v>
                </c:pt>
                <c:pt idx="12">
                  <c:v>Slovak Republic</c:v>
                </c:pt>
                <c:pt idx="13">
                  <c:v>Italy</c:v>
                </c:pt>
                <c:pt idx="14">
                  <c:v>Norway</c:v>
                </c:pt>
                <c:pt idx="15">
                  <c:v>Slovenia</c:v>
                </c:pt>
                <c:pt idx="16">
                  <c:v>Ireland</c:v>
                </c:pt>
                <c:pt idx="17">
                  <c:v>Portugal</c:v>
                </c:pt>
                <c:pt idx="18">
                  <c:v>Spain</c:v>
                </c:pt>
                <c:pt idx="19">
                  <c:v>Hungary</c:v>
                </c:pt>
                <c:pt idx="20">
                  <c:v>Poland</c:v>
                </c:pt>
                <c:pt idx="21">
                  <c:v>Greece</c:v>
                </c:pt>
                <c:pt idx="22">
                  <c:v>United Kingdom</c:v>
                </c:pt>
              </c:strCache>
            </c:strRef>
          </c:cat>
          <c:val>
            <c:numRef>
              <c:f>Hárok22!$S$6:$S$28</c:f>
              <c:numCache>
                <c:formatCode>General</c:formatCode>
                <c:ptCount val="23"/>
                <c:pt idx="0">
                  <c:v>0.72971984937997092</c:v>
                </c:pt>
                <c:pt idx="1">
                  <c:v>0.64471337359683079</c:v>
                </c:pt>
                <c:pt idx="2">
                  <c:v>0.57721091146712</c:v>
                </c:pt>
                <c:pt idx="3">
                  <c:v>0.56471971119569064</c:v>
                </c:pt>
                <c:pt idx="4">
                  <c:v>0.54877552020239995</c:v>
                </c:pt>
                <c:pt idx="5">
                  <c:v>0.54321124941608001</c:v>
                </c:pt>
                <c:pt idx="6">
                  <c:v>0.52684491512831066</c:v>
                </c:pt>
                <c:pt idx="7">
                  <c:v>0.46076234564100993</c:v>
                </c:pt>
                <c:pt idx="8">
                  <c:v>0.41537688749726093</c:v>
                </c:pt>
                <c:pt idx="9">
                  <c:v>0.40673457929990048</c:v>
                </c:pt>
                <c:pt idx="10">
                  <c:v>0.35284090163581067</c:v>
                </c:pt>
                <c:pt idx="11">
                  <c:v>0.32680371442681033</c:v>
                </c:pt>
                <c:pt idx="12">
                  <c:v>0.3024966194660404</c:v>
                </c:pt>
                <c:pt idx="13">
                  <c:v>0.30109905534558001</c:v>
                </c:pt>
                <c:pt idx="14">
                  <c:v>0.29718843382604054</c:v>
                </c:pt>
                <c:pt idx="15">
                  <c:v>0.28630739981550046</c:v>
                </c:pt>
                <c:pt idx="16">
                  <c:v>0.28536331798099046</c:v>
                </c:pt>
                <c:pt idx="17">
                  <c:v>0.28424110656929974</c:v>
                </c:pt>
                <c:pt idx="18">
                  <c:v>0.27176059683062997</c:v>
                </c:pt>
                <c:pt idx="19">
                  <c:v>0.22832461294710987</c:v>
                </c:pt>
                <c:pt idx="20">
                  <c:v>0.20310484665213999</c:v>
                </c:pt>
                <c:pt idx="21">
                  <c:v>0.18902682749172023</c:v>
                </c:pt>
                <c:pt idx="22">
                  <c:v>0.17353346298514999</c:v>
                </c:pt>
              </c:numCache>
            </c:numRef>
          </c:val>
        </c:ser>
        <c:dLbls>
          <c:showLegendKey val="0"/>
          <c:showVal val="0"/>
          <c:showCatName val="0"/>
          <c:showSerName val="0"/>
          <c:showPercent val="0"/>
          <c:showBubbleSize val="0"/>
        </c:dLbls>
        <c:gapWidth val="150"/>
        <c:axId val="99757056"/>
        <c:axId val="99779328"/>
      </c:barChart>
      <c:lineChart>
        <c:grouping val="standard"/>
        <c:varyColors val="0"/>
        <c:ser>
          <c:idx val="1"/>
          <c:order val="1"/>
          <c:tx>
            <c:strRef>
              <c:f>Hárok22!$T$5</c:f>
              <c:strCache>
                <c:ptCount val="1"/>
                <c:pt idx="0">
                  <c:v>2005</c:v>
                </c:pt>
              </c:strCache>
            </c:strRef>
          </c:tx>
          <c:spPr>
            <a:ln>
              <a:noFill/>
            </a:ln>
          </c:spPr>
          <c:marker>
            <c:symbol val="diamond"/>
            <c:size val="7"/>
          </c:marker>
          <c:cat>
            <c:strRef>
              <c:f>Hárok22!$R$6:$R$28</c:f>
              <c:strCache>
                <c:ptCount val="23"/>
                <c:pt idx="0">
                  <c:v>Korea</c:v>
                </c:pt>
                <c:pt idx="1">
                  <c:v>Netherlands</c:v>
                </c:pt>
                <c:pt idx="2">
                  <c:v>Iceland</c:v>
                </c:pt>
                <c:pt idx="3">
                  <c:v>Czech Republic</c:v>
                </c:pt>
                <c:pt idx="4">
                  <c:v>France</c:v>
                </c:pt>
                <c:pt idx="5">
                  <c:v>Denmark</c:v>
                </c:pt>
                <c:pt idx="6">
                  <c:v>Austria</c:v>
                </c:pt>
                <c:pt idx="7">
                  <c:v>United States</c:v>
                </c:pt>
                <c:pt idx="8">
                  <c:v>Japan</c:v>
                </c:pt>
                <c:pt idx="9">
                  <c:v>Israel</c:v>
                </c:pt>
                <c:pt idx="10">
                  <c:v>Estonia</c:v>
                </c:pt>
                <c:pt idx="11">
                  <c:v>New Zealand</c:v>
                </c:pt>
                <c:pt idx="12">
                  <c:v>Slovak Republic</c:v>
                </c:pt>
                <c:pt idx="13">
                  <c:v>Italy</c:v>
                </c:pt>
                <c:pt idx="14">
                  <c:v>Norway</c:v>
                </c:pt>
                <c:pt idx="15">
                  <c:v>Slovenia</c:v>
                </c:pt>
                <c:pt idx="16">
                  <c:v>Ireland</c:v>
                </c:pt>
                <c:pt idx="17">
                  <c:v>Portugal</c:v>
                </c:pt>
                <c:pt idx="18">
                  <c:v>Spain</c:v>
                </c:pt>
                <c:pt idx="19">
                  <c:v>Hungary</c:v>
                </c:pt>
                <c:pt idx="20">
                  <c:v>Poland</c:v>
                </c:pt>
                <c:pt idx="21">
                  <c:v>Greece</c:v>
                </c:pt>
                <c:pt idx="22">
                  <c:v>United Kingdom</c:v>
                </c:pt>
              </c:strCache>
            </c:strRef>
          </c:cat>
          <c:val>
            <c:numRef>
              <c:f>Hárok22!$T$6:$T$28</c:f>
              <c:numCache>
                <c:formatCode>General</c:formatCode>
                <c:ptCount val="23"/>
                <c:pt idx="0">
                  <c:v>0.42841703391506047</c:v>
                </c:pt>
                <c:pt idx="1">
                  <c:v>0</c:v>
                </c:pt>
                <c:pt idx="2">
                  <c:v>0.52173863205540094</c:v>
                </c:pt>
                <c:pt idx="3">
                  <c:v>0.32999237273013998</c:v>
                </c:pt>
                <c:pt idx="4">
                  <c:v>0.50496783499312003</c:v>
                </c:pt>
                <c:pt idx="5">
                  <c:v>0.44239982535862998</c:v>
                </c:pt>
                <c:pt idx="6">
                  <c:v>0.39075688271670039</c:v>
                </c:pt>
                <c:pt idx="7">
                  <c:v>0.46826366510377998</c:v>
                </c:pt>
                <c:pt idx="8">
                  <c:v>0.39704030339172047</c:v>
                </c:pt>
                <c:pt idx="9">
                  <c:v>0.62653968905214996</c:v>
                </c:pt>
                <c:pt idx="10">
                  <c:v>0.25206274178674998</c:v>
                </c:pt>
                <c:pt idx="11">
                  <c:v>0.34087068467836046</c:v>
                </c:pt>
                <c:pt idx="12">
                  <c:v>0.20933734595181999</c:v>
                </c:pt>
                <c:pt idx="13">
                  <c:v>0.30089541848314</c:v>
                </c:pt>
                <c:pt idx="14">
                  <c:v>0.27445051884947053</c:v>
                </c:pt>
                <c:pt idx="15">
                  <c:v>0.18592322588485999</c:v>
                </c:pt>
                <c:pt idx="16">
                  <c:v>0.29773449170353</c:v>
                </c:pt>
                <c:pt idx="17">
                  <c:v>0.17872029021232036</c:v>
                </c:pt>
                <c:pt idx="18">
                  <c:v>0.19737918702120016</c:v>
                </c:pt>
                <c:pt idx="19">
                  <c:v>0.22471506974454</c:v>
                </c:pt>
                <c:pt idx="20">
                  <c:v>0.16759856076769999</c:v>
                </c:pt>
                <c:pt idx="21">
                  <c:v>0</c:v>
                </c:pt>
                <c:pt idx="22">
                  <c:v>0.18478327096854</c:v>
                </c:pt>
              </c:numCache>
            </c:numRef>
          </c:val>
          <c:smooth val="0"/>
        </c:ser>
        <c:dLbls>
          <c:showLegendKey val="0"/>
          <c:showVal val="0"/>
          <c:showCatName val="0"/>
          <c:showSerName val="0"/>
          <c:showPercent val="0"/>
          <c:showBubbleSize val="0"/>
        </c:dLbls>
        <c:marker val="1"/>
        <c:smooth val="0"/>
        <c:axId val="99757056"/>
        <c:axId val="99779328"/>
      </c:lineChart>
      <c:catAx>
        <c:axId val="99757056"/>
        <c:scaling>
          <c:orientation val="minMax"/>
        </c:scaling>
        <c:delete val="0"/>
        <c:axPos val="b"/>
        <c:majorTickMark val="out"/>
        <c:minorTickMark val="none"/>
        <c:tickLblPos val="nextTo"/>
        <c:txPr>
          <a:bodyPr rot="-5400000"/>
          <a:lstStyle/>
          <a:p>
            <a:pPr>
              <a:defRPr sz="800"/>
            </a:pPr>
            <a:endParaRPr lang="sk-SK"/>
          </a:p>
        </c:txPr>
        <c:crossAx val="99779328"/>
        <c:crosses val="autoZero"/>
        <c:auto val="1"/>
        <c:lblAlgn val="ctr"/>
        <c:lblOffset val="100"/>
        <c:noMultiLvlLbl val="0"/>
      </c:catAx>
      <c:valAx>
        <c:axId val="99779328"/>
        <c:scaling>
          <c:orientation val="minMax"/>
        </c:scaling>
        <c:delete val="0"/>
        <c:axPos val="l"/>
        <c:majorGridlines/>
        <c:numFmt formatCode="General" sourceLinked="1"/>
        <c:majorTickMark val="out"/>
        <c:minorTickMark val="none"/>
        <c:tickLblPos val="nextTo"/>
        <c:crossAx val="99757056"/>
        <c:crosses val="autoZero"/>
        <c:crossBetween val="between"/>
      </c:valAx>
    </c:plotArea>
    <c:legend>
      <c:legendPos val="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Hárok23!$S$5</c:f>
              <c:strCache>
                <c:ptCount val="1"/>
                <c:pt idx="0">
                  <c:v>2012 or 2011</c:v>
                </c:pt>
              </c:strCache>
            </c:strRef>
          </c:tx>
          <c:invertIfNegative val="0"/>
          <c:dPt>
            <c:idx val="16"/>
            <c:invertIfNegative val="0"/>
            <c:bubble3D val="0"/>
            <c:spPr>
              <a:solidFill>
                <a:srgbClr val="FFFF00"/>
              </a:solidFill>
              <a:ln>
                <a:solidFill>
                  <a:srgbClr val="FFFF00"/>
                </a:solidFill>
              </a:ln>
            </c:spPr>
          </c:dPt>
          <c:dLbls>
            <c:dLbl>
              <c:idx val="16"/>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Hárok23!$R$6:$R$36</c:f>
              <c:strCache>
                <c:ptCount val="31"/>
                <c:pt idx="0">
                  <c:v>Hungary</c:v>
                </c:pt>
                <c:pt idx="1">
                  <c:v>Spain</c:v>
                </c:pt>
                <c:pt idx="2">
                  <c:v>Slovenia</c:v>
                </c:pt>
                <c:pt idx="3">
                  <c:v>Czech Republic</c:v>
                </c:pt>
                <c:pt idx="4">
                  <c:v>Austria</c:v>
                </c:pt>
                <c:pt idx="5">
                  <c:v>New Zealand</c:v>
                </c:pt>
                <c:pt idx="6">
                  <c:v>United States</c:v>
                </c:pt>
                <c:pt idx="7">
                  <c:v>Poland</c:v>
                </c:pt>
                <c:pt idx="8">
                  <c:v>Norway</c:v>
                </c:pt>
                <c:pt idx="9">
                  <c:v>Estonia</c:v>
                </c:pt>
                <c:pt idx="10">
                  <c:v>Turkey</c:v>
                </c:pt>
                <c:pt idx="11">
                  <c:v>Greece</c:v>
                </c:pt>
                <c:pt idx="12">
                  <c:v>United Kingdom</c:v>
                </c:pt>
                <c:pt idx="13">
                  <c:v>Mexico</c:v>
                </c:pt>
                <c:pt idx="14">
                  <c:v>France</c:v>
                </c:pt>
                <c:pt idx="15">
                  <c:v>Italy</c:v>
                </c:pt>
                <c:pt idx="16">
                  <c:v>Slovak Republic</c:v>
                </c:pt>
                <c:pt idx="17">
                  <c:v>Belgium</c:v>
                </c:pt>
                <c:pt idx="18">
                  <c:v>Korea</c:v>
                </c:pt>
                <c:pt idx="19">
                  <c:v>Ireland</c:v>
                </c:pt>
                <c:pt idx="20">
                  <c:v>Sweden</c:v>
                </c:pt>
                <c:pt idx="21">
                  <c:v>Germany</c:v>
                </c:pt>
                <c:pt idx="22">
                  <c:v>Portugal</c:v>
                </c:pt>
                <c:pt idx="23">
                  <c:v>Netherlands</c:v>
                </c:pt>
                <c:pt idx="24">
                  <c:v>Canada</c:v>
                </c:pt>
                <c:pt idx="25">
                  <c:v>Israel</c:v>
                </c:pt>
                <c:pt idx="26">
                  <c:v>Finland</c:v>
                </c:pt>
                <c:pt idx="27">
                  <c:v>Denmark</c:v>
                </c:pt>
                <c:pt idx="28">
                  <c:v>Australia</c:v>
                </c:pt>
                <c:pt idx="29">
                  <c:v>Japan</c:v>
                </c:pt>
                <c:pt idx="30">
                  <c:v>Switzerland</c:v>
                </c:pt>
              </c:strCache>
            </c:strRef>
          </c:cat>
          <c:val>
            <c:numRef>
              <c:f>Hárok23!$S$6:$S$36</c:f>
              <c:numCache>
                <c:formatCode>General</c:formatCode>
                <c:ptCount val="31"/>
                <c:pt idx="0">
                  <c:v>15.668891486607098</c:v>
                </c:pt>
                <c:pt idx="1">
                  <c:v>14.381065898686218</c:v>
                </c:pt>
                <c:pt idx="2">
                  <c:v>14.252363419473498</c:v>
                </c:pt>
                <c:pt idx="3">
                  <c:v>13.734627728643098</c:v>
                </c:pt>
                <c:pt idx="4">
                  <c:v>13.271141772622798</c:v>
                </c:pt>
                <c:pt idx="5">
                  <c:v>12.238055322715782</c:v>
                </c:pt>
                <c:pt idx="6">
                  <c:v>11.4619513735396</c:v>
                </c:pt>
                <c:pt idx="7">
                  <c:v>11.183089625732499</c:v>
                </c:pt>
                <c:pt idx="8">
                  <c:v>9.7391341023640301</c:v>
                </c:pt>
                <c:pt idx="9">
                  <c:v>9.2388314128239202</c:v>
                </c:pt>
                <c:pt idx="10">
                  <c:v>8.9118216031327382</c:v>
                </c:pt>
                <c:pt idx="11">
                  <c:v>8.1988661142607988</c:v>
                </c:pt>
                <c:pt idx="12">
                  <c:v>7.882245656697914</c:v>
                </c:pt>
                <c:pt idx="13">
                  <c:v>7.8122055483305841</c:v>
                </c:pt>
                <c:pt idx="14">
                  <c:v>7.6023747664033685</c:v>
                </c:pt>
                <c:pt idx="15">
                  <c:v>6.9023491265831076</c:v>
                </c:pt>
                <c:pt idx="16">
                  <c:v>6.7587595027420999</c:v>
                </c:pt>
                <c:pt idx="17">
                  <c:v>6.2364066967924314</c:v>
                </c:pt>
                <c:pt idx="18">
                  <c:v>6.0559702839907201</c:v>
                </c:pt>
                <c:pt idx="19">
                  <c:v>5.9152505915250604</c:v>
                </c:pt>
                <c:pt idx="20">
                  <c:v>5.037895126008995</c:v>
                </c:pt>
                <c:pt idx="21">
                  <c:v>4.3486608428530324</c:v>
                </c:pt>
                <c:pt idx="22">
                  <c:v>4.0266434145032566</c:v>
                </c:pt>
                <c:pt idx="23">
                  <c:v>3.8913058523822301</c:v>
                </c:pt>
                <c:pt idx="24">
                  <c:v>3.5672041337234597</c:v>
                </c:pt>
                <c:pt idx="25">
                  <c:v>3.0727652616279126</c:v>
                </c:pt>
                <c:pt idx="26">
                  <c:v>3.0010649627263137</c:v>
                </c:pt>
                <c:pt idx="27">
                  <c:v>2.83865196181211</c:v>
                </c:pt>
                <c:pt idx="28">
                  <c:v>1.86504232778242</c:v>
                </c:pt>
                <c:pt idx="29">
                  <c:v>1.0492774559644098</c:v>
                </c:pt>
                <c:pt idx="30">
                  <c:v>0.82548840975018001</c:v>
                </c:pt>
              </c:numCache>
            </c:numRef>
          </c:val>
        </c:ser>
        <c:dLbls>
          <c:showLegendKey val="0"/>
          <c:showVal val="0"/>
          <c:showCatName val="0"/>
          <c:showSerName val="0"/>
          <c:showPercent val="0"/>
          <c:showBubbleSize val="0"/>
        </c:dLbls>
        <c:gapWidth val="150"/>
        <c:axId val="99810688"/>
        <c:axId val="99886208"/>
      </c:barChart>
      <c:lineChart>
        <c:grouping val="standard"/>
        <c:varyColors val="0"/>
        <c:ser>
          <c:idx val="1"/>
          <c:order val="1"/>
          <c:tx>
            <c:strRef>
              <c:f>Hárok23!$T$5</c:f>
              <c:strCache>
                <c:ptCount val="1"/>
                <c:pt idx="0">
                  <c:v>2005</c:v>
                </c:pt>
              </c:strCache>
            </c:strRef>
          </c:tx>
          <c:spPr>
            <a:ln>
              <a:noFill/>
            </a:ln>
          </c:spPr>
          <c:marker>
            <c:symbol val="diamond"/>
            <c:size val="7"/>
          </c:marker>
          <c:dLbls>
            <c:dLbl>
              <c:idx val="16"/>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Hárok23!$R$6:$R$36</c:f>
              <c:strCache>
                <c:ptCount val="31"/>
                <c:pt idx="0">
                  <c:v>Hungary</c:v>
                </c:pt>
                <c:pt idx="1">
                  <c:v>Spain</c:v>
                </c:pt>
                <c:pt idx="2">
                  <c:v>Slovenia</c:v>
                </c:pt>
                <c:pt idx="3">
                  <c:v>Czech Republic</c:v>
                </c:pt>
                <c:pt idx="4">
                  <c:v>Austria</c:v>
                </c:pt>
                <c:pt idx="5">
                  <c:v>New Zealand</c:v>
                </c:pt>
                <c:pt idx="6">
                  <c:v>United States</c:v>
                </c:pt>
                <c:pt idx="7">
                  <c:v>Poland</c:v>
                </c:pt>
                <c:pt idx="8">
                  <c:v>Norway</c:v>
                </c:pt>
                <c:pt idx="9">
                  <c:v>Estonia</c:v>
                </c:pt>
                <c:pt idx="10">
                  <c:v>Turkey</c:v>
                </c:pt>
                <c:pt idx="11">
                  <c:v>Greece</c:v>
                </c:pt>
                <c:pt idx="12">
                  <c:v>United Kingdom</c:v>
                </c:pt>
                <c:pt idx="13">
                  <c:v>Mexico</c:v>
                </c:pt>
                <c:pt idx="14">
                  <c:v>France</c:v>
                </c:pt>
                <c:pt idx="15">
                  <c:v>Italy</c:v>
                </c:pt>
                <c:pt idx="16">
                  <c:v>Slovak Republic</c:v>
                </c:pt>
                <c:pt idx="17">
                  <c:v>Belgium</c:v>
                </c:pt>
                <c:pt idx="18">
                  <c:v>Korea</c:v>
                </c:pt>
                <c:pt idx="19">
                  <c:v>Ireland</c:v>
                </c:pt>
                <c:pt idx="20">
                  <c:v>Sweden</c:v>
                </c:pt>
                <c:pt idx="21">
                  <c:v>Germany</c:v>
                </c:pt>
                <c:pt idx="22">
                  <c:v>Portugal</c:v>
                </c:pt>
                <c:pt idx="23">
                  <c:v>Netherlands</c:v>
                </c:pt>
                <c:pt idx="24">
                  <c:v>Canada</c:v>
                </c:pt>
                <c:pt idx="25">
                  <c:v>Israel</c:v>
                </c:pt>
                <c:pt idx="26">
                  <c:v>Finland</c:v>
                </c:pt>
                <c:pt idx="27">
                  <c:v>Denmark</c:v>
                </c:pt>
                <c:pt idx="28">
                  <c:v>Australia</c:v>
                </c:pt>
                <c:pt idx="29">
                  <c:v>Japan</c:v>
                </c:pt>
                <c:pt idx="30">
                  <c:v>Switzerland</c:v>
                </c:pt>
              </c:strCache>
            </c:strRef>
          </c:cat>
          <c:val>
            <c:numRef>
              <c:f>Hárok23!$T$6:$T$36</c:f>
              <c:numCache>
                <c:formatCode>General</c:formatCode>
                <c:ptCount val="31"/>
                <c:pt idx="0">
                  <c:v>3.9201412655484602</c:v>
                </c:pt>
                <c:pt idx="1">
                  <c:v>13.612270554044899</c:v>
                </c:pt>
                <c:pt idx="2">
                  <c:v>6.9763205828779675</c:v>
                </c:pt>
                <c:pt idx="3">
                  <c:v>16.986114292517474</c:v>
                </c:pt>
                <c:pt idx="4">
                  <c:v>6.4436764564053401</c:v>
                </c:pt>
                <c:pt idx="5">
                  <c:v>11.447368421052571</c:v>
                </c:pt>
                <c:pt idx="6">
                  <c:v>9.6874322932096693</c:v>
                </c:pt>
                <c:pt idx="7">
                  <c:v>13.7336873622959</c:v>
                </c:pt>
                <c:pt idx="8">
                  <c:v>7.8618723269443995</c:v>
                </c:pt>
                <c:pt idx="9">
                  <c:v>6.9364839738669097</c:v>
                </c:pt>
                <c:pt idx="10">
                  <c:v>6.8948673593518297</c:v>
                </c:pt>
                <c:pt idx="11">
                  <c:v>5.644535956735715</c:v>
                </c:pt>
                <c:pt idx="12">
                  <c:v>8.3436016108673527</c:v>
                </c:pt>
                <c:pt idx="13">
                  <c:v>11.0204583845846</c:v>
                </c:pt>
                <c:pt idx="14">
                  <c:v>10.106559843726219</c:v>
                </c:pt>
                <c:pt idx="15">
                  <c:v>10.974057384352999</c:v>
                </c:pt>
                <c:pt idx="16">
                  <c:v>26.737967914438538</c:v>
                </c:pt>
                <c:pt idx="17">
                  <c:v>6.1982259473429444</c:v>
                </c:pt>
                <c:pt idx="18">
                  <c:v>4.6420987917471264</c:v>
                </c:pt>
                <c:pt idx="19">
                  <c:v>4.1353383458646675</c:v>
                </c:pt>
                <c:pt idx="20">
                  <c:v>4.529922874157954</c:v>
                </c:pt>
                <c:pt idx="21">
                  <c:v>4.4565840637966785</c:v>
                </c:pt>
                <c:pt idx="22">
                  <c:v>4.1789060818472601</c:v>
                </c:pt>
                <c:pt idx="23">
                  <c:v>3.42426001160766</c:v>
                </c:pt>
                <c:pt idx="24">
                  <c:v>2.6408338129036402</c:v>
                </c:pt>
                <c:pt idx="25">
                  <c:v>4.7861400964809997</c:v>
                </c:pt>
                <c:pt idx="26">
                  <c:v>3.7686699210590877</c:v>
                </c:pt>
                <c:pt idx="27">
                  <c:v>2.4214119814854298</c:v>
                </c:pt>
                <c:pt idx="28">
                  <c:v>4.0261831285580065</c:v>
                </c:pt>
                <c:pt idx="29">
                  <c:v>1.1513638959848898</c:v>
                </c:pt>
                <c:pt idx="30">
                  <c:v>1.5010351966873698</c:v>
                </c:pt>
              </c:numCache>
            </c:numRef>
          </c:val>
          <c:smooth val="0"/>
        </c:ser>
        <c:dLbls>
          <c:showLegendKey val="0"/>
          <c:showVal val="0"/>
          <c:showCatName val="0"/>
          <c:showSerName val="0"/>
          <c:showPercent val="0"/>
          <c:showBubbleSize val="0"/>
        </c:dLbls>
        <c:marker val="1"/>
        <c:smooth val="0"/>
        <c:axId val="99810688"/>
        <c:axId val="99886208"/>
      </c:lineChart>
      <c:catAx>
        <c:axId val="99810688"/>
        <c:scaling>
          <c:orientation val="minMax"/>
        </c:scaling>
        <c:delete val="0"/>
        <c:axPos val="b"/>
        <c:majorTickMark val="out"/>
        <c:minorTickMark val="none"/>
        <c:tickLblPos val="nextTo"/>
        <c:txPr>
          <a:bodyPr/>
          <a:lstStyle/>
          <a:p>
            <a:pPr>
              <a:defRPr sz="800"/>
            </a:pPr>
            <a:endParaRPr lang="sk-SK"/>
          </a:p>
        </c:txPr>
        <c:crossAx val="99886208"/>
        <c:crosses val="autoZero"/>
        <c:auto val="1"/>
        <c:lblAlgn val="ctr"/>
        <c:lblOffset val="100"/>
        <c:noMultiLvlLbl val="0"/>
      </c:catAx>
      <c:valAx>
        <c:axId val="99886208"/>
        <c:scaling>
          <c:orientation val="minMax"/>
        </c:scaling>
        <c:delete val="0"/>
        <c:axPos val="l"/>
        <c:majorGridlines/>
        <c:numFmt formatCode="General" sourceLinked="1"/>
        <c:majorTickMark val="out"/>
        <c:minorTickMark val="none"/>
        <c:tickLblPos val="nextTo"/>
        <c:crossAx val="99810688"/>
        <c:crosses val="autoZero"/>
        <c:crossBetween val="between"/>
      </c:valAx>
    </c:plotArea>
    <c:legend>
      <c:legendPos val="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Hárok24!$U$17</c:f>
              <c:strCache>
                <c:ptCount val="1"/>
                <c:pt idx="0">
                  <c:v>Czech Republic</c:v>
                </c:pt>
              </c:strCache>
            </c:strRef>
          </c:tx>
          <c:marker>
            <c:symbol val="none"/>
          </c:marker>
          <c:cat>
            <c:strRef>
              <c:f>Hárok24!$V$16:$AG$16</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Hárok24!$V$17:$AG$17</c:f>
              <c:numCache>
                <c:formatCode>General</c:formatCode>
                <c:ptCount val="12"/>
                <c:pt idx="0">
                  <c:v>9.1761904761904685</c:v>
                </c:pt>
                <c:pt idx="1">
                  <c:v>12.4376532047418</c:v>
                </c:pt>
                <c:pt idx="2">
                  <c:v>14.542731829573899</c:v>
                </c:pt>
                <c:pt idx="3">
                  <c:v>15.943956043956</c:v>
                </c:pt>
                <c:pt idx="4">
                  <c:v>15.315155280314602</c:v>
                </c:pt>
                <c:pt idx="5">
                  <c:v>17.0873760091966</c:v>
                </c:pt>
                <c:pt idx="6">
                  <c:v>18.6671373544171</c:v>
                </c:pt>
                <c:pt idx="7">
                  <c:v>20.14726850509512</c:v>
                </c:pt>
                <c:pt idx="8">
                  <c:v>20.718137658917186</c:v>
                </c:pt>
                <c:pt idx="9">
                  <c:v>19.250286242668487</c:v>
                </c:pt>
                <c:pt idx="10">
                  <c:v>20.587792364589486</c:v>
                </c:pt>
                <c:pt idx="11">
                  <c:v>21.429689675871568</c:v>
                </c:pt>
              </c:numCache>
            </c:numRef>
          </c:val>
          <c:smooth val="0"/>
        </c:ser>
        <c:ser>
          <c:idx val="1"/>
          <c:order val="1"/>
          <c:tx>
            <c:strRef>
              <c:f>Hárok24!$U$18</c:f>
              <c:strCache>
                <c:ptCount val="1"/>
                <c:pt idx="0">
                  <c:v>Hungary</c:v>
                </c:pt>
              </c:strCache>
            </c:strRef>
          </c:tx>
          <c:marker>
            <c:symbol val="none"/>
          </c:marker>
          <c:cat>
            <c:strRef>
              <c:f>Hárok24!$V$16:$AG$16</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Hárok24!$V$18:$AG$18</c:f>
              <c:numCache>
                <c:formatCode>General</c:formatCode>
                <c:ptCount val="12"/>
                <c:pt idx="0">
                  <c:v>28.673015873015899</c:v>
                </c:pt>
                <c:pt idx="1">
                  <c:v>30.8658008658009</c:v>
                </c:pt>
                <c:pt idx="2">
                  <c:v>26.897535797535799</c:v>
                </c:pt>
                <c:pt idx="3">
                  <c:v>31.118498168498238</c:v>
                </c:pt>
                <c:pt idx="4">
                  <c:v>36.033270202020212</c:v>
                </c:pt>
                <c:pt idx="5">
                  <c:v>29.029563492063499</c:v>
                </c:pt>
                <c:pt idx="6">
                  <c:v>28.158009556678</c:v>
                </c:pt>
                <c:pt idx="7">
                  <c:v>32.659817536088802</c:v>
                </c:pt>
                <c:pt idx="8">
                  <c:v>31.855605116500101</c:v>
                </c:pt>
                <c:pt idx="9">
                  <c:v>31.978864830058299</c:v>
                </c:pt>
                <c:pt idx="10">
                  <c:v>32.696580687444801</c:v>
                </c:pt>
                <c:pt idx="11">
                  <c:v>34.371532677361898</c:v>
                </c:pt>
              </c:numCache>
            </c:numRef>
          </c:val>
          <c:smooth val="0"/>
        </c:ser>
        <c:ser>
          <c:idx val="2"/>
          <c:order val="2"/>
          <c:tx>
            <c:strRef>
              <c:f>Hárok24!$U$19</c:f>
              <c:strCache>
                <c:ptCount val="1"/>
                <c:pt idx="0">
                  <c:v>Poland</c:v>
                </c:pt>
              </c:strCache>
            </c:strRef>
          </c:tx>
          <c:marker>
            <c:symbol val="none"/>
          </c:marker>
          <c:cat>
            <c:strRef>
              <c:f>Hárok24!$V$16:$AG$16</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Hárok24!$V$19:$AG$19</c:f>
              <c:numCache>
                <c:formatCode>General</c:formatCode>
                <c:ptCount val="12"/>
                <c:pt idx="0">
                  <c:v>8.8500000000000068</c:v>
                </c:pt>
                <c:pt idx="1">
                  <c:v>11.693137254902011</c:v>
                </c:pt>
                <c:pt idx="2">
                  <c:v>11.533333333333299</c:v>
                </c:pt>
                <c:pt idx="3">
                  <c:v>10</c:v>
                </c:pt>
                <c:pt idx="4">
                  <c:v>10.85000000000001</c:v>
                </c:pt>
                <c:pt idx="5">
                  <c:v>12.525</c:v>
                </c:pt>
                <c:pt idx="6">
                  <c:v>13.989135839937019</c:v>
                </c:pt>
                <c:pt idx="7">
                  <c:v>17.651451263925299</c:v>
                </c:pt>
                <c:pt idx="8">
                  <c:v>20.377416604474</c:v>
                </c:pt>
                <c:pt idx="9">
                  <c:v>23.831929487959705</c:v>
                </c:pt>
                <c:pt idx="10">
                  <c:v>28.550809351797888</c:v>
                </c:pt>
                <c:pt idx="11">
                  <c:v>28.446501884196774</c:v>
                </c:pt>
              </c:numCache>
            </c:numRef>
          </c:val>
          <c:smooth val="0"/>
        </c:ser>
        <c:ser>
          <c:idx val="3"/>
          <c:order val="3"/>
          <c:tx>
            <c:strRef>
              <c:f>Hárok24!$U$20</c:f>
              <c:strCache>
                <c:ptCount val="1"/>
                <c:pt idx="0">
                  <c:v>Slovak Republic</c:v>
                </c:pt>
              </c:strCache>
            </c:strRef>
          </c:tx>
          <c:marker>
            <c:symbol val="none"/>
          </c:marker>
          <c:cat>
            <c:strRef>
              <c:f>Hárok24!$V$16:$AG$16</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Hárok24!$V$20:$AG$20</c:f>
              <c:numCache>
                <c:formatCode>General</c:formatCode>
                <c:ptCount val="12"/>
                <c:pt idx="0">
                  <c:v>1.70285714285714</c:v>
                </c:pt>
                <c:pt idx="1">
                  <c:v>2.4583333333333277</c:v>
                </c:pt>
                <c:pt idx="2">
                  <c:v>2.9403508771929832</c:v>
                </c:pt>
                <c:pt idx="3">
                  <c:v>2.3499999999999988</c:v>
                </c:pt>
                <c:pt idx="4">
                  <c:v>1.25</c:v>
                </c:pt>
                <c:pt idx="5">
                  <c:v>2.1166666666666671</c:v>
                </c:pt>
                <c:pt idx="6">
                  <c:v>2.7393310228645826</c:v>
                </c:pt>
                <c:pt idx="7">
                  <c:v>2.8261870703109326</c:v>
                </c:pt>
                <c:pt idx="8">
                  <c:v>3.0247347134325553</c:v>
                </c:pt>
                <c:pt idx="9">
                  <c:v>2.4643417554948401</c:v>
                </c:pt>
                <c:pt idx="10">
                  <c:v>3.0755271021760526</c:v>
                </c:pt>
                <c:pt idx="11">
                  <c:v>3.35939793288266</c:v>
                </c:pt>
              </c:numCache>
            </c:numRef>
          </c:val>
          <c:smooth val="0"/>
        </c:ser>
        <c:dLbls>
          <c:showLegendKey val="0"/>
          <c:showVal val="0"/>
          <c:showCatName val="0"/>
          <c:showSerName val="0"/>
          <c:showPercent val="0"/>
          <c:showBubbleSize val="0"/>
        </c:dLbls>
        <c:marker val="1"/>
        <c:smooth val="0"/>
        <c:axId val="99924224"/>
        <c:axId val="99934208"/>
      </c:lineChart>
      <c:catAx>
        <c:axId val="99924224"/>
        <c:scaling>
          <c:orientation val="minMax"/>
        </c:scaling>
        <c:delete val="0"/>
        <c:axPos val="b"/>
        <c:majorTickMark val="out"/>
        <c:minorTickMark val="none"/>
        <c:tickLblPos val="nextTo"/>
        <c:crossAx val="99934208"/>
        <c:crosses val="autoZero"/>
        <c:auto val="1"/>
        <c:lblAlgn val="ctr"/>
        <c:lblOffset val="100"/>
        <c:noMultiLvlLbl val="0"/>
      </c:catAx>
      <c:valAx>
        <c:axId val="99934208"/>
        <c:scaling>
          <c:orientation val="minMax"/>
        </c:scaling>
        <c:delete val="0"/>
        <c:axPos val="l"/>
        <c:majorGridlines/>
        <c:numFmt formatCode="General" sourceLinked="1"/>
        <c:majorTickMark val="out"/>
        <c:minorTickMark val="none"/>
        <c:tickLblPos val="nextTo"/>
        <c:crossAx val="99924224"/>
        <c:crosses val="autoZero"/>
        <c:crossBetween val="between"/>
      </c:valAx>
    </c:plotArea>
    <c:legend>
      <c:legendPos val="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Hárok25!$Q$9</c:f>
              <c:strCache>
                <c:ptCount val="1"/>
                <c:pt idx="0">
                  <c:v>Czech Republic</c:v>
                </c:pt>
              </c:strCache>
            </c:strRef>
          </c:tx>
          <c:marker>
            <c:symbol val="none"/>
          </c:marker>
          <c:cat>
            <c:strRef>
              <c:f>Hárok25!$R$8:$AC$8</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Hárok25!$R$9:$AC$9</c:f>
              <c:numCache>
                <c:formatCode>General</c:formatCode>
                <c:ptCount val="12"/>
                <c:pt idx="0">
                  <c:v>86.4</c:v>
                </c:pt>
                <c:pt idx="1">
                  <c:v>92.13095238095238</c:v>
                </c:pt>
                <c:pt idx="2">
                  <c:v>93.550525351841102</c:v>
                </c:pt>
                <c:pt idx="3">
                  <c:v>116.76666666666715</c:v>
                </c:pt>
                <c:pt idx="4">
                  <c:v>124.574025974026</c:v>
                </c:pt>
                <c:pt idx="5">
                  <c:v>133.67619047618999</c:v>
                </c:pt>
                <c:pt idx="6">
                  <c:v>153.91111111111098</c:v>
                </c:pt>
                <c:pt idx="7">
                  <c:v>219.22005217005179</c:v>
                </c:pt>
                <c:pt idx="8">
                  <c:v>212.08030303030301</c:v>
                </c:pt>
                <c:pt idx="9">
                  <c:v>177.471031746032</c:v>
                </c:pt>
                <c:pt idx="10">
                  <c:v>153.43080808080799</c:v>
                </c:pt>
                <c:pt idx="11">
                  <c:v>168.66269841269823</c:v>
                </c:pt>
              </c:numCache>
            </c:numRef>
          </c:val>
          <c:smooth val="0"/>
        </c:ser>
        <c:ser>
          <c:idx val="1"/>
          <c:order val="1"/>
          <c:tx>
            <c:strRef>
              <c:f>Hárok25!$Q$10</c:f>
              <c:strCache>
                <c:ptCount val="1"/>
                <c:pt idx="0">
                  <c:v>Hungary</c:v>
                </c:pt>
              </c:strCache>
            </c:strRef>
          </c:tx>
          <c:marker>
            <c:symbol val="none"/>
          </c:marker>
          <c:cat>
            <c:strRef>
              <c:f>Hárok25!$R$8:$AC$8</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Hárok25!$R$10:$AC$10</c:f>
              <c:numCache>
                <c:formatCode>General</c:formatCode>
                <c:ptCount val="12"/>
                <c:pt idx="0">
                  <c:v>184.027777777778</c:v>
                </c:pt>
                <c:pt idx="1">
                  <c:v>170.92483660130699</c:v>
                </c:pt>
                <c:pt idx="2">
                  <c:v>175.99078976579</c:v>
                </c:pt>
                <c:pt idx="3">
                  <c:v>174.53535002034982</c:v>
                </c:pt>
                <c:pt idx="4">
                  <c:v>190.24347041847</c:v>
                </c:pt>
                <c:pt idx="5">
                  <c:v>196.221948051948</c:v>
                </c:pt>
                <c:pt idx="6">
                  <c:v>203.30927960928</c:v>
                </c:pt>
                <c:pt idx="7">
                  <c:v>248.47142857142924</c:v>
                </c:pt>
                <c:pt idx="8">
                  <c:v>220.56984126984065</c:v>
                </c:pt>
                <c:pt idx="9">
                  <c:v>232.93293650793734</c:v>
                </c:pt>
                <c:pt idx="10">
                  <c:v>240.94933166249001</c:v>
                </c:pt>
                <c:pt idx="11">
                  <c:v>241.78968253968281</c:v>
                </c:pt>
              </c:numCache>
            </c:numRef>
          </c:val>
          <c:smooth val="0"/>
        </c:ser>
        <c:ser>
          <c:idx val="2"/>
          <c:order val="2"/>
          <c:tx>
            <c:strRef>
              <c:f>Hárok25!$Q$11</c:f>
              <c:strCache>
                <c:ptCount val="1"/>
                <c:pt idx="0">
                  <c:v>Poland</c:v>
                </c:pt>
              </c:strCache>
            </c:strRef>
          </c:tx>
          <c:marker>
            <c:symbol val="none"/>
          </c:marker>
          <c:cat>
            <c:strRef>
              <c:f>Hárok25!$R$8:$AC$8</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Hárok25!$R$11:$AC$11</c:f>
              <c:numCache>
                <c:formatCode>General</c:formatCode>
                <c:ptCount val="12"/>
                <c:pt idx="0">
                  <c:v>110.94285714285687</c:v>
                </c:pt>
                <c:pt idx="1">
                  <c:v>110.86978021977991</c:v>
                </c:pt>
                <c:pt idx="2">
                  <c:v>161.42349439775899</c:v>
                </c:pt>
                <c:pt idx="3">
                  <c:v>120.585644257703</c:v>
                </c:pt>
                <c:pt idx="4">
                  <c:v>118.063095238095</c:v>
                </c:pt>
                <c:pt idx="5">
                  <c:v>108.150108225108</c:v>
                </c:pt>
                <c:pt idx="6">
                  <c:v>140.24801587301599</c:v>
                </c:pt>
                <c:pt idx="7">
                  <c:v>165.24170274170265</c:v>
                </c:pt>
                <c:pt idx="8">
                  <c:v>195.55963203463199</c:v>
                </c:pt>
                <c:pt idx="9">
                  <c:v>257.37471139971154</c:v>
                </c:pt>
                <c:pt idx="10">
                  <c:v>275.45281385281396</c:v>
                </c:pt>
                <c:pt idx="11">
                  <c:v>256.22499999999968</c:v>
                </c:pt>
              </c:numCache>
            </c:numRef>
          </c:val>
          <c:smooth val="0"/>
        </c:ser>
        <c:ser>
          <c:idx val="3"/>
          <c:order val="3"/>
          <c:tx>
            <c:strRef>
              <c:f>Hárok25!$Q$12</c:f>
              <c:strCache>
                <c:ptCount val="1"/>
                <c:pt idx="0">
                  <c:v>Slovak Republic</c:v>
                </c:pt>
              </c:strCache>
            </c:strRef>
          </c:tx>
          <c:marker>
            <c:symbol val="none"/>
          </c:marker>
          <c:cat>
            <c:strRef>
              <c:f>Hárok25!$R$8:$AC$8</c:f>
              <c:strCach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strCache>
            </c:strRef>
          </c:cat>
          <c:val>
            <c:numRef>
              <c:f>Hárok25!$R$12:$AC$12</c:f>
              <c:numCache>
                <c:formatCode>General</c:formatCode>
                <c:ptCount val="12"/>
                <c:pt idx="0">
                  <c:v>38.401190476190457</c:v>
                </c:pt>
                <c:pt idx="1">
                  <c:v>21.619444444444433</c:v>
                </c:pt>
                <c:pt idx="2">
                  <c:v>39.602380952380912</c:v>
                </c:pt>
                <c:pt idx="3">
                  <c:v>37.5678571428571</c:v>
                </c:pt>
                <c:pt idx="4">
                  <c:v>33.041666666666579</c:v>
                </c:pt>
                <c:pt idx="5">
                  <c:v>39.503571428571412</c:v>
                </c:pt>
                <c:pt idx="6">
                  <c:v>44.094444444444349</c:v>
                </c:pt>
                <c:pt idx="7">
                  <c:v>48.234632034632</c:v>
                </c:pt>
                <c:pt idx="8">
                  <c:v>33.488492063492025</c:v>
                </c:pt>
                <c:pt idx="9">
                  <c:v>36.323809523809494</c:v>
                </c:pt>
                <c:pt idx="10">
                  <c:v>45.524242424242324</c:v>
                </c:pt>
                <c:pt idx="11">
                  <c:v>49.869047619047514</c:v>
                </c:pt>
              </c:numCache>
            </c:numRef>
          </c:val>
          <c:smooth val="0"/>
        </c:ser>
        <c:dLbls>
          <c:showLegendKey val="0"/>
          <c:showVal val="0"/>
          <c:showCatName val="0"/>
          <c:showSerName val="0"/>
          <c:showPercent val="0"/>
          <c:showBubbleSize val="0"/>
        </c:dLbls>
        <c:marker val="1"/>
        <c:smooth val="0"/>
        <c:axId val="99952128"/>
        <c:axId val="99953664"/>
      </c:lineChart>
      <c:catAx>
        <c:axId val="99952128"/>
        <c:scaling>
          <c:orientation val="minMax"/>
        </c:scaling>
        <c:delete val="0"/>
        <c:axPos val="b"/>
        <c:majorTickMark val="out"/>
        <c:minorTickMark val="none"/>
        <c:tickLblPos val="nextTo"/>
        <c:crossAx val="99953664"/>
        <c:crosses val="autoZero"/>
        <c:auto val="1"/>
        <c:lblAlgn val="ctr"/>
        <c:lblOffset val="100"/>
        <c:noMultiLvlLbl val="0"/>
      </c:catAx>
      <c:valAx>
        <c:axId val="99953664"/>
        <c:scaling>
          <c:orientation val="minMax"/>
        </c:scaling>
        <c:delete val="0"/>
        <c:axPos val="l"/>
        <c:majorGridlines/>
        <c:numFmt formatCode="General" sourceLinked="1"/>
        <c:majorTickMark val="out"/>
        <c:minorTickMark val="none"/>
        <c:tickLblPos val="nextTo"/>
        <c:crossAx val="99952128"/>
        <c:crosses val="autoZero"/>
        <c:crossBetween val="between"/>
      </c:valAx>
    </c:plotArea>
    <c:legend>
      <c:legendPos val="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Hárok26!$T$7</c:f>
              <c:strCache>
                <c:ptCount val="1"/>
                <c:pt idx="0">
                  <c:v>Czech Republic</c:v>
                </c:pt>
              </c:strCache>
            </c:strRef>
          </c:tx>
          <c:marker>
            <c:symbol val="none"/>
          </c:marker>
          <c:cat>
            <c:strRef>
              <c:f>Hárok26!$U$6:$AG$6</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Hárok26!$U$7:$AG$7</c:f>
              <c:numCache>
                <c:formatCode>General</c:formatCode>
                <c:ptCount val="13"/>
                <c:pt idx="0">
                  <c:v>78</c:v>
                </c:pt>
                <c:pt idx="1">
                  <c:v>85</c:v>
                </c:pt>
                <c:pt idx="2">
                  <c:v>101</c:v>
                </c:pt>
                <c:pt idx="3">
                  <c:v>123</c:v>
                </c:pt>
                <c:pt idx="4">
                  <c:v>144</c:v>
                </c:pt>
                <c:pt idx="5">
                  <c:v>145</c:v>
                </c:pt>
                <c:pt idx="6">
                  <c:v>151</c:v>
                </c:pt>
                <c:pt idx="7">
                  <c:v>191</c:v>
                </c:pt>
                <c:pt idx="8">
                  <c:v>246</c:v>
                </c:pt>
                <c:pt idx="9">
                  <c:v>253</c:v>
                </c:pt>
                <c:pt idx="10">
                  <c:v>227</c:v>
                </c:pt>
                <c:pt idx="11">
                  <c:v>231</c:v>
                </c:pt>
                <c:pt idx="12">
                  <c:v>156</c:v>
                </c:pt>
              </c:numCache>
            </c:numRef>
          </c:val>
          <c:smooth val="0"/>
        </c:ser>
        <c:ser>
          <c:idx val="1"/>
          <c:order val="1"/>
          <c:tx>
            <c:strRef>
              <c:f>Hárok26!$T$8</c:f>
              <c:strCache>
                <c:ptCount val="1"/>
                <c:pt idx="0">
                  <c:v>Hungary</c:v>
                </c:pt>
              </c:strCache>
            </c:strRef>
          </c:tx>
          <c:marker>
            <c:symbol val="none"/>
          </c:marker>
          <c:cat>
            <c:strRef>
              <c:f>Hárok26!$U$6:$AG$6</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Hárok26!$U$8:$AG$8</c:f>
              <c:numCache>
                <c:formatCode>General</c:formatCode>
                <c:ptCount val="13"/>
                <c:pt idx="0">
                  <c:v>132</c:v>
                </c:pt>
                <c:pt idx="1">
                  <c:v>157</c:v>
                </c:pt>
                <c:pt idx="2">
                  <c:v>128</c:v>
                </c:pt>
                <c:pt idx="3">
                  <c:v>147</c:v>
                </c:pt>
                <c:pt idx="4">
                  <c:v>178</c:v>
                </c:pt>
                <c:pt idx="5">
                  <c:v>192</c:v>
                </c:pt>
                <c:pt idx="6">
                  <c:v>170</c:v>
                </c:pt>
                <c:pt idx="7">
                  <c:v>220</c:v>
                </c:pt>
                <c:pt idx="8">
                  <c:v>238</c:v>
                </c:pt>
                <c:pt idx="9">
                  <c:v>234</c:v>
                </c:pt>
                <c:pt idx="10">
                  <c:v>242</c:v>
                </c:pt>
                <c:pt idx="11">
                  <c:v>251</c:v>
                </c:pt>
                <c:pt idx="12">
                  <c:v>84</c:v>
                </c:pt>
              </c:numCache>
            </c:numRef>
          </c:val>
          <c:smooth val="0"/>
        </c:ser>
        <c:ser>
          <c:idx val="2"/>
          <c:order val="2"/>
          <c:tx>
            <c:strRef>
              <c:f>Hárok26!$T$9</c:f>
              <c:strCache>
                <c:ptCount val="1"/>
                <c:pt idx="0">
                  <c:v>Poland</c:v>
                </c:pt>
              </c:strCache>
            </c:strRef>
          </c:tx>
          <c:marker>
            <c:symbol val="none"/>
          </c:marker>
          <c:cat>
            <c:strRef>
              <c:f>Hárok26!$U$6:$AG$6</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Hárok26!$U$9:$AG$9</c:f>
              <c:numCache>
                <c:formatCode>General</c:formatCode>
                <c:ptCount val="13"/>
                <c:pt idx="0">
                  <c:v>60</c:v>
                </c:pt>
                <c:pt idx="1">
                  <c:v>64</c:v>
                </c:pt>
                <c:pt idx="2">
                  <c:v>79</c:v>
                </c:pt>
                <c:pt idx="3">
                  <c:v>114</c:v>
                </c:pt>
                <c:pt idx="4">
                  <c:v>133</c:v>
                </c:pt>
                <c:pt idx="5">
                  <c:v>162</c:v>
                </c:pt>
                <c:pt idx="6">
                  <c:v>158</c:v>
                </c:pt>
                <c:pt idx="7">
                  <c:v>177</c:v>
                </c:pt>
                <c:pt idx="8">
                  <c:v>250</c:v>
                </c:pt>
                <c:pt idx="9">
                  <c:v>276</c:v>
                </c:pt>
                <c:pt idx="10">
                  <c:v>354</c:v>
                </c:pt>
                <c:pt idx="11">
                  <c:v>431</c:v>
                </c:pt>
                <c:pt idx="12">
                  <c:v>256</c:v>
                </c:pt>
              </c:numCache>
            </c:numRef>
          </c:val>
          <c:smooth val="0"/>
        </c:ser>
        <c:ser>
          <c:idx val="3"/>
          <c:order val="3"/>
          <c:tx>
            <c:strRef>
              <c:f>Hárok26!$T$10</c:f>
              <c:strCache>
                <c:ptCount val="1"/>
                <c:pt idx="0">
                  <c:v>Slovak Republic</c:v>
                </c:pt>
              </c:strCache>
            </c:strRef>
          </c:tx>
          <c:marker>
            <c:symbol val="none"/>
          </c:marker>
          <c:cat>
            <c:strRef>
              <c:f>Hárok26!$U$6:$AG$6</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Hárok26!$U$10:$AG$10</c:f>
              <c:numCache>
                <c:formatCode>General</c:formatCode>
                <c:ptCount val="13"/>
                <c:pt idx="0">
                  <c:v>20</c:v>
                </c:pt>
                <c:pt idx="1">
                  <c:v>20</c:v>
                </c:pt>
                <c:pt idx="2">
                  <c:v>21</c:v>
                </c:pt>
                <c:pt idx="3">
                  <c:v>42</c:v>
                </c:pt>
                <c:pt idx="4">
                  <c:v>49</c:v>
                </c:pt>
                <c:pt idx="5">
                  <c:v>29</c:v>
                </c:pt>
                <c:pt idx="6">
                  <c:v>44</c:v>
                </c:pt>
                <c:pt idx="7">
                  <c:v>61</c:v>
                </c:pt>
                <c:pt idx="8">
                  <c:v>62</c:v>
                </c:pt>
                <c:pt idx="9">
                  <c:v>59</c:v>
                </c:pt>
                <c:pt idx="10">
                  <c:v>43</c:v>
                </c:pt>
                <c:pt idx="11">
                  <c:v>57</c:v>
                </c:pt>
                <c:pt idx="12">
                  <c:v>37</c:v>
                </c:pt>
              </c:numCache>
            </c:numRef>
          </c:val>
          <c:smooth val="0"/>
        </c:ser>
        <c:ser>
          <c:idx val="4"/>
          <c:order val="4"/>
          <c:tx>
            <c:strRef>
              <c:f>Hárok26!$T$11</c:f>
              <c:strCache>
                <c:ptCount val="1"/>
                <c:pt idx="0">
                  <c:v>Slovenia</c:v>
                </c:pt>
              </c:strCache>
            </c:strRef>
          </c:tx>
          <c:marker>
            <c:symbol val="none"/>
          </c:marker>
          <c:cat>
            <c:strRef>
              <c:f>Hárok26!$U$6:$AG$6</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Hárok26!$U$11:$AG$11</c:f>
              <c:numCache>
                <c:formatCode>General</c:formatCode>
                <c:ptCount val="13"/>
                <c:pt idx="0">
                  <c:v>35</c:v>
                </c:pt>
                <c:pt idx="1">
                  <c:v>66</c:v>
                </c:pt>
                <c:pt idx="2">
                  <c:v>59</c:v>
                </c:pt>
                <c:pt idx="3">
                  <c:v>92</c:v>
                </c:pt>
                <c:pt idx="4">
                  <c:v>80</c:v>
                </c:pt>
                <c:pt idx="5">
                  <c:v>119</c:v>
                </c:pt>
                <c:pt idx="6">
                  <c:v>127</c:v>
                </c:pt>
                <c:pt idx="7">
                  <c:v>117</c:v>
                </c:pt>
                <c:pt idx="8">
                  <c:v>137</c:v>
                </c:pt>
                <c:pt idx="9">
                  <c:v>159</c:v>
                </c:pt>
                <c:pt idx="10">
                  <c:v>132</c:v>
                </c:pt>
                <c:pt idx="11">
                  <c:v>129</c:v>
                </c:pt>
                <c:pt idx="12">
                  <c:v>41</c:v>
                </c:pt>
              </c:numCache>
            </c:numRef>
          </c:val>
          <c:smooth val="0"/>
        </c:ser>
        <c:dLbls>
          <c:showLegendKey val="0"/>
          <c:showVal val="0"/>
          <c:showCatName val="0"/>
          <c:showSerName val="0"/>
          <c:showPercent val="0"/>
          <c:showBubbleSize val="0"/>
        </c:dLbls>
        <c:marker val="1"/>
        <c:smooth val="0"/>
        <c:axId val="99977088"/>
        <c:axId val="99978624"/>
      </c:lineChart>
      <c:catAx>
        <c:axId val="99977088"/>
        <c:scaling>
          <c:orientation val="minMax"/>
        </c:scaling>
        <c:delete val="0"/>
        <c:axPos val="b"/>
        <c:majorTickMark val="out"/>
        <c:minorTickMark val="none"/>
        <c:tickLblPos val="nextTo"/>
        <c:crossAx val="99978624"/>
        <c:crosses val="autoZero"/>
        <c:auto val="1"/>
        <c:lblAlgn val="ctr"/>
        <c:lblOffset val="100"/>
        <c:noMultiLvlLbl val="0"/>
      </c:catAx>
      <c:valAx>
        <c:axId val="99978624"/>
        <c:scaling>
          <c:orientation val="minMax"/>
        </c:scaling>
        <c:delete val="0"/>
        <c:axPos val="l"/>
        <c:majorGridlines/>
        <c:numFmt formatCode="General" sourceLinked="1"/>
        <c:majorTickMark val="out"/>
        <c:minorTickMark val="none"/>
        <c:tickLblPos val="nextTo"/>
        <c:crossAx val="99977088"/>
        <c:crosses val="autoZero"/>
        <c:crossBetween val="between"/>
      </c:valAx>
    </c:plotArea>
    <c:legend>
      <c:legendPos val="t"/>
      <c:overlay val="0"/>
      <c:txPr>
        <a:bodyPr/>
        <a:lstStyle/>
        <a:p>
          <a:pPr>
            <a:defRPr sz="800"/>
          </a:pPr>
          <a:endParaRPr lang="sk-SK"/>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Hárok26!$T$23</c:f>
              <c:strCache>
                <c:ptCount val="1"/>
                <c:pt idx="0">
                  <c:v>Total Patents</c:v>
                </c:pt>
              </c:strCache>
            </c:strRef>
          </c:tx>
          <c:marker>
            <c:symbol val="none"/>
          </c:marker>
          <c:cat>
            <c:strRef>
              <c:f>Hárok26!$U$22:$AG$22</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Hárok26!$U$23:$AG$23</c:f>
              <c:numCache>
                <c:formatCode>General</c:formatCode>
                <c:ptCount val="13"/>
                <c:pt idx="0">
                  <c:v>20</c:v>
                </c:pt>
                <c:pt idx="1">
                  <c:v>20</c:v>
                </c:pt>
                <c:pt idx="2">
                  <c:v>21</c:v>
                </c:pt>
                <c:pt idx="3">
                  <c:v>42</c:v>
                </c:pt>
                <c:pt idx="4">
                  <c:v>49</c:v>
                </c:pt>
                <c:pt idx="5">
                  <c:v>29</c:v>
                </c:pt>
                <c:pt idx="6">
                  <c:v>44</c:v>
                </c:pt>
                <c:pt idx="7">
                  <c:v>61</c:v>
                </c:pt>
                <c:pt idx="8">
                  <c:v>62</c:v>
                </c:pt>
                <c:pt idx="9">
                  <c:v>59</c:v>
                </c:pt>
                <c:pt idx="10">
                  <c:v>43</c:v>
                </c:pt>
                <c:pt idx="11">
                  <c:v>57</c:v>
                </c:pt>
                <c:pt idx="12">
                  <c:v>37</c:v>
                </c:pt>
              </c:numCache>
            </c:numRef>
          </c:val>
          <c:smooth val="0"/>
        </c:ser>
        <c:ser>
          <c:idx val="1"/>
          <c:order val="1"/>
          <c:tx>
            <c:strRef>
              <c:f>Hárok26!$T$24</c:f>
              <c:strCache>
                <c:ptCount val="1"/>
                <c:pt idx="0">
                  <c:v>Total co-operation with abroad</c:v>
                </c:pt>
              </c:strCache>
            </c:strRef>
          </c:tx>
          <c:marker>
            <c:symbol val="none"/>
          </c:marker>
          <c:cat>
            <c:strRef>
              <c:f>Hárok26!$U$22:$AG$22</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Hárok26!$U$24:$AG$24</c:f>
              <c:numCache>
                <c:formatCode>General</c:formatCode>
                <c:ptCount val="13"/>
                <c:pt idx="0">
                  <c:v>9</c:v>
                </c:pt>
                <c:pt idx="1">
                  <c:v>14</c:v>
                </c:pt>
                <c:pt idx="2">
                  <c:v>16</c:v>
                </c:pt>
                <c:pt idx="3">
                  <c:v>29</c:v>
                </c:pt>
                <c:pt idx="4">
                  <c:v>33</c:v>
                </c:pt>
                <c:pt idx="5">
                  <c:v>16</c:v>
                </c:pt>
                <c:pt idx="6">
                  <c:v>27</c:v>
                </c:pt>
                <c:pt idx="7">
                  <c:v>37</c:v>
                </c:pt>
                <c:pt idx="8">
                  <c:v>48</c:v>
                </c:pt>
                <c:pt idx="9">
                  <c:v>40</c:v>
                </c:pt>
                <c:pt idx="10">
                  <c:v>20</c:v>
                </c:pt>
                <c:pt idx="11">
                  <c:v>30</c:v>
                </c:pt>
                <c:pt idx="12">
                  <c:v>25</c:v>
                </c:pt>
              </c:numCache>
            </c:numRef>
          </c:val>
          <c:smooth val="0"/>
        </c:ser>
        <c:ser>
          <c:idx val="2"/>
          <c:order val="2"/>
          <c:tx>
            <c:strRef>
              <c:f>Hárok26!$T$25</c:f>
              <c:strCache>
                <c:ptCount val="1"/>
                <c:pt idx="0">
                  <c:v>Japan</c:v>
                </c:pt>
              </c:strCache>
            </c:strRef>
          </c:tx>
          <c:marker>
            <c:symbol val="none"/>
          </c:marker>
          <c:cat>
            <c:strRef>
              <c:f>Hárok26!$U$22:$AG$22</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Hárok26!$U$25:$AG$25</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mooth val="0"/>
        </c:ser>
        <c:ser>
          <c:idx val="3"/>
          <c:order val="3"/>
          <c:tx>
            <c:strRef>
              <c:f>Hárok26!$T$26</c:f>
              <c:strCache>
                <c:ptCount val="1"/>
                <c:pt idx="0">
                  <c:v>United States</c:v>
                </c:pt>
              </c:strCache>
            </c:strRef>
          </c:tx>
          <c:marker>
            <c:symbol val="none"/>
          </c:marker>
          <c:cat>
            <c:strRef>
              <c:f>Hárok26!$U$22:$AG$22</c:f>
              <c:strCache>
                <c:ptCount val="1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strCache>
            </c:strRef>
          </c:cat>
          <c:val>
            <c:numRef>
              <c:f>Hárok26!$U$26:$AG$26</c:f>
              <c:numCache>
                <c:formatCode>General</c:formatCode>
                <c:ptCount val="13"/>
                <c:pt idx="0">
                  <c:v>1</c:v>
                </c:pt>
                <c:pt idx="1">
                  <c:v>3</c:v>
                </c:pt>
                <c:pt idx="2">
                  <c:v>0</c:v>
                </c:pt>
                <c:pt idx="3">
                  <c:v>3</c:v>
                </c:pt>
                <c:pt idx="4">
                  <c:v>4</c:v>
                </c:pt>
                <c:pt idx="5">
                  <c:v>0</c:v>
                </c:pt>
                <c:pt idx="6">
                  <c:v>0</c:v>
                </c:pt>
                <c:pt idx="7">
                  <c:v>4</c:v>
                </c:pt>
                <c:pt idx="8">
                  <c:v>3</c:v>
                </c:pt>
                <c:pt idx="9">
                  <c:v>3</c:v>
                </c:pt>
                <c:pt idx="10">
                  <c:v>3</c:v>
                </c:pt>
                <c:pt idx="11">
                  <c:v>0</c:v>
                </c:pt>
                <c:pt idx="12">
                  <c:v>5</c:v>
                </c:pt>
              </c:numCache>
            </c:numRef>
          </c:val>
          <c:smooth val="0"/>
        </c:ser>
        <c:dLbls>
          <c:showLegendKey val="0"/>
          <c:showVal val="0"/>
          <c:showCatName val="0"/>
          <c:showSerName val="0"/>
          <c:showPercent val="0"/>
          <c:showBubbleSize val="0"/>
        </c:dLbls>
        <c:marker val="1"/>
        <c:smooth val="0"/>
        <c:axId val="100156928"/>
        <c:axId val="100158464"/>
      </c:lineChart>
      <c:catAx>
        <c:axId val="100156928"/>
        <c:scaling>
          <c:orientation val="minMax"/>
        </c:scaling>
        <c:delete val="0"/>
        <c:axPos val="b"/>
        <c:majorTickMark val="out"/>
        <c:minorTickMark val="none"/>
        <c:tickLblPos val="nextTo"/>
        <c:crossAx val="100158464"/>
        <c:crosses val="autoZero"/>
        <c:auto val="1"/>
        <c:lblAlgn val="ctr"/>
        <c:lblOffset val="100"/>
        <c:noMultiLvlLbl val="0"/>
      </c:catAx>
      <c:valAx>
        <c:axId val="100158464"/>
        <c:scaling>
          <c:orientation val="minMax"/>
        </c:scaling>
        <c:delete val="0"/>
        <c:axPos val="l"/>
        <c:majorGridlines/>
        <c:numFmt formatCode="General" sourceLinked="1"/>
        <c:majorTickMark val="out"/>
        <c:minorTickMark val="none"/>
        <c:tickLblPos val="nextTo"/>
        <c:crossAx val="100156928"/>
        <c:crosses val="autoZero"/>
        <c:crossBetween val="between"/>
      </c:valAx>
    </c:plotArea>
    <c:legend>
      <c:legendPos val="t"/>
      <c:layout>
        <c:manualLayout>
          <c:xMode val="edge"/>
          <c:yMode val="edge"/>
          <c:x val="2.6401786047953215E-4"/>
          <c:y val="2.6367192568742419E-2"/>
          <c:w val="0.99973608591098018"/>
          <c:h val="0.26881041400298655"/>
        </c:manualLayout>
      </c:layout>
      <c:overlay val="0"/>
      <c:txPr>
        <a:bodyPr/>
        <a:lstStyle/>
        <a:p>
          <a:pPr>
            <a:defRPr sz="800"/>
          </a:pPr>
          <a:endParaRPr lang="sk-SK"/>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Hárok27!$J$3</c:f>
              <c:strCache>
                <c:ptCount val="1"/>
                <c:pt idx="0">
                  <c:v>EU contribution per capita</c:v>
                </c:pt>
              </c:strCache>
            </c:strRef>
          </c:tx>
          <c:invertIfNegative val="0"/>
          <c:cat>
            <c:strRef>
              <c:f>Hárok27!$I$4:$I$34</c:f>
              <c:strCache>
                <c:ptCount val="31"/>
                <c:pt idx="0">
                  <c:v>CH</c:v>
                </c:pt>
                <c:pt idx="1">
                  <c:v>NL</c:v>
                </c:pt>
                <c:pt idx="2">
                  <c:v>DK</c:v>
                </c:pt>
                <c:pt idx="3">
                  <c:v>SE</c:v>
                </c:pt>
                <c:pt idx="4">
                  <c:v>FI</c:v>
                </c:pt>
                <c:pt idx="5">
                  <c:v>BE</c:v>
                </c:pt>
                <c:pt idx="6">
                  <c:v>NO</c:v>
                </c:pt>
                <c:pt idx="7">
                  <c:v>AT</c:v>
                </c:pt>
                <c:pt idx="8">
                  <c:v>IE</c:v>
                </c:pt>
                <c:pt idx="9">
                  <c:v>CY</c:v>
                </c:pt>
                <c:pt idx="10">
                  <c:v>LU</c:v>
                </c:pt>
                <c:pt idx="11">
                  <c:v>UK</c:v>
                </c:pt>
                <c:pt idx="12">
                  <c:v>IL</c:v>
                </c:pt>
                <c:pt idx="13">
                  <c:v>EL</c:v>
                </c:pt>
                <c:pt idx="14">
                  <c:v>DE</c:v>
                </c:pt>
                <c:pt idx="15">
                  <c:v>SI</c:v>
                </c:pt>
                <c:pt idx="16">
                  <c:v>FR</c:v>
                </c:pt>
                <c:pt idx="17">
                  <c:v>ES</c:v>
                </c:pt>
                <c:pt idx="18">
                  <c:v>EE</c:v>
                </c:pt>
                <c:pt idx="19">
                  <c:v>IT</c:v>
                </c:pt>
                <c:pt idx="20">
                  <c:v>MT</c:v>
                </c:pt>
                <c:pt idx="21">
                  <c:v>PT</c:v>
                </c:pt>
                <c:pt idx="22">
                  <c:v>HU</c:v>
                </c:pt>
                <c:pt idx="23">
                  <c:v>CZ</c:v>
                </c:pt>
                <c:pt idx="24">
                  <c:v>LV</c:v>
                </c:pt>
                <c:pt idx="25">
                  <c:v>HR</c:v>
                </c:pt>
                <c:pt idx="26">
                  <c:v>LT</c:v>
                </c:pt>
                <c:pt idx="27">
                  <c:v>SK</c:v>
                </c:pt>
                <c:pt idx="28">
                  <c:v>BG</c:v>
                </c:pt>
                <c:pt idx="29">
                  <c:v>PL</c:v>
                </c:pt>
                <c:pt idx="30">
                  <c:v>RO</c:v>
                </c:pt>
              </c:strCache>
            </c:strRef>
          </c:cat>
          <c:val>
            <c:numRef>
              <c:f>Hárok27!$J$4:$J$34</c:f>
              <c:numCache>
                <c:formatCode>#,##0.00</c:formatCode>
                <c:ptCount val="31"/>
                <c:pt idx="0">
                  <c:v>248.93908985000741</c:v>
                </c:pt>
                <c:pt idx="1">
                  <c:v>188.82587201488974</c:v>
                </c:pt>
                <c:pt idx="2">
                  <c:v>184.05702139388504</c:v>
                </c:pt>
                <c:pt idx="3">
                  <c:v>175.71329486937111</c:v>
                </c:pt>
                <c:pt idx="4">
                  <c:v>157.69740560558131</c:v>
                </c:pt>
                <c:pt idx="5">
                  <c:v>155.08791566106632</c:v>
                </c:pt>
                <c:pt idx="6">
                  <c:v>144.82511684756139</c:v>
                </c:pt>
                <c:pt idx="7">
                  <c:v>133.66847498691121</c:v>
                </c:pt>
                <c:pt idx="8">
                  <c:v>133.13109426020958</c:v>
                </c:pt>
                <c:pt idx="9">
                  <c:v>109.20630452736324</c:v>
                </c:pt>
                <c:pt idx="10">
                  <c:v>106.89624583984374</c:v>
                </c:pt>
                <c:pt idx="11">
                  <c:v>106.39877641729039</c:v>
                </c:pt>
                <c:pt idx="12">
                  <c:v>102.6754037353241</c:v>
                </c:pt>
                <c:pt idx="13">
                  <c:v>86.120407053050243</c:v>
                </c:pt>
                <c:pt idx="14">
                  <c:v>84.702014603679871</c:v>
                </c:pt>
                <c:pt idx="15">
                  <c:v>81.191692229268327</c:v>
                </c:pt>
                <c:pt idx="16">
                  <c:v>74.7392309030257</c:v>
                </c:pt>
                <c:pt idx="17">
                  <c:v>67.252801278356259</c:v>
                </c:pt>
                <c:pt idx="18">
                  <c:v>64.011424567164227</c:v>
                </c:pt>
                <c:pt idx="19">
                  <c:v>56.755955532609939</c:v>
                </c:pt>
                <c:pt idx="20">
                  <c:v>48.062218684210514</c:v>
                </c:pt>
                <c:pt idx="21">
                  <c:v>46.784945227529214</c:v>
                </c:pt>
                <c:pt idx="22">
                  <c:v>27.527140470658921</c:v>
                </c:pt>
                <c:pt idx="23">
                  <c:v>26.763666919206287</c:v>
                </c:pt>
                <c:pt idx="24">
                  <c:v>21.408168295964103</c:v>
                </c:pt>
                <c:pt idx="25">
                  <c:v>20.162363586854461</c:v>
                </c:pt>
                <c:pt idx="26">
                  <c:v>17.107645605546992</c:v>
                </c:pt>
                <c:pt idx="27">
                  <c:v>13.527503924563021</c:v>
                </c:pt>
                <c:pt idx="28">
                  <c:v>12.865099512260153</c:v>
                </c:pt>
                <c:pt idx="29">
                  <c:v>11.203096298167553</c:v>
                </c:pt>
                <c:pt idx="30">
                  <c:v>6.2275865373120283</c:v>
                </c:pt>
              </c:numCache>
            </c:numRef>
          </c:val>
        </c:ser>
        <c:dLbls>
          <c:showLegendKey val="0"/>
          <c:showVal val="0"/>
          <c:showCatName val="0"/>
          <c:showSerName val="0"/>
          <c:showPercent val="0"/>
          <c:showBubbleSize val="0"/>
        </c:dLbls>
        <c:gapWidth val="150"/>
        <c:axId val="100197888"/>
        <c:axId val="100199424"/>
      </c:barChart>
      <c:lineChart>
        <c:grouping val="standard"/>
        <c:varyColors val="0"/>
        <c:ser>
          <c:idx val="1"/>
          <c:order val="1"/>
          <c:tx>
            <c:strRef>
              <c:f>Hárok27!$K$3</c:f>
              <c:strCache>
                <c:ptCount val="1"/>
                <c:pt idx="0">
                  <c:v>Participation/mil. inhabitants</c:v>
                </c:pt>
              </c:strCache>
            </c:strRef>
          </c:tx>
          <c:spPr>
            <a:ln>
              <a:noFill/>
            </a:ln>
          </c:spPr>
          <c:marker>
            <c:symbol val="diamond"/>
            <c:size val="7"/>
          </c:marker>
          <c:cat>
            <c:strRef>
              <c:f>Hárok27!$I$4:$I$34</c:f>
              <c:strCache>
                <c:ptCount val="31"/>
                <c:pt idx="0">
                  <c:v>CH</c:v>
                </c:pt>
                <c:pt idx="1">
                  <c:v>NL</c:v>
                </c:pt>
                <c:pt idx="2">
                  <c:v>DK</c:v>
                </c:pt>
                <c:pt idx="3">
                  <c:v>SE</c:v>
                </c:pt>
                <c:pt idx="4">
                  <c:v>FI</c:v>
                </c:pt>
                <c:pt idx="5">
                  <c:v>BE</c:v>
                </c:pt>
                <c:pt idx="6">
                  <c:v>NO</c:v>
                </c:pt>
                <c:pt idx="7">
                  <c:v>AT</c:v>
                </c:pt>
                <c:pt idx="8">
                  <c:v>IE</c:v>
                </c:pt>
                <c:pt idx="9">
                  <c:v>CY</c:v>
                </c:pt>
                <c:pt idx="10">
                  <c:v>LU</c:v>
                </c:pt>
                <c:pt idx="11">
                  <c:v>UK</c:v>
                </c:pt>
                <c:pt idx="12">
                  <c:v>IL</c:v>
                </c:pt>
                <c:pt idx="13">
                  <c:v>EL</c:v>
                </c:pt>
                <c:pt idx="14">
                  <c:v>DE</c:v>
                </c:pt>
                <c:pt idx="15">
                  <c:v>SI</c:v>
                </c:pt>
                <c:pt idx="16">
                  <c:v>FR</c:v>
                </c:pt>
                <c:pt idx="17">
                  <c:v>ES</c:v>
                </c:pt>
                <c:pt idx="18">
                  <c:v>EE</c:v>
                </c:pt>
                <c:pt idx="19">
                  <c:v>IT</c:v>
                </c:pt>
                <c:pt idx="20">
                  <c:v>MT</c:v>
                </c:pt>
                <c:pt idx="21">
                  <c:v>PT</c:v>
                </c:pt>
                <c:pt idx="22">
                  <c:v>HU</c:v>
                </c:pt>
                <c:pt idx="23">
                  <c:v>CZ</c:v>
                </c:pt>
                <c:pt idx="24">
                  <c:v>LV</c:v>
                </c:pt>
                <c:pt idx="25">
                  <c:v>HR</c:v>
                </c:pt>
                <c:pt idx="26">
                  <c:v>LT</c:v>
                </c:pt>
                <c:pt idx="27">
                  <c:v>SK</c:v>
                </c:pt>
                <c:pt idx="28">
                  <c:v>BG</c:v>
                </c:pt>
                <c:pt idx="29">
                  <c:v>PL</c:v>
                </c:pt>
                <c:pt idx="30">
                  <c:v>RO</c:v>
                </c:pt>
              </c:strCache>
            </c:strRef>
          </c:cat>
          <c:val>
            <c:numRef>
              <c:f>Hárok27!$K$4:$K$34</c:f>
              <c:numCache>
                <c:formatCode>#,##0.00</c:formatCode>
                <c:ptCount val="31"/>
                <c:pt idx="0">
                  <c:v>546.58700902504131</c:v>
                </c:pt>
                <c:pt idx="1">
                  <c:v>467.51921229586941</c:v>
                </c:pt>
                <c:pt idx="2">
                  <c:v>479.31654676258921</c:v>
                </c:pt>
                <c:pt idx="3">
                  <c:v>464.10365335598965</c:v>
                </c:pt>
                <c:pt idx="4">
                  <c:v>475.90697674418539</c:v>
                </c:pt>
                <c:pt idx="5">
                  <c:v>480.27757487216923</c:v>
                </c:pt>
                <c:pt idx="6">
                  <c:v>427.03252032520328</c:v>
                </c:pt>
                <c:pt idx="7">
                  <c:v>401.71346977629662</c:v>
                </c:pt>
                <c:pt idx="8">
                  <c:v>415.53224726623523</c:v>
                </c:pt>
                <c:pt idx="9">
                  <c:v>541.04477611940308</c:v>
                </c:pt>
                <c:pt idx="10">
                  <c:v>437.5</c:v>
                </c:pt>
                <c:pt idx="11">
                  <c:v>267.84227048497672</c:v>
                </c:pt>
                <c:pt idx="12">
                  <c:v>241.06687085247592</c:v>
                </c:pt>
                <c:pt idx="13">
                  <c:v>317.15296198054864</c:v>
                </c:pt>
                <c:pt idx="14">
                  <c:v>214.86936099422638</c:v>
                </c:pt>
                <c:pt idx="15">
                  <c:v>433.17073170731709</c:v>
                </c:pt>
                <c:pt idx="16">
                  <c:v>186.23170581724258</c:v>
                </c:pt>
                <c:pt idx="17">
                  <c:v>232.76926743656958</c:v>
                </c:pt>
                <c:pt idx="18">
                  <c:v>392.53731343283545</c:v>
                </c:pt>
                <c:pt idx="19">
                  <c:v>189.25873387655463</c:v>
                </c:pt>
                <c:pt idx="20">
                  <c:v>442.58373205741623</c:v>
                </c:pt>
                <c:pt idx="21">
                  <c:v>211.73373448664913</c:v>
                </c:pt>
                <c:pt idx="22">
                  <c:v>155.61786501101525</c:v>
                </c:pt>
                <c:pt idx="23">
                  <c:v>130.63704547612258</c:v>
                </c:pt>
                <c:pt idx="24">
                  <c:v>143.94618834080717</c:v>
                </c:pt>
                <c:pt idx="25">
                  <c:v>90.37558685445984</c:v>
                </c:pt>
                <c:pt idx="26">
                  <c:v>127.27272727272717</c:v>
                </c:pt>
                <c:pt idx="27">
                  <c:v>86.476540938362476</c:v>
                </c:pt>
                <c:pt idx="28">
                  <c:v>90.351812366737718</c:v>
                </c:pt>
                <c:pt idx="29">
                  <c:v>56.204188481675374</c:v>
                </c:pt>
                <c:pt idx="30">
                  <c:v>47.725786868403894</c:v>
                </c:pt>
              </c:numCache>
            </c:numRef>
          </c:val>
          <c:smooth val="0"/>
        </c:ser>
        <c:dLbls>
          <c:showLegendKey val="0"/>
          <c:showVal val="0"/>
          <c:showCatName val="0"/>
          <c:showSerName val="0"/>
          <c:showPercent val="0"/>
          <c:showBubbleSize val="0"/>
        </c:dLbls>
        <c:marker val="1"/>
        <c:smooth val="0"/>
        <c:axId val="100079872"/>
        <c:axId val="100078336"/>
      </c:lineChart>
      <c:catAx>
        <c:axId val="100197888"/>
        <c:scaling>
          <c:orientation val="minMax"/>
        </c:scaling>
        <c:delete val="0"/>
        <c:axPos val="b"/>
        <c:majorTickMark val="out"/>
        <c:minorTickMark val="none"/>
        <c:tickLblPos val="nextTo"/>
        <c:txPr>
          <a:bodyPr/>
          <a:lstStyle/>
          <a:p>
            <a:pPr>
              <a:defRPr sz="800"/>
            </a:pPr>
            <a:endParaRPr lang="sk-SK"/>
          </a:p>
        </c:txPr>
        <c:crossAx val="100199424"/>
        <c:crosses val="autoZero"/>
        <c:auto val="1"/>
        <c:lblAlgn val="ctr"/>
        <c:lblOffset val="100"/>
        <c:noMultiLvlLbl val="0"/>
      </c:catAx>
      <c:valAx>
        <c:axId val="100199424"/>
        <c:scaling>
          <c:orientation val="minMax"/>
        </c:scaling>
        <c:delete val="0"/>
        <c:axPos val="l"/>
        <c:majorGridlines/>
        <c:numFmt formatCode="#,##0.00" sourceLinked="1"/>
        <c:majorTickMark val="out"/>
        <c:minorTickMark val="none"/>
        <c:tickLblPos val="nextTo"/>
        <c:crossAx val="100197888"/>
        <c:crosses val="autoZero"/>
        <c:crossBetween val="between"/>
      </c:valAx>
      <c:valAx>
        <c:axId val="100078336"/>
        <c:scaling>
          <c:orientation val="minMax"/>
        </c:scaling>
        <c:delete val="0"/>
        <c:axPos val="r"/>
        <c:numFmt formatCode="#,##0" sourceLinked="0"/>
        <c:majorTickMark val="out"/>
        <c:minorTickMark val="none"/>
        <c:tickLblPos val="nextTo"/>
        <c:crossAx val="100079872"/>
        <c:crosses val="max"/>
        <c:crossBetween val="between"/>
      </c:valAx>
      <c:catAx>
        <c:axId val="100079872"/>
        <c:scaling>
          <c:orientation val="minMax"/>
        </c:scaling>
        <c:delete val="1"/>
        <c:axPos val="b"/>
        <c:majorTickMark val="out"/>
        <c:minorTickMark val="none"/>
        <c:tickLblPos val="none"/>
        <c:crossAx val="100078336"/>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Hárok1!$A$11</c:f>
              <c:strCache>
                <c:ptCount val="1"/>
                <c:pt idx="0">
                  <c:v>SK</c:v>
                </c:pt>
              </c:strCache>
            </c:strRef>
          </c:tx>
          <c:spPr>
            <a:ln>
              <a:solidFill>
                <a:schemeClr val="tx2">
                  <a:lumMod val="50000"/>
                </a:schemeClr>
              </a:solidFill>
            </a:ln>
          </c:spPr>
          <c:marker>
            <c:symbol val="none"/>
          </c:marker>
          <c:cat>
            <c:strRef>
              <c:f>Hárok1!$B$10:$K$10</c:f>
              <c:strCache>
                <c:ptCount val="10"/>
                <c:pt idx="0">
                  <c:v>HEALTH</c:v>
                </c:pt>
                <c:pt idx="1">
                  <c:v>KBBE</c:v>
                </c:pt>
                <c:pt idx="2">
                  <c:v>ICT</c:v>
                </c:pt>
                <c:pt idx="3">
                  <c:v>NMP</c:v>
                </c:pt>
                <c:pt idx="4">
                  <c:v>ENERGY</c:v>
                </c:pt>
                <c:pt idx="5">
                  <c:v>Enviroment</c:v>
                </c:pt>
                <c:pt idx="6">
                  <c:v>Transport</c:v>
                </c:pt>
                <c:pt idx="7">
                  <c:v>SSH</c:v>
                </c:pt>
                <c:pt idx="8">
                  <c:v>Space</c:v>
                </c:pt>
                <c:pt idx="9">
                  <c:v>Security</c:v>
                </c:pt>
              </c:strCache>
            </c:strRef>
          </c:cat>
          <c:val>
            <c:numRef>
              <c:f>Hárok1!$B$11:$K$11</c:f>
              <c:numCache>
                <c:formatCode>0.00</c:formatCode>
                <c:ptCount val="10"/>
                <c:pt idx="0">
                  <c:v>7.6769690927218498E-2</c:v>
                </c:pt>
                <c:pt idx="1">
                  <c:v>0.24264705882352941</c:v>
                </c:pt>
                <c:pt idx="2">
                  <c:v>0.14551083591331271</c:v>
                </c:pt>
                <c:pt idx="3">
                  <c:v>0.28390596745027163</c:v>
                </c:pt>
                <c:pt idx="4">
                  <c:v>0.36603773584905708</c:v>
                </c:pt>
                <c:pt idx="5">
                  <c:v>0.20883534136546217</c:v>
                </c:pt>
                <c:pt idx="6">
                  <c:v>0.1119221411192215</c:v>
                </c:pt>
                <c:pt idx="7">
                  <c:v>0.54320987654321085</c:v>
                </c:pt>
                <c:pt idx="8">
                  <c:v>8.6956521739130575E-3</c:v>
                </c:pt>
                <c:pt idx="9">
                  <c:v>0.60946745562130178</c:v>
                </c:pt>
              </c:numCache>
            </c:numRef>
          </c:val>
        </c:ser>
        <c:ser>
          <c:idx val="1"/>
          <c:order val="1"/>
          <c:tx>
            <c:strRef>
              <c:f>Hárok1!$A$12</c:f>
              <c:strCache>
                <c:ptCount val="1"/>
                <c:pt idx="0">
                  <c:v>EU13</c:v>
                </c:pt>
              </c:strCache>
            </c:strRef>
          </c:tx>
          <c:marker>
            <c:symbol val="none"/>
          </c:marker>
          <c:cat>
            <c:strRef>
              <c:f>Hárok1!$B$10:$K$10</c:f>
              <c:strCache>
                <c:ptCount val="10"/>
                <c:pt idx="0">
                  <c:v>HEALTH</c:v>
                </c:pt>
                <c:pt idx="1">
                  <c:v>KBBE</c:v>
                </c:pt>
                <c:pt idx="2">
                  <c:v>ICT</c:v>
                </c:pt>
                <c:pt idx="3">
                  <c:v>NMP</c:v>
                </c:pt>
                <c:pt idx="4">
                  <c:v>ENERGY</c:v>
                </c:pt>
                <c:pt idx="5">
                  <c:v>Enviroment</c:v>
                </c:pt>
                <c:pt idx="6">
                  <c:v>Transport</c:v>
                </c:pt>
                <c:pt idx="7">
                  <c:v>SSH</c:v>
                </c:pt>
                <c:pt idx="8">
                  <c:v>Space</c:v>
                </c:pt>
                <c:pt idx="9">
                  <c:v>Security</c:v>
                </c:pt>
              </c:strCache>
            </c:strRef>
          </c:cat>
          <c:val>
            <c:numRef>
              <c:f>Hárok1!$B$12:$K$12</c:f>
              <c:numCache>
                <c:formatCode>0.00</c:formatCode>
                <c:ptCount val="10"/>
                <c:pt idx="0">
                  <c:v>0.12063808574277168</c:v>
                </c:pt>
                <c:pt idx="1">
                  <c:v>0.22794117647058823</c:v>
                </c:pt>
                <c:pt idx="2">
                  <c:v>0.18421052631578938</c:v>
                </c:pt>
                <c:pt idx="3">
                  <c:v>0.23508137432188064</c:v>
                </c:pt>
                <c:pt idx="4">
                  <c:v>0.20377358490566039</c:v>
                </c:pt>
                <c:pt idx="5">
                  <c:v>0.24899598393574318</c:v>
                </c:pt>
                <c:pt idx="6">
                  <c:v>0.23844282238442846</c:v>
                </c:pt>
                <c:pt idx="7">
                  <c:v>0.43209876543209907</c:v>
                </c:pt>
                <c:pt idx="8">
                  <c:v>0.19130434782608696</c:v>
                </c:pt>
                <c:pt idx="9">
                  <c:v>0.34319526627218933</c:v>
                </c:pt>
              </c:numCache>
            </c:numRef>
          </c:val>
        </c:ser>
        <c:ser>
          <c:idx val="2"/>
          <c:order val="2"/>
          <c:tx>
            <c:strRef>
              <c:f>Hárok1!$A$13</c:f>
              <c:strCache>
                <c:ptCount val="1"/>
                <c:pt idx="0">
                  <c:v>V3 (CR, HU, PL)</c:v>
                </c:pt>
              </c:strCache>
            </c:strRef>
          </c:tx>
          <c:marker>
            <c:symbol val="none"/>
          </c:marker>
          <c:cat>
            <c:strRef>
              <c:f>Hárok1!$B$10:$K$10</c:f>
              <c:strCache>
                <c:ptCount val="10"/>
                <c:pt idx="0">
                  <c:v>HEALTH</c:v>
                </c:pt>
                <c:pt idx="1">
                  <c:v>KBBE</c:v>
                </c:pt>
                <c:pt idx="2">
                  <c:v>ICT</c:v>
                </c:pt>
                <c:pt idx="3">
                  <c:v>NMP</c:v>
                </c:pt>
                <c:pt idx="4">
                  <c:v>ENERGY</c:v>
                </c:pt>
                <c:pt idx="5">
                  <c:v>Enviroment</c:v>
                </c:pt>
                <c:pt idx="6">
                  <c:v>Transport</c:v>
                </c:pt>
                <c:pt idx="7">
                  <c:v>SSH</c:v>
                </c:pt>
                <c:pt idx="8">
                  <c:v>Space</c:v>
                </c:pt>
                <c:pt idx="9">
                  <c:v>Security</c:v>
                </c:pt>
              </c:strCache>
            </c:strRef>
          </c:cat>
          <c:val>
            <c:numRef>
              <c:f>Hárok1!$B$13:$K$13</c:f>
              <c:numCache>
                <c:formatCode>0.00</c:formatCode>
                <c:ptCount val="10"/>
                <c:pt idx="0">
                  <c:v>0.12263210368893339</c:v>
                </c:pt>
                <c:pt idx="1">
                  <c:v>0.23897058823529421</c:v>
                </c:pt>
                <c:pt idx="2">
                  <c:v>0.16563467492260062</c:v>
                </c:pt>
                <c:pt idx="3">
                  <c:v>0.2459312839059678</c:v>
                </c:pt>
                <c:pt idx="4">
                  <c:v>0.18867924528301888</c:v>
                </c:pt>
                <c:pt idx="5">
                  <c:v>0.19678714859437774</c:v>
                </c:pt>
                <c:pt idx="6">
                  <c:v>0.24574209245742148</c:v>
                </c:pt>
                <c:pt idx="7">
                  <c:v>0.43209876543209907</c:v>
                </c:pt>
                <c:pt idx="8">
                  <c:v>0.20869565217391306</c:v>
                </c:pt>
                <c:pt idx="9">
                  <c:v>0.36686390532544477</c:v>
                </c:pt>
              </c:numCache>
            </c:numRef>
          </c:val>
        </c:ser>
        <c:ser>
          <c:idx val="3"/>
          <c:order val="3"/>
          <c:tx>
            <c:strRef>
              <c:f>Hárok1!$A$14</c:f>
              <c:strCache>
                <c:ptCount val="1"/>
                <c:pt idx="0">
                  <c:v>EU28</c:v>
                </c:pt>
              </c:strCache>
            </c:strRef>
          </c:tx>
          <c:spPr>
            <a:ln>
              <a:solidFill>
                <a:srgbClr val="00B0F0"/>
              </a:solidFill>
            </a:ln>
          </c:spPr>
          <c:marker>
            <c:symbol val="none"/>
          </c:marker>
          <c:cat>
            <c:strRef>
              <c:f>Hárok1!$B$10:$K$10</c:f>
              <c:strCache>
                <c:ptCount val="10"/>
                <c:pt idx="0">
                  <c:v>HEALTH</c:v>
                </c:pt>
                <c:pt idx="1">
                  <c:v>KBBE</c:v>
                </c:pt>
                <c:pt idx="2">
                  <c:v>ICT</c:v>
                </c:pt>
                <c:pt idx="3">
                  <c:v>NMP</c:v>
                </c:pt>
                <c:pt idx="4">
                  <c:v>ENERGY</c:v>
                </c:pt>
                <c:pt idx="5">
                  <c:v>Enviroment</c:v>
                </c:pt>
                <c:pt idx="6">
                  <c:v>Transport</c:v>
                </c:pt>
                <c:pt idx="7">
                  <c:v>SSH</c:v>
                </c:pt>
                <c:pt idx="8">
                  <c:v>Space</c:v>
                </c:pt>
                <c:pt idx="9">
                  <c:v>Security</c:v>
                </c:pt>
              </c:strCache>
            </c:strRef>
          </c:cat>
          <c:val>
            <c:numRef>
              <c:f>Hárok1!$B$14:$K$14</c:f>
              <c:numCache>
                <c:formatCode>General</c:formatCode>
                <c:ptCount val="10"/>
                <c:pt idx="0">
                  <c:v>1</c:v>
                </c:pt>
                <c:pt idx="1">
                  <c:v>1</c:v>
                </c:pt>
                <c:pt idx="2">
                  <c:v>1</c:v>
                </c:pt>
                <c:pt idx="3">
                  <c:v>1</c:v>
                </c:pt>
                <c:pt idx="4">
                  <c:v>1</c:v>
                </c:pt>
                <c:pt idx="5">
                  <c:v>1</c:v>
                </c:pt>
                <c:pt idx="6">
                  <c:v>1</c:v>
                </c:pt>
                <c:pt idx="7">
                  <c:v>1</c:v>
                </c:pt>
                <c:pt idx="8">
                  <c:v>1</c:v>
                </c:pt>
                <c:pt idx="9">
                  <c:v>1</c:v>
                </c:pt>
              </c:numCache>
            </c:numRef>
          </c:val>
        </c:ser>
        <c:dLbls>
          <c:showLegendKey val="0"/>
          <c:showVal val="0"/>
          <c:showCatName val="0"/>
          <c:showSerName val="0"/>
          <c:showPercent val="0"/>
          <c:showBubbleSize val="0"/>
        </c:dLbls>
        <c:axId val="100105600"/>
        <c:axId val="100115584"/>
      </c:radarChart>
      <c:catAx>
        <c:axId val="100105600"/>
        <c:scaling>
          <c:orientation val="minMax"/>
        </c:scaling>
        <c:delete val="0"/>
        <c:axPos val="b"/>
        <c:majorGridlines/>
        <c:majorTickMark val="out"/>
        <c:minorTickMark val="none"/>
        <c:tickLblPos val="nextTo"/>
        <c:crossAx val="100115584"/>
        <c:crosses val="autoZero"/>
        <c:auto val="1"/>
        <c:lblAlgn val="ctr"/>
        <c:lblOffset val="100"/>
        <c:noMultiLvlLbl val="0"/>
      </c:catAx>
      <c:valAx>
        <c:axId val="100115584"/>
        <c:scaling>
          <c:orientation val="minMax"/>
          <c:max val="0.70000000000000062"/>
        </c:scaling>
        <c:delete val="0"/>
        <c:axPos val="l"/>
        <c:majorGridlines/>
        <c:numFmt formatCode="0.00" sourceLinked="1"/>
        <c:majorTickMark val="cross"/>
        <c:minorTickMark val="none"/>
        <c:tickLblPos val="nextTo"/>
        <c:crossAx val="100105600"/>
        <c:crosses val="autoZero"/>
        <c:crossBetween val="between"/>
        <c:majorUnit val="0.2"/>
      </c:valAx>
      <c:spPr>
        <a:noFill/>
      </c:spPr>
    </c:plotArea>
    <c:legend>
      <c:legendPos val="b"/>
      <c:overlay val="0"/>
    </c:legend>
    <c:plotVisOnly val="1"/>
    <c:dispBlanksAs val="gap"/>
    <c:showDLblsOverMax val="0"/>
  </c:chart>
  <c:spPr>
    <a:solidFill>
      <a:schemeClr val="bg1"/>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Hárok16!$B$4</c:f>
              <c:strCache>
                <c:ptCount val="1"/>
                <c:pt idx="0">
                  <c:v>2012</c:v>
                </c:pt>
              </c:strCache>
            </c:strRef>
          </c:tx>
          <c:invertIfNegative val="0"/>
          <c:dPt>
            <c:idx val="9"/>
            <c:invertIfNegative val="0"/>
            <c:bubble3D val="0"/>
            <c:spPr>
              <a:solidFill>
                <a:srgbClr val="FFFF00"/>
              </a:solidFill>
              <a:ln>
                <a:solidFill>
                  <a:srgbClr val="FFFF00"/>
                </a:solidFill>
              </a:ln>
            </c:spPr>
          </c:dPt>
          <c:dLbls>
            <c:dLbl>
              <c:idx val="9"/>
              <c:showLegendKey val="0"/>
              <c:showVal val="1"/>
              <c:showCatName val="0"/>
              <c:showSerName val="0"/>
              <c:showPercent val="0"/>
              <c:showBubbleSize val="0"/>
            </c:dLbl>
            <c:showLegendKey val="0"/>
            <c:showVal val="0"/>
            <c:showCatName val="0"/>
            <c:showSerName val="0"/>
            <c:showPercent val="0"/>
            <c:showBubbleSize val="0"/>
          </c:dLbls>
          <c:cat>
            <c:strRef>
              <c:f>Hárok16!$A$5:$A$32</c:f>
              <c:strCache>
                <c:ptCount val="28"/>
                <c:pt idx="0">
                  <c:v>Lithuania</c:v>
                </c:pt>
                <c:pt idx="1">
                  <c:v>Ireland</c:v>
                </c:pt>
                <c:pt idx="2">
                  <c:v>France</c:v>
                </c:pt>
                <c:pt idx="3">
                  <c:v>Finland</c:v>
                </c:pt>
                <c:pt idx="4">
                  <c:v>United Kingdom</c:v>
                </c:pt>
                <c:pt idx="5">
                  <c:v>Portugal</c:v>
                </c:pt>
                <c:pt idx="6">
                  <c:v>Slovenia</c:v>
                </c:pt>
                <c:pt idx="7">
                  <c:v>Denmark</c:v>
                </c:pt>
                <c:pt idx="8">
                  <c:v>Poland</c:v>
                </c:pt>
                <c:pt idx="9">
                  <c:v>Slovakia</c:v>
                </c:pt>
                <c:pt idx="10">
                  <c:v>Germany</c:v>
                </c:pt>
                <c:pt idx="11">
                  <c:v>Czech Republic</c:v>
                </c:pt>
                <c:pt idx="12">
                  <c:v>Croatia</c:v>
                </c:pt>
                <c:pt idx="13">
                  <c:v>Austria</c:v>
                </c:pt>
                <c:pt idx="14">
                  <c:v>Spain</c:v>
                </c:pt>
                <c:pt idx="15">
                  <c:v>Sweden</c:v>
                </c:pt>
                <c:pt idx="16">
                  <c:v>Romania</c:v>
                </c:pt>
                <c:pt idx="17">
                  <c:v>Greece</c:v>
                </c:pt>
                <c:pt idx="18">
                  <c:v>Latvia</c:v>
                </c:pt>
                <c:pt idx="19">
                  <c:v>Bulgaria</c:v>
                </c:pt>
                <c:pt idx="20">
                  <c:v>Belgium</c:v>
                </c:pt>
                <c:pt idx="21">
                  <c:v>Italy</c:v>
                </c:pt>
                <c:pt idx="22">
                  <c:v>Estonia</c:v>
                </c:pt>
                <c:pt idx="23">
                  <c:v>Malta</c:v>
                </c:pt>
                <c:pt idx="24">
                  <c:v>Netherlands</c:v>
                </c:pt>
                <c:pt idx="25">
                  <c:v>Cyprus</c:v>
                </c:pt>
                <c:pt idx="26">
                  <c:v>Hungary</c:v>
                </c:pt>
                <c:pt idx="27">
                  <c:v>Luxembourg</c:v>
                </c:pt>
              </c:strCache>
            </c:strRef>
          </c:cat>
          <c:val>
            <c:numRef>
              <c:f>Hárok16!$B$5:$B$32</c:f>
              <c:numCache>
                <c:formatCode>General</c:formatCode>
                <c:ptCount val="28"/>
                <c:pt idx="0">
                  <c:v>23</c:v>
                </c:pt>
                <c:pt idx="1">
                  <c:v>22.7</c:v>
                </c:pt>
                <c:pt idx="2">
                  <c:v>22.1</c:v>
                </c:pt>
                <c:pt idx="3">
                  <c:v>21.7</c:v>
                </c:pt>
                <c:pt idx="4">
                  <c:v>19.5</c:v>
                </c:pt>
                <c:pt idx="5">
                  <c:v>19.399999999999999</c:v>
                </c:pt>
                <c:pt idx="6">
                  <c:v>19.3</c:v>
                </c:pt>
                <c:pt idx="7">
                  <c:v>18.8</c:v>
                </c:pt>
                <c:pt idx="8">
                  <c:v>17.899999999999999</c:v>
                </c:pt>
                <c:pt idx="9">
                  <c:v>17.899999999999999</c:v>
                </c:pt>
                <c:pt idx="10">
                  <c:v>17.5</c:v>
                </c:pt>
                <c:pt idx="11">
                  <c:v>16.7</c:v>
                </c:pt>
                <c:pt idx="12">
                  <c:v>16.600000000000001</c:v>
                </c:pt>
                <c:pt idx="13">
                  <c:v>16.3</c:v>
                </c:pt>
                <c:pt idx="14">
                  <c:v>15.8</c:v>
                </c:pt>
                <c:pt idx="15">
                  <c:v>15.6</c:v>
                </c:pt>
                <c:pt idx="16">
                  <c:v>15.5</c:v>
                </c:pt>
                <c:pt idx="17">
                  <c:v>14.6</c:v>
                </c:pt>
                <c:pt idx="18">
                  <c:v>13.7</c:v>
                </c:pt>
                <c:pt idx="19">
                  <c:v>13.3</c:v>
                </c:pt>
                <c:pt idx="20">
                  <c:v>13</c:v>
                </c:pt>
                <c:pt idx="21">
                  <c:v>12.8</c:v>
                </c:pt>
                <c:pt idx="22">
                  <c:v>11.9</c:v>
                </c:pt>
                <c:pt idx="23">
                  <c:v>11.1</c:v>
                </c:pt>
                <c:pt idx="24">
                  <c:v>10.7</c:v>
                </c:pt>
                <c:pt idx="25">
                  <c:v>9</c:v>
                </c:pt>
                <c:pt idx="26">
                  <c:v>9</c:v>
                </c:pt>
                <c:pt idx="27">
                  <c:v>2.8</c:v>
                </c:pt>
              </c:numCache>
            </c:numRef>
          </c:val>
        </c:ser>
        <c:dLbls>
          <c:showLegendKey val="0"/>
          <c:showVal val="0"/>
          <c:showCatName val="0"/>
          <c:showSerName val="0"/>
          <c:showPercent val="0"/>
          <c:showBubbleSize val="0"/>
        </c:dLbls>
        <c:gapWidth val="150"/>
        <c:axId val="36436224"/>
        <c:axId val="43077632"/>
      </c:barChart>
      <c:lineChart>
        <c:grouping val="standard"/>
        <c:varyColors val="0"/>
        <c:ser>
          <c:idx val="1"/>
          <c:order val="1"/>
          <c:tx>
            <c:strRef>
              <c:f>Hárok16!$C$4</c:f>
              <c:strCache>
                <c:ptCount val="1"/>
                <c:pt idx="0">
                  <c:v>2005</c:v>
                </c:pt>
              </c:strCache>
            </c:strRef>
          </c:tx>
          <c:spPr>
            <a:ln>
              <a:noFill/>
            </a:ln>
          </c:spPr>
          <c:marker>
            <c:symbol val="diamond"/>
            <c:size val="7"/>
          </c:marker>
          <c:cat>
            <c:strRef>
              <c:f>Hárok16!$A$5:$A$32</c:f>
              <c:strCache>
                <c:ptCount val="28"/>
                <c:pt idx="0">
                  <c:v>Lithuania</c:v>
                </c:pt>
                <c:pt idx="1">
                  <c:v>Ireland</c:v>
                </c:pt>
                <c:pt idx="2">
                  <c:v>France</c:v>
                </c:pt>
                <c:pt idx="3">
                  <c:v>Finland</c:v>
                </c:pt>
                <c:pt idx="4">
                  <c:v>United Kingdom</c:v>
                </c:pt>
                <c:pt idx="5">
                  <c:v>Portugal</c:v>
                </c:pt>
                <c:pt idx="6">
                  <c:v>Slovenia</c:v>
                </c:pt>
                <c:pt idx="7">
                  <c:v>Denmark</c:v>
                </c:pt>
                <c:pt idx="8">
                  <c:v>Poland</c:v>
                </c:pt>
                <c:pt idx="9">
                  <c:v>Slovakia</c:v>
                </c:pt>
                <c:pt idx="10">
                  <c:v>Germany</c:v>
                </c:pt>
                <c:pt idx="11">
                  <c:v>Czech Republic</c:v>
                </c:pt>
                <c:pt idx="12">
                  <c:v>Croatia</c:v>
                </c:pt>
                <c:pt idx="13">
                  <c:v>Austria</c:v>
                </c:pt>
                <c:pt idx="14">
                  <c:v>Spain</c:v>
                </c:pt>
                <c:pt idx="15">
                  <c:v>Sweden</c:v>
                </c:pt>
                <c:pt idx="16">
                  <c:v>Romania</c:v>
                </c:pt>
                <c:pt idx="17">
                  <c:v>Greece</c:v>
                </c:pt>
                <c:pt idx="18">
                  <c:v>Latvia</c:v>
                </c:pt>
                <c:pt idx="19">
                  <c:v>Bulgaria</c:v>
                </c:pt>
                <c:pt idx="20">
                  <c:v>Belgium</c:v>
                </c:pt>
                <c:pt idx="21">
                  <c:v>Italy</c:v>
                </c:pt>
                <c:pt idx="22">
                  <c:v>Estonia</c:v>
                </c:pt>
                <c:pt idx="23">
                  <c:v>Malta</c:v>
                </c:pt>
                <c:pt idx="24">
                  <c:v>Netherlands</c:v>
                </c:pt>
                <c:pt idx="25">
                  <c:v>Cyprus</c:v>
                </c:pt>
                <c:pt idx="26">
                  <c:v>Hungary</c:v>
                </c:pt>
                <c:pt idx="27">
                  <c:v>Luxembourg</c:v>
                </c:pt>
              </c:strCache>
            </c:strRef>
          </c:cat>
          <c:val>
            <c:numRef>
              <c:f>Hárok16!$C$5:$C$32</c:f>
              <c:numCache>
                <c:formatCode>General</c:formatCode>
                <c:ptCount val="28"/>
                <c:pt idx="0">
                  <c:v>18.899999999999999</c:v>
                </c:pt>
                <c:pt idx="1">
                  <c:v>24.8</c:v>
                </c:pt>
                <c:pt idx="2">
                  <c:v>22.8</c:v>
                </c:pt>
                <c:pt idx="3">
                  <c:v>18.100000000000001</c:v>
                </c:pt>
                <c:pt idx="4">
                  <c:v>19.2</c:v>
                </c:pt>
                <c:pt idx="5">
                  <c:v>9.5</c:v>
                </c:pt>
                <c:pt idx="6">
                  <c:v>9.8000000000000007</c:v>
                </c:pt>
                <c:pt idx="7">
                  <c:v>14.7</c:v>
                </c:pt>
                <c:pt idx="8">
                  <c:v>11.1</c:v>
                </c:pt>
                <c:pt idx="9">
                  <c:v>10.200000000000001</c:v>
                </c:pt>
                <c:pt idx="10">
                  <c:v>9.7000000000000011</c:v>
                </c:pt>
                <c:pt idx="11">
                  <c:v>8.2000000000000011</c:v>
                </c:pt>
                <c:pt idx="12">
                  <c:v>5.7</c:v>
                </c:pt>
                <c:pt idx="13">
                  <c:v>9.8000000000000007</c:v>
                </c:pt>
                <c:pt idx="14">
                  <c:v>11.8</c:v>
                </c:pt>
                <c:pt idx="15">
                  <c:v>14.4</c:v>
                </c:pt>
                <c:pt idx="16">
                  <c:v>10.3</c:v>
                </c:pt>
                <c:pt idx="17">
                  <c:v>10.1</c:v>
                </c:pt>
                <c:pt idx="18">
                  <c:v>9.8000000000000007</c:v>
                </c:pt>
                <c:pt idx="19">
                  <c:v>8.6</c:v>
                </c:pt>
                <c:pt idx="20">
                  <c:v>10.9</c:v>
                </c:pt>
                <c:pt idx="21">
                  <c:v>11.6</c:v>
                </c:pt>
                <c:pt idx="22">
                  <c:v>12.1</c:v>
                </c:pt>
                <c:pt idx="23">
                  <c:v>3.4</c:v>
                </c:pt>
                <c:pt idx="24">
                  <c:v>8.6</c:v>
                </c:pt>
                <c:pt idx="25">
                  <c:v>3.6</c:v>
                </c:pt>
                <c:pt idx="26">
                  <c:v>5.0999999999999996</c:v>
                </c:pt>
                <c:pt idx="27">
                  <c:v>0</c:v>
                </c:pt>
              </c:numCache>
            </c:numRef>
          </c:val>
          <c:smooth val="0"/>
        </c:ser>
        <c:dLbls>
          <c:showLegendKey val="0"/>
          <c:showVal val="0"/>
          <c:showCatName val="0"/>
          <c:showSerName val="0"/>
          <c:showPercent val="0"/>
          <c:showBubbleSize val="0"/>
        </c:dLbls>
        <c:marker val="1"/>
        <c:smooth val="0"/>
        <c:axId val="36436224"/>
        <c:axId val="43077632"/>
      </c:lineChart>
      <c:catAx>
        <c:axId val="36436224"/>
        <c:scaling>
          <c:orientation val="minMax"/>
        </c:scaling>
        <c:delete val="0"/>
        <c:axPos val="b"/>
        <c:majorTickMark val="out"/>
        <c:minorTickMark val="none"/>
        <c:tickLblPos val="nextTo"/>
        <c:txPr>
          <a:bodyPr rot="-5400000"/>
          <a:lstStyle/>
          <a:p>
            <a:pPr>
              <a:defRPr sz="800"/>
            </a:pPr>
            <a:endParaRPr lang="sk-SK"/>
          </a:p>
        </c:txPr>
        <c:crossAx val="43077632"/>
        <c:crosses val="autoZero"/>
        <c:auto val="1"/>
        <c:lblAlgn val="ctr"/>
        <c:lblOffset val="100"/>
        <c:noMultiLvlLbl val="0"/>
      </c:catAx>
      <c:valAx>
        <c:axId val="43077632"/>
        <c:scaling>
          <c:orientation val="minMax"/>
        </c:scaling>
        <c:delete val="0"/>
        <c:axPos val="l"/>
        <c:majorGridlines/>
        <c:numFmt formatCode="General" sourceLinked="1"/>
        <c:majorTickMark val="out"/>
        <c:minorTickMark val="none"/>
        <c:tickLblPos val="nextTo"/>
        <c:crossAx val="36436224"/>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Hárok1!$J$4</c:f>
              <c:strCache>
                <c:ptCount val="1"/>
                <c:pt idx="0">
                  <c:v>Podiel</c:v>
                </c:pt>
              </c:strCache>
            </c:strRef>
          </c:tx>
          <c:invertIfNegative val="0"/>
          <c:dPt>
            <c:idx val="2"/>
            <c:invertIfNegative val="0"/>
            <c:bubble3D val="0"/>
            <c:spPr>
              <a:solidFill>
                <a:srgbClr val="FFFF00"/>
              </a:solidFill>
              <a:ln>
                <a:solidFill>
                  <a:srgbClr val="FFFF00"/>
                </a:solidFill>
              </a:ln>
            </c:spPr>
          </c:dPt>
          <c:dPt>
            <c:idx val="4"/>
            <c:invertIfNegative val="0"/>
            <c:bubble3D val="0"/>
            <c:spPr>
              <a:solidFill>
                <a:schemeClr val="accent1"/>
              </a:solidFill>
              <a:ln>
                <a:solidFill>
                  <a:schemeClr val="accent1"/>
                </a:solidFill>
              </a:ln>
            </c:spPr>
          </c:dPt>
          <c:dLbls>
            <c:dLbl>
              <c:idx val="2"/>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Hárok1!$I$5:$I$32</c:f>
              <c:strCache>
                <c:ptCount val="28"/>
                <c:pt idx="0">
                  <c:v>Luxembourg</c:v>
                </c:pt>
                <c:pt idx="1">
                  <c:v>Cyprus</c:v>
                </c:pt>
                <c:pt idx="2">
                  <c:v>Slovakia</c:v>
                </c:pt>
                <c:pt idx="3">
                  <c:v>Ireland</c:v>
                </c:pt>
                <c:pt idx="4">
                  <c:v>Malta</c:v>
                </c:pt>
                <c:pt idx="5">
                  <c:v>Bulgaria</c:v>
                </c:pt>
                <c:pt idx="6">
                  <c:v>Lithuania</c:v>
                </c:pt>
                <c:pt idx="7">
                  <c:v>Latvia</c:v>
                </c:pt>
                <c:pt idx="8">
                  <c:v>Estonia</c:v>
                </c:pt>
                <c:pt idx="9">
                  <c:v>Croatia</c:v>
                </c:pt>
                <c:pt idx="10">
                  <c:v>Greece</c:v>
                </c:pt>
                <c:pt idx="11">
                  <c:v>Portugal</c:v>
                </c:pt>
                <c:pt idx="12">
                  <c:v>Romania</c:v>
                </c:pt>
                <c:pt idx="13">
                  <c:v>Austria</c:v>
                </c:pt>
                <c:pt idx="14">
                  <c:v>Germany</c:v>
                </c:pt>
                <c:pt idx="15">
                  <c:v>Sweden</c:v>
                </c:pt>
                <c:pt idx="16">
                  <c:v>Czech Republic</c:v>
                </c:pt>
                <c:pt idx="17">
                  <c:v>Finland</c:v>
                </c:pt>
                <c:pt idx="18">
                  <c:v>Italy</c:v>
                </c:pt>
                <c:pt idx="19">
                  <c:v>Hungary</c:v>
                </c:pt>
                <c:pt idx="20">
                  <c:v>Belgium</c:v>
                </c:pt>
                <c:pt idx="21">
                  <c:v>Netherlands</c:v>
                </c:pt>
                <c:pt idx="22">
                  <c:v>France</c:v>
                </c:pt>
                <c:pt idx="23">
                  <c:v>Slovenia</c:v>
                </c:pt>
                <c:pt idx="24">
                  <c:v>Denmark</c:v>
                </c:pt>
                <c:pt idx="25">
                  <c:v>Poland</c:v>
                </c:pt>
                <c:pt idx="26">
                  <c:v>Spain</c:v>
                </c:pt>
                <c:pt idx="27">
                  <c:v>United Kingdom</c:v>
                </c:pt>
              </c:strCache>
            </c:strRef>
          </c:cat>
          <c:val>
            <c:numRef>
              <c:f>Hárok1!$J$5:$J$32</c:f>
              <c:numCache>
                <c:formatCode>General</c:formatCode>
                <c:ptCount val="28"/>
                <c:pt idx="0">
                  <c:v>127.86885245901641</c:v>
                </c:pt>
                <c:pt idx="1">
                  <c:v>80.188679245283012</c:v>
                </c:pt>
                <c:pt idx="2">
                  <c:v>15.867992766726958</c:v>
                </c:pt>
                <c:pt idx="3">
                  <c:v>13.136033229491169</c:v>
                </c:pt>
                <c:pt idx="4">
                  <c:v>11.475409836065596</c:v>
                </c:pt>
                <c:pt idx="5">
                  <c:v>8.7368421052631486</c:v>
                </c:pt>
                <c:pt idx="6">
                  <c:v>8.6807538549400345</c:v>
                </c:pt>
                <c:pt idx="7">
                  <c:v>7.4226804123711396</c:v>
                </c:pt>
                <c:pt idx="8">
                  <c:v>6.2228654124457305</c:v>
                </c:pt>
                <c:pt idx="9">
                  <c:v>5.6579783852511127</c:v>
                </c:pt>
                <c:pt idx="10">
                  <c:v>5.0474612023504575</c:v>
                </c:pt>
                <c:pt idx="11">
                  <c:v>4.8168075839098128</c:v>
                </c:pt>
                <c:pt idx="12">
                  <c:v>4.4945413299305264</c:v>
                </c:pt>
                <c:pt idx="13">
                  <c:v>3.9575033200531187</c:v>
                </c:pt>
                <c:pt idx="14">
                  <c:v>3.5516244259227761</c:v>
                </c:pt>
                <c:pt idx="15">
                  <c:v>3.1283710895361407</c:v>
                </c:pt>
                <c:pt idx="16">
                  <c:v>2.9304861426624282</c:v>
                </c:pt>
                <c:pt idx="17">
                  <c:v>2.9135642602784082</c:v>
                </c:pt>
                <c:pt idx="18">
                  <c:v>2.829845786385583</c:v>
                </c:pt>
                <c:pt idx="19">
                  <c:v>2.4947478991596612</c:v>
                </c:pt>
                <c:pt idx="20">
                  <c:v>2.3864350010466797</c:v>
                </c:pt>
                <c:pt idx="21">
                  <c:v>2.3560539246566652</c:v>
                </c:pt>
                <c:pt idx="22">
                  <c:v>2.3080607934503332</c:v>
                </c:pt>
                <c:pt idx="23">
                  <c:v>2.3076923076923102</c:v>
                </c:pt>
                <c:pt idx="24">
                  <c:v>2.1090909090909089</c:v>
                </c:pt>
                <c:pt idx="25">
                  <c:v>2.0924671183738512</c:v>
                </c:pt>
                <c:pt idx="26">
                  <c:v>1.4752263709431261</c:v>
                </c:pt>
                <c:pt idx="27">
                  <c:v>0.68114432246173562</c:v>
                </c:pt>
              </c:numCache>
            </c:numRef>
          </c:val>
        </c:ser>
        <c:dLbls>
          <c:showLegendKey val="0"/>
          <c:showVal val="0"/>
          <c:showCatName val="0"/>
          <c:showSerName val="0"/>
          <c:showPercent val="0"/>
          <c:showBubbleSize val="0"/>
        </c:dLbls>
        <c:gapWidth val="150"/>
        <c:axId val="43109376"/>
        <c:axId val="43119360"/>
      </c:barChart>
      <c:lineChart>
        <c:grouping val="standard"/>
        <c:varyColors val="0"/>
        <c:ser>
          <c:idx val="1"/>
          <c:order val="1"/>
          <c:tx>
            <c:strRef>
              <c:f>Hárok1!$K$4</c:f>
              <c:strCache>
                <c:ptCount val="1"/>
                <c:pt idx="0">
                  <c:v>Počet študentov študujúcich v zahraničí</c:v>
                </c:pt>
              </c:strCache>
            </c:strRef>
          </c:tx>
          <c:spPr>
            <a:ln>
              <a:noFill/>
            </a:ln>
          </c:spPr>
          <c:marker>
            <c:symbol val="diamond"/>
            <c:size val="7"/>
          </c:marker>
          <c:cat>
            <c:strRef>
              <c:f>Hárok1!$I$5:$I$32</c:f>
              <c:strCache>
                <c:ptCount val="28"/>
                <c:pt idx="0">
                  <c:v>Luxembourg</c:v>
                </c:pt>
                <c:pt idx="1">
                  <c:v>Cyprus</c:v>
                </c:pt>
                <c:pt idx="2">
                  <c:v>Slovakia</c:v>
                </c:pt>
                <c:pt idx="3">
                  <c:v>Ireland</c:v>
                </c:pt>
                <c:pt idx="4">
                  <c:v>Malta</c:v>
                </c:pt>
                <c:pt idx="5">
                  <c:v>Bulgaria</c:v>
                </c:pt>
                <c:pt idx="6">
                  <c:v>Lithuania</c:v>
                </c:pt>
                <c:pt idx="7">
                  <c:v>Latvia</c:v>
                </c:pt>
                <c:pt idx="8">
                  <c:v>Estonia</c:v>
                </c:pt>
                <c:pt idx="9">
                  <c:v>Croatia</c:v>
                </c:pt>
                <c:pt idx="10">
                  <c:v>Greece</c:v>
                </c:pt>
                <c:pt idx="11">
                  <c:v>Portugal</c:v>
                </c:pt>
                <c:pt idx="12">
                  <c:v>Romania</c:v>
                </c:pt>
                <c:pt idx="13">
                  <c:v>Austria</c:v>
                </c:pt>
                <c:pt idx="14">
                  <c:v>Germany</c:v>
                </c:pt>
                <c:pt idx="15">
                  <c:v>Sweden</c:v>
                </c:pt>
                <c:pt idx="16">
                  <c:v>Czech Republic</c:v>
                </c:pt>
                <c:pt idx="17">
                  <c:v>Finland</c:v>
                </c:pt>
                <c:pt idx="18">
                  <c:v>Italy</c:v>
                </c:pt>
                <c:pt idx="19">
                  <c:v>Hungary</c:v>
                </c:pt>
                <c:pt idx="20">
                  <c:v>Belgium</c:v>
                </c:pt>
                <c:pt idx="21">
                  <c:v>Netherlands</c:v>
                </c:pt>
                <c:pt idx="22">
                  <c:v>France</c:v>
                </c:pt>
                <c:pt idx="23">
                  <c:v>Slovenia</c:v>
                </c:pt>
                <c:pt idx="24">
                  <c:v>Denmark</c:v>
                </c:pt>
                <c:pt idx="25">
                  <c:v>Poland</c:v>
                </c:pt>
                <c:pt idx="26">
                  <c:v>Spain</c:v>
                </c:pt>
                <c:pt idx="27">
                  <c:v>United Kingdom</c:v>
                </c:pt>
              </c:strCache>
            </c:strRef>
          </c:cat>
          <c:val>
            <c:numRef>
              <c:f>Hárok1!$K$5:$K$32</c:f>
              <c:numCache>
                <c:formatCode>General</c:formatCode>
                <c:ptCount val="28"/>
                <c:pt idx="0">
                  <c:v>7.8</c:v>
                </c:pt>
                <c:pt idx="1">
                  <c:v>25.5</c:v>
                </c:pt>
                <c:pt idx="2">
                  <c:v>35.1</c:v>
                </c:pt>
                <c:pt idx="3">
                  <c:v>25.3</c:v>
                </c:pt>
                <c:pt idx="4">
                  <c:v>1.4</c:v>
                </c:pt>
                <c:pt idx="5">
                  <c:v>24.9</c:v>
                </c:pt>
                <c:pt idx="6">
                  <c:v>15.2</c:v>
                </c:pt>
                <c:pt idx="7">
                  <c:v>7.2</c:v>
                </c:pt>
                <c:pt idx="8">
                  <c:v>4.3</c:v>
                </c:pt>
                <c:pt idx="9">
                  <c:v>8.9</c:v>
                </c:pt>
                <c:pt idx="10">
                  <c:v>33.5</c:v>
                </c:pt>
                <c:pt idx="11">
                  <c:v>18.8</c:v>
                </c:pt>
                <c:pt idx="12">
                  <c:v>31.7</c:v>
                </c:pt>
                <c:pt idx="13">
                  <c:v>14.9</c:v>
                </c:pt>
                <c:pt idx="14">
                  <c:v>104.4</c:v>
                </c:pt>
                <c:pt idx="15">
                  <c:v>14.5</c:v>
                </c:pt>
                <c:pt idx="16">
                  <c:v>12.9</c:v>
                </c:pt>
                <c:pt idx="17">
                  <c:v>9</c:v>
                </c:pt>
                <c:pt idx="18">
                  <c:v>54.5</c:v>
                </c:pt>
                <c:pt idx="19">
                  <c:v>9.5</c:v>
                </c:pt>
                <c:pt idx="20">
                  <c:v>11.4</c:v>
                </c:pt>
                <c:pt idx="21">
                  <c:v>18.7</c:v>
                </c:pt>
                <c:pt idx="22">
                  <c:v>53</c:v>
                </c:pt>
                <c:pt idx="23">
                  <c:v>2.4</c:v>
                </c:pt>
                <c:pt idx="24">
                  <c:v>5.8</c:v>
                </c:pt>
                <c:pt idx="25">
                  <c:v>42</c:v>
                </c:pt>
                <c:pt idx="26">
                  <c:v>29</c:v>
                </c:pt>
                <c:pt idx="27">
                  <c:v>17</c:v>
                </c:pt>
              </c:numCache>
            </c:numRef>
          </c:val>
          <c:smooth val="0"/>
        </c:ser>
        <c:dLbls>
          <c:showLegendKey val="0"/>
          <c:showVal val="0"/>
          <c:showCatName val="0"/>
          <c:showSerName val="0"/>
          <c:showPercent val="0"/>
          <c:showBubbleSize val="0"/>
        </c:dLbls>
        <c:marker val="1"/>
        <c:smooth val="0"/>
        <c:axId val="43253760"/>
        <c:axId val="43120896"/>
      </c:lineChart>
      <c:catAx>
        <c:axId val="43109376"/>
        <c:scaling>
          <c:orientation val="minMax"/>
        </c:scaling>
        <c:delete val="0"/>
        <c:axPos val="b"/>
        <c:majorTickMark val="out"/>
        <c:minorTickMark val="none"/>
        <c:tickLblPos val="nextTo"/>
        <c:txPr>
          <a:bodyPr/>
          <a:lstStyle/>
          <a:p>
            <a:pPr>
              <a:defRPr sz="800"/>
            </a:pPr>
            <a:endParaRPr lang="sk-SK"/>
          </a:p>
        </c:txPr>
        <c:crossAx val="43119360"/>
        <c:crosses val="autoZero"/>
        <c:auto val="1"/>
        <c:lblAlgn val="ctr"/>
        <c:lblOffset val="100"/>
        <c:noMultiLvlLbl val="0"/>
      </c:catAx>
      <c:valAx>
        <c:axId val="43119360"/>
        <c:scaling>
          <c:orientation val="minMax"/>
          <c:max val="20"/>
        </c:scaling>
        <c:delete val="0"/>
        <c:axPos val="l"/>
        <c:majorGridlines/>
        <c:numFmt formatCode="General" sourceLinked="1"/>
        <c:majorTickMark val="out"/>
        <c:minorTickMark val="none"/>
        <c:tickLblPos val="nextTo"/>
        <c:crossAx val="43109376"/>
        <c:crosses val="autoZero"/>
        <c:crossBetween val="between"/>
      </c:valAx>
      <c:valAx>
        <c:axId val="43120896"/>
        <c:scaling>
          <c:orientation val="minMax"/>
        </c:scaling>
        <c:delete val="0"/>
        <c:axPos val="r"/>
        <c:numFmt formatCode="General" sourceLinked="1"/>
        <c:majorTickMark val="out"/>
        <c:minorTickMark val="none"/>
        <c:tickLblPos val="nextTo"/>
        <c:crossAx val="43253760"/>
        <c:crosses val="max"/>
        <c:crossBetween val="between"/>
      </c:valAx>
      <c:catAx>
        <c:axId val="43253760"/>
        <c:scaling>
          <c:orientation val="minMax"/>
        </c:scaling>
        <c:delete val="1"/>
        <c:axPos val="b"/>
        <c:majorTickMark val="out"/>
        <c:minorTickMark val="none"/>
        <c:tickLblPos val="none"/>
        <c:crossAx val="43120896"/>
        <c:crosses val="autoZero"/>
        <c:auto val="1"/>
        <c:lblAlgn val="ctr"/>
        <c:lblOffset val="100"/>
        <c:noMultiLvlLbl val="0"/>
      </c:catAx>
    </c:plotArea>
    <c:legend>
      <c:legendPos val="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Hárok4!$I$4</c:f>
              <c:strCache>
                <c:ptCount val="1"/>
                <c:pt idx="0">
                  <c:v>Podiel </c:v>
                </c:pt>
              </c:strCache>
            </c:strRef>
          </c:tx>
          <c:invertIfNegative val="0"/>
          <c:dPt>
            <c:idx val="10"/>
            <c:invertIfNegative val="0"/>
            <c:bubble3D val="0"/>
            <c:spPr>
              <a:solidFill>
                <a:srgbClr val="FFFF00"/>
              </a:solidFill>
              <a:ln>
                <a:solidFill>
                  <a:srgbClr val="FFFF00"/>
                </a:solidFill>
              </a:ln>
            </c:spPr>
          </c:dPt>
          <c:dPt>
            <c:idx val="17"/>
            <c:invertIfNegative val="0"/>
            <c:bubble3D val="0"/>
            <c:spPr>
              <a:solidFill>
                <a:schemeClr val="accent1"/>
              </a:solidFill>
              <a:ln>
                <a:solidFill>
                  <a:schemeClr val="accent1"/>
                </a:solidFill>
              </a:ln>
            </c:spPr>
          </c:dPt>
          <c:dLbls>
            <c:dLbl>
              <c:idx val="10"/>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Hárok4!$H$5:$H$32</c:f>
              <c:strCache>
                <c:ptCount val="28"/>
                <c:pt idx="0">
                  <c:v>Luxembourg</c:v>
                </c:pt>
                <c:pt idx="1">
                  <c:v>Austria</c:v>
                </c:pt>
                <c:pt idx="2">
                  <c:v>Cyprus</c:v>
                </c:pt>
                <c:pt idx="3">
                  <c:v>Denmark</c:v>
                </c:pt>
                <c:pt idx="4">
                  <c:v>United Kingdom</c:v>
                </c:pt>
                <c:pt idx="5">
                  <c:v>Belgium</c:v>
                </c:pt>
                <c:pt idx="6">
                  <c:v>Ireland</c:v>
                </c:pt>
                <c:pt idx="7">
                  <c:v>Czech Republic</c:v>
                </c:pt>
                <c:pt idx="8">
                  <c:v>Netherlands</c:v>
                </c:pt>
                <c:pt idx="9">
                  <c:v>Germany</c:v>
                </c:pt>
                <c:pt idx="10">
                  <c:v>Slovakia</c:v>
                </c:pt>
                <c:pt idx="11">
                  <c:v>Hungary</c:v>
                </c:pt>
                <c:pt idx="12">
                  <c:v>Bulgaria</c:v>
                </c:pt>
                <c:pt idx="13">
                  <c:v>Sweden</c:v>
                </c:pt>
                <c:pt idx="14">
                  <c:v>Malta</c:v>
                </c:pt>
                <c:pt idx="15">
                  <c:v>Portugal</c:v>
                </c:pt>
                <c:pt idx="16">
                  <c:v>Greece</c:v>
                </c:pt>
                <c:pt idx="17">
                  <c:v>France</c:v>
                </c:pt>
                <c:pt idx="18">
                  <c:v>Slovenia</c:v>
                </c:pt>
                <c:pt idx="19">
                  <c:v>Spain</c:v>
                </c:pt>
                <c:pt idx="20">
                  <c:v>Latvia</c:v>
                </c:pt>
                <c:pt idx="21">
                  <c:v>Finland</c:v>
                </c:pt>
                <c:pt idx="22">
                  <c:v>Estonia</c:v>
                </c:pt>
                <c:pt idx="23">
                  <c:v>Italy</c:v>
                </c:pt>
                <c:pt idx="24">
                  <c:v>Romania</c:v>
                </c:pt>
                <c:pt idx="25">
                  <c:v>Poland</c:v>
                </c:pt>
                <c:pt idx="26">
                  <c:v>Lithuania</c:v>
                </c:pt>
                <c:pt idx="27">
                  <c:v>Croatia</c:v>
                </c:pt>
              </c:strCache>
            </c:strRef>
          </c:cat>
          <c:val>
            <c:numRef>
              <c:f>Hárok4!$I$5:$I$32</c:f>
              <c:numCache>
                <c:formatCode>General</c:formatCode>
                <c:ptCount val="28"/>
                <c:pt idx="0">
                  <c:v>40.983606557376973</c:v>
                </c:pt>
                <c:pt idx="1">
                  <c:v>15.723771580345275</c:v>
                </c:pt>
                <c:pt idx="2">
                  <c:v>9.7484276729559642</c:v>
                </c:pt>
                <c:pt idx="3">
                  <c:v>8.5454545454545467</c:v>
                </c:pt>
                <c:pt idx="4">
                  <c:v>8.2378395704784033</c:v>
                </c:pt>
                <c:pt idx="5">
                  <c:v>7.9129160561021479</c:v>
                </c:pt>
                <c:pt idx="6">
                  <c:v>6.5939771547248194</c:v>
                </c:pt>
                <c:pt idx="7">
                  <c:v>6.4743298500681519</c:v>
                </c:pt>
                <c:pt idx="8">
                  <c:v>5.5940531687035397</c:v>
                </c:pt>
                <c:pt idx="9">
                  <c:v>4.1163463174009145</c:v>
                </c:pt>
                <c:pt idx="10">
                  <c:v>3.7070524412296582</c:v>
                </c:pt>
                <c:pt idx="11">
                  <c:v>3.1775210084033656</c:v>
                </c:pt>
                <c:pt idx="12">
                  <c:v>2.9473684210526319</c:v>
                </c:pt>
                <c:pt idx="13">
                  <c:v>2.8047464940668783</c:v>
                </c:pt>
                <c:pt idx="14">
                  <c:v>2.4590163934426199</c:v>
                </c:pt>
                <c:pt idx="15">
                  <c:v>2.3571611580835254</c:v>
                </c:pt>
                <c:pt idx="16">
                  <c:v>2.2751243031490151</c:v>
                </c:pt>
                <c:pt idx="17">
                  <c:v>2.1904803379349391</c:v>
                </c:pt>
                <c:pt idx="18">
                  <c:v>1.6346153846153861</c:v>
                </c:pt>
                <c:pt idx="19">
                  <c:v>1.5515311832332892</c:v>
                </c:pt>
                <c:pt idx="20">
                  <c:v>1.5463917525773181</c:v>
                </c:pt>
                <c:pt idx="21">
                  <c:v>1.4567821301392041</c:v>
                </c:pt>
                <c:pt idx="22">
                  <c:v>1.302460202604919</c:v>
                </c:pt>
                <c:pt idx="23">
                  <c:v>1.0021288748117778</c:v>
                </c:pt>
                <c:pt idx="24">
                  <c:v>0.77981000992485472</c:v>
                </c:pt>
                <c:pt idx="25">
                  <c:v>0.42845755280988473</c:v>
                </c:pt>
                <c:pt idx="26">
                  <c:v>0.22844089091947481</c:v>
                </c:pt>
                <c:pt idx="27">
                  <c:v>0.19071837253655441</c:v>
                </c:pt>
              </c:numCache>
            </c:numRef>
          </c:val>
        </c:ser>
        <c:dLbls>
          <c:showLegendKey val="0"/>
          <c:showVal val="0"/>
          <c:showCatName val="0"/>
          <c:showSerName val="0"/>
          <c:showPercent val="0"/>
          <c:showBubbleSize val="0"/>
        </c:dLbls>
        <c:gapWidth val="150"/>
        <c:axId val="43302912"/>
        <c:axId val="43304448"/>
      </c:barChart>
      <c:lineChart>
        <c:grouping val="standard"/>
        <c:varyColors val="0"/>
        <c:ser>
          <c:idx val="1"/>
          <c:order val="1"/>
          <c:tx>
            <c:strRef>
              <c:f>Hárok4!$J$4</c:f>
              <c:strCache>
                <c:ptCount val="1"/>
                <c:pt idx="0">
                  <c:v>Počet zahraničných študentov študujúcich v krajine</c:v>
                </c:pt>
              </c:strCache>
            </c:strRef>
          </c:tx>
          <c:spPr>
            <a:ln>
              <a:noFill/>
            </a:ln>
          </c:spPr>
          <c:marker>
            <c:symbol val="diamond"/>
            <c:size val="7"/>
          </c:marker>
          <c:cat>
            <c:strRef>
              <c:f>Hárok4!$H$5:$H$32</c:f>
              <c:strCache>
                <c:ptCount val="28"/>
                <c:pt idx="0">
                  <c:v>Luxembourg</c:v>
                </c:pt>
                <c:pt idx="1">
                  <c:v>Austria</c:v>
                </c:pt>
                <c:pt idx="2">
                  <c:v>Cyprus</c:v>
                </c:pt>
                <c:pt idx="3">
                  <c:v>Denmark</c:v>
                </c:pt>
                <c:pt idx="4">
                  <c:v>United Kingdom</c:v>
                </c:pt>
                <c:pt idx="5">
                  <c:v>Belgium</c:v>
                </c:pt>
                <c:pt idx="6">
                  <c:v>Ireland</c:v>
                </c:pt>
                <c:pt idx="7">
                  <c:v>Czech Republic</c:v>
                </c:pt>
                <c:pt idx="8">
                  <c:v>Netherlands</c:v>
                </c:pt>
                <c:pt idx="9">
                  <c:v>Germany</c:v>
                </c:pt>
                <c:pt idx="10">
                  <c:v>Slovakia</c:v>
                </c:pt>
                <c:pt idx="11">
                  <c:v>Hungary</c:v>
                </c:pt>
                <c:pt idx="12">
                  <c:v>Bulgaria</c:v>
                </c:pt>
                <c:pt idx="13">
                  <c:v>Sweden</c:v>
                </c:pt>
                <c:pt idx="14">
                  <c:v>Malta</c:v>
                </c:pt>
                <c:pt idx="15">
                  <c:v>Portugal</c:v>
                </c:pt>
                <c:pt idx="16">
                  <c:v>Greece</c:v>
                </c:pt>
                <c:pt idx="17">
                  <c:v>France</c:v>
                </c:pt>
                <c:pt idx="18">
                  <c:v>Slovenia</c:v>
                </c:pt>
                <c:pt idx="19">
                  <c:v>Spain</c:v>
                </c:pt>
                <c:pt idx="20">
                  <c:v>Latvia</c:v>
                </c:pt>
                <c:pt idx="21">
                  <c:v>Finland</c:v>
                </c:pt>
                <c:pt idx="22">
                  <c:v>Estonia</c:v>
                </c:pt>
                <c:pt idx="23">
                  <c:v>Italy</c:v>
                </c:pt>
                <c:pt idx="24">
                  <c:v>Romania</c:v>
                </c:pt>
                <c:pt idx="25">
                  <c:v>Poland</c:v>
                </c:pt>
                <c:pt idx="26">
                  <c:v>Lithuania</c:v>
                </c:pt>
                <c:pt idx="27">
                  <c:v>Croatia</c:v>
                </c:pt>
              </c:strCache>
            </c:strRef>
          </c:cat>
          <c:val>
            <c:numRef>
              <c:f>Hárok4!$J$5:$J$32</c:f>
              <c:numCache>
                <c:formatCode>General</c:formatCode>
                <c:ptCount val="28"/>
                <c:pt idx="0">
                  <c:v>2.5</c:v>
                </c:pt>
                <c:pt idx="1">
                  <c:v>59.2</c:v>
                </c:pt>
                <c:pt idx="2">
                  <c:v>3.1</c:v>
                </c:pt>
                <c:pt idx="3">
                  <c:v>23.5</c:v>
                </c:pt>
                <c:pt idx="4">
                  <c:v>205.6</c:v>
                </c:pt>
                <c:pt idx="5">
                  <c:v>37.800000000000004</c:v>
                </c:pt>
                <c:pt idx="6">
                  <c:v>12.7</c:v>
                </c:pt>
                <c:pt idx="7">
                  <c:v>28.5</c:v>
                </c:pt>
                <c:pt idx="8">
                  <c:v>44.4</c:v>
                </c:pt>
                <c:pt idx="9">
                  <c:v>121</c:v>
                </c:pt>
                <c:pt idx="10">
                  <c:v>8.2000000000000011</c:v>
                </c:pt>
                <c:pt idx="11">
                  <c:v>12.1</c:v>
                </c:pt>
                <c:pt idx="12">
                  <c:v>8.4</c:v>
                </c:pt>
                <c:pt idx="13">
                  <c:v>13</c:v>
                </c:pt>
                <c:pt idx="14">
                  <c:v>0.30000000000000032</c:v>
                </c:pt>
                <c:pt idx="15">
                  <c:v>9.2000000000000011</c:v>
                </c:pt>
                <c:pt idx="16">
                  <c:v>15.1</c:v>
                </c:pt>
                <c:pt idx="17">
                  <c:v>50.3</c:v>
                </c:pt>
                <c:pt idx="18">
                  <c:v>1.7</c:v>
                </c:pt>
                <c:pt idx="19">
                  <c:v>30.5</c:v>
                </c:pt>
                <c:pt idx="20">
                  <c:v>1.5</c:v>
                </c:pt>
                <c:pt idx="21">
                  <c:v>4.5</c:v>
                </c:pt>
                <c:pt idx="22">
                  <c:v>0.9</c:v>
                </c:pt>
                <c:pt idx="23" formatCode="d\-mmm">
                  <c:v>19.3</c:v>
                </c:pt>
                <c:pt idx="24">
                  <c:v>5.5</c:v>
                </c:pt>
                <c:pt idx="25">
                  <c:v>8.6</c:v>
                </c:pt>
                <c:pt idx="26">
                  <c:v>0.4</c:v>
                </c:pt>
                <c:pt idx="27">
                  <c:v>0.30000000000000032</c:v>
                </c:pt>
              </c:numCache>
            </c:numRef>
          </c:val>
          <c:smooth val="0"/>
        </c:ser>
        <c:dLbls>
          <c:showLegendKey val="0"/>
          <c:showVal val="0"/>
          <c:showCatName val="0"/>
          <c:showSerName val="0"/>
          <c:showPercent val="0"/>
          <c:showBubbleSize val="0"/>
        </c:dLbls>
        <c:marker val="1"/>
        <c:smooth val="0"/>
        <c:axId val="43311872"/>
        <c:axId val="43305984"/>
      </c:lineChart>
      <c:catAx>
        <c:axId val="43302912"/>
        <c:scaling>
          <c:orientation val="minMax"/>
        </c:scaling>
        <c:delete val="0"/>
        <c:axPos val="b"/>
        <c:numFmt formatCode="#,##0.00" sourceLinked="0"/>
        <c:majorTickMark val="out"/>
        <c:minorTickMark val="none"/>
        <c:tickLblPos val="nextTo"/>
        <c:txPr>
          <a:bodyPr rot="-5400000"/>
          <a:lstStyle/>
          <a:p>
            <a:pPr>
              <a:defRPr sz="800"/>
            </a:pPr>
            <a:endParaRPr lang="sk-SK"/>
          </a:p>
        </c:txPr>
        <c:crossAx val="43304448"/>
        <c:crosses val="autoZero"/>
        <c:auto val="1"/>
        <c:lblAlgn val="ctr"/>
        <c:lblOffset val="100"/>
        <c:noMultiLvlLbl val="0"/>
      </c:catAx>
      <c:valAx>
        <c:axId val="43304448"/>
        <c:scaling>
          <c:orientation val="minMax"/>
          <c:max val="16"/>
        </c:scaling>
        <c:delete val="0"/>
        <c:axPos val="l"/>
        <c:majorGridlines/>
        <c:numFmt formatCode="General" sourceLinked="1"/>
        <c:majorTickMark val="out"/>
        <c:minorTickMark val="none"/>
        <c:tickLblPos val="nextTo"/>
        <c:crossAx val="43302912"/>
        <c:crosses val="autoZero"/>
        <c:crossBetween val="between"/>
      </c:valAx>
      <c:valAx>
        <c:axId val="43305984"/>
        <c:scaling>
          <c:orientation val="minMax"/>
        </c:scaling>
        <c:delete val="0"/>
        <c:axPos val="r"/>
        <c:numFmt formatCode="General" sourceLinked="1"/>
        <c:majorTickMark val="out"/>
        <c:minorTickMark val="none"/>
        <c:tickLblPos val="nextTo"/>
        <c:crossAx val="43311872"/>
        <c:crosses val="max"/>
        <c:crossBetween val="between"/>
      </c:valAx>
      <c:catAx>
        <c:axId val="43311872"/>
        <c:scaling>
          <c:orientation val="minMax"/>
        </c:scaling>
        <c:delete val="1"/>
        <c:axPos val="b"/>
        <c:majorTickMark val="out"/>
        <c:minorTickMark val="none"/>
        <c:tickLblPos val="none"/>
        <c:crossAx val="43305984"/>
        <c:crosses val="autoZero"/>
        <c:auto val="1"/>
        <c:lblAlgn val="ctr"/>
        <c:lblOffset val="100"/>
        <c:noMultiLvlLbl val="0"/>
      </c:catAx>
    </c:plotArea>
    <c:legend>
      <c:legendPos val="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Hárok2!$B$4</c:f>
              <c:strCache>
                <c:ptCount val="1"/>
                <c:pt idx="0">
                  <c:v>2012</c:v>
                </c:pt>
              </c:strCache>
            </c:strRef>
          </c:tx>
          <c:invertIfNegative val="0"/>
          <c:dPt>
            <c:idx val="21"/>
            <c:invertIfNegative val="0"/>
            <c:bubble3D val="0"/>
            <c:spPr>
              <a:solidFill>
                <a:srgbClr val="FFFF00"/>
              </a:solidFill>
              <a:ln>
                <a:solidFill>
                  <a:srgbClr val="FFFF00"/>
                </a:solidFill>
              </a:ln>
            </c:spPr>
          </c:dPt>
          <c:dLbls>
            <c:dLbl>
              <c:idx val="21"/>
              <c:showLegendKey val="0"/>
              <c:showVal val="1"/>
              <c:showCatName val="0"/>
              <c:showSerName val="0"/>
              <c:showPercent val="0"/>
              <c:showBubbleSize val="0"/>
            </c:dLbl>
            <c:showLegendKey val="0"/>
            <c:showVal val="0"/>
            <c:showCatName val="0"/>
            <c:showSerName val="0"/>
            <c:showPercent val="0"/>
            <c:showBubbleSize val="0"/>
          </c:dLbls>
          <c:cat>
            <c:strRef>
              <c:f>Hárok2!$A$5:$A$32</c:f>
              <c:strCache>
                <c:ptCount val="28"/>
                <c:pt idx="0">
                  <c:v>Luxembourg</c:v>
                </c:pt>
                <c:pt idx="1">
                  <c:v>Finland</c:v>
                </c:pt>
                <c:pt idx="2">
                  <c:v>Denmark</c:v>
                </c:pt>
                <c:pt idx="3">
                  <c:v>Sweden</c:v>
                </c:pt>
                <c:pt idx="4">
                  <c:v>Slovenia</c:v>
                </c:pt>
                <c:pt idx="5">
                  <c:v>France</c:v>
                </c:pt>
                <c:pt idx="6">
                  <c:v>Austria</c:v>
                </c:pt>
                <c:pt idx="7">
                  <c:v>Belgium</c:v>
                </c:pt>
                <c:pt idx="8">
                  <c:v>Germany</c:v>
                </c:pt>
                <c:pt idx="9">
                  <c:v>Netherlands</c:v>
                </c:pt>
                <c:pt idx="10">
                  <c:v>Ireland</c:v>
                </c:pt>
                <c:pt idx="11">
                  <c:v>Czech Republic</c:v>
                </c:pt>
                <c:pt idx="12">
                  <c:v>United Kingdom</c:v>
                </c:pt>
                <c:pt idx="13">
                  <c:v>Spain</c:v>
                </c:pt>
                <c:pt idx="14">
                  <c:v>Portugal</c:v>
                </c:pt>
                <c:pt idx="15">
                  <c:v>Italy</c:v>
                </c:pt>
                <c:pt idx="16">
                  <c:v>Greece</c:v>
                </c:pt>
                <c:pt idx="17">
                  <c:v>Estonia</c:v>
                </c:pt>
                <c:pt idx="18">
                  <c:v>Hungary</c:v>
                </c:pt>
                <c:pt idx="19">
                  <c:v>Malta</c:v>
                </c:pt>
                <c:pt idx="20">
                  <c:v>Lithuania</c:v>
                </c:pt>
                <c:pt idx="21">
                  <c:v>Slovakia</c:v>
                </c:pt>
                <c:pt idx="22">
                  <c:v>Croatia</c:v>
                </c:pt>
                <c:pt idx="23">
                  <c:v>Latvia</c:v>
                </c:pt>
                <c:pt idx="24">
                  <c:v>Poland</c:v>
                </c:pt>
                <c:pt idx="25">
                  <c:v>Bulgaria</c:v>
                </c:pt>
                <c:pt idx="26">
                  <c:v>Cyprus</c:v>
                </c:pt>
                <c:pt idx="27">
                  <c:v>Romania</c:v>
                </c:pt>
              </c:strCache>
            </c:strRef>
          </c:cat>
          <c:val>
            <c:numRef>
              <c:f>Hárok2!$B$5:$B$32</c:f>
              <c:numCache>
                <c:formatCode>#,##0.00</c:formatCode>
                <c:ptCount val="28"/>
                <c:pt idx="0" formatCode="General">
                  <c:v>2.2599999999999998</c:v>
                </c:pt>
                <c:pt idx="1">
                  <c:v>2.1800000000000002</c:v>
                </c:pt>
                <c:pt idx="2">
                  <c:v>2.0699999999999998</c:v>
                </c:pt>
                <c:pt idx="3">
                  <c:v>1.75</c:v>
                </c:pt>
                <c:pt idx="4">
                  <c:v>1.6600000000000001</c:v>
                </c:pt>
                <c:pt idx="5" formatCode="General">
                  <c:v>1.56</c:v>
                </c:pt>
                <c:pt idx="6">
                  <c:v>1.56</c:v>
                </c:pt>
                <c:pt idx="7">
                  <c:v>1.46</c:v>
                </c:pt>
                <c:pt idx="8">
                  <c:v>1.45</c:v>
                </c:pt>
                <c:pt idx="9">
                  <c:v>1.3800000000000001</c:v>
                </c:pt>
                <c:pt idx="10">
                  <c:v>1.24</c:v>
                </c:pt>
                <c:pt idx="11">
                  <c:v>1.23</c:v>
                </c:pt>
                <c:pt idx="12">
                  <c:v>1.22</c:v>
                </c:pt>
                <c:pt idx="13">
                  <c:v>1.21</c:v>
                </c:pt>
                <c:pt idx="14">
                  <c:v>1.21</c:v>
                </c:pt>
                <c:pt idx="15">
                  <c:v>1.02</c:v>
                </c:pt>
                <c:pt idx="16">
                  <c:v>0.99</c:v>
                </c:pt>
                <c:pt idx="17">
                  <c:v>0.94000000000000061</c:v>
                </c:pt>
                <c:pt idx="18">
                  <c:v>0.92</c:v>
                </c:pt>
                <c:pt idx="19">
                  <c:v>0.86000000000000065</c:v>
                </c:pt>
                <c:pt idx="20">
                  <c:v>0.84000000000000064</c:v>
                </c:pt>
                <c:pt idx="21">
                  <c:v>0.78</c:v>
                </c:pt>
                <c:pt idx="22">
                  <c:v>0.72000000000000064</c:v>
                </c:pt>
                <c:pt idx="23">
                  <c:v>0.64000000000000079</c:v>
                </c:pt>
                <c:pt idx="24">
                  <c:v>0.58000000000000007</c:v>
                </c:pt>
                <c:pt idx="25">
                  <c:v>0.56999999999999995</c:v>
                </c:pt>
                <c:pt idx="26">
                  <c:v>0.33000000000000046</c:v>
                </c:pt>
                <c:pt idx="27" formatCode="#,##0.0">
                  <c:v>0.30000000000000032</c:v>
                </c:pt>
              </c:numCache>
            </c:numRef>
          </c:val>
        </c:ser>
        <c:dLbls>
          <c:showLegendKey val="0"/>
          <c:showVal val="0"/>
          <c:showCatName val="0"/>
          <c:showSerName val="0"/>
          <c:showPercent val="0"/>
          <c:showBubbleSize val="0"/>
        </c:dLbls>
        <c:gapWidth val="150"/>
        <c:axId val="89402368"/>
        <c:axId val="89412352"/>
      </c:barChart>
      <c:lineChart>
        <c:grouping val="standard"/>
        <c:varyColors val="0"/>
        <c:ser>
          <c:idx val="1"/>
          <c:order val="1"/>
          <c:tx>
            <c:strRef>
              <c:f>Hárok2!$C$4</c:f>
              <c:strCache>
                <c:ptCount val="1"/>
                <c:pt idx="0">
                  <c:v>2005</c:v>
                </c:pt>
              </c:strCache>
            </c:strRef>
          </c:tx>
          <c:spPr>
            <a:ln>
              <a:noFill/>
            </a:ln>
          </c:spPr>
          <c:marker>
            <c:symbol val="diamond"/>
            <c:size val="7"/>
          </c:marker>
          <c:cat>
            <c:strRef>
              <c:f>Hárok2!$A$5:$A$32</c:f>
              <c:strCache>
                <c:ptCount val="28"/>
                <c:pt idx="0">
                  <c:v>Luxembourg</c:v>
                </c:pt>
                <c:pt idx="1">
                  <c:v>Finland</c:v>
                </c:pt>
                <c:pt idx="2">
                  <c:v>Denmark</c:v>
                </c:pt>
                <c:pt idx="3">
                  <c:v>Sweden</c:v>
                </c:pt>
                <c:pt idx="4">
                  <c:v>Slovenia</c:v>
                </c:pt>
                <c:pt idx="5">
                  <c:v>France</c:v>
                </c:pt>
                <c:pt idx="6">
                  <c:v>Austria</c:v>
                </c:pt>
                <c:pt idx="7">
                  <c:v>Belgium</c:v>
                </c:pt>
                <c:pt idx="8">
                  <c:v>Germany</c:v>
                </c:pt>
                <c:pt idx="9">
                  <c:v>Netherlands</c:v>
                </c:pt>
                <c:pt idx="10">
                  <c:v>Ireland</c:v>
                </c:pt>
                <c:pt idx="11">
                  <c:v>Czech Republic</c:v>
                </c:pt>
                <c:pt idx="12">
                  <c:v>United Kingdom</c:v>
                </c:pt>
                <c:pt idx="13">
                  <c:v>Spain</c:v>
                </c:pt>
                <c:pt idx="14">
                  <c:v>Portugal</c:v>
                </c:pt>
                <c:pt idx="15">
                  <c:v>Italy</c:v>
                </c:pt>
                <c:pt idx="16">
                  <c:v>Greece</c:v>
                </c:pt>
                <c:pt idx="17">
                  <c:v>Estonia</c:v>
                </c:pt>
                <c:pt idx="18">
                  <c:v>Hungary</c:v>
                </c:pt>
                <c:pt idx="19">
                  <c:v>Malta</c:v>
                </c:pt>
                <c:pt idx="20">
                  <c:v>Lithuania</c:v>
                </c:pt>
                <c:pt idx="21">
                  <c:v>Slovakia</c:v>
                </c:pt>
                <c:pt idx="22">
                  <c:v>Croatia</c:v>
                </c:pt>
                <c:pt idx="23">
                  <c:v>Latvia</c:v>
                </c:pt>
                <c:pt idx="24">
                  <c:v>Poland</c:v>
                </c:pt>
                <c:pt idx="25">
                  <c:v>Bulgaria</c:v>
                </c:pt>
                <c:pt idx="26">
                  <c:v>Cyprus</c:v>
                </c:pt>
                <c:pt idx="27">
                  <c:v>Romania</c:v>
                </c:pt>
              </c:strCache>
            </c:strRef>
          </c:cat>
          <c:val>
            <c:numRef>
              <c:f>Hárok2!$C$5:$C$32</c:f>
              <c:numCache>
                <c:formatCode>#,##0.00</c:formatCode>
                <c:ptCount val="28"/>
                <c:pt idx="0">
                  <c:v>2.27</c:v>
                </c:pt>
                <c:pt idx="1">
                  <c:v>2.3899999999999997</c:v>
                </c:pt>
                <c:pt idx="2">
                  <c:v>1.58</c:v>
                </c:pt>
                <c:pt idx="3">
                  <c:v>1.79</c:v>
                </c:pt>
                <c:pt idx="4">
                  <c:v>0.95000000000000062</c:v>
                </c:pt>
                <c:pt idx="5" formatCode="#,##0.0">
                  <c:v>1.4</c:v>
                </c:pt>
                <c:pt idx="6">
                  <c:v>1.25</c:v>
                </c:pt>
                <c:pt idx="7">
                  <c:v>1.26</c:v>
                </c:pt>
                <c:pt idx="8">
                  <c:v>1.31</c:v>
                </c:pt>
                <c:pt idx="9">
                  <c:v>1.1499999999999986</c:v>
                </c:pt>
                <c:pt idx="10">
                  <c:v>0.86000000000000065</c:v>
                </c:pt>
                <c:pt idx="11">
                  <c:v>0.91</c:v>
                </c:pt>
                <c:pt idx="12">
                  <c:v>1.1299999999999986</c:v>
                </c:pt>
                <c:pt idx="13">
                  <c:v>0.92</c:v>
                </c:pt>
                <c:pt idx="14" formatCode="#,##0.0">
                  <c:v>0.5</c:v>
                </c:pt>
                <c:pt idx="15">
                  <c:v>0.78</c:v>
                </c:pt>
                <c:pt idx="16">
                  <c:v>0.77000000000000079</c:v>
                </c:pt>
                <c:pt idx="17">
                  <c:v>0.72000000000000064</c:v>
                </c:pt>
                <c:pt idx="18" formatCode="#,##0.0">
                  <c:v>0.60000000000000064</c:v>
                </c:pt>
                <c:pt idx="19">
                  <c:v>0.56000000000000005</c:v>
                </c:pt>
                <c:pt idx="20">
                  <c:v>0.75000000000000078</c:v>
                </c:pt>
                <c:pt idx="21">
                  <c:v>0.65000000000000091</c:v>
                </c:pt>
                <c:pt idx="22">
                  <c:v>0.59</c:v>
                </c:pt>
                <c:pt idx="23">
                  <c:v>0.53</c:v>
                </c:pt>
                <c:pt idx="24">
                  <c:v>0.54</c:v>
                </c:pt>
                <c:pt idx="25">
                  <c:v>0.53</c:v>
                </c:pt>
                <c:pt idx="26">
                  <c:v>0.33000000000000046</c:v>
                </c:pt>
                <c:pt idx="27">
                  <c:v>0.36000000000000032</c:v>
                </c:pt>
              </c:numCache>
            </c:numRef>
          </c:val>
          <c:smooth val="0"/>
        </c:ser>
        <c:dLbls>
          <c:showLegendKey val="0"/>
          <c:showVal val="0"/>
          <c:showCatName val="0"/>
          <c:showSerName val="0"/>
          <c:showPercent val="0"/>
          <c:showBubbleSize val="0"/>
        </c:dLbls>
        <c:marker val="1"/>
        <c:smooth val="0"/>
        <c:axId val="89402368"/>
        <c:axId val="89412352"/>
      </c:lineChart>
      <c:catAx>
        <c:axId val="89402368"/>
        <c:scaling>
          <c:orientation val="minMax"/>
        </c:scaling>
        <c:delete val="0"/>
        <c:axPos val="b"/>
        <c:majorTickMark val="out"/>
        <c:minorTickMark val="none"/>
        <c:tickLblPos val="nextTo"/>
        <c:crossAx val="89412352"/>
        <c:crosses val="autoZero"/>
        <c:auto val="1"/>
        <c:lblAlgn val="ctr"/>
        <c:lblOffset val="100"/>
        <c:noMultiLvlLbl val="0"/>
      </c:catAx>
      <c:valAx>
        <c:axId val="89412352"/>
        <c:scaling>
          <c:orientation val="minMax"/>
        </c:scaling>
        <c:delete val="0"/>
        <c:axPos val="l"/>
        <c:majorGridlines/>
        <c:numFmt formatCode="General" sourceLinked="1"/>
        <c:majorTickMark val="out"/>
        <c:minorTickMark val="none"/>
        <c:tickLblPos val="nextTo"/>
        <c:crossAx val="89402368"/>
        <c:crosses val="autoZero"/>
        <c:crossBetween val="between"/>
      </c:valAx>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Hárok3!$B$7</c:f>
              <c:strCache>
                <c:ptCount val="1"/>
                <c:pt idx="0">
                  <c:v>2012</c:v>
                </c:pt>
              </c:strCache>
            </c:strRef>
          </c:tx>
          <c:invertIfNegative val="0"/>
          <c:dPt>
            <c:idx val="16"/>
            <c:invertIfNegative val="0"/>
            <c:bubble3D val="0"/>
            <c:spPr>
              <a:solidFill>
                <a:srgbClr val="FFFF00"/>
              </a:solidFill>
              <a:ln>
                <a:solidFill>
                  <a:srgbClr val="FFFF00"/>
                </a:solidFill>
              </a:ln>
            </c:spPr>
          </c:dPt>
          <c:dLbls>
            <c:dLbl>
              <c:idx val="16"/>
              <c:showLegendKey val="0"/>
              <c:showVal val="1"/>
              <c:showCatName val="0"/>
              <c:showSerName val="0"/>
              <c:showPercent val="0"/>
              <c:showBubbleSize val="0"/>
            </c:dLbl>
            <c:showLegendKey val="0"/>
            <c:showVal val="0"/>
            <c:showCatName val="0"/>
            <c:showSerName val="0"/>
            <c:showPercent val="0"/>
            <c:showBubbleSize val="0"/>
          </c:dLbls>
          <c:cat>
            <c:strRef>
              <c:f>Hárok3!$A$8:$A$35</c:f>
              <c:strCache>
                <c:ptCount val="28"/>
                <c:pt idx="0">
                  <c:v>Finland</c:v>
                </c:pt>
                <c:pt idx="1">
                  <c:v>Denmark</c:v>
                </c:pt>
                <c:pt idx="2">
                  <c:v>Luxembourg</c:v>
                </c:pt>
                <c:pt idx="3">
                  <c:v>Portugal</c:v>
                </c:pt>
                <c:pt idx="4">
                  <c:v>Sweden</c:v>
                </c:pt>
                <c:pt idx="5">
                  <c:v>Slovenia</c:v>
                </c:pt>
                <c:pt idx="6">
                  <c:v>Belgium</c:v>
                </c:pt>
                <c:pt idx="7">
                  <c:v>France</c:v>
                </c:pt>
                <c:pt idx="8">
                  <c:v>Austria</c:v>
                </c:pt>
                <c:pt idx="9">
                  <c:v>Ireland</c:v>
                </c:pt>
                <c:pt idx="10">
                  <c:v>Germany </c:v>
                </c:pt>
                <c:pt idx="11">
                  <c:v>United Kingdom</c:v>
                </c:pt>
                <c:pt idx="12">
                  <c:v>Estonia</c:v>
                </c:pt>
                <c:pt idx="13">
                  <c:v>Spain</c:v>
                </c:pt>
                <c:pt idx="14">
                  <c:v>Netherlands</c:v>
                </c:pt>
                <c:pt idx="15">
                  <c:v>Czech Republic</c:v>
                </c:pt>
                <c:pt idx="16">
                  <c:v>Slovakia</c:v>
                </c:pt>
                <c:pt idx="17">
                  <c:v>Greece</c:v>
                </c:pt>
                <c:pt idx="18">
                  <c:v>Lithuania</c:v>
                </c:pt>
                <c:pt idx="19">
                  <c:v>Hungary</c:v>
                </c:pt>
                <c:pt idx="20">
                  <c:v>Italy</c:v>
                </c:pt>
                <c:pt idx="21">
                  <c:v>Croatia</c:v>
                </c:pt>
                <c:pt idx="22">
                  <c:v>Malta</c:v>
                </c:pt>
                <c:pt idx="23">
                  <c:v>Latvia</c:v>
                </c:pt>
                <c:pt idx="24">
                  <c:v>Poland</c:v>
                </c:pt>
                <c:pt idx="25">
                  <c:v>Bulgaria</c:v>
                </c:pt>
                <c:pt idx="26">
                  <c:v>Cyprus</c:v>
                </c:pt>
                <c:pt idx="27">
                  <c:v>Romania</c:v>
                </c:pt>
              </c:strCache>
            </c:strRef>
          </c:cat>
          <c:val>
            <c:numRef>
              <c:f>Hárok3!$B$8:$B$35</c:f>
              <c:numCache>
                <c:formatCode>#,##0.0</c:formatCode>
                <c:ptCount val="28"/>
                <c:pt idx="0" formatCode="#,##0.00">
                  <c:v>1.6300000000000001</c:v>
                </c:pt>
                <c:pt idx="1">
                  <c:v>1.4</c:v>
                </c:pt>
                <c:pt idx="2" formatCode="General">
                  <c:v>1.1900000000000013</c:v>
                </c:pt>
                <c:pt idx="3" formatCode="#,##0.00">
                  <c:v>1.0900000000000001</c:v>
                </c:pt>
                <c:pt idx="4" formatCode="#,##0.00">
                  <c:v>1.06</c:v>
                </c:pt>
                <c:pt idx="5" formatCode="#,##0.00">
                  <c:v>0.98</c:v>
                </c:pt>
                <c:pt idx="6" formatCode="#,##0.00">
                  <c:v>0.97000000000000064</c:v>
                </c:pt>
                <c:pt idx="7" formatCode="General">
                  <c:v>0.97000000000000064</c:v>
                </c:pt>
                <c:pt idx="8" formatCode="#,##0.00">
                  <c:v>0.92</c:v>
                </c:pt>
                <c:pt idx="9" formatCode="#,##0.00">
                  <c:v>0.87000000000000066</c:v>
                </c:pt>
                <c:pt idx="10" formatCode="#,##0.00">
                  <c:v>0.86000000000000065</c:v>
                </c:pt>
                <c:pt idx="11" formatCode="#,##0.00">
                  <c:v>0.86000000000000065</c:v>
                </c:pt>
                <c:pt idx="12" formatCode="#,##0.00">
                  <c:v>0.73000000000000065</c:v>
                </c:pt>
                <c:pt idx="13" formatCode="#,##0.00">
                  <c:v>0.73000000000000065</c:v>
                </c:pt>
                <c:pt idx="14">
                  <c:v>0.70000000000000062</c:v>
                </c:pt>
                <c:pt idx="15" formatCode="#,##0.00">
                  <c:v>0.68</c:v>
                </c:pt>
                <c:pt idx="16" formatCode="#,##0.00">
                  <c:v>0.66000000000000092</c:v>
                </c:pt>
                <c:pt idx="17" formatCode="#,##0.00">
                  <c:v>0.64000000000000079</c:v>
                </c:pt>
                <c:pt idx="18" formatCode="#,##0.00">
                  <c:v>0.63000000000000078</c:v>
                </c:pt>
                <c:pt idx="19" formatCode="#,##0.00">
                  <c:v>0.61000000000000065</c:v>
                </c:pt>
                <c:pt idx="20" formatCode="#,##0.00">
                  <c:v>0.48000000000000032</c:v>
                </c:pt>
                <c:pt idx="21" formatCode="#,##0.00">
                  <c:v>0.46</c:v>
                </c:pt>
                <c:pt idx="22" formatCode="#,##0.00">
                  <c:v>0.46</c:v>
                </c:pt>
                <c:pt idx="23" formatCode="#,##0.00">
                  <c:v>0.45</c:v>
                </c:pt>
                <c:pt idx="24" formatCode="#,##0.00">
                  <c:v>0.43000000000000033</c:v>
                </c:pt>
                <c:pt idx="25" formatCode="#,##0.00">
                  <c:v>0.3900000000000004</c:v>
                </c:pt>
                <c:pt idx="26" formatCode="#,##0.00">
                  <c:v>0.23</c:v>
                </c:pt>
                <c:pt idx="27" formatCode="#,##0.00">
                  <c:v>0.18000000000000016</c:v>
                </c:pt>
              </c:numCache>
            </c:numRef>
          </c:val>
        </c:ser>
        <c:dLbls>
          <c:showLegendKey val="0"/>
          <c:showVal val="0"/>
          <c:showCatName val="0"/>
          <c:showSerName val="0"/>
          <c:showPercent val="0"/>
          <c:showBubbleSize val="0"/>
        </c:dLbls>
        <c:gapWidth val="150"/>
        <c:axId val="89447040"/>
        <c:axId val="89452928"/>
      </c:barChart>
      <c:lineChart>
        <c:grouping val="standard"/>
        <c:varyColors val="0"/>
        <c:ser>
          <c:idx val="1"/>
          <c:order val="1"/>
          <c:tx>
            <c:strRef>
              <c:f>Hárok3!$C$7</c:f>
              <c:strCache>
                <c:ptCount val="1"/>
                <c:pt idx="0">
                  <c:v>2005</c:v>
                </c:pt>
              </c:strCache>
            </c:strRef>
          </c:tx>
          <c:spPr>
            <a:ln>
              <a:noFill/>
            </a:ln>
          </c:spPr>
          <c:marker>
            <c:symbol val="diamond"/>
            <c:size val="7"/>
          </c:marker>
          <c:cat>
            <c:strRef>
              <c:f>Hárok3!$A$8:$A$35</c:f>
              <c:strCache>
                <c:ptCount val="28"/>
                <c:pt idx="0">
                  <c:v>Finland</c:v>
                </c:pt>
                <c:pt idx="1">
                  <c:v>Denmark</c:v>
                </c:pt>
                <c:pt idx="2">
                  <c:v>Luxembourg</c:v>
                </c:pt>
                <c:pt idx="3">
                  <c:v>Portugal</c:v>
                </c:pt>
                <c:pt idx="4">
                  <c:v>Sweden</c:v>
                </c:pt>
                <c:pt idx="5">
                  <c:v>Slovenia</c:v>
                </c:pt>
                <c:pt idx="6">
                  <c:v>Belgium</c:v>
                </c:pt>
                <c:pt idx="7">
                  <c:v>France</c:v>
                </c:pt>
                <c:pt idx="8">
                  <c:v>Austria</c:v>
                </c:pt>
                <c:pt idx="9">
                  <c:v>Ireland</c:v>
                </c:pt>
                <c:pt idx="10">
                  <c:v>Germany </c:v>
                </c:pt>
                <c:pt idx="11">
                  <c:v>United Kingdom</c:v>
                </c:pt>
                <c:pt idx="12">
                  <c:v>Estonia</c:v>
                </c:pt>
                <c:pt idx="13">
                  <c:v>Spain</c:v>
                </c:pt>
                <c:pt idx="14">
                  <c:v>Netherlands</c:v>
                </c:pt>
                <c:pt idx="15">
                  <c:v>Czech Republic</c:v>
                </c:pt>
                <c:pt idx="16">
                  <c:v>Slovakia</c:v>
                </c:pt>
                <c:pt idx="17">
                  <c:v>Greece</c:v>
                </c:pt>
                <c:pt idx="18">
                  <c:v>Lithuania</c:v>
                </c:pt>
                <c:pt idx="19">
                  <c:v>Hungary</c:v>
                </c:pt>
                <c:pt idx="20">
                  <c:v>Italy</c:v>
                </c:pt>
                <c:pt idx="21">
                  <c:v>Croatia</c:v>
                </c:pt>
                <c:pt idx="22">
                  <c:v>Malta</c:v>
                </c:pt>
                <c:pt idx="23">
                  <c:v>Latvia</c:v>
                </c:pt>
                <c:pt idx="24">
                  <c:v>Poland</c:v>
                </c:pt>
                <c:pt idx="25">
                  <c:v>Bulgaria</c:v>
                </c:pt>
                <c:pt idx="26">
                  <c:v>Cyprus</c:v>
                </c:pt>
                <c:pt idx="27">
                  <c:v>Romania</c:v>
                </c:pt>
              </c:strCache>
            </c:strRef>
          </c:cat>
          <c:val>
            <c:numRef>
              <c:f>Hárok3!$C$8:$C$35</c:f>
              <c:numCache>
                <c:formatCode>#,##0.00</c:formatCode>
                <c:ptCount val="28"/>
                <c:pt idx="0">
                  <c:v>1.6500000000000001</c:v>
                </c:pt>
                <c:pt idx="1">
                  <c:v>1.02</c:v>
                </c:pt>
                <c:pt idx="2">
                  <c:v>1.1499999999999986</c:v>
                </c:pt>
                <c:pt idx="3">
                  <c:v>0.41000000000000031</c:v>
                </c:pt>
                <c:pt idx="4">
                  <c:v>1.27</c:v>
                </c:pt>
                <c:pt idx="5">
                  <c:v>0.55000000000000004</c:v>
                </c:pt>
                <c:pt idx="6">
                  <c:v>0.78</c:v>
                </c:pt>
                <c:pt idx="7">
                  <c:v>0.81</c:v>
                </c:pt>
                <c:pt idx="8">
                  <c:v>0.74000000000000066</c:v>
                </c:pt>
                <c:pt idx="9">
                  <c:v>0.59</c:v>
                </c:pt>
                <c:pt idx="10">
                  <c:v>0.75000000000000078</c:v>
                </c:pt>
                <c:pt idx="11">
                  <c:v>0.87000000000000066</c:v>
                </c:pt>
                <c:pt idx="12">
                  <c:v>0.55000000000000004</c:v>
                </c:pt>
                <c:pt idx="13">
                  <c:v>0.58000000000000007</c:v>
                </c:pt>
                <c:pt idx="14">
                  <c:v>0.59</c:v>
                </c:pt>
                <c:pt idx="15">
                  <c:v>0.51</c:v>
                </c:pt>
                <c:pt idx="16">
                  <c:v>0.49000000000000032</c:v>
                </c:pt>
                <c:pt idx="17">
                  <c:v>0.45</c:v>
                </c:pt>
                <c:pt idx="18">
                  <c:v>0.52</c:v>
                </c:pt>
                <c:pt idx="19">
                  <c:v>0.41000000000000031</c:v>
                </c:pt>
                <c:pt idx="20">
                  <c:v>0.37000000000000033</c:v>
                </c:pt>
                <c:pt idx="21">
                  <c:v>0.36000000000000032</c:v>
                </c:pt>
                <c:pt idx="22">
                  <c:v>0.3200000000000004</c:v>
                </c:pt>
                <c:pt idx="23">
                  <c:v>0.3200000000000004</c:v>
                </c:pt>
                <c:pt idx="24">
                  <c:v>0.44</c:v>
                </c:pt>
                <c:pt idx="25">
                  <c:v>0.34</c:v>
                </c:pt>
                <c:pt idx="26" formatCode="#,##0.0">
                  <c:v>0.2</c:v>
                </c:pt>
                <c:pt idx="27">
                  <c:v>0.25</c:v>
                </c:pt>
              </c:numCache>
            </c:numRef>
          </c:val>
          <c:smooth val="0"/>
        </c:ser>
        <c:dLbls>
          <c:showLegendKey val="0"/>
          <c:showVal val="0"/>
          <c:showCatName val="0"/>
          <c:showSerName val="0"/>
          <c:showPercent val="0"/>
          <c:showBubbleSize val="0"/>
        </c:dLbls>
        <c:marker val="1"/>
        <c:smooth val="0"/>
        <c:axId val="89447040"/>
        <c:axId val="89452928"/>
      </c:lineChart>
      <c:catAx>
        <c:axId val="89447040"/>
        <c:scaling>
          <c:orientation val="minMax"/>
        </c:scaling>
        <c:delete val="0"/>
        <c:axPos val="b"/>
        <c:majorTickMark val="out"/>
        <c:minorTickMark val="none"/>
        <c:tickLblPos val="nextTo"/>
        <c:crossAx val="89452928"/>
        <c:crosses val="autoZero"/>
        <c:auto val="1"/>
        <c:lblAlgn val="ctr"/>
        <c:lblOffset val="100"/>
        <c:noMultiLvlLbl val="0"/>
      </c:catAx>
      <c:valAx>
        <c:axId val="89452928"/>
        <c:scaling>
          <c:orientation val="minMax"/>
        </c:scaling>
        <c:delete val="0"/>
        <c:axPos val="l"/>
        <c:majorGridlines/>
        <c:numFmt formatCode="#,##0.00" sourceLinked="1"/>
        <c:majorTickMark val="out"/>
        <c:minorTickMark val="none"/>
        <c:tickLblPos val="nextTo"/>
        <c:crossAx val="89447040"/>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Hárok7!$B$4</c:f>
              <c:strCache>
                <c:ptCount val="1"/>
                <c:pt idx="0">
                  <c:v>2013</c:v>
                </c:pt>
              </c:strCache>
            </c:strRef>
          </c:tx>
          <c:invertIfNegative val="0"/>
          <c:dPt>
            <c:idx val="23"/>
            <c:invertIfNegative val="0"/>
            <c:bubble3D val="0"/>
            <c:spPr>
              <a:solidFill>
                <a:srgbClr val="FFFF00"/>
              </a:solidFill>
              <a:ln>
                <a:solidFill>
                  <a:srgbClr val="FFFF00"/>
                </a:solidFill>
              </a:ln>
            </c:spPr>
          </c:dPt>
          <c:dLbls>
            <c:dLbl>
              <c:idx val="23"/>
              <c:showLegendKey val="0"/>
              <c:showVal val="1"/>
              <c:showCatName val="0"/>
              <c:showSerName val="0"/>
              <c:showPercent val="0"/>
              <c:showBubbleSize val="0"/>
            </c:dLbl>
            <c:showLegendKey val="0"/>
            <c:showVal val="0"/>
            <c:showCatName val="0"/>
            <c:showSerName val="0"/>
            <c:showPercent val="0"/>
            <c:showBubbleSize val="0"/>
          </c:dLbls>
          <c:cat>
            <c:strRef>
              <c:f>Hárok7!$A$5:$A$32</c:f>
              <c:strCache>
                <c:ptCount val="28"/>
                <c:pt idx="0">
                  <c:v>Ireland</c:v>
                </c:pt>
                <c:pt idx="1">
                  <c:v>Lithuania</c:v>
                </c:pt>
                <c:pt idx="2">
                  <c:v>Luxembourg</c:v>
                </c:pt>
                <c:pt idx="3">
                  <c:v>Sweden</c:v>
                </c:pt>
                <c:pt idx="4">
                  <c:v>Cyprus</c:v>
                </c:pt>
                <c:pt idx="5">
                  <c:v>United Kingdom</c:v>
                </c:pt>
                <c:pt idx="6">
                  <c:v>Finland</c:v>
                </c:pt>
                <c:pt idx="7">
                  <c:v>France</c:v>
                </c:pt>
                <c:pt idx="8">
                  <c:v>Denmark</c:v>
                </c:pt>
                <c:pt idx="9">
                  <c:v>Netherlands</c:v>
                </c:pt>
                <c:pt idx="10">
                  <c:v>Belgium</c:v>
                </c:pt>
                <c:pt idx="11">
                  <c:v>Estonia</c:v>
                </c:pt>
                <c:pt idx="12">
                  <c:v>Latvia</c:v>
                </c:pt>
                <c:pt idx="13">
                  <c:v>Spain</c:v>
                </c:pt>
                <c:pt idx="14">
                  <c:v>Poland</c:v>
                </c:pt>
                <c:pt idx="15">
                  <c:v>Slovenia</c:v>
                </c:pt>
                <c:pt idx="16">
                  <c:v>Greece</c:v>
                </c:pt>
                <c:pt idx="17">
                  <c:v>Germany</c:v>
                </c:pt>
                <c:pt idx="18">
                  <c:v>Hungary</c:v>
                </c:pt>
                <c:pt idx="19">
                  <c:v>Bulgaria</c:v>
                </c:pt>
                <c:pt idx="20">
                  <c:v>Portugal</c:v>
                </c:pt>
                <c:pt idx="21">
                  <c:v>Austria</c:v>
                </c:pt>
                <c:pt idx="22">
                  <c:v>Czech Republic</c:v>
                </c:pt>
                <c:pt idx="23">
                  <c:v>Slovakia</c:v>
                </c:pt>
                <c:pt idx="24">
                  <c:v>Croatia</c:v>
                </c:pt>
                <c:pt idx="25">
                  <c:v>Malta</c:v>
                </c:pt>
                <c:pt idx="26">
                  <c:v>Romania</c:v>
                </c:pt>
                <c:pt idx="27">
                  <c:v>Italy</c:v>
                </c:pt>
              </c:strCache>
            </c:strRef>
          </c:cat>
          <c:val>
            <c:numRef>
              <c:f>Hárok7!$B$5:$B$32</c:f>
              <c:numCache>
                <c:formatCode>General</c:formatCode>
                <c:ptCount val="28"/>
                <c:pt idx="0">
                  <c:v>51.9</c:v>
                </c:pt>
                <c:pt idx="1">
                  <c:v>51.3</c:v>
                </c:pt>
                <c:pt idx="2">
                  <c:v>50.8</c:v>
                </c:pt>
                <c:pt idx="3">
                  <c:v>48.2</c:v>
                </c:pt>
                <c:pt idx="4">
                  <c:v>48.1</c:v>
                </c:pt>
                <c:pt idx="5">
                  <c:v>47.7</c:v>
                </c:pt>
                <c:pt idx="6">
                  <c:v>45.3</c:v>
                </c:pt>
                <c:pt idx="7">
                  <c:v>44</c:v>
                </c:pt>
                <c:pt idx="8">
                  <c:v>43.4</c:v>
                </c:pt>
                <c:pt idx="9">
                  <c:v>43</c:v>
                </c:pt>
                <c:pt idx="10">
                  <c:v>42.6</c:v>
                </c:pt>
                <c:pt idx="11">
                  <c:v>41.1</c:v>
                </c:pt>
                <c:pt idx="12">
                  <c:v>40.6</c:v>
                </c:pt>
                <c:pt idx="13">
                  <c:v>40.4</c:v>
                </c:pt>
                <c:pt idx="14">
                  <c:v>40</c:v>
                </c:pt>
                <c:pt idx="15">
                  <c:v>39.6</c:v>
                </c:pt>
                <c:pt idx="16">
                  <c:v>33.6</c:v>
                </c:pt>
                <c:pt idx="17">
                  <c:v>33.300000000000004</c:v>
                </c:pt>
                <c:pt idx="18">
                  <c:v>31.8</c:v>
                </c:pt>
                <c:pt idx="19">
                  <c:v>29.1</c:v>
                </c:pt>
                <c:pt idx="20">
                  <c:v>28.6</c:v>
                </c:pt>
                <c:pt idx="21">
                  <c:v>27</c:v>
                </c:pt>
                <c:pt idx="22">
                  <c:v>26.5</c:v>
                </c:pt>
                <c:pt idx="23">
                  <c:v>26.2</c:v>
                </c:pt>
                <c:pt idx="24">
                  <c:v>24.6</c:v>
                </c:pt>
                <c:pt idx="25">
                  <c:v>24.1</c:v>
                </c:pt>
                <c:pt idx="26">
                  <c:v>22.5</c:v>
                </c:pt>
                <c:pt idx="27">
                  <c:v>22.4</c:v>
                </c:pt>
              </c:numCache>
            </c:numRef>
          </c:val>
        </c:ser>
        <c:dLbls>
          <c:showLegendKey val="0"/>
          <c:showVal val="0"/>
          <c:showCatName val="0"/>
          <c:showSerName val="0"/>
          <c:showPercent val="0"/>
          <c:showBubbleSize val="0"/>
        </c:dLbls>
        <c:gapWidth val="150"/>
        <c:axId val="66550016"/>
        <c:axId val="66560000"/>
      </c:barChart>
      <c:lineChart>
        <c:grouping val="standard"/>
        <c:varyColors val="0"/>
        <c:ser>
          <c:idx val="1"/>
          <c:order val="1"/>
          <c:tx>
            <c:strRef>
              <c:f>Hárok7!$C$4</c:f>
              <c:strCache>
                <c:ptCount val="1"/>
                <c:pt idx="0">
                  <c:v>2005</c:v>
                </c:pt>
              </c:strCache>
            </c:strRef>
          </c:tx>
          <c:spPr>
            <a:ln>
              <a:noFill/>
            </a:ln>
          </c:spPr>
          <c:marker>
            <c:symbol val="diamond"/>
            <c:size val="7"/>
          </c:marker>
          <c:cat>
            <c:strRef>
              <c:f>Hárok7!$A$5:$A$32</c:f>
              <c:strCache>
                <c:ptCount val="28"/>
                <c:pt idx="0">
                  <c:v>Ireland</c:v>
                </c:pt>
                <c:pt idx="1">
                  <c:v>Lithuania</c:v>
                </c:pt>
                <c:pt idx="2">
                  <c:v>Luxembourg</c:v>
                </c:pt>
                <c:pt idx="3">
                  <c:v>Sweden</c:v>
                </c:pt>
                <c:pt idx="4">
                  <c:v>Cyprus</c:v>
                </c:pt>
                <c:pt idx="5">
                  <c:v>United Kingdom</c:v>
                </c:pt>
                <c:pt idx="6">
                  <c:v>Finland</c:v>
                </c:pt>
                <c:pt idx="7">
                  <c:v>France</c:v>
                </c:pt>
                <c:pt idx="8">
                  <c:v>Denmark</c:v>
                </c:pt>
                <c:pt idx="9">
                  <c:v>Netherlands</c:v>
                </c:pt>
                <c:pt idx="10">
                  <c:v>Belgium</c:v>
                </c:pt>
                <c:pt idx="11">
                  <c:v>Estonia</c:v>
                </c:pt>
                <c:pt idx="12">
                  <c:v>Latvia</c:v>
                </c:pt>
                <c:pt idx="13">
                  <c:v>Spain</c:v>
                </c:pt>
                <c:pt idx="14">
                  <c:v>Poland</c:v>
                </c:pt>
                <c:pt idx="15">
                  <c:v>Slovenia</c:v>
                </c:pt>
                <c:pt idx="16">
                  <c:v>Greece</c:v>
                </c:pt>
                <c:pt idx="17">
                  <c:v>Germany</c:v>
                </c:pt>
                <c:pt idx="18">
                  <c:v>Hungary</c:v>
                </c:pt>
                <c:pt idx="19">
                  <c:v>Bulgaria</c:v>
                </c:pt>
                <c:pt idx="20">
                  <c:v>Portugal</c:v>
                </c:pt>
                <c:pt idx="21">
                  <c:v>Austria</c:v>
                </c:pt>
                <c:pt idx="22">
                  <c:v>Czech Republic</c:v>
                </c:pt>
                <c:pt idx="23">
                  <c:v>Slovakia</c:v>
                </c:pt>
                <c:pt idx="24">
                  <c:v>Croatia</c:v>
                </c:pt>
                <c:pt idx="25">
                  <c:v>Malta</c:v>
                </c:pt>
                <c:pt idx="26">
                  <c:v>Romania</c:v>
                </c:pt>
                <c:pt idx="27">
                  <c:v>Italy</c:v>
                </c:pt>
              </c:strCache>
            </c:strRef>
          </c:cat>
          <c:val>
            <c:numRef>
              <c:f>Hárok7!$C$5:$C$32</c:f>
              <c:numCache>
                <c:formatCode>General</c:formatCode>
                <c:ptCount val="28"/>
                <c:pt idx="0">
                  <c:v>39.200000000000003</c:v>
                </c:pt>
                <c:pt idx="1">
                  <c:v>37.9</c:v>
                </c:pt>
                <c:pt idx="2">
                  <c:v>37.6</c:v>
                </c:pt>
                <c:pt idx="3">
                  <c:v>37.6</c:v>
                </c:pt>
                <c:pt idx="4">
                  <c:v>40.800000000000004</c:v>
                </c:pt>
                <c:pt idx="5">
                  <c:v>34.6</c:v>
                </c:pt>
                <c:pt idx="6">
                  <c:v>43.7</c:v>
                </c:pt>
                <c:pt idx="7">
                  <c:v>37.700000000000003</c:v>
                </c:pt>
                <c:pt idx="8">
                  <c:v>43.1</c:v>
                </c:pt>
                <c:pt idx="9">
                  <c:v>34.9</c:v>
                </c:pt>
                <c:pt idx="10">
                  <c:v>39.1</c:v>
                </c:pt>
                <c:pt idx="11">
                  <c:v>30.6</c:v>
                </c:pt>
                <c:pt idx="12">
                  <c:v>18.5</c:v>
                </c:pt>
                <c:pt idx="13">
                  <c:v>38.6</c:v>
                </c:pt>
                <c:pt idx="14">
                  <c:v>22.7</c:v>
                </c:pt>
                <c:pt idx="15">
                  <c:v>24.6</c:v>
                </c:pt>
                <c:pt idx="16">
                  <c:v>25.3</c:v>
                </c:pt>
                <c:pt idx="17">
                  <c:v>26.1</c:v>
                </c:pt>
                <c:pt idx="18">
                  <c:v>17.899999999999999</c:v>
                </c:pt>
                <c:pt idx="19">
                  <c:v>24.9</c:v>
                </c:pt>
                <c:pt idx="20">
                  <c:v>17.7</c:v>
                </c:pt>
                <c:pt idx="21">
                  <c:v>20.5</c:v>
                </c:pt>
                <c:pt idx="22">
                  <c:v>13</c:v>
                </c:pt>
                <c:pt idx="23">
                  <c:v>14.3</c:v>
                </c:pt>
                <c:pt idx="24">
                  <c:v>17.399999999999999</c:v>
                </c:pt>
                <c:pt idx="25">
                  <c:v>18.3</c:v>
                </c:pt>
                <c:pt idx="26">
                  <c:v>11.4</c:v>
                </c:pt>
                <c:pt idx="27">
                  <c:v>17</c:v>
                </c:pt>
              </c:numCache>
            </c:numRef>
          </c:val>
          <c:smooth val="0"/>
        </c:ser>
        <c:dLbls>
          <c:showLegendKey val="0"/>
          <c:showVal val="0"/>
          <c:showCatName val="0"/>
          <c:showSerName val="0"/>
          <c:showPercent val="0"/>
          <c:showBubbleSize val="0"/>
        </c:dLbls>
        <c:marker val="1"/>
        <c:smooth val="0"/>
        <c:axId val="66550016"/>
        <c:axId val="66560000"/>
      </c:lineChart>
      <c:catAx>
        <c:axId val="66550016"/>
        <c:scaling>
          <c:orientation val="minMax"/>
        </c:scaling>
        <c:delete val="0"/>
        <c:axPos val="b"/>
        <c:majorTickMark val="out"/>
        <c:minorTickMark val="none"/>
        <c:tickLblPos val="nextTo"/>
        <c:crossAx val="66560000"/>
        <c:crosses val="autoZero"/>
        <c:auto val="1"/>
        <c:lblAlgn val="ctr"/>
        <c:lblOffset val="100"/>
        <c:noMultiLvlLbl val="0"/>
      </c:catAx>
      <c:valAx>
        <c:axId val="66560000"/>
        <c:scaling>
          <c:orientation val="minMax"/>
        </c:scaling>
        <c:delete val="0"/>
        <c:axPos val="l"/>
        <c:majorGridlines/>
        <c:numFmt formatCode="General" sourceLinked="1"/>
        <c:majorTickMark val="out"/>
        <c:minorTickMark val="none"/>
        <c:tickLblPos val="nextTo"/>
        <c:crossAx val="66550016"/>
        <c:crosses val="autoZero"/>
        <c:crossBetween val="between"/>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'01_Zamestnanci VaV\[Tertiary educational attainment by sex, age group 30-34.xls]Hárok1'!$A$2</c:f>
              <c:strCache>
                <c:ptCount val="1"/>
                <c:pt idx="0">
                  <c:v>EU (28 countries)</c:v>
                </c:pt>
              </c:strCache>
            </c:strRef>
          </c:tx>
          <c:marker>
            <c:symbol val="none"/>
          </c:marker>
          <c:cat>
            <c:strRef>
              <c:f>'01_Zamestnanci VaV\[Tertiary educational attainment by sex, age group 30-34.xls]Hárok1'!$B$1:$N$1</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'01_Zamestnanci VaV\[Tertiary educational attainment by sex, age group 30-34.xls]Hárok1'!$B$2:$N$2</c:f>
              <c:numCache>
                <c:formatCode>General</c:formatCode>
                <c:ptCount val="13"/>
                <c:pt idx="0">
                  <c:v>22.4</c:v>
                </c:pt>
                <c:pt idx="1">
                  <c:v>22.8</c:v>
                </c:pt>
                <c:pt idx="2">
                  <c:v>23.5</c:v>
                </c:pt>
                <c:pt idx="3">
                  <c:v>25</c:v>
                </c:pt>
                <c:pt idx="4">
                  <c:v>26.9</c:v>
                </c:pt>
                <c:pt idx="5">
                  <c:v>28</c:v>
                </c:pt>
                <c:pt idx="6">
                  <c:v>28.9</c:v>
                </c:pt>
                <c:pt idx="7">
                  <c:v>30</c:v>
                </c:pt>
                <c:pt idx="8">
                  <c:v>31</c:v>
                </c:pt>
                <c:pt idx="9">
                  <c:v>32.200000000000003</c:v>
                </c:pt>
                <c:pt idx="10">
                  <c:v>33.5</c:v>
                </c:pt>
                <c:pt idx="11">
                  <c:v>34.6</c:v>
                </c:pt>
                <c:pt idx="12">
                  <c:v>35.800000000000004</c:v>
                </c:pt>
              </c:numCache>
            </c:numRef>
          </c:val>
          <c:smooth val="0"/>
        </c:ser>
        <c:ser>
          <c:idx val="1"/>
          <c:order val="1"/>
          <c:tx>
            <c:strRef>
              <c:f>'01_Zamestnanci VaV\[Tertiary educational attainment by sex, age group 30-34.xls]Hárok1'!$A$3</c:f>
              <c:strCache>
                <c:ptCount val="1"/>
                <c:pt idx="0">
                  <c:v>Czech Republic</c:v>
                </c:pt>
              </c:strCache>
            </c:strRef>
          </c:tx>
          <c:marker>
            <c:symbol val="none"/>
          </c:marker>
          <c:cat>
            <c:strRef>
              <c:f>'01_Zamestnanci VaV\[Tertiary educational attainment by sex, age group 30-34.xls]Hárok1'!$B$1:$N$1</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'01_Zamestnanci VaV\[Tertiary educational attainment by sex, age group 30-34.xls]Hárok1'!$B$3:$N$3</c:f>
              <c:numCache>
                <c:formatCode>General</c:formatCode>
                <c:ptCount val="13"/>
                <c:pt idx="0">
                  <c:v>13.7</c:v>
                </c:pt>
                <c:pt idx="1">
                  <c:v>13.3</c:v>
                </c:pt>
                <c:pt idx="2">
                  <c:v>12.6</c:v>
                </c:pt>
                <c:pt idx="3">
                  <c:v>12.6</c:v>
                </c:pt>
                <c:pt idx="4">
                  <c:v>12.7</c:v>
                </c:pt>
                <c:pt idx="5">
                  <c:v>13</c:v>
                </c:pt>
                <c:pt idx="6">
                  <c:v>13.1</c:v>
                </c:pt>
                <c:pt idx="7">
                  <c:v>13.3</c:v>
                </c:pt>
                <c:pt idx="8">
                  <c:v>15.4</c:v>
                </c:pt>
                <c:pt idx="9">
                  <c:v>17.5</c:v>
                </c:pt>
                <c:pt idx="10">
                  <c:v>20.399999999999999</c:v>
                </c:pt>
                <c:pt idx="11">
                  <c:v>23.7</c:v>
                </c:pt>
                <c:pt idx="12">
                  <c:v>25.6</c:v>
                </c:pt>
              </c:numCache>
            </c:numRef>
          </c:val>
          <c:smooth val="0"/>
        </c:ser>
        <c:ser>
          <c:idx val="2"/>
          <c:order val="2"/>
          <c:tx>
            <c:strRef>
              <c:f>'01_Zamestnanci VaV\[Tertiary educational attainment by sex, age group 30-34.xls]Hárok1'!$A$4</c:f>
              <c:strCache>
                <c:ptCount val="1"/>
                <c:pt idx="0">
                  <c:v>Hungary</c:v>
                </c:pt>
              </c:strCache>
            </c:strRef>
          </c:tx>
          <c:marker>
            <c:symbol val="none"/>
          </c:marker>
          <c:cat>
            <c:strRef>
              <c:f>'01_Zamestnanci VaV\[Tertiary educational attainment by sex, age group 30-34.xls]Hárok1'!$B$1:$N$1</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'01_Zamestnanci VaV\[Tertiary educational attainment by sex, age group 30-34.xls]Hárok1'!$B$4:$N$4</c:f>
              <c:numCache>
                <c:formatCode>General</c:formatCode>
                <c:ptCount val="13"/>
                <c:pt idx="0">
                  <c:v>14.8</c:v>
                </c:pt>
                <c:pt idx="1">
                  <c:v>14.8</c:v>
                </c:pt>
                <c:pt idx="2">
                  <c:v>14.4</c:v>
                </c:pt>
                <c:pt idx="3">
                  <c:v>16.3</c:v>
                </c:pt>
                <c:pt idx="4">
                  <c:v>18.5</c:v>
                </c:pt>
                <c:pt idx="5">
                  <c:v>17.899999999999999</c:v>
                </c:pt>
                <c:pt idx="6">
                  <c:v>19</c:v>
                </c:pt>
                <c:pt idx="7">
                  <c:v>20.100000000000001</c:v>
                </c:pt>
                <c:pt idx="8">
                  <c:v>22.4</c:v>
                </c:pt>
                <c:pt idx="9">
                  <c:v>23.9</c:v>
                </c:pt>
                <c:pt idx="10">
                  <c:v>25.7</c:v>
                </c:pt>
                <c:pt idx="11">
                  <c:v>28.1</c:v>
                </c:pt>
                <c:pt idx="12">
                  <c:v>29.9</c:v>
                </c:pt>
              </c:numCache>
            </c:numRef>
          </c:val>
          <c:smooth val="0"/>
        </c:ser>
        <c:ser>
          <c:idx val="3"/>
          <c:order val="3"/>
          <c:tx>
            <c:strRef>
              <c:f>'01_Zamestnanci VaV\[Tertiary educational attainment by sex, age group 30-34.xls]Hárok1'!$A$5</c:f>
              <c:strCache>
                <c:ptCount val="1"/>
                <c:pt idx="0">
                  <c:v>Poland</c:v>
                </c:pt>
              </c:strCache>
            </c:strRef>
          </c:tx>
          <c:marker>
            <c:symbol val="none"/>
          </c:marker>
          <c:cat>
            <c:strRef>
              <c:f>'01_Zamestnanci VaV\[Tertiary educational attainment by sex, age group 30-34.xls]Hárok1'!$B$1:$N$1</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'01_Zamestnanci VaV\[Tertiary educational attainment by sex, age group 30-34.xls]Hárok1'!$B$5:$N$5</c:f>
              <c:numCache>
                <c:formatCode>General</c:formatCode>
                <c:ptCount val="13"/>
                <c:pt idx="0">
                  <c:v>12.5</c:v>
                </c:pt>
                <c:pt idx="1">
                  <c:v>13.2</c:v>
                </c:pt>
                <c:pt idx="2">
                  <c:v>14.4</c:v>
                </c:pt>
                <c:pt idx="3">
                  <c:v>17.2</c:v>
                </c:pt>
                <c:pt idx="4">
                  <c:v>20.399999999999999</c:v>
                </c:pt>
                <c:pt idx="5">
                  <c:v>22.7</c:v>
                </c:pt>
                <c:pt idx="6">
                  <c:v>24.7</c:v>
                </c:pt>
                <c:pt idx="7">
                  <c:v>27</c:v>
                </c:pt>
                <c:pt idx="8">
                  <c:v>29.7</c:v>
                </c:pt>
                <c:pt idx="9">
                  <c:v>32.800000000000004</c:v>
                </c:pt>
                <c:pt idx="10">
                  <c:v>34.800000000000004</c:v>
                </c:pt>
                <c:pt idx="11">
                  <c:v>36.5</c:v>
                </c:pt>
                <c:pt idx="12">
                  <c:v>39.1</c:v>
                </c:pt>
              </c:numCache>
            </c:numRef>
          </c:val>
          <c:smooth val="0"/>
        </c:ser>
        <c:ser>
          <c:idx val="4"/>
          <c:order val="4"/>
          <c:tx>
            <c:strRef>
              <c:f>'01_Zamestnanci VaV\[Tertiary educational attainment by sex, age group 30-34.xls]Hárok1'!$A$6</c:f>
              <c:strCache>
                <c:ptCount val="1"/>
                <c:pt idx="0">
                  <c:v>Slovakia</c:v>
                </c:pt>
              </c:strCache>
            </c:strRef>
          </c:tx>
          <c:marker>
            <c:symbol val="none"/>
          </c:marker>
          <c:cat>
            <c:strRef>
              <c:f>'01_Zamestnanci VaV\[Tertiary educational attainment by sex, age group 30-34.xls]Hárok1'!$B$1:$N$1</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'01_Zamestnanci VaV\[Tertiary educational attainment by sex, age group 30-34.xls]Hárok1'!$B$6:$N$6</c:f>
              <c:numCache>
                <c:formatCode>General</c:formatCode>
                <c:ptCount val="13"/>
                <c:pt idx="0">
                  <c:v>10.6</c:v>
                </c:pt>
                <c:pt idx="1">
                  <c:v>10.7</c:v>
                </c:pt>
                <c:pt idx="2">
                  <c:v>10.5</c:v>
                </c:pt>
                <c:pt idx="3">
                  <c:v>11.5</c:v>
                </c:pt>
                <c:pt idx="4">
                  <c:v>12.9</c:v>
                </c:pt>
                <c:pt idx="5">
                  <c:v>14.3</c:v>
                </c:pt>
                <c:pt idx="6">
                  <c:v>14.4</c:v>
                </c:pt>
                <c:pt idx="7">
                  <c:v>14.8</c:v>
                </c:pt>
                <c:pt idx="8">
                  <c:v>15.8</c:v>
                </c:pt>
                <c:pt idx="9">
                  <c:v>17.600000000000001</c:v>
                </c:pt>
                <c:pt idx="10">
                  <c:v>22.1</c:v>
                </c:pt>
                <c:pt idx="11">
                  <c:v>23.2</c:v>
                </c:pt>
                <c:pt idx="12">
                  <c:v>23.7</c:v>
                </c:pt>
              </c:numCache>
            </c:numRef>
          </c:val>
          <c:smooth val="0"/>
        </c:ser>
        <c:dLbls>
          <c:showLegendKey val="0"/>
          <c:showVal val="0"/>
          <c:showCatName val="0"/>
          <c:showSerName val="0"/>
          <c:showPercent val="0"/>
          <c:showBubbleSize val="0"/>
        </c:dLbls>
        <c:marker val="1"/>
        <c:smooth val="0"/>
        <c:axId val="89536384"/>
        <c:axId val="89537920"/>
      </c:lineChart>
      <c:catAx>
        <c:axId val="89536384"/>
        <c:scaling>
          <c:orientation val="minMax"/>
        </c:scaling>
        <c:delete val="0"/>
        <c:axPos val="b"/>
        <c:majorTickMark val="out"/>
        <c:minorTickMark val="none"/>
        <c:tickLblPos val="nextTo"/>
        <c:crossAx val="89537920"/>
        <c:crosses val="autoZero"/>
        <c:auto val="1"/>
        <c:lblAlgn val="ctr"/>
        <c:lblOffset val="100"/>
        <c:noMultiLvlLbl val="0"/>
      </c:catAx>
      <c:valAx>
        <c:axId val="89537920"/>
        <c:scaling>
          <c:orientation val="minMax"/>
        </c:scaling>
        <c:delete val="0"/>
        <c:axPos val="l"/>
        <c:majorGridlines/>
        <c:numFmt formatCode="General" sourceLinked="1"/>
        <c:majorTickMark val="out"/>
        <c:minorTickMark val="none"/>
        <c:tickLblPos val="nextTo"/>
        <c:crossAx val="89536384"/>
        <c:crosses val="autoZero"/>
        <c:crossBetween val="between"/>
      </c:valAx>
    </c:plotArea>
    <c:legend>
      <c:legendPos val="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0.03473</cdr:x>
      <cdr:y>0.08269</cdr:y>
    </cdr:from>
    <cdr:to>
      <cdr:x>0.10254</cdr:x>
      <cdr:y>0.16869</cdr:y>
    </cdr:to>
    <cdr:sp macro="" textlink="">
      <cdr:nvSpPr>
        <cdr:cNvPr id="2" name="Blok textu 1"/>
        <cdr:cNvSpPr txBox="1"/>
      </cdr:nvSpPr>
      <cdr:spPr>
        <a:xfrm xmlns:a="http://schemas.openxmlformats.org/drawingml/2006/main">
          <a:off x="200025" y="238125"/>
          <a:ext cx="39052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900"/>
            <a:t>127,87</a:t>
          </a:r>
        </a:p>
      </cdr:txBody>
    </cdr:sp>
  </cdr:relSizeAnchor>
  <cdr:relSizeAnchor xmlns:cdr="http://schemas.openxmlformats.org/drawingml/2006/chartDrawing">
    <cdr:from>
      <cdr:x>0.09482</cdr:x>
      <cdr:y>0.0871</cdr:y>
    </cdr:from>
    <cdr:to>
      <cdr:x>0.16262</cdr:x>
      <cdr:y>0.1731</cdr:y>
    </cdr:to>
    <cdr:sp macro="" textlink="">
      <cdr:nvSpPr>
        <cdr:cNvPr id="3" name="Blok textu 1"/>
        <cdr:cNvSpPr txBox="1"/>
      </cdr:nvSpPr>
      <cdr:spPr>
        <a:xfrm xmlns:a="http://schemas.openxmlformats.org/drawingml/2006/main">
          <a:off x="546100" y="250825"/>
          <a:ext cx="390525"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sk-SK" sz="900"/>
            <a:t>80,18</a:t>
          </a:r>
        </a:p>
      </cdr:txBody>
    </cdr:sp>
  </cdr:relSizeAnchor>
</c:userShapes>
</file>

<file path=word/drawings/drawing2.xml><?xml version="1.0" encoding="utf-8"?>
<c:userShapes xmlns:c="http://schemas.openxmlformats.org/drawingml/2006/chart">
  <cdr:relSizeAnchor xmlns:cdr="http://schemas.openxmlformats.org/drawingml/2006/chartDrawing">
    <cdr:from>
      <cdr:x>0.04961</cdr:x>
      <cdr:y>0.09592</cdr:y>
    </cdr:from>
    <cdr:to>
      <cdr:x>0.11577</cdr:x>
      <cdr:y>0.1753</cdr:y>
    </cdr:to>
    <cdr:sp macro="" textlink="">
      <cdr:nvSpPr>
        <cdr:cNvPr id="2" name="Blok textu 1"/>
        <cdr:cNvSpPr txBox="1"/>
      </cdr:nvSpPr>
      <cdr:spPr>
        <a:xfrm xmlns:a="http://schemas.openxmlformats.org/drawingml/2006/main">
          <a:off x="285750" y="276225"/>
          <a:ext cx="3810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900"/>
            <a:t>40,98</a:t>
          </a:r>
        </a:p>
      </cdr:txBody>
    </cdr:sp>
  </cdr:relSizeAnchor>
</c:userShapes>
</file>

<file path=word/drawings/drawing3.xml><?xml version="1.0" encoding="utf-8"?>
<c:userShapes xmlns:c="http://schemas.openxmlformats.org/drawingml/2006/chart">
  <cdr:relSizeAnchor xmlns:cdr="http://schemas.openxmlformats.org/drawingml/2006/chartDrawing">
    <cdr:from>
      <cdr:x>0.01177</cdr:x>
      <cdr:y>0.01197</cdr:y>
    </cdr:from>
    <cdr:to>
      <cdr:x>0.34952</cdr:x>
      <cdr:y>0.09951</cdr:y>
    </cdr:to>
    <cdr:sp macro="" textlink="">
      <cdr:nvSpPr>
        <cdr:cNvPr id="5" name="BlokTextu 1"/>
        <cdr:cNvSpPr txBox="1"/>
      </cdr:nvSpPr>
      <cdr:spPr>
        <a:xfrm xmlns:a="http://schemas.openxmlformats.org/drawingml/2006/main">
          <a:off x="50800" y="50800"/>
          <a:ext cx="1457313" cy="37147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sk-SK" sz="1100" b="1"/>
        </a:p>
      </cdr:txBody>
    </cdr:sp>
  </cdr:relSizeAnchor>
</c:userShape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WKX3UHSAJ2R6-2-378220</_dlc_DocId>
    <_dlc_DocIdUrl xmlns="e60a29af-d413-48d4-bd90-fe9d2a897e4b">
      <Url>https://ovdmasv601/sites/DMS/_layouts/15/DocIdRedir.aspx?ID=WKX3UHSAJ2R6-2-378220</Url>
      <Description>WKX3UHSAJ2R6-2-378220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B8D9E9-92D0-4352-987B-A1F971B6F182}"/>
</file>

<file path=customXml/itemProps2.xml><?xml version="1.0" encoding="utf-8"?>
<ds:datastoreItem xmlns:ds="http://schemas.openxmlformats.org/officeDocument/2006/customXml" ds:itemID="{0F6BFE27-9EB9-4FA3-94F0-9953800ADC47}"/>
</file>

<file path=customXml/itemProps3.xml><?xml version="1.0" encoding="utf-8"?>
<ds:datastoreItem xmlns:ds="http://schemas.openxmlformats.org/officeDocument/2006/customXml" ds:itemID="{71C20F1C-3791-4536-927F-AD5C91740F22}"/>
</file>

<file path=customXml/itemProps4.xml><?xml version="1.0" encoding="utf-8"?>
<ds:datastoreItem xmlns:ds="http://schemas.openxmlformats.org/officeDocument/2006/customXml" ds:itemID="{D9563865-D0C9-43FE-97EA-64142DB59D15}"/>
</file>

<file path=customXml/itemProps5.xml><?xml version="1.0" encoding="utf-8"?>
<ds:datastoreItem xmlns:ds="http://schemas.openxmlformats.org/officeDocument/2006/customXml" ds:itemID="{FBFFB94E-BC1A-426E-923C-324FEC902CD7}"/>
</file>

<file path=docProps/app.xml><?xml version="1.0" encoding="utf-8"?>
<Properties xmlns="http://schemas.openxmlformats.org/officeDocument/2006/extended-properties" xmlns:vt="http://schemas.openxmlformats.org/officeDocument/2006/docPropsVTypes">
  <Template>Normal</Template>
  <TotalTime>5</TotalTime>
  <Pages>22</Pages>
  <Words>636</Words>
  <Characters>3629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Uhrinova</dc:creator>
  <cp:lastModifiedBy>Andrea Uhrinova</cp:lastModifiedBy>
  <cp:revision>2</cp:revision>
  <dcterms:created xsi:type="dcterms:W3CDTF">2014-05-07T01:26:00Z</dcterms:created>
  <dcterms:modified xsi:type="dcterms:W3CDTF">2014-05-07T02:02:00Z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10da5f81-acaa-42fa-8069-78fcfcd4881a</vt:lpwstr>
  </property>
</Properties>
</file>