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F3C25" w14:textId="77777777" w:rsidR="00FA56EC" w:rsidRPr="00EE143A" w:rsidRDefault="00FA56EC" w:rsidP="00FA56EC">
      <w:pPr>
        <w:widowControl w:val="0"/>
        <w:autoSpaceDE w:val="0"/>
        <w:autoSpaceDN w:val="0"/>
        <w:adjustRightInd w:val="0"/>
        <w:ind w:left="709" w:hanging="709"/>
        <w:jc w:val="center"/>
        <w:rPr>
          <w:rFonts w:eastAsia="Arial" w:cs="Arial"/>
        </w:rPr>
      </w:pPr>
      <w:r w:rsidRPr="00EE143A">
        <w:rPr>
          <w:rFonts w:ascii="Arial" w:eastAsia="Arial" w:hAnsi="Arial" w:cs="Arial"/>
          <w:noProof/>
          <w:sz w:val="20"/>
        </w:rPr>
        <w:drawing>
          <wp:inline distT="0" distB="0" distL="0" distR="0" wp14:anchorId="4123D2D4" wp14:editId="165BEBDB">
            <wp:extent cx="609600" cy="7810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1697"/>
        <w:gridCol w:w="7330"/>
        <w:gridCol w:w="45"/>
      </w:tblGrid>
      <w:tr w:rsidR="00FA56EC" w:rsidRPr="00EE143A" w14:paraId="72057A78" w14:textId="77777777" w:rsidTr="00F30EC4">
        <w:trPr>
          <w:tblCellSpacing w:w="15" w:type="dxa"/>
        </w:trPr>
        <w:tc>
          <w:tcPr>
            <w:tcW w:w="0" w:type="auto"/>
            <w:gridSpan w:val="3"/>
            <w:tcMar>
              <w:top w:w="15" w:type="dxa"/>
              <w:left w:w="15" w:type="dxa"/>
              <w:bottom w:w="15" w:type="dxa"/>
              <w:right w:w="15" w:type="dxa"/>
            </w:tcMar>
            <w:vAlign w:val="center"/>
            <w:hideMark/>
          </w:tcPr>
          <w:p w14:paraId="1443399A" w14:textId="77777777" w:rsidR="00FA56EC" w:rsidRPr="00EE143A" w:rsidRDefault="00FA56EC" w:rsidP="00F30EC4">
            <w:pPr>
              <w:widowControl w:val="0"/>
              <w:autoSpaceDE w:val="0"/>
              <w:autoSpaceDN w:val="0"/>
              <w:adjustRightInd w:val="0"/>
              <w:spacing w:line="276" w:lineRule="auto"/>
              <w:jc w:val="center"/>
              <w:rPr>
                <w:rFonts w:ascii="Times" w:eastAsia="Arial" w:hAnsi="Times" w:cs="Times"/>
                <w:sz w:val="28"/>
                <w:szCs w:val="28"/>
              </w:rPr>
            </w:pPr>
            <w:r w:rsidRPr="00EE143A">
              <w:rPr>
                <w:rFonts w:ascii="Times" w:eastAsia="Arial" w:hAnsi="Times" w:cs="Times"/>
                <w:sz w:val="28"/>
                <w:szCs w:val="28"/>
              </w:rPr>
              <w:t>NÁVRH</w:t>
            </w:r>
          </w:p>
        </w:tc>
      </w:tr>
      <w:tr w:rsidR="00FA56EC" w:rsidRPr="00EE143A" w14:paraId="266C3884" w14:textId="77777777" w:rsidTr="00F30EC4">
        <w:trPr>
          <w:tblCellSpacing w:w="15" w:type="dxa"/>
        </w:trPr>
        <w:tc>
          <w:tcPr>
            <w:tcW w:w="0" w:type="auto"/>
            <w:gridSpan w:val="3"/>
            <w:tcMar>
              <w:top w:w="15" w:type="dxa"/>
              <w:left w:w="15" w:type="dxa"/>
              <w:bottom w:w="15" w:type="dxa"/>
              <w:right w:w="15" w:type="dxa"/>
            </w:tcMar>
            <w:vAlign w:val="center"/>
            <w:hideMark/>
          </w:tcPr>
          <w:p w14:paraId="57385045" w14:textId="77777777" w:rsidR="00FA56EC" w:rsidRPr="00EE143A" w:rsidRDefault="00FA56EC" w:rsidP="00F30EC4">
            <w:pPr>
              <w:widowControl w:val="0"/>
              <w:autoSpaceDE w:val="0"/>
              <w:autoSpaceDN w:val="0"/>
              <w:adjustRightInd w:val="0"/>
              <w:spacing w:line="276" w:lineRule="auto"/>
              <w:jc w:val="center"/>
              <w:rPr>
                <w:rFonts w:ascii="Times" w:eastAsia="Arial" w:hAnsi="Times" w:cs="Times"/>
                <w:sz w:val="28"/>
                <w:szCs w:val="28"/>
              </w:rPr>
            </w:pPr>
            <w:r w:rsidRPr="00EE143A">
              <w:rPr>
                <w:rFonts w:ascii="Times" w:eastAsia="Arial" w:hAnsi="Times" w:cs="Times"/>
                <w:sz w:val="28"/>
                <w:szCs w:val="28"/>
              </w:rPr>
              <w:t>UZNESENIE VLÁDY SLOVENSKEJ REPUBLIKY</w:t>
            </w:r>
          </w:p>
        </w:tc>
      </w:tr>
      <w:tr w:rsidR="00FA56EC" w:rsidRPr="00EE143A" w14:paraId="2095CDC1" w14:textId="77777777" w:rsidTr="00F30EC4">
        <w:trPr>
          <w:tblCellSpacing w:w="15" w:type="dxa"/>
        </w:trPr>
        <w:tc>
          <w:tcPr>
            <w:tcW w:w="0" w:type="auto"/>
            <w:gridSpan w:val="3"/>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565"/>
            </w:tblGrid>
            <w:tr w:rsidR="00FA56EC" w:rsidRPr="00A26D0B" w14:paraId="23087747" w14:textId="77777777" w:rsidTr="00F30EC4">
              <w:trPr>
                <w:tblCellSpacing w:w="15" w:type="dxa"/>
                <w:jc w:val="center"/>
              </w:trPr>
              <w:tc>
                <w:tcPr>
                  <w:tcW w:w="0" w:type="auto"/>
                  <w:noWrap/>
                  <w:tcMar>
                    <w:top w:w="15" w:type="dxa"/>
                    <w:left w:w="15" w:type="dxa"/>
                    <w:bottom w:w="15" w:type="dxa"/>
                    <w:right w:w="15" w:type="dxa"/>
                  </w:tcMar>
                  <w:vAlign w:val="center"/>
                  <w:hideMark/>
                </w:tcPr>
                <w:p w14:paraId="20C0E471" w14:textId="77777777" w:rsidR="00FA56EC" w:rsidRPr="00644CA2" w:rsidRDefault="00FA56EC" w:rsidP="00F30EC4">
                  <w:pPr>
                    <w:widowControl w:val="0"/>
                    <w:autoSpaceDE w:val="0"/>
                    <w:autoSpaceDN w:val="0"/>
                    <w:adjustRightInd w:val="0"/>
                    <w:spacing w:line="276" w:lineRule="auto"/>
                    <w:jc w:val="center"/>
                    <w:rPr>
                      <w:rFonts w:eastAsia="Arial" w:cs="Times New Roman"/>
                      <w:sz w:val="28"/>
                      <w:szCs w:val="28"/>
                    </w:rPr>
                  </w:pPr>
                  <w:r w:rsidRPr="00644CA2">
                    <w:rPr>
                      <w:rFonts w:eastAsia="Arial" w:cs="Times New Roman"/>
                      <w:b/>
                      <w:bCs/>
                      <w:sz w:val="28"/>
                      <w:szCs w:val="28"/>
                    </w:rPr>
                    <w:t>č. ...</w:t>
                  </w:r>
                </w:p>
              </w:tc>
            </w:tr>
            <w:tr w:rsidR="00FA56EC" w:rsidRPr="00A26D0B" w14:paraId="77746AC6" w14:textId="77777777" w:rsidTr="00F30EC4">
              <w:trPr>
                <w:tblCellSpacing w:w="15" w:type="dxa"/>
                <w:jc w:val="center"/>
              </w:trPr>
              <w:tc>
                <w:tcPr>
                  <w:tcW w:w="0" w:type="auto"/>
                  <w:tcMar>
                    <w:top w:w="15" w:type="dxa"/>
                    <w:left w:w="15" w:type="dxa"/>
                    <w:bottom w:w="15" w:type="dxa"/>
                    <w:right w:w="15" w:type="dxa"/>
                  </w:tcMar>
                  <w:vAlign w:val="center"/>
                  <w:hideMark/>
                </w:tcPr>
                <w:p w14:paraId="16D4A96D" w14:textId="77777777" w:rsidR="00FA56EC" w:rsidRPr="00644CA2" w:rsidRDefault="00FA56EC" w:rsidP="00F30EC4">
                  <w:pPr>
                    <w:widowControl w:val="0"/>
                    <w:autoSpaceDE w:val="0"/>
                    <w:autoSpaceDN w:val="0"/>
                    <w:adjustRightInd w:val="0"/>
                    <w:spacing w:line="276" w:lineRule="auto"/>
                    <w:jc w:val="center"/>
                    <w:rPr>
                      <w:rFonts w:eastAsia="Arial" w:cs="Times New Roman"/>
                      <w:sz w:val="28"/>
                      <w:szCs w:val="28"/>
                    </w:rPr>
                  </w:pPr>
                  <w:r w:rsidRPr="00644CA2">
                    <w:rPr>
                      <w:rFonts w:eastAsia="Arial" w:cs="Times New Roman"/>
                      <w:sz w:val="28"/>
                      <w:szCs w:val="28"/>
                    </w:rPr>
                    <w:t>z ...</w:t>
                  </w:r>
                </w:p>
              </w:tc>
            </w:tr>
          </w:tbl>
          <w:p w14:paraId="48312644" w14:textId="77777777" w:rsidR="00FA56EC" w:rsidRPr="00EE143A" w:rsidRDefault="00FA56EC" w:rsidP="00F30EC4">
            <w:pPr>
              <w:spacing w:line="276" w:lineRule="auto"/>
              <w:jc w:val="center"/>
              <w:rPr>
                <w:rFonts w:ascii="Arial" w:eastAsia="Arial" w:hAnsi="Arial" w:cs="Arial"/>
                <w:sz w:val="22"/>
              </w:rPr>
            </w:pPr>
          </w:p>
        </w:tc>
      </w:tr>
      <w:tr w:rsidR="00FA56EC" w:rsidRPr="00EE143A" w14:paraId="440EF8F4" w14:textId="77777777" w:rsidTr="00F30EC4">
        <w:trPr>
          <w:tblCellSpacing w:w="15" w:type="dxa"/>
        </w:trPr>
        <w:tc>
          <w:tcPr>
            <w:tcW w:w="0" w:type="auto"/>
            <w:gridSpan w:val="3"/>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FA56EC" w:rsidRPr="00EE143A" w14:paraId="22F10794" w14:textId="77777777" w:rsidTr="00F30EC4">
              <w:trPr>
                <w:trHeight w:val="54"/>
                <w:tblCellSpacing w:w="15" w:type="dxa"/>
                <w:jc w:val="center"/>
              </w:trPr>
              <w:tc>
                <w:tcPr>
                  <w:tcW w:w="0" w:type="auto"/>
                  <w:tcMar>
                    <w:top w:w="15" w:type="dxa"/>
                    <w:left w:w="15" w:type="dxa"/>
                    <w:bottom w:w="15" w:type="dxa"/>
                    <w:right w:w="15" w:type="dxa"/>
                  </w:tcMar>
                  <w:hideMark/>
                </w:tcPr>
                <w:p w14:paraId="2E0330CB" w14:textId="77777777" w:rsidR="00FA56EC" w:rsidRPr="00A412A4" w:rsidRDefault="00FA56EC" w:rsidP="00F30EC4">
                  <w:pPr>
                    <w:spacing w:after="0" w:line="240" w:lineRule="auto"/>
                    <w:ind w:left="1418" w:hanging="1418"/>
                    <w:jc w:val="center"/>
                    <w:rPr>
                      <w:rFonts w:eastAsia="Arial"/>
                      <w:b/>
                      <w:bCs/>
                      <w:sz w:val="28"/>
                      <w:szCs w:val="28"/>
                    </w:rPr>
                  </w:pPr>
                  <w:r w:rsidRPr="00A412A4">
                    <w:rPr>
                      <w:rFonts w:eastAsia="Arial"/>
                      <w:b/>
                      <w:bCs/>
                      <w:sz w:val="28"/>
                      <w:szCs w:val="28"/>
                    </w:rPr>
                    <w:t xml:space="preserve">k návrhu na uzavretie </w:t>
                  </w:r>
                  <w:r>
                    <w:rPr>
                      <w:rFonts w:eastAsia="Arial"/>
                      <w:b/>
                      <w:bCs/>
                      <w:sz w:val="28"/>
                      <w:szCs w:val="28"/>
                    </w:rPr>
                    <w:t>Rozšírenej rámcovej d</w:t>
                  </w:r>
                  <w:r w:rsidRPr="00A412A4">
                    <w:rPr>
                      <w:rFonts w:eastAsia="Arial"/>
                      <w:b/>
                      <w:bCs/>
                      <w:sz w:val="28"/>
                      <w:szCs w:val="28"/>
                    </w:rPr>
                    <w:t>ohody medzi</w:t>
                  </w:r>
                </w:p>
                <w:p w14:paraId="4B73A0C1" w14:textId="77777777" w:rsidR="00FA56EC" w:rsidRPr="00A412A4" w:rsidRDefault="00FA56EC" w:rsidP="00F30EC4">
                  <w:pPr>
                    <w:spacing w:after="0" w:line="240" w:lineRule="auto"/>
                    <w:ind w:left="1418" w:hanging="1418"/>
                    <w:jc w:val="center"/>
                    <w:rPr>
                      <w:rFonts w:eastAsia="Arial"/>
                      <w:b/>
                      <w:bCs/>
                      <w:sz w:val="28"/>
                      <w:szCs w:val="28"/>
                    </w:rPr>
                  </w:pPr>
                  <w:r w:rsidRPr="00A412A4">
                    <w:rPr>
                      <w:rFonts w:eastAsia="Arial"/>
                      <w:b/>
                      <w:bCs/>
                      <w:sz w:val="28"/>
                      <w:szCs w:val="28"/>
                    </w:rPr>
                    <w:t>Európskou úniou a jej členskými štátmi na jednej strane</w:t>
                  </w:r>
                </w:p>
                <w:p w14:paraId="2DEAF11E" w14:textId="77777777" w:rsidR="00FA56EC" w:rsidRDefault="00FA56EC" w:rsidP="00F30EC4">
                  <w:pPr>
                    <w:spacing w:after="0" w:line="240" w:lineRule="auto"/>
                    <w:ind w:left="1418" w:hanging="1418"/>
                    <w:jc w:val="center"/>
                    <w:rPr>
                      <w:b/>
                      <w:bCs/>
                      <w:sz w:val="28"/>
                      <w:szCs w:val="28"/>
                    </w:rPr>
                  </w:pPr>
                  <w:r w:rsidRPr="00A412A4">
                    <w:rPr>
                      <w:rFonts w:eastAsia="Arial"/>
                      <w:b/>
                      <w:bCs/>
                      <w:sz w:val="28"/>
                      <w:szCs w:val="28"/>
                    </w:rPr>
                    <w:t>a</w:t>
                  </w:r>
                  <w:r>
                    <w:rPr>
                      <w:rFonts w:eastAsia="Arial"/>
                      <w:b/>
                      <w:bCs/>
                      <w:sz w:val="28"/>
                      <w:szCs w:val="28"/>
                    </w:rPr>
                    <w:t> </w:t>
                  </w:r>
                  <w:r>
                    <w:rPr>
                      <w:b/>
                      <w:bCs/>
                      <w:sz w:val="28"/>
                      <w:szCs w:val="28"/>
                    </w:rPr>
                    <w:t>Čilskou republikou</w:t>
                  </w:r>
                  <w:r w:rsidRPr="00A412A4">
                    <w:rPr>
                      <w:b/>
                      <w:bCs/>
                      <w:sz w:val="28"/>
                      <w:szCs w:val="28"/>
                    </w:rPr>
                    <w:t xml:space="preserve"> na strane druhej</w:t>
                  </w:r>
                </w:p>
                <w:p w14:paraId="2930E00B" w14:textId="77777777" w:rsidR="00FA56EC" w:rsidRPr="00A412A4" w:rsidRDefault="00FA56EC" w:rsidP="00F30EC4">
                  <w:pPr>
                    <w:spacing w:after="0" w:line="240" w:lineRule="auto"/>
                    <w:ind w:left="1418" w:hanging="1418"/>
                    <w:jc w:val="center"/>
                    <w:rPr>
                      <w:b/>
                      <w:bCs/>
                      <w:sz w:val="28"/>
                      <w:szCs w:val="28"/>
                    </w:rPr>
                  </w:pPr>
                </w:p>
                <w:p w14:paraId="530FDF29" w14:textId="77777777" w:rsidR="00FA56EC" w:rsidRPr="00EE143A" w:rsidRDefault="00FA56EC" w:rsidP="00F30EC4">
                  <w:pPr>
                    <w:widowControl w:val="0"/>
                    <w:autoSpaceDE w:val="0"/>
                    <w:autoSpaceDN w:val="0"/>
                    <w:adjustRightInd w:val="0"/>
                    <w:spacing w:line="276" w:lineRule="auto"/>
                    <w:jc w:val="center"/>
                    <w:rPr>
                      <w:rFonts w:eastAsia="Arial"/>
                      <w:b/>
                      <w:sz w:val="28"/>
                      <w:szCs w:val="28"/>
                    </w:rPr>
                  </w:pPr>
                </w:p>
              </w:tc>
            </w:tr>
          </w:tbl>
          <w:p w14:paraId="13BC90E2" w14:textId="77777777" w:rsidR="00FA56EC" w:rsidRPr="00EE143A" w:rsidRDefault="00FA56EC" w:rsidP="00F30EC4">
            <w:pPr>
              <w:spacing w:line="276" w:lineRule="auto"/>
              <w:jc w:val="center"/>
              <w:rPr>
                <w:rFonts w:ascii="Arial" w:eastAsia="Arial" w:hAnsi="Arial" w:cs="Arial"/>
                <w:sz w:val="22"/>
              </w:rPr>
            </w:pPr>
          </w:p>
        </w:tc>
      </w:tr>
      <w:tr w:rsidR="00FA56EC" w:rsidRPr="00EE143A" w14:paraId="2CB102C1" w14:textId="77777777" w:rsidTr="00F30EC4">
        <w:tblPrEx>
          <w:tblCellMar>
            <w:top w:w="15" w:type="dxa"/>
            <w:left w:w="15" w:type="dxa"/>
            <w:bottom w:w="15" w:type="dxa"/>
            <w:right w:w="15" w:type="dxa"/>
          </w:tblCellMar>
        </w:tblPrEx>
        <w:trPr>
          <w:gridAfter w:val="1"/>
          <w:tblCellSpacing w:w="15" w:type="dxa"/>
        </w:trPr>
        <w:tc>
          <w:tcPr>
            <w:tcW w:w="1697" w:type="dxa"/>
            <w:hideMark/>
          </w:tcPr>
          <w:p w14:paraId="0D719417" w14:textId="77777777" w:rsidR="00FA56EC" w:rsidRPr="00644CA2" w:rsidRDefault="00FA56EC" w:rsidP="00F30EC4">
            <w:pPr>
              <w:widowControl w:val="0"/>
              <w:autoSpaceDE w:val="0"/>
              <w:autoSpaceDN w:val="0"/>
              <w:adjustRightInd w:val="0"/>
              <w:spacing w:after="0"/>
              <w:ind w:right="-134"/>
              <w:rPr>
                <w:rFonts w:ascii="Times" w:eastAsia="Arial" w:hAnsi="Times" w:cs="Times"/>
                <w:szCs w:val="24"/>
              </w:rPr>
            </w:pPr>
            <w:r w:rsidRPr="00644CA2">
              <w:rPr>
                <w:rFonts w:ascii="Times" w:eastAsia="Arial" w:hAnsi="Times" w:cs="Times"/>
                <w:szCs w:val="24"/>
              </w:rPr>
              <w:t>Číslo materiálu: </w:t>
            </w:r>
          </w:p>
        </w:tc>
        <w:tc>
          <w:tcPr>
            <w:tcW w:w="7771" w:type="dxa"/>
            <w:hideMark/>
          </w:tcPr>
          <w:p w14:paraId="594AFBF6" w14:textId="77777777" w:rsidR="00FA56EC" w:rsidRPr="00644CA2" w:rsidRDefault="00FA56EC" w:rsidP="00F30EC4">
            <w:pPr>
              <w:widowControl w:val="0"/>
              <w:autoSpaceDE w:val="0"/>
              <w:autoSpaceDN w:val="0"/>
              <w:adjustRightInd w:val="0"/>
              <w:spacing w:after="0"/>
              <w:rPr>
                <w:rFonts w:eastAsia="Arial"/>
                <w:szCs w:val="24"/>
              </w:rPr>
            </w:pPr>
          </w:p>
        </w:tc>
      </w:tr>
      <w:tr w:rsidR="00FA56EC" w:rsidRPr="00EE143A" w14:paraId="0BBD7FE5" w14:textId="77777777" w:rsidTr="00F30EC4">
        <w:tblPrEx>
          <w:tblCellMar>
            <w:top w:w="15" w:type="dxa"/>
            <w:left w:w="15" w:type="dxa"/>
            <w:bottom w:w="15" w:type="dxa"/>
            <w:right w:w="15" w:type="dxa"/>
          </w:tblCellMar>
        </w:tblPrEx>
        <w:trPr>
          <w:gridAfter w:val="1"/>
          <w:tblCellSpacing w:w="15" w:type="dxa"/>
        </w:trPr>
        <w:tc>
          <w:tcPr>
            <w:tcW w:w="1697" w:type="dxa"/>
            <w:hideMark/>
          </w:tcPr>
          <w:p w14:paraId="1DC37FA8" w14:textId="77777777" w:rsidR="00FA56EC" w:rsidRPr="00644CA2" w:rsidRDefault="00FA56EC" w:rsidP="00F30EC4">
            <w:pPr>
              <w:widowControl w:val="0"/>
              <w:autoSpaceDE w:val="0"/>
              <w:autoSpaceDN w:val="0"/>
              <w:adjustRightInd w:val="0"/>
              <w:spacing w:after="0"/>
              <w:rPr>
                <w:rFonts w:ascii="Times" w:eastAsia="Arial" w:hAnsi="Times" w:cs="Times"/>
                <w:szCs w:val="24"/>
              </w:rPr>
            </w:pPr>
            <w:r w:rsidRPr="00644CA2">
              <w:rPr>
                <w:rFonts w:ascii="Times" w:eastAsia="Arial" w:hAnsi="Times" w:cs="Times"/>
                <w:szCs w:val="24"/>
              </w:rPr>
              <w:t>Predkladateľ: </w:t>
            </w:r>
          </w:p>
        </w:tc>
        <w:tc>
          <w:tcPr>
            <w:tcW w:w="7771" w:type="dxa"/>
            <w:hideMark/>
          </w:tcPr>
          <w:p w14:paraId="700505D4" w14:textId="77777777" w:rsidR="00FA56EC" w:rsidRPr="00644CA2" w:rsidRDefault="00FA56EC" w:rsidP="00F30EC4">
            <w:pPr>
              <w:widowControl w:val="0"/>
              <w:autoSpaceDE w:val="0"/>
              <w:autoSpaceDN w:val="0"/>
              <w:adjustRightInd w:val="0"/>
              <w:spacing w:after="0"/>
              <w:ind w:left="218" w:firstLine="709"/>
              <w:rPr>
                <w:rFonts w:eastAsia="Arial"/>
                <w:szCs w:val="24"/>
              </w:rPr>
            </w:pPr>
            <w:r>
              <w:rPr>
                <w:rFonts w:eastAsia="Arial"/>
                <w:szCs w:val="24"/>
              </w:rPr>
              <w:t xml:space="preserve"> minister zahraničných vecí a európskych záležitostí </w:t>
            </w:r>
          </w:p>
        </w:tc>
      </w:tr>
    </w:tbl>
    <w:p w14:paraId="7FE01AA0" w14:textId="77777777" w:rsidR="00FA56EC" w:rsidRPr="00EE143A" w:rsidRDefault="00B96653" w:rsidP="00FA56EC">
      <w:pPr>
        <w:widowControl w:val="0"/>
        <w:autoSpaceDE w:val="0"/>
        <w:autoSpaceDN w:val="0"/>
        <w:adjustRightInd w:val="0"/>
        <w:rPr>
          <w:rFonts w:ascii="Arial" w:eastAsia="Arial" w:hAnsi="Arial" w:cs="Arial"/>
          <w:sz w:val="20"/>
          <w:szCs w:val="20"/>
        </w:rPr>
      </w:pPr>
      <w:r>
        <w:rPr>
          <w:rFonts w:ascii="Arial" w:eastAsia="Arial" w:hAnsi="Arial" w:cs="Arial"/>
          <w:noProof/>
          <w:sz w:val="20"/>
          <w:szCs w:val="20"/>
        </w:rPr>
        <w:pict w14:anchorId="2D7E7806">
          <v:rect id="_x0000_i1025" alt="" style="width:453.6pt;height:.05pt;mso-width-percent:0;mso-height-percent:0;mso-width-percent:0;mso-height-percent:0" o:hralign="center" o:hrstd="t" o:hr="t" fillcolor="gray" stroked="f"/>
        </w:pict>
      </w:r>
    </w:p>
    <w:p w14:paraId="536A734B" w14:textId="77777777" w:rsidR="00FA56EC" w:rsidRDefault="00FA56EC" w:rsidP="00FA56EC">
      <w:pPr>
        <w:widowControl w:val="0"/>
        <w:autoSpaceDE w:val="0"/>
        <w:autoSpaceDN w:val="0"/>
        <w:adjustRightInd w:val="0"/>
        <w:rPr>
          <w:rFonts w:ascii="Arial" w:eastAsia="Arial" w:hAnsi="Arial" w:cs="Arial"/>
          <w:sz w:val="20"/>
          <w:szCs w:val="20"/>
        </w:rPr>
      </w:pPr>
    </w:p>
    <w:p w14:paraId="35D5F829" w14:textId="77777777" w:rsidR="00FA56EC" w:rsidRPr="00EE143A" w:rsidRDefault="00FA56EC" w:rsidP="00FA56EC">
      <w:pPr>
        <w:widowControl w:val="0"/>
        <w:autoSpaceDE w:val="0"/>
        <w:autoSpaceDN w:val="0"/>
        <w:adjustRightInd w:val="0"/>
        <w:rPr>
          <w:rFonts w:ascii="Arial" w:eastAsia="Arial" w:hAnsi="Arial" w:cs="Arial"/>
          <w:sz w:val="20"/>
          <w:szCs w:val="20"/>
        </w:rPr>
      </w:pPr>
      <w:r w:rsidRPr="00732F55">
        <w:rPr>
          <w:rFonts w:eastAsia="Arial"/>
          <w:b/>
          <w:sz w:val="32"/>
          <w:szCs w:val="32"/>
        </w:rPr>
        <w:t>Vláda</w:t>
      </w:r>
    </w:p>
    <w:tbl>
      <w:tblPr>
        <w:tblW w:w="5000" w:type="pct"/>
        <w:jc w:val="center"/>
        <w:tblCellMar>
          <w:top w:w="120" w:type="dxa"/>
          <w:left w:w="120" w:type="dxa"/>
          <w:bottom w:w="120" w:type="dxa"/>
          <w:right w:w="120" w:type="dxa"/>
        </w:tblCellMar>
        <w:tblLook w:val="04A0" w:firstRow="1" w:lastRow="0" w:firstColumn="1" w:lastColumn="0" w:noHBand="0" w:noVBand="1"/>
      </w:tblPr>
      <w:tblGrid>
        <w:gridCol w:w="10"/>
        <w:gridCol w:w="715"/>
        <w:gridCol w:w="726"/>
        <w:gridCol w:w="93"/>
        <w:gridCol w:w="7234"/>
        <w:gridCol w:w="294"/>
      </w:tblGrid>
      <w:tr w:rsidR="00FA56EC" w:rsidRPr="00EE143A" w14:paraId="08BAC8AC" w14:textId="77777777" w:rsidTr="00F30EC4">
        <w:trPr>
          <w:trHeight w:val="450"/>
          <w:jc w:val="center"/>
        </w:trPr>
        <w:tc>
          <w:tcPr>
            <w:tcW w:w="400" w:type="pct"/>
            <w:gridSpan w:val="2"/>
            <w:tcBorders>
              <w:top w:val="nil"/>
              <w:left w:val="nil"/>
              <w:bottom w:val="nil"/>
              <w:right w:val="nil"/>
            </w:tcBorders>
            <w:hideMark/>
          </w:tcPr>
          <w:p w14:paraId="6C9E16A8"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sidRPr="00EE143A">
              <w:rPr>
                <w:rFonts w:ascii="Times" w:eastAsia="Arial" w:hAnsi="Times" w:cs="Times"/>
                <w:b/>
                <w:bCs/>
                <w:sz w:val="28"/>
                <w:szCs w:val="28"/>
              </w:rPr>
              <w:t>A.</w:t>
            </w:r>
          </w:p>
        </w:tc>
        <w:tc>
          <w:tcPr>
            <w:tcW w:w="4600" w:type="pct"/>
            <w:gridSpan w:val="4"/>
            <w:tcBorders>
              <w:top w:val="nil"/>
              <w:left w:val="nil"/>
              <w:bottom w:val="nil"/>
              <w:right w:val="nil"/>
            </w:tcBorders>
            <w:hideMark/>
          </w:tcPr>
          <w:p w14:paraId="07D81C1A"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Pr>
                <w:rFonts w:ascii="Times" w:eastAsia="Arial" w:hAnsi="Times" w:cs="Times"/>
                <w:b/>
                <w:bCs/>
                <w:sz w:val="28"/>
                <w:szCs w:val="28"/>
              </w:rPr>
              <w:t>s</w:t>
            </w:r>
            <w:r w:rsidRPr="00EE143A">
              <w:rPr>
                <w:rFonts w:ascii="Times" w:eastAsia="Arial" w:hAnsi="Times" w:cs="Times"/>
                <w:b/>
                <w:bCs/>
                <w:sz w:val="28"/>
                <w:szCs w:val="28"/>
              </w:rPr>
              <w:t>úhlasí</w:t>
            </w:r>
          </w:p>
        </w:tc>
      </w:tr>
      <w:tr w:rsidR="00FA56EC" w:rsidRPr="00EE143A" w14:paraId="0C3C3A30" w14:textId="77777777" w:rsidTr="00F30EC4">
        <w:trPr>
          <w:trHeight w:val="1371"/>
          <w:jc w:val="center"/>
        </w:trPr>
        <w:tc>
          <w:tcPr>
            <w:tcW w:w="400" w:type="pct"/>
            <w:gridSpan w:val="2"/>
            <w:tcBorders>
              <w:top w:val="nil"/>
              <w:left w:val="nil"/>
              <w:bottom w:val="nil"/>
              <w:right w:val="nil"/>
            </w:tcBorders>
            <w:hideMark/>
          </w:tcPr>
          <w:p w14:paraId="00B11CF2"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p>
        </w:tc>
        <w:tc>
          <w:tcPr>
            <w:tcW w:w="400" w:type="pct"/>
            <w:tcBorders>
              <w:top w:val="nil"/>
              <w:left w:val="nil"/>
              <w:bottom w:val="nil"/>
              <w:right w:val="nil"/>
            </w:tcBorders>
            <w:hideMark/>
          </w:tcPr>
          <w:p w14:paraId="25B014B5" w14:textId="77777777" w:rsidR="00FA56EC" w:rsidRPr="006579E1" w:rsidRDefault="00FA56EC" w:rsidP="00F30EC4">
            <w:pPr>
              <w:widowControl w:val="0"/>
              <w:autoSpaceDE w:val="0"/>
              <w:autoSpaceDN w:val="0"/>
              <w:adjustRightInd w:val="0"/>
              <w:spacing w:after="0" w:line="240" w:lineRule="auto"/>
              <w:rPr>
                <w:rFonts w:ascii="Times" w:eastAsia="Arial" w:hAnsi="Times" w:cs="Times"/>
                <w:szCs w:val="24"/>
              </w:rPr>
            </w:pPr>
            <w:r w:rsidRPr="006579E1">
              <w:rPr>
                <w:rFonts w:ascii="Times" w:eastAsia="Arial" w:hAnsi="Times" w:cs="Times"/>
                <w:szCs w:val="24"/>
              </w:rPr>
              <w:t>A. 1.</w:t>
            </w:r>
          </w:p>
        </w:tc>
        <w:tc>
          <w:tcPr>
            <w:tcW w:w="4200" w:type="pct"/>
            <w:gridSpan w:val="3"/>
            <w:tcBorders>
              <w:top w:val="nil"/>
              <w:left w:val="nil"/>
              <w:bottom w:val="nil"/>
              <w:right w:val="nil"/>
            </w:tcBorders>
            <w:hideMark/>
          </w:tcPr>
          <w:p w14:paraId="6F171E59" w14:textId="77777777" w:rsidR="00FA56EC" w:rsidRDefault="00FA56EC" w:rsidP="00F30EC4">
            <w:pPr>
              <w:spacing w:after="0" w:line="240" w:lineRule="auto"/>
              <w:ind w:left="-25" w:firstLine="25"/>
              <w:rPr>
                <w:rFonts w:ascii="Times" w:eastAsia="Arial" w:hAnsi="Times" w:cs="Times"/>
                <w:szCs w:val="24"/>
              </w:rPr>
            </w:pPr>
            <w:r w:rsidRPr="006579E1">
              <w:rPr>
                <w:rFonts w:ascii="Times" w:eastAsia="Arial" w:hAnsi="Times" w:cs="Times"/>
                <w:szCs w:val="24"/>
              </w:rPr>
              <w:t>s uza</w:t>
            </w:r>
            <w:r>
              <w:rPr>
                <w:rFonts w:ascii="Times" w:eastAsia="Arial" w:hAnsi="Times" w:cs="Times"/>
                <w:szCs w:val="24"/>
              </w:rPr>
              <w:t>v</w:t>
            </w:r>
            <w:r w:rsidRPr="006579E1">
              <w:rPr>
                <w:rFonts w:ascii="Times" w:eastAsia="Arial" w:hAnsi="Times" w:cs="Times"/>
                <w:szCs w:val="24"/>
              </w:rPr>
              <w:t>re</w:t>
            </w:r>
            <w:r>
              <w:rPr>
                <w:rFonts w:ascii="Times" w:eastAsia="Arial" w:hAnsi="Times" w:cs="Times"/>
                <w:szCs w:val="24"/>
              </w:rPr>
              <w:t>t</w:t>
            </w:r>
            <w:r w:rsidRPr="006579E1">
              <w:rPr>
                <w:rFonts w:ascii="Times" w:eastAsia="Arial" w:hAnsi="Times" w:cs="Times"/>
                <w:szCs w:val="24"/>
              </w:rPr>
              <w:t xml:space="preserve">ím </w:t>
            </w:r>
            <w:r>
              <w:rPr>
                <w:rFonts w:ascii="Times" w:eastAsia="Arial" w:hAnsi="Times" w:cs="Times"/>
                <w:szCs w:val="24"/>
              </w:rPr>
              <w:t>Rozšírenej rámcovej dohody</w:t>
            </w:r>
            <w:r w:rsidRPr="006579E1">
              <w:rPr>
                <w:rFonts w:ascii="Times" w:eastAsia="Arial" w:hAnsi="Times" w:cs="Times"/>
                <w:szCs w:val="24"/>
              </w:rPr>
              <w:t xml:space="preserve"> medzi Európskou úniou a jej členskými štátmi na jednej strane a </w:t>
            </w:r>
            <w:r w:rsidRPr="00EE6B14">
              <w:rPr>
                <w:rFonts w:ascii="Times" w:hAnsi="Times" w:cs="Times"/>
                <w:szCs w:val="24"/>
              </w:rPr>
              <w:t>Čilskou republikou</w:t>
            </w:r>
            <w:r w:rsidRPr="00EE6B14">
              <w:rPr>
                <w:b/>
                <w:bCs/>
                <w:szCs w:val="24"/>
              </w:rPr>
              <w:t xml:space="preserve"> </w:t>
            </w:r>
            <w:r w:rsidRPr="009E68DD">
              <w:rPr>
                <w:szCs w:val="24"/>
              </w:rPr>
              <w:t xml:space="preserve">na strane druhej </w:t>
            </w:r>
            <w:r w:rsidRPr="006579E1">
              <w:rPr>
                <w:rFonts w:ascii="Times" w:eastAsia="Arial" w:hAnsi="Times" w:cs="Times"/>
                <w:szCs w:val="24"/>
              </w:rPr>
              <w:t xml:space="preserve">(ďalej len </w:t>
            </w:r>
            <w:r>
              <w:rPr>
                <w:rFonts w:ascii="Times" w:eastAsia="Arial" w:hAnsi="Times" w:cs="Times"/>
                <w:szCs w:val="24"/>
              </w:rPr>
              <w:t xml:space="preserve">,,rozšírená rámcová </w:t>
            </w:r>
            <w:r w:rsidRPr="006579E1">
              <w:rPr>
                <w:rFonts w:ascii="Times" w:eastAsia="Arial" w:hAnsi="Times" w:cs="Times"/>
                <w:szCs w:val="24"/>
              </w:rPr>
              <w:t>dohoda</w:t>
            </w:r>
            <w:r>
              <w:rPr>
                <w:rFonts w:ascii="Times" w:eastAsia="Arial" w:hAnsi="Times" w:cs="Times"/>
                <w:szCs w:val="24"/>
              </w:rPr>
              <w:t>“</w:t>
            </w:r>
            <w:r w:rsidRPr="006579E1">
              <w:rPr>
                <w:rFonts w:ascii="Times" w:eastAsia="Arial" w:hAnsi="Times" w:cs="Times"/>
                <w:szCs w:val="24"/>
              </w:rPr>
              <w:t>);</w:t>
            </w:r>
          </w:p>
          <w:p w14:paraId="64F42352" w14:textId="77777777" w:rsidR="00FA56EC" w:rsidRDefault="00FA56EC" w:rsidP="00F30EC4">
            <w:pPr>
              <w:spacing w:after="0" w:line="240" w:lineRule="auto"/>
              <w:ind w:left="-25" w:firstLine="25"/>
              <w:rPr>
                <w:rFonts w:ascii="Times" w:eastAsia="Arial" w:hAnsi="Times" w:cs="Times"/>
                <w:szCs w:val="24"/>
              </w:rPr>
            </w:pPr>
          </w:p>
          <w:p w14:paraId="04FBE113" w14:textId="77777777" w:rsidR="00FA56EC" w:rsidRDefault="00FA56EC" w:rsidP="00F30EC4">
            <w:pPr>
              <w:spacing w:after="0" w:line="240" w:lineRule="auto"/>
              <w:rPr>
                <w:rFonts w:ascii="Times" w:eastAsia="Arial" w:hAnsi="Times" w:cs="Times"/>
                <w:szCs w:val="24"/>
              </w:rPr>
            </w:pPr>
          </w:p>
          <w:p w14:paraId="4DF6590A" w14:textId="77777777" w:rsidR="00FA56EC" w:rsidRDefault="00FA56EC" w:rsidP="00F30EC4">
            <w:pPr>
              <w:spacing w:after="0" w:line="240" w:lineRule="auto"/>
              <w:ind w:left="-25" w:firstLine="25"/>
              <w:rPr>
                <w:rFonts w:ascii="Times" w:eastAsia="Arial" w:hAnsi="Times" w:cs="Times"/>
                <w:szCs w:val="24"/>
              </w:rPr>
            </w:pPr>
          </w:p>
          <w:p w14:paraId="7EC2A4E1" w14:textId="77777777" w:rsidR="00FA56EC" w:rsidRPr="006579E1" w:rsidRDefault="00FA56EC" w:rsidP="00F30EC4">
            <w:pPr>
              <w:spacing w:after="0" w:line="240" w:lineRule="auto"/>
              <w:rPr>
                <w:rFonts w:ascii="Times" w:eastAsia="Arial" w:hAnsi="Times" w:cs="Times"/>
                <w:szCs w:val="24"/>
              </w:rPr>
            </w:pPr>
          </w:p>
        </w:tc>
      </w:tr>
      <w:tr w:rsidR="00FA56EC" w:rsidRPr="00EE143A" w14:paraId="6138932E" w14:textId="77777777" w:rsidTr="00F30EC4">
        <w:trPr>
          <w:trHeight w:val="450"/>
          <w:jc w:val="center"/>
        </w:trPr>
        <w:tc>
          <w:tcPr>
            <w:tcW w:w="400" w:type="pct"/>
            <w:gridSpan w:val="2"/>
            <w:tcBorders>
              <w:top w:val="nil"/>
              <w:left w:val="nil"/>
              <w:bottom w:val="nil"/>
              <w:right w:val="nil"/>
            </w:tcBorders>
            <w:hideMark/>
          </w:tcPr>
          <w:p w14:paraId="7D90ED05"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sidRPr="00EE143A">
              <w:rPr>
                <w:rFonts w:ascii="Times" w:eastAsia="Arial" w:hAnsi="Times" w:cs="Times"/>
                <w:b/>
                <w:bCs/>
                <w:sz w:val="28"/>
                <w:szCs w:val="28"/>
              </w:rPr>
              <w:t>B.</w:t>
            </w:r>
          </w:p>
        </w:tc>
        <w:tc>
          <w:tcPr>
            <w:tcW w:w="4600" w:type="pct"/>
            <w:gridSpan w:val="4"/>
            <w:tcBorders>
              <w:top w:val="nil"/>
              <w:left w:val="nil"/>
              <w:bottom w:val="nil"/>
              <w:right w:val="nil"/>
            </w:tcBorders>
            <w:hideMark/>
          </w:tcPr>
          <w:p w14:paraId="3BE1D1C0"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Pr>
                <w:rFonts w:ascii="Times" w:eastAsia="Arial" w:hAnsi="Times" w:cs="Times"/>
                <w:b/>
                <w:bCs/>
                <w:sz w:val="28"/>
                <w:szCs w:val="28"/>
              </w:rPr>
              <w:t>o</w:t>
            </w:r>
            <w:r w:rsidRPr="00EE143A">
              <w:rPr>
                <w:rFonts w:ascii="Times" w:eastAsia="Arial" w:hAnsi="Times" w:cs="Times"/>
                <w:b/>
                <w:bCs/>
                <w:sz w:val="28"/>
                <w:szCs w:val="28"/>
              </w:rPr>
              <w:t>dporúča</w:t>
            </w:r>
          </w:p>
        </w:tc>
      </w:tr>
      <w:tr w:rsidR="00FA56EC" w:rsidRPr="00EE143A" w14:paraId="00CE8466" w14:textId="77777777" w:rsidTr="00F30EC4">
        <w:trPr>
          <w:trHeight w:val="450"/>
          <w:jc w:val="center"/>
        </w:trPr>
        <w:tc>
          <w:tcPr>
            <w:tcW w:w="400" w:type="pct"/>
            <w:gridSpan w:val="2"/>
            <w:tcBorders>
              <w:top w:val="nil"/>
              <w:left w:val="nil"/>
              <w:bottom w:val="nil"/>
              <w:right w:val="nil"/>
            </w:tcBorders>
            <w:hideMark/>
          </w:tcPr>
          <w:p w14:paraId="52734325"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p>
        </w:tc>
        <w:tc>
          <w:tcPr>
            <w:tcW w:w="4600" w:type="pct"/>
            <w:gridSpan w:val="4"/>
            <w:tcBorders>
              <w:top w:val="nil"/>
              <w:left w:val="nil"/>
              <w:bottom w:val="nil"/>
              <w:right w:val="nil"/>
            </w:tcBorders>
            <w:hideMark/>
          </w:tcPr>
          <w:p w14:paraId="2AE3D0D0" w14:textId="77777777" w:rsidR="00FA56EC" w:rsidRPr="006579E1" w:rsidRDefault="00FA56EC" w:rsidP="00F30EC4">
            <w:pPr>
              <w:widowControl w:val="0"/>
              <w:autoSpaceDE w:val="0"/>
              <w:autoSpaceDN w:val="0"/>
              <w:adjustRightInd w:val="0"/>
              <w:spacing w:after="0" w:line="240" w:lineRule="auto"/>
              <w:rPr>
                <w:rFonts w:ascii="Times" w:eastAsia="Arial" w:hAnsi="Times" w:cs="Times"/>
                <w:b/>
                <w:bCs/>
                <w:szCs w:val="24"/>
              </w:rPr>
            </w:pPr>
            <w:r w:rsidRPr="006579E1">
              <w:rPr>
                <w:rFonts w:ascii="Times" w:eastAsia="Arial" w:hAnsi="Times" w:cs="Times"/>
                <w:b/>
                <w:bCs/>
                <w:szCs w:val="24"/>
              </w:rPr>
              <w:t>prezidentovi SR</w:t>
            </w:r>
          </w:p>
        </w:tc>
      </w:tr>
      <w:tr w:rsidR="00FA56EC" w:rsidRPr="00EE143A" w14:paraId="71E113C6" w14:textId="77777777" w:rsidTr="00F30EC4">
        <w:trPr>
          <w:trHeight w:val="450"/>
          <w:jc w:val="center"/>
        </w:trPr>
        <w:tc>
          <w:tcPr>
            <w:tcW w:w="400" w:type="pct"/>
            <w:gridSpan w:val="2"/>
            <w:tcBorders>
              <w:top w:val="nil"/>
              <w:left w:val="nil"/>
              <w:bottom w:val="nil"/>
              <w:right w:val="nil"/>
            </w:tcBorders>
            <w:hideMark/>
          </w:tcPr>
          <w:p w14:paraId="0DB9DF73"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5"/>
                <w:szCs w:val="25"/>
              </w:rPr>
            </w:pPr>
          </w:p>
        </w:tc>
        <w:tc>
          <w:tcPr>
            <w:tcW w:w="400" w:type="pct"/>
            <w:tcBorders>
              <w:top w:val="nil"/>
              <w:left w:val="nil"/>
              <w:bottom w:val="nil"/>
              <w:right w:val="nil"/>
            </w:tcBorders>
            <w:hideMark/>
          </w:tcPr>
          <w:p w14:paraId="2EBE0091" w14:textId="77777777" w:rsidR="00FA56EC" w:rsidRDefault="00FA56EC" w:rsidP="00F30EC4">
            <w:pPr>
              <w:widowControl w:val="0"/>
              <w:autoSpaceDE w:val="0"/>
              <w:autoSpaceDN w:val="0"/>
              <w:adjustRightInd w:val="0"/>
              <w:spacing w:after="0" w:line="240" w:lineRule="auto"/>
              <w:rPr>
                <w:rFonts w:ascii="Times" w:eastAsia="Arial" w:hAnsi="Times" w:cs="Times"/>
                <w:szCs w:val="24"/>
              </w:rPr>
            </w:pPr>
            <w:r>
              <w:rPr>
                <w:rFonts w:ascii="Times" w:eastAsia="Arial" w:hAnsi="Times" w:cs="Times"/>
                <w:szCs w:val="24"/>
              </w:rPr>
              <w:t>B.1.</w:t>
            </w:r>
          </w:p>
          <w:p w14:paraId="4A288C16" w14:textId="77777777" w:rsidR="00FA56EC" w:rsidRPr="006579E1" w:rsidRDefault="00FA56EC" w:rsidP="00F30EC4">
            <w:pPr>
              <w:rPr>
                <w:rFonts w:ascii="Times" w:eastAsia="Arial" w:hAnsi="Times" w:cs="Times"/>
                <w:szCs w:val="24"/>
              </w:rPr>
            </w:pPr>
          </w:p>
        </w:tc>
        <w:tc>
          <w:tcPr>
            <w:tcW w:w="4200" w:type="pct"/>
            <w:gridSpan w:val="3"/>
            <w:tcBorders>
              <w:top w:val="nil"/>
              <w:left w:val="nil"/>
              <w:bottom w:val="nil"/>
              <w:right w:val="nil"/>
            </w:tcBorders>
            <w:hideMark/>
          </w:tcPr>
          <w:p w14:paraId="1092FC2D" w14:textId="77777777" w:rsidR="00FA56EC" w:rsidRPr="006579E1" w:rsidRDefault="00FA56EC" w:rsidP="00F30EC4">
            <w:pPr>
              <w:widowControl w:val="0"/>
              <w:autoSpaceDE w:val="0"/>
              <w:autoSpaceDN w:val="0"/>
              <w:adjustRightInd w:val="0"/>
              <w:spacing w:after="0" w:line="240" w:lineRule="auto"/>
              <w:rPr>
                <w:rFonts w:ascii="Times" w:eastAsia="Arial" w:hAnsi="Times" w:cs="Times"/>
                <w:szCs w:val="24"/>
              </w:rPr>
            </w:pPr>
            <w:r w:rsidRPr="006579E1">
              <w:rPr>
                <w:rFonts w:ascii="Times" w:eastAsia="Arial" w:hAnsi="Times" w:cs="Times"/>
                <w:szCs w:val="24"/>
              </w:rPr>
              <w:t xml:space="preserve">ratifikovať podpísanú </w:t>
            </w:r>
            <w:r>
              <w:rPr>
                <w:rFonts w:ascii="Times" w:eastAsia="Arial" w:hAnsi="Times" w:cs="Times"/>
                <w:szCs w:val="24"/>
              </w:rPr>
              <w:t xml:space="preserve">rozšírenú rámcovú </w:t>
            </w:r>
            <w:r w:rsidRPr="006579E1">
              <w:rPr>
                <w:rFonts w:ascii="Times" w:eastAsia="Arial" w:hAnsi="Times" w:cs="Times"/>
                <w:szCs w:val="24"/>
              </w:rPr>
              <w:t>dohodu po vyslovení súhlasu Národnej rady S</w:t>
            </w:r>
            <w:r>
              <w:rPr>
                <w:rFonts w:ascii="Times" w:eastAsia="Arial" w:hAnsi="Times" w:cs="Times"/>
                <w:szCs w:val="24"/>
              </w:rPr>
              <w:t>lovenskej republiky,</w:t>
            </w:r>
          </w:p>
        </w:tc>
      </w:tr>
      <w:tr w:rsidR="00FA56EC" w:rsidRPr="00EE143A" w14:paraId="3522B401" w14:textId="77777777" w:rsidTr="00F30EC4">
        <w:trPr>
          <w:trHeight w:val="450"/>
          <w:jc w:val="center"/>
        </w:trPr>
        <w:tc>
          <w:tcPr>
            <w:tcW w:w="400" w:type="pct"/>
            <w:gridSpan w:val="2"/>
            <w:tcBorders>
              <w:top w:val="nil"/>
              <w:left w:val="nil"/>
              <w:bottom w:val="nil"/>
              <w:right w:val="nil"/>
            </w:tcBorders>
            <w:hideMark/>
          </w:tcPr>
          <w:p w14:paraId="62C0936E" w14:textId="77777777" w:rsidR="00FA56EC" w:rsidRPr="00EE143A" w:rsidRDefault="00FA56EC" w:rsidP="00F30EC4">
            <w:pPr>
              <w:widowControl w:val="0"/>
              <w:autoSpaceDE w:val="0"/>
              <w:autoSpaceDN w:val="0"/>
              <w:adjustRightInd w:val="0"/>
              <w:spacing w:after="0" w:line="240" w:lineRule="auto"/>
              <w:rPr>
                <w:rFonts w:ascii="Arial" w:eastAsia="Arial" w:hAnsi="Arial" w:cs="Arial"/>
                <w:sz w:val="20"/>
                <w:szCs w:val="20"/>
              </w:rPr>
            </w:pPr>
          </w:p>
        </w:tc>
        <w:tc>
          <w:tcPr>
            <w:tcW w:w="4600" w:type="pct"/>
            <w:gridSpan w:val="4"/>
            <w:tcBorders>
              <w:top w:val="nil"/>
              <w:left w:val="nil"/>
              <w:bottom w:val="nil"/>
              <w:right w:val="nil"/>
            </w:tcBorders>
            <w:hideMark/>
          </w:tcPr>
          <w:p w14:paraId="10E4D096" w14:textId="77777777" w:rsidR="00FA56EC" w:rsidRPr="006579E1" w:rsidRDefault="00FA56EC" w:rsidP="00F30EC4">
            <w:pPr>
              <w:widowControl w:val="0"/>
              <w:autoSpaceDE w:val="0"/>
              <w:autoSpaceDN w:val="0"/>
              <w:adjustRightInd w:val="0"/>
              <w:spacing w:after="0" w:line="240" w:lineRule="auto"/>
              <w:rPr>
                <w:rFonts w:ascii="Times" w:eastAsia="Arial" w:hAnsi="Times" w:cs="Times"/>
                <w:b/>
                <w:bCs/>
                <w:sz w:val="25"/>
                <w:szCs w:val="25"/>
              </w:rPr>
            </w:pPr>
            <w:r w:rsidRPr="006579E1">
              <w:rPr>
                <w:rFonts w:ascii="Times" w:eastAsia="Arial" w:hAnsi="Times" w:cs="Times"/>
                <w:b/>
                <w:bCs/>
                <w:sz w:val="25"/>
                <w:szCs w:val="25"/>
              </w:rPr>
              <w:t>Národnej rade SR</w:t>
            </w:r>
          </w:p>
        </w:tc>
      </w:tr>
      <w:tr w:rsidR="00FA56EC" w:rsidRPr="00EE143A" w14:paraId="0B7A10EB" w14:textId="77777777" w:rsidTr="00F30EC4">
        <w:trPr>
          <w:trHeight w:val="450"/>
          <w:jc w:val="center"/>
        </w:trPr>
        <w:tc>
          <w:tcPr>
            <w:tcW w:w="400" w:type="pct"/>
            <w:gridSpan w:val="2"/>
            <w:tcBorders>
              <w:top w:val="nil"/>
              <w:left w:val="nil"/>
              <w:bottom w:val="nil"/>
              <w:right w:val="nil"/>
            </w:tcBorders>
            <w:hideMark/>
          </w:tcPr>
          <w:p w14:paraId="0F6055F8"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5"/>
                <w:szCs w:val="25"/>
              </w:rPr>
            </w:pPr>
          </w:p>
        </w:tc>
        <w:tc>
          <w:tcPr>
            <w:tcW w:w="400" w:type="pct"/>
            <w:tcBorders>
              <w:top w:val="nil"/>
              <w:left w:val="nil"/>
              <w:bottom w:val="nil"/>
              <w:right w:val="nil"/>
            </w:tcBorders>
            <w:hideMark/>
          </w:tcPr>
          <w:p w14:paraId="7DCEC922"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B. 2.</w:t>
            </w:r>
          </w:p>
        </w:tc>
        <w:tc>
          <w:tcPr>
            <w:tcW w:w="4200" w:type="pct"/>
            <w:gridSpan w:val="3"/>
            <w:tcBorders>
              <w:top w:val="nil"/>
              <w:left w:val="nil"/>
              <w:bottom w:val="nil"/>
              <w:right w:val="nil"/>
            </w:tcBorders>
            <w:hideMark/>
          </w:tcPr>
          <w:p w14:paraId="0107067B" w14:textId="77777777" w:rsidR="00FA56EC"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vysloviť súhlas s</w:t>
            </w:r>
            <w:r>
              <w:rPr>
                <w:rFonts w:ascii="Times" w:eastAsia="Arial" w:hAnsi="Times" w:cs="Times"/>
                <w:szCs w:val="24"/>
              </w:rPr>
              <w:t xml:space="preserve"> rozšírenou rámcovou </w:t>
            </w:r>
            <w:r w:rsidRPr="002E53F0">
              <w:rPr>
                <w:rFonts w:ascii="Times" w:eastAsia="Arial" w:hAnsi="Times" w:cs="Times"/>
                <w:szCs w:val="24"/>
              </w:rPr>
              <w:t xml:space="preserve">dohodou a rozhodnúť, že ide o medzinárodnú zmluvu, ktorá má podľa </w:t>
            </w:r>
            <w:r w:rsidRPr="00B46AF3">
              <w:rPr>
                <w:rFonts w:ascii="Times" w:eastAsia="Arial" w:hAnsi="Times" w:cs="Times"/>
                <w:szCs w:val="24"/>
              </w:rPr>
              <w:t>čl. 7 ods. 5 Ústavy Slovenskej republiky</w:t>
            </w:r>
            <w:r w:rsidRPr="002E53F0">
              <w:rPr>
                <w:rFonts w:ascii="Times" w:eastAsia="Arial" w:hAnsi="Times" w:cs="Times"/>
                <w:szCs w:val="24"/>
              </w:rPr>
              <w:t xml:space="preserve"> prednosť pred zákonmi</w:t>
            </w:r>
            <w:r w:rsidRPr="003E1778">
              <w:rPr>
                <w:rFonts w:ascii="Times" w:eastAsia="Arial" w:hAnsi="Times" w:cs="Times"/>
                <w:szCs w:val="24"/>
              </w:rPr>
              <w:t>;</w:t>
            </w:r>
          </w:p>
          <w:p w14:paraId="05904A2B"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p>
        </w:tc>
      </w:tr>
      <w:tr w:rsidR="00FA56EC" w:rsidRPr="00EE143A" w14:paraId="33173743" w14:textId="77777777" w:rsidTr="00F30EC4">
        <w:trPr>
          <w:trHeight w:val="450"/>
          <w:jc w:val="center"/>
        </w:trPr>
        <w:tc>
          <w:tcPr>
            <w:tcW w:w="400" w:type="pct"/>
            <w:gridSpan w:val="2"/>
            <w:tcBorders>
              <w:top w:val="nil"/>
              <w:left w:val="nil"/>
              <w:bottom w:val="nil"/>
              <w:right w:val="nil"/>
            </w:tcBorders>
            <w:hideMark/>
          </w:tcPr>
          <w:p w14:paraId="64E7B64F"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sidRPr="00EE143A">
              <w:rPr>
                <w:rFonts w:ascii="Times" w:eastAsia="Arial" w:hAnsi="Times" w:cs="Times"/>
                <w:b/>
                <w:bCs/>
                <w:sz w:val="28"/>
                <w:szCs w:val="28"/>
              </w:rPr>
              <w:lastRenderedPageBreak/>
              <w:t>C.</w:t>
            </w:r>
          </w:p>
        </w:tc>
        <w:tc>
          <w:tcPr>
            <w:tcW w:w="4600" w:type="pct"/>
            <w:gridSpan w:val="4"/>
            <w:tcBorders>
              <w:top w:val="nil"/>
              <w:left w:val="nil"/>
              <w:bottom w:val="nil"/>
              <w:right w:val="nil"/>
            </w:tcBorders>
            <w:hideMark/>
          </w:tcPr>
          <w:p w14:paraId="2849D258" w14:textId="77777777" w:rsidR="00FA56EC" w:rsidRPr="00EE143A" w:rsidRDefault="00FA56EC" w:rsidP="00F30EC4">
            <w:pPr>
              <w:widowControl w:val="0"/>
              <w:tabs>
                <w:tab w:val="left" w:pos="1306"/>
              </w:tabs>
              <w:autoSpaceDE w:val="0"/>
              <w:autoSpaceDN w:val="0"/>
              <w:adjustRightInd w:val="0"/>
              <w:spacing w:after="0" w:line="240" w:lineRule="auto"/>
              <w:rPr>
                <w:rFonts w:ascii="Times" w:eastAsia="Arial" w:hAnsi="Times" w:cs="Times"/>
                <w:b/>
                <w:bCs/>
                <w:sz w:val="28"/>
                <w:szCs w:val="28"/>
              </w:rPr>
            </w:pPr>
            <w:r>
              <w:rPr>
                <w:rFonts w:ascii="Times" w:eastAsia="Arial" w:hAnsi="Times" w:cs="Times"/>
                <w:b/>
                <w:bCs/>
                <w:sz w:val="28"/>
                <w:szCs w:val="28"/>
              </w:rPr>
              <w:t>p</w:t>
            </w:r>
            <w:r w:rsidRPr="00EE143A">
              <w:rPr>
                <w:rFonts w:ascii="Times" w:eastAsia="Arial" w:hAnsi="Times" w:cs="Times"/>
                <w:b/>
                <w:bCs/>
                <w:sz w:val="28"/>
                <w:szCs w:val="28"/>
              </w:rPr>
              <w:t>overuje</w:t>
            </w:r>
          </w:p>
        </w:tc>
      </w:tr>
      <w:tr w:rsidR="00FA56EC" w:rsidRPr="00EE143A" w14:paraId="6E253963" w14:textId="77777777" w:rsidTr="00F30EC4">
        <w:trPr>
          <w:trHeight w:val="450"/>
          <w:jc w:val="center"/>
        </w:trPr>
        <w:tc>
          <w:tcPr>
            <w:tcW w:w="400" w:type="pct"/>
            <w:gridSpan w:val="2"/>
            <w:tcBorders>
              <w:top w:val="nil"/>
              <w:left w:val="nil"/>
              <w:bottom w:val="nil"/>
              <w:right w:val="nil"/>
            </w:tcBorders>
            <w:hideMark/>
          </w:tcPr>
          <w:p w14:paraId="1CAFCF26"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p>
        </w:tc>
        <w:tc>
          <w:tcPr>
            <w:tcW w:w="4600" w:type="pct"/>
            <w:gridSpan w:val="4"/>
            <w:tcBorders>
              <w:top w:val="nil"/>
              <w:left w:val="nil"/>
              <w:bottom w:val="nil"/>
              <w:right w:val="nil"/>
            </w:tcBorders>
            <w:hideMark/>
          </w:tcPr>
          <w:p w14:paraId="1FAA9510" w14:textId="77777777" w:rsidR="00FA56EC" w:rsidRPr="002E53F0" w:rsidRDefault="00FA56EC" w:rsidP="00F30EC4">
            <w:pPr>
              <w:widowControl w:val="0"/>
              <w:autoSpaceDE w:val="0"/>
              <w:autoSpaceDN w:val="0"/>
              <w:adjustRightInd w:val="0"/>
              <w:spacing w:after="0" w:line="240" w:lineRule="auto"/>
              <w:rPr>
                <w:rFonts w:ascii="Times" w:eastAsia="Arial" w:hAnsi="Times" w:cs="Times"/>
                <w:b/>
                <w:bCs/>
                <w:szCs w:val="24"/>
              </w:rPr>
            </w:pPr>
            <w:r w:rsidRPr="002E53F0">
              <w:rPr>
                <w:rFonts w:ascii="Times" w:eastAsia="Arial" w:hAnsi="Times" w:cs="Times"/>
                <w:b/>
                <w:bCs/>
                <w:szCs w:val="24"/>
              </w:rPr>
              <w:t xml:space="preserve">predsedu vlády </w:t>
            </w:r>
          </w:p>
        </w:tc>
      </w:tr>
      <w:tr w:rsidR="00FA56EC" w:rsidRPr="00EE143A" w14:paraId="726F6676" w14:textId="77777777" w:rsidTr="00F30EC4">
        <w:trPr>
          <w:trHeight w:val="450"/>
          <w:jc w:val="center"/>
        </w:trPr>
        <w:tc>
          <w:tcPr>
            <w:tcW w:w="400" w:type="pct"/>
            <w:gridSpan w:val="2"/>
            <w:tcBorders>
              <w:top w:val="nil"/>
              <w:left w:val="nil"/>
              <w:bottom w:val="nil"/>
              <w:right w:val="nil"/>
            </w:tcBorders>
            <w:hideMark/>
          </w:tcPr>
          <w:p w14:paraId="25177C1C"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5"/>
                <w:szCs w:val="25"/>
              </w:rPr>
            </w:pPr>
          </w:p>
        </w:tc>
        <w:tc>
          <w:tcPr>
            <w:tcW w:w="400" w:type="pct"/>
            <w:tcBorders>
              <w:top w:val="nil"/>
              <w:left w:val="nil"/>
              <w:bottom w:val="nil"/>
              <w:right w:val="nil"/>
            </w:tcBorders>
            <w:hideMark/>
          </w:tcPr>
          <w:p w14:paraId="1100FC71" w14:textId="77777777" w:rsidR="00FA56EC" w:rsidRPr="006579E1" w:rsidRDefault="00FA56EC" w:rsidP="00F30EC4">
            <w:pPr>
              <w:widowControl w:val="0"/>
              <w:autoSpaceDE w:val="0"/>
              <w:autoSpaceDN w:val="0"/>
              <w:adjustRightInd w:val="0"/>
              <w:spacing w:after="0" w:line="240" w:lineRule="auto"/>
              <w:rPr>
                <w:rFonts w:ascii="Times" w:eastAsia="Arial" w:hAnsi="Times" w:cs="Times"/>
                <w:szCs w:val="24"/>
              </w:rPr>
            </w:pPr>
            <w:r w:rsidRPr="006579E1">
              <w:rPr>
                <w:rFonts w:ascii="Times" w:eastAsia="Arial" w:hAnsi="Times" w:cs="Times"/>
                <w:szCs w:val="24"/>
              </w:rPr>
              <w:t>C. 1.</w:t>
            </w:r>
          </w:p>
        </w:tc>
        <w:tc>
          <w:tcPr>
            <w:tcW w:w="4200" w:type="pct"/>
            <w:gridSpan w:val="3"/>
            <w:tcBorders>
              <w:top w:val="nil"/>
              <w:left w:val="nil"/>
              <w:bottom w:val="nil"/>
              <w:right w:val="nil"/>
            </w:tcBorders>
            <w:hideMark/>
          </w:tcPr>
          <w:p w14:paraId="6DE12C5A"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6579E1">
              <w:rPr>
                <w:rFonts w:ascii="Times" w:eastAsia="Arial" w:hAnsi="Times" w:cs="Times"/>
                <w:szCs w:val="24"/>
              </w:rPr>
              <w:t xml:space="preserve">predložiť </w:t>
            </w:r>
            <w:r>
              <w:rPr>
                <w:rFonts w:ascii="Times" w:eastAsia="Arial" w:hAnsi="Times" w:cs="Times"/>
                <w:szCs w:val="24"/>
              </w:rPr>
              <w:t xml:space="preserve">rozšírenú rámcovú </w:t>
            </w:r>
            <w:r w:rsidRPr="006579E1">
              <w:rPr>
                <w:rFonts w:ascii="Times" w:eastAsia="Arial" w:hAnsi="Times" w:cs="Times"/>
                <w:szCs w:val="24"/>
              </w:rPr>
              <w:t>dohodu Národnej rade S</w:t>
            </w:r>
            <w:r>
              <w:rPr>
                <w:rFonts w:ascii="Times" w:eastAsia="Arial" w:hAnsi="Times" w:cs="Times"/>
                <w:szCs w:val="24"/>
              </w:rPr>
              <w:t>lovenskej republiky</w:t>
            </w:r>
            <w:r w:rsidRPr="006579E1">
              <w:rPr>
                <w:rFonts w:ascii="Times" w:eastAsia="Arial" w:hAnsi="Times" w:cs="Times"/>
                <w:szCs w:val="24"/>
              </w:rPr>
              <w:t xml:space="preserve"> na vyslovenie súhlasu a</w:t>
            </w:r>
            <w:r>
              <w:rPr>
                <w:rFonts w:ascii="Times" w:eastAsia="Arial" w:hAnsi="Times" w:cs="Times"/>
                <w:szCs w:val="24"/>
              </w:rPr>
              <w:t> </w:t>
            </w:r>
            <w:r w:rsidRPr="00A26D0B">
              <w:rPr>
                <w:rFonts w:ascii="Times" w:eastAsia="Arial" w:hAnsi="Times" w:cs="Times"/>
                <w:szCs w:val="24"/>
              </w:rPr>
              <w:t xml:space="preserve">rozhodnutie, že ide o medzinárodnú zmluvu </w:t>
            </w:r>
            <w:r w:rsidRPr="00B46AF3">
              <w:rPr>
                <w:rFonts w:ascii="Times" w:eastAsia="Arial" w:hAnsi="Times" w:cs="Times"/>
                <w:szCs w:val="24"/>
              </w:rPr>
              <w:t>podľa čl. 7 ods. 5 Ústavy Slovenskej</w:t>
            </w:r>
            <w:r w:rsidRPr="00A26D0B">
              <w:rPr>
                <w:rFonts w:ascii="Times" w:eastAsia="Arial" w:hAnsi="Times" w:cs="Times"/>
                <w:szCs w:val="24"/>
              </w:rPr>
              <w:t xml:space="preserve"> republiky, ktorá má prednosť pred zákonmi</w:t>
            </w:r>
            <w:r>
              <w:rPr>
                <w:rFonts w:ascii="Times" w:eastAsia="Arial" w:hAnsi="Times" w:cs="Times"/>
                <w:szCs w:val="24"/>
              </w:rPr>
              <w:t>,</w:t>
            </w:r>
          </w:p>
        </w:tc>
      </w:tr>
      <w:tr w:rsidR="00FA56EC" w:rsidRPr="00EE143A" w14:paraId="59547FF9" w14:textId="77777777" w:rsidTr="00F30EC4">
        <w:trPr>
          <w:trHeight w:val="450"/>
          <w:jc w:val="center"/>
        </w:trPr>
        <w:tc>
          <w:tcPr>
            <w:tcW w:w="400" w:type="pct"/>
            <w:gridSpan w:val="2"/>
            <w:tcBorders>
              <w:top w:val="nil"/>
              <w:left w:val="nil"/>
              <w:bottom w:val="nil"/>
              <w:right w:val="nil"/>
            </w:tcBorders>
            <w:hideMark/>
          </w:tcPr>
          <w:p w14:paraId="36BAC11E" w14:textId="77777777" w:rsidR="00FA56EC" w:rsidRPr="00EE143A" w:rsidRDefault="00FA56EC" w:rsidP="00F30EC4">
            <w:pPr>
              <w:widowControl w:val="0"/>
              <w:autoSpaceDE w:val="0"/>
              <w:autoSpaceDN w:val="0"/>
              <w:adjustRightInd w:val="0"/>
              <w:spacing w:after="0" w:line="240" w:lineRule="auto"/>
              <w:rPr>
                <w:rFonts w:ascii="Arial" w:eastAsia="Arial" w:hAnsi="Arial" w:cs="Arial"/>
                <w:sz w:val="20"/>
                <w:szCs w:val="20"/>
              </w:rPr>
            </w:pPr>
          </w:p>
        </w:tc>
        <w:tc>
          <w:tcPr>
            <w:tcW w:w="4600" w:type="pct"/>
            <w:gridSpan w:val="4"/>
            <w:tcBorders>
              <w:top w:val="nil"/>
              <w:left w:val="nil"/>
              <w:bottom w:val="nil"/>
              <w:right w:val="nil"/>
            </w:tcBorders>
            <w:hideMark/>
          </w:tcPr>
          <w:p w14:paraId="358F664E" w14:textId="77777777" w:rsidR="00FA56EC" w:rsidRPr="002E53F0" w:rsidRDefault="00FA56EC" w:rsidP="00F30EC4">
            <w:pPr>
              <w:widowControl w:val="0"/>
              <w:autoSpaceDE w:val="0"/>
              <w:autoSpaceDN w:val="0"/>
              <w:adjustRightInd w:val="0"/>
              <w:spacing w:after="0" w:line="240" w:lineRule="auto"/>
              <w:rPr>
                <w:rFonts w:ascii="Times" w:eastAsia="Arial" w:hAnsi="Times" w:cs="Times"/>
                <w:b/>
                <w:bCs/>
                <w:szCs w:val="24"/>
              </w:rPr>
            </w:pPr>
            <w:r w:rsidRPr="002E53F0">
              <w:rPr>
                <w:rFonts w:ascii="Times" w:eastAsia="Arial" w:hAnsi="Times" w:cs="Times"/>
                <w:b/>
                <w:bCs/>
                <w:szCs w:val="24"/>
              </w:rPr>
              <w:t xml:space="preserve">ministra zahraničných vecí a európskych záležitostí </w:t>
            </w:r>
          </w:p>
        </w:tc>
      </w:tr>
      <w:tr w:rsidR="00FA56EC" w:rsidRPr="00EE143A" w14:paraId="0ECEEA41" w14:textId="77777777" w:rsidTr="00F30EC4">
        <w:trPr>
          <w:trHeight w:val="450"/>
          <w:jc w:val="center"/>
        </w:trPr>
        <w:tc>
          <w:tcPr>
            <w:tcW w:w="400" w:type="pct"/>
            <w:gridSpan w:val="2"/>
            <w:tcBorders>
              <w:top w:val="nil"/>
              <w:left w:val="nil"/>
              <w:bottom w:val="nil"/>
              <w:right w:val="nil"/>
            </w:tcBorders>
            <w:hideMark/>
          </w:tcPr>
          <w:p w14:paraId="19BE51CB"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5"/>
                <w:szCs w:val="25"/>
              </w:rPr>
            </w:pPr>
          </w:p>
        </w:tc>
        <w:tc>
          <w:tcPr>
            <w:tcW w:w="400" w:type="pct"/>
            <w:tcBorders>
              <w:top w:val="nil"/>
              <w:left w:val="nil"/>
              <w:bottom w:val="nil"/>
              <w:right w:val="nil"/>
            </w:tcBorders>
            <w:hideMark/>
          </w:tcPr>
          <w:p w14:paraId="3554A686"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C. 2.</w:t>
            </w:r>
          </w:p>
        </w:tc>
        <w:tc>
          <w:tcPr>
            <w:tcW w:w="4200" w:type="pct"/>
            <w:gridSpan w:val="3"/>
            <w:tcBorders>
              <w:top w:val="nil"/>
              <w:left w:val="nil"/>
              <w:bottom w:val="nil"/>
              <w:right w:val="nil"/>
            </w:tcBorders>
            <w:hideMark/>
          </w:tcPr>
          <w:p w14:paraId="0B852AFD"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odôvodniť návrh na vyslovenie súhlasu s</w:t>
            </w:r>
            <w:r>
              <w:rPr>
                <w:rFonts w:ascii="Times" w:eastAsia="Arial" w:hAnsi="Times" w:cs="Times"/>
                <w:szCs w:val="24"/>
              </w:rPr>
              <w:t xml:space="preserve"> rozšírenou rámcovou </w:t>
            </w:r>
            <w:r w:rsidRPr="002E53F0">
              <w:rPr>
                <w:rFonts w:ascii="Times" w:eastAsia="Arial" w:hAnsi="Times" w:cs="Times"/>
                <w:szCs w:val="24"/>
              </w:rPr>
              <w:t>dohodou</w:t>
            </w:r>
            <w:r>
              <w:rPr>
                <w:rFonts w:ascii="Times" w:eastAsia="Arial" w:hAnsi="Times" w:cs="Times"/>
                <w:szCs w:val="24"/>
              </w:rPr>
              <w:br/>
            </w:r>
            <w:r w:rsidRPr="002E53F0">
              <w:rPr>
                <w:rFonts w:ascii="Times" w:eastAsia="Arial" w:hAnsi="Times" w:cs="Times"/>
                <w:szCs w:val="24"/>
              </w:rPr>
              <w:t>v Národnej rade S</w:t>
            </w:r>
            <w:r>
              <w:rPr>
                <w:rFonts w:ascii="Times" w:eastAsia="Arial" w:hAnsi="Times" w:cs="Times"/>
                <w:szCs w:val="24"/>
              </w:rPr>
              <w:t>lovenskej republiky</w:t>
            </w:r>
            <w:r w:rsidRPr="002E53F0">
              <w:rPr>
                <w:rFonts w:ascii="Times" w:eastAsia="Arial" w:hAnsi="Times" w:cs="Times"/>
                <w:szCs w:val="24"/>
              </w:rPr>
              <w:t>;</w:t>
            </w:r>
          </w:p>
        </w:tc>
      </w:tr>
      <w:tr w:rsidR="00FA56EC" w:rsidRPr="00EE143A" w14:paraId="5F8F5DEF" w14:textId="77777777" w:rsidTr="00F30EC4">
        <w:trPr>
          <w:trHeight w:val="450"/>
          <w:jc w:val="center"/>
        </w:trPr>
        <w:tc>
          <w:tcPr>
            <w:tcW w:w="400" w:type="pct"/>
            <w:gridSpan w:val="2"/>
            <w:tcBorders>
              <w:top w:val="nil"/>
              <w:left w:val="nil"/>
              <w:bottom w:val="nil"/>
              <w:right w:val="nil"/>
            </w:tcBorders>
            <w:hideMark/>
          </w:tcPr>
          <w:p w14:paraId="32FD77E3"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sidRPr="00EE143A">
              <w:rPr>
                <w:rFonts w:ascii="Times" w:eastAsia="Arial" w:hAnsi="Times" w:cs="Times"/>
                <w:b/>
                <w:bCs/>
                <w:sz w:val="28"/>
                <w:szCs w:val="28"/>
              </w:rPr>
              <w:t>D.</w:t>
            </w:r>
          </w:p>
        </w:tc>
        <w:tc>
          <w:tcPr>
            <w:tcW w:w="4600" w:type="pct"/>
            <w:gridSpan w:val="4"/>
            <w:tcBorders>
              <w:top w:val="nil"/>
              <w:left w:val="nil"/>
              <w:bottom w:val="nil"/>
              <w:right w:val="nil"/>
            </w:tcBorders>
            <w:hideMark/>
          </w:tcPr>
          <w:p w14:paraId="40ED02C0"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r>
              <w:rPr>
                <w:rFonts w:ascii="Times" w:eastAsia="Arial" w:hAnsi="Times" w:cs="Times"/>
                <w:b/>
                <w:bCs/>
                <w:sz w:val="28"/>
                <w:szCs w:val="28"/>
              </w:rPr>
              <w:t>u</w:t>
            </w:r>
            <w:r w:rsidRPr="00EE143A">
              <w:rPr>
                <w:rFonts w:ascii="Times" w:eastAsia="Arial" w:hAnsi="Times" w:cs="Times"/>
                <w:b/>
                <w:bCs/>
                <w:sz w:val="28"/>
                <w:szCs w:val="28"/>
              </w:rPr>
              <w:t>kladá</w:t>
            </w:r>
          </w:p>
        </w:tc>
      </w:tr>
      <w:tr w:rsidR="00FA56EC" w:rsidRPr="00EE143A" w14:paraId="5CB71F4F" w14:textId="77777777" w:rsidTr="00F30EC4">
        <w:trPr>
          <w:trHeight w:val="450"/>
          <w:jc w:val="center"/>
        </w:trPr>
        <w:tc>
          <w:tcPr>
            <w:tcW w:w="400" w:type="pct"/>
            <w:gridSpan w:val="2"/>
            <w:tcBorders>
              <w:top w:val="nil"/>
              <w:left w:val="nil"/>
              <w:bottom w:val="nil"/>
              <w:right w:val="nil"/>
            </w:tcBorders>
            <w:hideMark/>
          </w:tcPr>
          <w:p w14:paraId="1A138007"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8"/>
                <w:szCs w:val="28"/>
              </w:rPr>
            </w:pPr>
          </w:p>
        </w:tc>
        <w:tc>
          <w:tcPr>
            <w:tcW w:w="4600" w:type="pct"/>
            <w:gridSpan w:val="4"/>
            <w:tcBorders>
              <w:top w:val="nil"/>
              <w:left w:val="nil"/>
              <w:bottom w:val="nil"/>
              <w:right w:val="nil"/>
            </w:tcBorders>
            <w:hideMark/>
          </w:tcPr>
          <w:p w14:paraId="79235D16" w14:textId="77777777" w:rsidR="00FA56EC" w:rsidRPr="002E53F0" w:rsidRDefault="00FA56EC" w:rsidP="00F30EC4">
            <w:pPr>
              <w:widowControl w:val="0"/>
              <w:autoSpaceDE w:val="0"/>
              <w:autoSpaceDN w:val="0"/>
              <w:adjustRightInd w:val="0"/>
              <w:spacing w:after="0" w:line="240" w:lineRule="auto"/>
              <w:rPr>
                <w:rFonts w:ascii="Times" w:eastAsia="Arial" w:hAnsi="Times" w:cs="Times"/>
                <w:b/>
                <w:bCs/>
                <w:szCs w:val="24"/>
              </w:rPr>
            </w:pPr>
            <w:r w:rsidRPr="002E53F0">
              <w:rPr>
                <w:rFonts w:ascii="Times" w:eastAsia="Arial" w:hAnsi="Times" w:cs="Times"/>
                <w:b/>
                <w:bCs/>
                <w:szCs w:val="24"/>
              </w:rPr>
              <w:t xml:space="preserve">ministrovi zahraničných vecí a európskych záležitostí </w:t>
            </w:r>
          </w:p>
        </w:tc>
      </w:tr>
      <w:tr w:rsidR="00FA56EC" w:rsidRPr="00EE143A" w14:paraId="7003AD7A" w14:textId="77777777" w:rsidTr="00F30EC4">
        <w:trPr>
          <w:trHeight w:val="450"/>
          <w:jc w:val="center"/>
        </w:trPr>
        <w:tc>
          <w:tcPr>
            <w:tcW w:w="400" w:type="pct"/>
            <w:gridSpan w:val="2"/>
            <w:tcBorders>
              <w:top w:val="nil"/>
              <w:left w:val="nil"/>
              <w:bottom w:val="nil"/>
              <w:right w:val="nil"/>
            </w:tcBorders>
            <w:hideMark/>
          </w:tcPr>
          <w:p w14:paraId="7838FF86" w14:textId="77777777" w:rsidR="00FA56EC" w:rsidRPr="00EE143A" w:rsidRDefault="00FA56EC" w:rsidP="00F30EC4">
            <w:pPr>
              <w:widowControl w:val="0"/>
              <w:autoSpaceDE w:val="0"/>
              <w:autoSpaceDN w:val="0"/>
              <w:adjustRightInd w:val="0"/>
              <w:spacing w:after="0" w:line="240" w:lineRule="auto"/>
              <w:rPr>
                <w:rFonts w:ascii="Times" w:eastAsia="Arial" w:hAnsi="Times" w:cs="Times"/>
                <w:b/>
                <w:bCs/>
                <w:sz w:val="25"/>
                <w:szCs w:val="25"/>
              </w:rPr>
            </w:pPr>
          </w:p>
        </w:tc>
        <w:tc>
          <w:tcPr>
            <w:tcW w:w="400" w:type="pct"/>
            <w:tcBorders>
              <w:top w:val="nil"/>
              <w:left w:val="nil"/>
              <w:bottom w:val="nil"/>
              <w:right w:val="nil"/>
            </w:tcBorders>
            <w:hideMark/>
          </w:tcPr>
          <w:p w14:paraId="3DAFB21D"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D. 1.</w:t>
            </w:r>
          </w:p>
        </w:tc>
        <w:tc>
          <w:tcPr>
            <w:tcW w:w="4200" w:type="pct"/>
            <w:gridSpan w:val="3"/>
            <w:tcBorders>
              <w:top w:val="nil"/>
              <w:left w:val="nil"/>
              <w:bottom w:val="nil"/>
              <w:right w:val="nil"/>
            </w:tcBorders>
            <w:hideMark/>
          </w:tcPr>
          <w:p w14:paraId="1850D4E2"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 xml:space="preserve">vykonať príslušné opatrenia spojené s nadobudnutím platnosti </w:t>
            </w:r>
            <w:r>
              <w:rPr>
                <w:rFonts w:ascii="Times" w:eastAsia="Arial" w:hAnsi="Times" w:cs="Times"/>
                <w:szCs w:val="24"/>
              </w:rPr>
              <w:t xml:space="preserve">rozšírenej rámcovej </w:t>
            </w:r>
            <w:r w:rsidRPr="002E53F0">
              <w:rPr>
                <w:rFonts w:ascii="Times" w:eastAsia="Arial" w:hAnsi="Times" w:cs="Times"/>
                <w:szCs w:val="24"/>
              </w:rPr>
              <w:t>dohody pre Slovenskú republiku</w:t>
            </w:r>
            <w:r>
              <w:rPr>
                <w:rFonts w:ascii="Times" w:eastAsia="Arial" w:hAnsi="Times" w:cs="Times"/>
                <w:szCs w:val="24"/>
              </w:rPr>
              <w:t>,</w:t>
            </w:r>
          </w:p>
        </w:tc>
      </w:tr>
      <w:tr w:rsidR="00FA56EC" w:rsidRPr="00EE143A" w14:paraId="11A2C121" w14:textId="77777777" w:rsidTr="00F30EC4">
        <w:trPr>
          <w:trHeight w:val="450"/>
          <w:jc w:val="center"/>
        </w:trPr>
        <w:tc>
          <w:tcPr>
            <w:tcW w:w="400" w:type="pct"/>
            <w:gridSpan w:val="2"/>
            <w:tcBorders>
              <w:top w:val="nil"/>
              <w:left w:val="nil"/>
              <w:bottom w:val="nil"/>
              <w:right w:val="nil"/>
            </w:tcBorders>
            <w:hideMark/>
          </w:tcPr>
          <w:p w14:paraId="5823172E" w14:textId="77777777" w:rsidR="00FA56EC" w:rsidRPr="00EE143A" w:rsidRDefault="00FA56EC" w:rsidP="00F30EC4">
            <w:pPr>
              <w:widowControl w:val="0"/>
              <w:autoSpaceDE w:val="0"/>
              <w:autoSpaceDN w:val="0"/>
              <w:adjustRightInd w:val="0"/>
              <w:spacing w:after="0" w:line="240" w:lineRule="auto"/>
              <w:rPr>
                <w:rFonts w:ascii="Arial" w:eastAsia="Arial" w:hAnsi="Arial" w:cs="Arial"/>
                <w:sz w:val="20"/>
                <w:szCs w:val="20"/>
              </w:rPr>
            </w:pPr>
          </w:p>
        </w:tc>
        <w:tc>
          <w:tcPr>
            <w:tcW w:w="400" w:type="pct"/>
            <w:tcBorders>
              <w:top w:val="nil"/>
              <w:left w:val="nil"/>
              <w:bottom w:val="nil"/>
              <w:right w:val="nil"/>
            </w:tcBorders>
            <w:hideMark/>
          </w:tcPr>
          <w:p w14:paraId="553D3546"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D. 2.</w:t>
            </w:r>
          </w:p>
        </w:tc>
        <w:tc>
          <w:tcPr>
            <w:tcW w:w="4200" w:type="pct"/>
            <w:gridSpan w:val="3"/>
            <w:tcBorders>
              <w:top w:val="nil"/>
              <w:left w:val="nil"/>
              <w:bottom w:val="nil"/>
              <w:right w:val="nil"/>
            </w:tcBorders>
            <w:hideMark/>
          </w:tcPr>
          <w:p w14:paraId="2831980C"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 xml:space="preserve">zabezpečiť vyhlásenie </w:t>
            </w:r>
            <w:r>
              <w:rPr>
                <w:rFonts w:ascii="Times" w:eastAsia="Arial" w:hAnsi="Times" w:cs="Times"/>
                <w:szCs w:val="24"/>
              </w:rPr>
              <w:t xml:space="preserve">rozšírenej rámcovej </w:t>
            </w:r>
            <w:r w:rsidRPr="002E53F0">
              <w:rPr>
                <w:rFonts w:ascii="Times" w:eastAsia="Arial" w:hAnsi="Times" w:cs="Times"/>
                <w:szCs w:val="24"/>
              </w:rPr>
              <w:t>dohody v Zbierke zákonov Slovenskej republiky.</w:t>
            </w:r>
          </w:p>
        </w:tc>
      </w:tr>
      <w:tr w:rsidR="00FA56EC" w:rsidRPr="00EE143A" w14:paraId="4252CF2B" w14:textId="77777777" w:rsidTr="00F30EC4">
        <w:trPr>
          <w:gridBefore w:val="1"/>
          <w:gridAfter w:val="1"/>
          <w:wBefore w:w="6" w:type="pct"/>
          <w:wAfter w:w="163" w:type="pct"/>
          <w:cantSplit/>
          <w:jc w:val="center"/>
        </w:trPr>
        <w:tc>
          <w:tcPr>
            <w:tcW w:w="845" w:type="pct"/>
            <w:gridSpan w:val="3"/>
            <w:shd w:val="clear" w:color="auto" w:fill="auto"/>
          </w:tcPr>
          <w:p w14:paraId="2BD7CE61" w14:textId="77777777" w:rsidR="00FA56EC" w:rsidRDefault="00FA56EC" w:rsidP="00F30EC4">
            <w:pPr>
              <w:widowControl w:val="0"/>
              <w:autoSpaceDE w:val="0"/>
              <w:autoSpaceDN w:val="0"/>
              <w:adjustRightInd w:val="0"/>
              <w:spacing w:after="0" w:line="240" w:lineRule="auto"/>
              <w:rPr>
                <w:rFonts w:eastAsia="Arial"/>
                <w:b/>
                <w:szCs w:val="24"/>
              </w:rPr>
            </w:pPr>
          </w:p>
          <w:p w14:paraId="11152C58" w14:textId="77777777" w:rsidR="00FA56EC" w:rsidRPr="002E53F0" w:rsidRDefault="00FA56EC" w:rsidP="00F30EC4">
            <w:pPr>
              <w:widowControl w:val="0"/>
              <w:autoSpaceDE w:val="0"/>
              <w:autoSpaceDN w:val="0"/>
              <w:adjustRightInd w:val="0"/>
              <w:spacing w:after="0" w:line="240" w:lineRule="auto"/>
              <w:rPr>
                <w:rFonts w:eastAsia="Arial"/>
                <w:b/>
                <w:szCs w:val="24"/>
              </w:rPr>
            </w:pPr>
            <w:r w:rsidRPr="002E53F0">
              <w:rPr>
                <w:rFonts w:eastAsia="Arial"/>
                <w:b/>
                <w:szCs w:val="24"/>
              </w:rPr>
              <w:t>Vykonajú:</w:t>
            </w:r>
          </w:p>
        </w:tc>
        <w:tc>
          <w:tcPr>
            <w:tcW w:w="3987" w:type="pct"/>
            <w:shd w:val="clear" w:color="auto" w:fill="auto"/>
          </w:tcPr>
          <w:p w14:paraId="7452DBEC" w14:textId="77777777" w:rsidR="00FA56EC" w:rsidRDefault="00FA56EC" w:rsidP="00F30EC4">
            <w:pPr>
              <w:widowControl w:val="0"/>
              <w:autoSpaceDE w:val="0"/>
              <w:autoSpaceDN w:val="0"/>
              <w:adjustRightInd w:val="0"/>
              <w:spacing w:after="0" w:line="240" w:lineRule="auto"/>
              <w:rPr>
                <w:rFonts w:ascii="Times" w:eastAsia="Arial" w:hAnsi="Times" w:cs="Times"/>
                <w:szCs w:val="24"/>
              </w:rPr>
            </w:pPr>
          </w:p>
          <w:p w14:paraId="29CBD02A"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 xml:space="preserve">predseda vlády </w:t>
            </w:r>
          </w:p>
          <w:p w14:paraId="0AFDB699" w14:textId="77777777" w:rsidR="00FA56EC" w:rsidRPr="002E53F0" w:rsidRDefault="00FA56EC" w:rsidP="00F30EC4">
            <w:pPr>
              <w:widowControl w:val="0"/>
              <w:autoSpaceDE w:val="0"/>
              <w:autoSpaceDN w:val="0"/>
              <w:adjustRightInd w:val="0"/>
              <w:spacing w:after="0" w:line="240" w:lineRule="auto"/>
              <w:rPr>
                <w:rFonts w:ascii="Arial" w:eastAsia="Arial" w:hAnsi="Arial" w:cs="Arial"/>
                <w:szCs w:val="24"/>
              </w:rPr>
            </w:pPr>
            <w:r w:rsidRPr="002E53F0">
              <w:rPr>
                <w:rFonts w:ascii="Times" w:eastAsia="Arial" w:hAnsi="Times" w:cs="Times"/>
                <w:szCs w:val="24"/>
              </w:rPr>
              <w:t xml:space="preserve">minister zahraničných vecí a európskych záležitostí </w:t>
            </w:r>
          </w:p>
        </w:tc>
      </w:tr>
      <w:tr w:rsidR="00FA56EC" w:rsidRPr="00EE143A" w14:paraId="39830A7D" w14:textId="77777777" w:rsidTr="00F30EC4">
        <w:trPr>
          <w:gridBefore w:val="1"/>
          <w:gridAfter w:val="1"/>
          <w:wBefore w:w="6" w:type="pct"/>
          <w:wAfter w:w="163" w:type="pct"/>
          <w:cantSplit/>
          <w:jc w:val="center"/>
        </w:trPr>
        <w:tc>
          <w:tcPr>
            <w:tcW w:w="845" w:type="pct"/>
            <w:gridSpan w:val="3"/>
            <w:shd w:val="clear" w:color="auto" w:fill="auto"/>
          </w:tcPr>
          <w:p w14:paraId="7DE27850" w14:textId="77777777" w:rsidR="00FA56EC" w:rsidRPr="002E53F0" w:rsidRDefault="00FA56EC" w:rsidP="00F30EC4">
            <w:pPr>
              <w:widowControl w:val="0"/>
              <w:autoSpaceDE w:val="0"/>
              <w:autoSpaceDN w:val="0"/>
              <w:adjustRightInd w:val="0"/>
              <w:spacing w:after="0" w:line="240" w:lineRule="auto"/>
              <w:rPr>
                <w:rFonts w:ascii="Arial" w:eastAsia="Arial" w:hAnsi="Arial" w:cs="Arial"/>
                <w:b/>
                <w:szCs w:val="24"/>
              </w:rPr>
            </w:pPr>
          </w:p>
        </w:tc>
        <w:tc>
          <w:tcPr>
            <w:tcW w:w="3987" w:type="pct"/>
            <w:shd w:val="clear" w:color="auto" w:fill="auto"/>
          </w:tcPr>
          <w:p w14:paraId="742E9124" w14:textId="77777777" w:rsidR="00FA56EC" w:rsidRPr="002E53F0" w:rsidRDefault="00FA56EC" w:rsidP="00F30EC4">
            <w:pPr>
              <w:widowControl w:val="0"/>
              <w:autoSpaceDE w:val="0"/>
              <w:autoSpaceDN w:val="0"/>
              <w:adjustRightInd w:val="0"/>
              <w:spacing w:after="0" w:line="240" w:lineRule="auto"/>
              <w:rPr>
                <w:rFonts w:ascii="Arial" w:eastAsia="Arial" w:hAnsi="Arial" w:cs="Arial"/>
                <w:szCs w:val="24"/>
              </w:rPr>
            </w:pPr>
          </w:p>
        </w:tc>
      </w:tr>
      <w:tr w:rsidR="00FA56EC" w:rsidRPr="00EE143A" w14:paraId="4FABC50C" w14:textId="77777777" w:rsidTr="00F30EC4">
        <w:trPr>
          <w:gridBefore w:val="1"/>
          <w:gridAfter w:val="1"/>
          <w:wBefore w:w="6" w:type="pct"/>
          <w:wAfter w:w="163" w:type="pct"/>
          <w:cantSplit/>
          <w:jc w:val="center"/>
        </w:trPr>
        <w:tc>
          <w:tcPr>
            <w:tcW w:w="845" w:type="pct"/>
            <w:gridSpan w:val="3"/>
            <w:shd w:val="clear" w:color="auto" w:fill="auto"/>
          </w:tcPr>
          <w:p w14:paraId="7336335A" w14:textId="77777777" w:rsidR="00FA56EC" w:rsidRPr="002E53F0" w:rsidRDefault="00FA56EC" w:rsidP="00F30EC4">
            <w:pPr>
              <w:widowControl w:val="0"/>
              <w:autoSpaceDE w:val="0"/>
              <w:autoSpaceDN w:val="0"/>
              <w:adjustRightInd w:val="0"/>
              <w:spacing w:after="0" w:line="240" w:lineRule="auto"/>
              <w:rPr>
                <w:rFonts w:ascii="Arial" w:eastAsia="Arial" w:hAnsi="Arial" w:cs="Arial"/>
                <w:b/>
                <w:szCs w:val="24"/>
              </w:rPr>
            </w:pPr>
            <w:r w:rsidRPr="002E53F0">
              <w:rPr>
                <w:rFonts w:ascii="Times" w:eastAsia="Arial" w:hAnsi="Times" w:cs="Times"/>
                <w:b/>
                <w:bCs/>
                <w:szCs w:val="24"/>
              </w:rPr>
              <w:t>Na vedomie:</w:t>
            </w:r>
          </w:p>
        </w:tc>
        <w:tc>
          <w:tcPr>
            <w:tcW w:w="3987" w:type="pct"/>
            <w:shd w:val="clear" w:color="auto" w:fill="auto"/>
          </w:tcPr>
          <w:p w14:paraId="015CEAA7" w14:textId="77777777" w:rsidR="00FA56EC" w:rsidRPr="002E53F0" w:rsidRDefault="00FA56EC" w:rsidP="00F30EC4">
            <w:pPr>
              <w:widowControl w:val="0"/>
              <w:autoSpaceDE w:val="0"/>
              <w:autoSpaceDN w:val="0"/>
              <w:adjustRightInd w:val="0"/>
              <w:spacing w:after="0" w:line="240" w:lineRule="auto"/>
              <w:rPr>
                <w:rFonts w:ascii="Times" w:eastAsia="Arial" w:hAnsi="Times" w:cs="Times"/>
                <w:szCs w:val="24"/>
              </w:rPr>
            </w:pPr>
            <w:r w:rsidRPr="002E53F0">
              <w:rPr>
                <w:rFonts w:ascii="Times" w:eastAsia="Arial" w:hAnsi="Times" w:cs="Times"/>
                <w:szCs w:val="24"/>
              </w:rPr>
              <w:t>prezident S</w:t>
            </w:r>
            <w:r>
              <w:rPr>
                <w:rFonts w:ascii="Times" w:eastAsia="Arial" w:hAnsi="Times" w:cs="Times"/>
                <w:szCs w:val="24"/>
              </w:rPr>
              <w:t>lovenskej republiky</w:t>
            </w:r>
          </w:p>
          <w:p w14:paraId="64A2ABF5" w14:textId="77777777" w:rsidR="00FA56EC" w:rsidRPr="002E53F0" w:rsidRDefault="00FA56EC" w:rsidP="00F30EC4">
            <w:pPr>
              <w:widowControl w:val="0"/>
              <w:autoSpaceDE w:val="0"/>
              <w:autoSpaceDN w:val="0"/>
              <w:adjustRightInd w:val="0"/>
              <w:spacing w:after="0" w:line="240" w:lineRule="auto"/>
              <w:rPr>
                <w:rFonts w:ascii="Arial" w:eastAsia="Arial" w:hAnsi="Arial" w:cs="Arial"/>
                <w:szCs w:val="24"/>
              </w:rPr>
            </w:pPr>
            <w:r w:rsidRPr="002E53F0">
              <w:rPr>
                <w:rFonts w:ascii="Times" w:eastAsia="Arial" w:hAnsi="Times" w:cs="Times"/>
                <w:szCs w:val="24"/>
              </w:rPr>
              <w:t>predseda Národnej rady S</w:t>
            </w:r>
            <w:r>
              <w:rPr>
                <w:rFonts w:ascii="Times" w:eastAsia="Arial" w:hAnsi="Times" w:cs="Times"/>
                <w:szCs w:val="24"/>
              </w:rPr>
              <w:t>lovenskej republiky</w:t>
            </w:r>
          </w:p>
        </w:tc>
      </w:tr>
    </w:tbl>
    <w:p w14:paraId="0BB34A02" w14:textId="77777777" w:rsidR="00FA56EC" w:rsidRDefault="00FA56EC" w:rsidP="00FA56EC">
      <w:pPr>
        <w:widowControl w:val="0"/>
        <w:autoSpaceDE w:val="0"/>
        <w:autoSpaceDN w:val="0"/>
        <w:adjustRightInd w:val="0"/>
        <w:spacing w:after="0" w:line="240" w:lineRule="auto"/>
        <w:rPr>
          <w:rFonts w:ascii="Arial" w:eastAsia="Arial" w:hAnsi="Arial" w:cs="Arial"/>
          <w:sz w:val="20"/>
          <w:szCs w:val="20"/>
        </w:rPr>
      </w:pPr>
    </w:p>
    <w:p w14:paraId="782AF0BC" w14:textId="77777777" w:rsidR="00FA56EC" w:rsidRDefault="00FA56EC" w:rsidP="00FA56EC">
      <w:pPr>
        <w:widowControl w:val="0"/>
        <w:autoSpaceDE w:val="0"/>
        <w:autoSpaceDN w:val="0"/>
        <w:adjustRightInd w:val="0"/>
        <w:spacing w:after="0" w:line="240" w:lineRule="auto"/>
        <w:rPr>
          <w:rFonts w:ascii="Arial" w:eastAsia="Arial" w:hAnsi="Arial" w:cs="Arial"/>
          <w:sz w:val="20"/>
          <w:szCs w:val="20"/>
        </w:rPr>
      </w:pPr>
    </w:p>
    <w:p w14:paraId="22625D7A" w14:textId="77777777" w:rsidR="00FA56EC" w:rsidRDefault="00FA56EC" w:rsidP="00FA56EC">
      <w:pPr>
        <w:widowControl w:val="0"/>
        <w:autoSpaceDE w:val="0"/>
        <w:autoSpaceDN w:val="0"/>
        <w:adjustRightInd w:val="0"/>
        <w:rPr>
          <w:rFonts w:ascii="Arial" w:eastAsia="Arial" w:hAnsi="Arial" w:cs="Arial"/>
          <w:sz w:val="20"/>
          <w:szCs w:val="20"/>
        </w:rPr>
      </w:pPr>
    </w:p>
    <w:p w14:paraId="32A8CA7E" w14:textId="77777777" w:rsidR="00FA56EC" w:rsidRDefault="00FA56EC" w:rsidP="00FA56EC">
      <w:pPr>
        <w:widowControl w:val="0"/>
        <w:autoSpaceDE w:val="0"/>
        <w:autoSpaceDN w:val="0"/>
        <w:adjustRightInd w:val="0"/>
        <w:rPr>
          <w:rFonts w:ascii="Arial" w:eastAsia="Arial" w:hAnsi="Arial" w:cs="Arial"/>
          <w:sz w:val="20"/>
          <w:szCs w:val="20"/>
        </w:rPr>
      </w:pPr>
    </w:p>
    <w:p w14:paraId="106D0DF5" w14:textId="77777777" w:rsidR="00FA56EC" w:rsidRDefault="00FA56EC" w:rsidP="00FA56EC">
      <w:pPr>
        <w:widowControl w:val="0"/>
        <w:autoSpaceDE w:val="0"/>
        <w:autoSpaceDN w:val="0"/>
        <w:adjustRightInd w:val="0"/>
        <w:rPr>
          <w:rFonts w:ascii="Arial" w:eastAsia="Arial" w:hAnsi="Arial" w:cs="Arial"/>
          <w:sz w:val="20"/>
          <w:szCs w:val="20"/>
        </w:rPr>
      </w:pPr>
    </w:p>
    <w:p w14:paraId="42BD1CBC" w14:textId="77777777" w:rsidR="00FA56EC" w:rsidRDefault="00FA56EC" w:rsidP="00FA56EC">
      <w:pPr>
        <w:widowControl w:val="0"/>
        <w:autoSpaceDE w:val="0"/>
        <w:autoSpaceDN w:val="0"/>
        <w:adjustRightInd w:val="0"/>
        <w:rPr>
          <w:rFonts w:ascii="Arial" w:eastAsia="Arial" w:hAnsi="Arial" w:cs="Arial"/>
          <w:sz w:val="20"/>
          <w:szCs w:val="20"/>
        </w:rPr>
      </w:pPr>
    </w:p>
    <w:p w14:paraId="6C0442FE" w14:textId="77777777" w:rsidR="00FA56EC" w:rsidRDefault="00FA56EC" w:rsidP="00FA56EC">
      <w:pPr>
        <w:widowControl w:val="0"/>
        <w:autoSpaceDE w:val="0"/>
        <w:autoSpaceDN w:val="0"/>
        <w:adjustRightInd w:val="0"/>
        <w:rPr>
          <w:rFonts w:ascii="Arial" w:eastAsia="Arial" w:hAnsi="Arial" w:cs="Arial"/>
          <w:sz w:val="20"/>
          <w:szCs w:val="20"/>
        </w:rPr>
      </w:pPr>
    </w:p>
    <w:p w14:paraId="7A8AFD49" w14:textId="77777777" w:rsidR="00FA56EC" w:rsidRDefault="00FA56EC" w:rsidP="00FA56EC">
      <w:pPr>
        <w:widowControl w:val="0"/>
        <w:autoSpaceDE w:val="0"/>
        <w:autoSpaceDN w:val="0"/>
        <w:adjustRightInd w:val="0"/>
        <w:rPr>
          <w:rFonts w:ascii="Arial" w:eastAsia="Arial" w:hAnsi="Arial" w:cs="Arial"/>
          <w:sz w:val="20"/>
          <w:szCs w:val="20"/>
        </w:rPr>
      </w:pPr>
    </w:p>
    <w:p w14:paraId="32F1DD86" w14:textId="77777777" w:rsidR="00FA56EC" w:rsidRDefault="00FA56EC"/>
    <w:sectPr w:rsidR="00FA56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C461D" w14:textId="77777777" w:rsidR="00B96653" w:rsidRDefault="00B96653" w:rsidP="00B96653">
      <w:pPr>
        <w:spacing w:after="0" w:line="240" w:lineRule="auto"/>
      </w:pPr>
      <w:r>
        <w:separator/>
      </w:r>
    </w:p>
  </w:endnote>
  <w:endnote w:type="continuationSeparator" w:id="0">
    <w:p w14:paraId="5F049FCC" w14:textId="77777777" w:rsidR="00B96653" w:rsidRDefault="00B96653" w:rsidP="00B9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A79F" w14:textId="11F6DA21" w:rsidR="00B96653" w:rsidRDefault="00B96653">
    <w:pPr>
      <w:pStyle w:val="Pta"/>
    </w:pPr>
    <w:r>
      <w:rPr>
        <w:noProof/>
        <w14:ligatures w14:val="standardContextual"/>
      </w:rPr>
      <mc:AlternateContent>
        <mc:Choice Requires="wps">
          <w:drawing>
            <wp:anchor distT="0" distB="0" distL="0" distR="0" simplePos="0" relativeHeight="251662336" behindDoc="0" locked="0" layoutInCell="1" allowOverlap="1" wp14:anchorId="461AD54B" wp14:editId="3E67B0B0">
              <wp:simplePos x="635" y="635"/>
              <wp:positionH relativeFrom="page">
                <wp:align>left</wp:align>
              </wp:positionH>
              <wp:positionV relativeFrom="page">
                <wp:align>bottom</wp:align>
              </wp:positionV>
              <wp:extent cx="795020" cy="386080"/>
              <wp:effectExtent l="0" t="0" r="5080" b="0"/>
              <wp:wrapNone/>
              <wp:docPr id="176834322"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7878530A" w14:textId="3B16B226"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1AD54B" id="_x0000_t202" coordsize="21600,21600" o:spt="202" path="m,l,21600r21600,l21600,xe">
              <v:stroke joinstyle="miter"/>
              <v:path gradientshapeok="t" o:connecttype="rect"/>
            </v:shapetype>
            <v:shape id="Textové pole 5" o:spid="_x0000_s1027" type="#_x0000_t202" alt="INTERNÉ" style="position:absolute;left:0;text-align:left;margin-left:0;margin-top:0;width:62.6pt;height:30.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raEw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" filled="f" stroked="f">
              <v:fill o:detectmouseclick="t"/>
              <v:textbox style="mso-fit-shape-to-text:t" inset="20pt,0,0,15pt">
                <w:txbxContent>
                  <w:p w14:paraId="7878530A" w14:textId="3B16B226"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A390" w14:textId="4637D59A" w:rsidR="00B96653" w:rsidRDefault="00B9665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F39F" w14:textId="52F7DD5B" w:rsidR="00B96653" w:rsidRDefault="00B96653">
    <w:pPr>
      <w:pStyle w:val="Pta"/>
    </w:pPr>
    <w:r>
      <w:rPr>
        <w:noProof/>
        <w14:ligatures w14:val="standardContextual"/>
      </w:rPr>
      <mc:AlternateContent>
        <mc:Choice Requires="wps">
          <w:drawing>
            <wp:anchor distT="0" distB="0" distL="0" distR="0" simplePos="0" relativeHeight="251661312" behindDoc="0" locked="0" layoutInCell="1" allowOverlap="1" wp14:anchorId="09F3C753" wp14:editId="24ED2372">
              <wp:simplePos x="635" y="635"/>
              <wp:positionH relativeFrom="page">
                <wp:align>left</wp:align>
              </wp:positionH>
              <wp:positionV relativeFrom="page">
                <wp:align>bottom</wp:align>
              </wp:positionV>
              <wp:extent cx="795020" cy="386080"/>
              <wp:effectExtent l="0" t="0" r="5080" b="0"/>
              <wp:wrapNone/>
              <wp:docPr id="1541092054"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1DC7BCF3" w14:textId="12A8658F"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3C753" id="_x0000_t202" coordsize="21600,21600" o:spt="202" path="m,l,21600r21600,l21600,xe">
              <v:stroke joinstyle="miter"/>
              <v:path gradientshapeok="t" o:connecttype="rect"/>
            </v:shapetype>
            <v:shape id="Textové pole 4" o:spid="_x0000_s1029" type="#_x0000_t202" alt="INTERNÉ" style="position:absolute;left:0;text-align:left;margin-left:0;margin-top:0;width:62.6pt;height:30.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" filled="f" stroked="f">
              <v:fill o:detectmouseclick="t"/>
              <v:textbox style="mso-fit-shape-to-text:t" inset="20pt,0,0,15pt">
                <w:txbxContent>
                  <w:p w14:paraId="1DC7BCF3" w14:textId="12A8658F"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2124" w14:textId="77777777" w:rsidR="00B96653" w:rsidRDefault="00B96653" w:rsidP="00B96653">
      <w:pPr>
        <w:spacing w:after="0" w:line="240" w:lineRule="auto"/>
      </w:pPr>
      <w:r>
        <w:separator/>
      </w:r>
    </w:p>
  </w:footnote>
  <w:footnote w:type="continuationSeparator" w:id="0">
    <w:p w14:paraId="5D4099DC" w14:textId="77777777" w:rsidR="00B96653" w:rsidRDefault="00B96653" w:rsidP="00B9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E2CF" w14:textId="012D806B" w:rsidR="00B96653" w:rsidRDefault="00B96653">
    <w:pPr>
      <w:pStyle w:val="Hlavika"/>
    </w:pPr>
    <w:r>
      <w:rPr>
        <w:noProof/>
        <w14:ligatures w14:val="standardContextual"/>
      </w:rPr>
      <mc:AlternateContent>
        <mc:Choice Requires="wps">
          <w:drawing>
            <wp:anchor distT="0" distB="0" distL="0" distR="0" simplePos="0" relativeHeight="251659264" behindDoc="0" locked="0" layoutInCell="1" allowOverlap="1" wp14:anchorId="49A44CD5" wp14:editId="28276B1E">
              <wp:simplePos x="635" y="635"/>
              <wp:positionH relativeFrom="page">
                <wp:align>right</wp:align>
              </wp:positionH>
              <wp:positionV relativeFrom="page">
                <wp:align>top</wp:align>
              </wp:positionV>
              <wp:extent cx="795020" cy="386080"/>
              <wp:effectExtent l="0" t="0" r="0" b="13970"/>
              <wp:wrapNone/>
              <wp:docPr id="1398481122"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562FAA29" w14:textId="7D9FC0E1"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A44CD5" id="_x0000_t202" coordsize="21600,21600" o:spt="202" path="m,l,21600r21600,l21600,xe">
              <v:stroke joinstyle="miter"/>
              <v:path gradientshapeok="t" o:connecttype="rect"/>
            </v:shapetype>
            <v:shape id="Textové pole 2" o:spid="_x0000_s1026" type="#_x0000_t202" alt="INTERNÉ" style="position:absolute;left:0;text-align:left;margin-left:11.4pt;margin-top:0;width:62.6pt;height:30.4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" filled="f" stroked="f">
              <v:fill o:detectmouseclick="t"/>
              <v:textbox style="mso-fit-shape-to-text:t" inset="0,15pt,20pt,0">
                <w:txbxContent>
                  <w:p w14:paraId="562FAA29" w14:textId="7D9FC0E1"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AB60" w14:textId="438AFDCF" w:rsidR="00B96653" w:rsidRDefault="00B9665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2F1B" w14:textId="652B01D2" w:rsidR="00B96653" w:rsidRDefault="00B96653">
    <w:pPr>
      <w:pStyle w:val="Hlavika"/>
    </w:pPr>
    <w:r>
      <w:rPr>
        <w:noProof/>
        <w14:ligatures w14:val="standardContextual"/>
      </w:rPr>
      <mc:AlternateContent>
        <mc:Choice Requires="wps">
          <w:drawing>
            <wp:anchor distT="0" distB="0" distL="0" distR="0" simplePos="0" relativeHeight="251658240" behindDoc="0" locked="0" layoutInCell="1" allowOverlap="1" wp14:anchorId="3DF1D33E" wp14:editId="39668C6D">
              <wp:simplePos x="635" y="635"/>
              <wp:positionH relativeFrom="page">
                <wp:align>right</wp:align>
              </wp:positionH>
              <wp:positionV relativeFrom="page">
                <wp:align>top</wp:align>
              </wp:positionV>
              <wp:extent cx="795020" cy="386080"/>
              <wp:effectExtent l="0" t="0" r="0" b="13970"/>
              <wp:wrapNone/>
              <wp:docPr id="45741531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86080"/>
                      </a:xfrm>
                      <a:prstGeom prst="rect">
                        <a:avLst/>
                      </a:prstGeom>
                      <a:noFill/>
                      <a:ln>
                        <a:noFill/>
                      </a:ln>
                    </wps:spPr>
                    <wps:txbx>
                      <w:txbxContent>
                        <w:p w14:paraId="769970FA" w14:textId="77901AF5"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F1D33E" id="_x0000_t202" coordsize="21600,21600" o:spt="202" path="m,l,21600r21600,l21600,xe">
              <v:stroke joinstyle="miter"/>
              <v:path gradientshapeok="t" o:connecttype="rect"/>
            </v:shapetype>
            <v:shape id="Textové pole 1" o:spid="_x0000_s1028" type="#_x0000_t202" alt="INTERNÉ" style="position:absolute;left:0;text-align:left;margin-left:11.4pt;margin-top:0;width:62.6pt;height:30.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" filled="f" stroked="f">
              <v:fill o:detectmouseclick="t"/>
              <v:textbox style="mso-fit-shape-to-text:t" inset="0,15pt,20pt,0">
                <w:txbxContent>
                  <w:p w14:paraId="769970FA" w14:textId="77901AF5" w:rsidR="00B96653" w:rsidRPr="00B96653" w:rsidRDefault="00B96653" w:rsidP="00B96653">
                    <w:pPr>
                      <w:spacing w:after="0"/>
                      <w:rPr>
                        <w:rFonts w:ascii="Calibri" w:eastAsia="Calibri" w:hAnsi="Calibri"/>
                        <w:noProof/>
                        <w:color w:val="FF0000"/>
                        <w:szCs w:val="24"/>
                      </w:rPr>
                    </w:pPr>
                    <w:r w:rsidRPr="00B96653">
                      <w:rPr>
                        <w:rFonts w:ascii="Calibri" w:eastAsia="Calibri" w:hAnsi="Calibri"/>
                        <w:noProof/>
                        <w:color w:val="FF0000"/>
                        <w:szCs w:val="24"/>
                      </w:rPr>
                      <w:t>INTERNÉ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EC"/>
    <w:rsid w:val="00212F9C"/>
    <w:rsid w:val="003C0C6F"/>
    <w:rsid w:val="00B96653"/>
    <w:rsid w:val="00FA56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E063A"/>
  <w15:chartTrackingRefBased/>
  <w15:docId w15:val="{E33734AA-847B-4BC4-B3B1-AA9404B0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56EC"/>
    <w:pPr>
      <w:spacing w:line="252" w:lineRule="auto"/>
      <w:jc w:val="both"/>
    </w:pPr>
    <w:rPr>
      <w:rFonts w:ascii="Times New Roman" w:eastAsia="Times New Roman" w:hAnsi="Times New Roman" w:cs="Calibri"/>
      <w:color w:val="000000"/>
      <w:kern w:val="0"/>
      <w:szCs w:val="22"/>
      <w:lang w:eastAsia="sk-SK"/>
      <w14:ligatures w14:val="none"/>
    </w:rPr>
  </w:style>
  <w:style w:type="paragraph" w:styleId="Nadpis1">
    <w:name w:val="heading 1"/>
    <w:basedOn w:val="Normlny"/>
    <w:next w:val="Normlny"/>
    <w:link w:val="Nadpis1Char"/>
    <w:uiPriority w:val="9"/>
    <w:qFormat/>
    <w:rsid w:val="00FA56E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FA56E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FA56E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FA56E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dpis5">
    <w:name w:val="heading 5"/>
    <w:basedOn w:val="Normlny"/>
    <w:next w:val="Normlny"/>
    <w:link w:val="Nadpis5Char"/>
    <w:uiPriority w:val="9"/>
    <w:semiHidden/>
    <w:unhideWhenUsed/>
    <w:qFormat/>
    <w:rsid w:val="00FA56E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dpis6">
    <w:name w:val="heading 6"/>
    <w:basedOn w:val="Normlny"/>
    <w:next w:val="Normlny"/>
    <w:link w:val="Nadpis6Char"/>
    <w:uiPriority w:val="9"/>
    <w:semiHidden/>
    <w:unhideWhenUsed/>
    <w:qFormat/>
    <w:rsid w:val="00FA56EC"/>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dpis7">
    <w:name w:val="heading 7"/>
    <w:basedOn w:val="Normlny"/>
    <w:next w:val="Normlny"/>
    <w:link w:val="Nadpis7Char"/>
    <w:uiPriority w:val="9"/>
    <w:semiHidden/>
    <w:unhideWhenUsed/>
    <w:qFormat/>
    <w:rsid w:val="00FA56EC"/>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dpis8">
    <w:name w:val="heading 8"/>
    <w:basedOn w:val="Normlny"/>
    <w:next w:val="Normlny"/>
    <w:link w:val="Nadpis8Char"/>
    <w:uiPriority w:val="9"/>
    <w:semiHidden/>
    <w:unhideWhenUsed/>
    <w:qFormat/>
    <w:rsid w:val="00FA56EC"/>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dpis9">
    <w:name w:val="heading 9"/>
    <w:basedOn w:val="Normlny"/>
    <w:next w:val="Normlny"/>
    <w:link w:val="Nadpis9Char"/>
    <w:uiPriority w:val="9"/>
    <w:semiHidden/>
    <w:unhideWhenUsed/>
    <w:qFormat/>
    <w:rsid w:val="00FA56EC"/>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56E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A56E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A56E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A56E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A56E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A56E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A56E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A56E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A56EC"/>
    <w:rPr>
      <w:rFonts w:eastAsiaTheme="majorEastAsia" w:cstheme="majorBidi"/>
      <w:color w:val="272727" w:themeColor="text1" w:themeTint="D8"/>
    </w:rPr>
  </w:style>
  <w:style w:type="paragraph" w:styleId="Nzov">
    <w:name w:val="Title"/>
    <w:basedOn w:val="Normlny"/>
    <w:next w:val="Normlny"/>
    <w:link w:val="NzovChar"/>
    <w:uiPriority w:val="10"/>
    <w:qFormat/>
    <w:rsid w:val="00FA56EC"/>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FA56E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A56EC"/>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A56E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A56EC"/>
    <w:pPr>
      <w:spacing w:before="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ciaChar">
    <w:name w:val="Citácia Char"/>
    <w:basedOn w:val="Predvolenpsmoodseku"/>
    <w:link w:val="Citcia"/>
    <w:uiPriority w:val="29"/>
    <w:rsid w:val="00FA56EC"/>
    <w:rPr>
      <w:i/>
      <w:iCs/>
      <w:color w:val="404040" w:themeColor="text1" w:themeTint="BF"/>
    </w:rPr>
  </w:style>
  <w:style w:type="paragraph" w:styleId="Odsekzoznamu">
    <w:name w:val="List Paragraph"/>
    <w:basedOn w:val="Normlny"/>
    <w:uiPriority w:val="34"/>
    <w:qFormat/>
    <w:rsid w:val="00FA56EC"/>
    <w:pPr>
      <w:spacing w:line="278" w:lineRule="auto"/>
      <w:ind w:left="720"/>
      <w:contextualSpacing/>
      <w:jc w:val="left"/>
    </w:pPr>
    <w:rPr>
      <w:rFonts w:asciiTheme="minorHAnsi" w:eastAsiaTheme="minorHAnsi" w:hAnsiTheme="minorHAnsi" w:cstheme="minorBidi"/>
      <w:color w:val="auto"/>
      <w:kern w:val="2"/>
      <w:szCs w:val="24"/>
      <w:lang w:eastAsia="en-US"/>
      <w14:ligatures w14:val="standardContextual"/>
    </w:rPr>
  </w:style>
  <w:style w:type="character" w:styleId="Intenzvnezvraznenie">
    <w:name w:val="Intense Emphasis"/>
    <w:basedOn w:val="Predvolenpsmoodseku"/>
    <w:uiPriority w:val="21"/>
    <w:qFormat/>
    <w:rsid w:val="00FA56EC"/>
    <w:rPr>
      <w:i/>
      <w:iCs/>
      <w:color w:val="0F4761" w:themeColor="accent1" w:themeShade="BF"/>
    </w:rPr>
  </w:style>
  <w:style w:type="paragraph" w:styleId="Zvraznencitcia">
    <w:name w:val="Intense Quote"/>
    <w:basedOn w:val="Normlny"/>
    <w:next w:val="Normlny"/>
    <w:link w:val="ZvraznencitciaChar"/>
    <w:uiPriority w:val="30"/>
    <w:qFormat/>
    <w:rsid w:val="00FA56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ZvraznencitciaChar">
    <w:name w:val="Zvýraznená citácia Char"/>
    <w:basedOn w:val="Predvolenpsmoodseku"/>
    <w:link w:val="Zvraznencitcia"/>
    <w:uiPriority w:val="30"/>
    <w:rsid w:val="00FA56EC"/>
    <w:rPr>
      <w:i/>
      <w:iCs/>
      <w:color w:val="0F4761" w:themeColor="accent1" w:themeShade="BF"/>
    </w:rPr>
  </w:style>
  <w:style w:type="character" w:styleId="Zvraznenodkaz">
    <w:name w:val="Intense Reference"/>
    <w:basedOn w:val="Predvolenpsmoodseku"/>
    <w:uiPriority w:val="32"/>
    <w:qFormat/>
    <w:rsid w:val="00FA56EC"/>
    <w:rPr>
      <w:b/>
      <w:bCs/>
      <w:smallCaps/>
      <w:color w:val="0F4761" w:themeColor="accent1" w:themeShade="BF"/>
      <w:spacing w:val="5"/>
    </w:rPr>
  </w:style>
  <w:style w:type="paragraph" w:styleId="Hlavika">
    <w:name w:val="header"/>
    <w:basedOn w:val="Normlny"/>
    <w:link w:val="HlavikaChar"/>
    <w:uiPriority w:val="99"/>
    <w:unhideWhenUsed/>
    <w:rsid w:val="00B9665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6653"/>
    <w:rPr>
      <w:rFonts w:ascii="Times New Roman" w:eastAsia="Times New Roman" w:hAnsi="Times New Roman" w:cs="Calibri"/>
      <w:color w:val="000000"/>
      <w:kern w:val="0"/>
      <w:szCs w:val="22"/>
      <w:lang w:eastAsia="sk-SK"/>
      <w14:ligatures w14:val="none"/>
    </w:rPr>
  </w:style>
  <w:style w:type="paragraph" w:styleId="Pta">
    <w:name w:val="footer"/>
    <w:basedOn w:val="Normlny"/>
    <w:link w:val="PtaChar"/>
    <w:uiPriority w:val="99"/>
    <w:unhideWhenUsed/>
    <w:rsid w:val="00B96653"/>
    <w:pPr>
      <w:tabs>
        <w:tab w:val="center" w:pos="4536"/>
        <w:tab w:val="right" w:pos="9072"/>
      </w:tabs>
      <w:spacing w:after="0" w:line="240" w:lineRule="auto"/>
    </w:pPr>
  </w:style>
  <w:style w:type="character" w:customStyle="1" w:styleId="PtaChar">
    <w:name w:val="Päta Char"/>
    <w:basedOn w:val="Predvolenpsmoodseku"/>
    <w:link w:val="Pta"/>
    <w:uiPriority w:val="99"/>
    <w:rsid w:val="00B96653"/>
    <w:rPr>
      <w:rFonts w:ascii="Times New Roman" w:eastAsia="Times New Roman" w:hAnsi="Times New Roman" w:cs="Calibri"/>
      <w:color w:val="000000"/>
      <w:kern w:val="0"/>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1_Uznesenie-vlády-SR"/>
    <f:field ref="objsubject" par="" edit="true" text=""/>
    <f:field ref="objcreatedby" par="" text="Brenčič, Marek, JUDr."/>
    <f:field ref="objcreatedat" par="" text="9.8.2024 11:31:12"/>
    <f:field ref="objchangedby" par="" text="Administrator, System"/>
    <f:field ref="objmodifiedat" par="" text="9.8.2024 11:31:1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https://ovdmasv601/sites/DMS/_layouts/15/DocIdRedir.aspx?ID=WKX3UHSAJ2R6-2-1328104</Url>
      <Description>WKX3UHSAJ2R6-2-1328104</Description>
    </_dlc_DocIdUrl>
    <_dlc_DocId xmlns="e60a29af-d413-48d4-bd90-fe9d2a897e4b">WKX3UHSAJ2R6-2-1328104</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F79409-5AAA-45F5-9CCD-183726E995D9}"/>
</file>

<file path=customXml/itemProps3.xml><?xml version="1.0" encoding="utf-8"?>
<ds:datastoreItem xmlns:ds="http://schemas.openxmlformats.org/officeDocument/2006/customXml" ds:itemID="{654973A6-3AB4-49C1-8644-E198B0673DFA}"/>
</file>

<file path=customXml/itemProps4.xml><?xml version="1.0" encoding="utf-8"?>
<ds:datastoreItem xmlns:ds="http://schemas.openxmlformats.org/officeDocument/2006/customXml" ds:itemID="{C9989890-972A-4A58-95B7-053CE818D306}"/>
</file>

<file path=customXml/itemProps5.xml><?xml version="1.0" encoding="utf-8"?>
<ds:datastoreItem xmlns:ds="http://schemas.openxmlformats.org/officeDocument/2006/customXml" ds:itemID="{C499038D-694B-4758-BCEE-713D711DC225}"/>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Brencic Marek /MEPO/MZV</dc:creator>
  <cp:keywords/>
  <dc:description/>
  <cp:lastModifiedBy>Brencic Marek /MEPO/MZV</cp:lastModifiedBy>
  <cp:revision>2</cp:revision>
  <cp:lastPrinted>2024-09-20T07:34:00Z</cp:lastPrinted>
  <dcterms:created xsi:type="dcterms:W3CDTF">2024-07-08T06:50:00Z</dcterms:created>
  <dcterms:modified xsi:type="dcterms:W3CDTF">2024-09-20T07:36:00Z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medzinárodného práva</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Medzinárodné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Brenčič</vt:lpwstr>
  </property>
  <property fmtid="{D5CDD505-2E9C-101B-9397-08002B2CF9AE}" pid="12" name="FSC#SKEDITIONSLOVLEX@103.510:zodppredkladatel">
    <vt:lpwstr>Juraj Blanár</vt:lpwstr>
  </property>
  <property fmtid="{D5CDD505-2E9C-101B-9397-08002B2CF9AE}" pid="13" name="FSC#SKEDITIONSLOVLEX@103.510:dalsipredkladatel">
    <vt:lpwstr/>
  </property>
  <property fmtid="{D5CDD505-2E9C-101B-9397-08002B2CF9AE}" pid="14" name="FSC#SKEDITIONSLOVLEX@103.510:nazovpredpis">
    <vt:lpwstr> Návrh na uzavretie Rozšírenej rámcovej dohody medzi Európskou úniou a jej členskými štátmi na jednej strane a Čilskou republikou na strane druhej</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vlastnej iniciatívy	</vt:lpwstr>
  </property>
  <property fmtid="{D5CDD505-2E9C-101B-9397-08002B2CF9AE}" pid="23"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Č.:039140/2024-MEPO-1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LP/2024/371</vt:lpwstr>
  </property>
  <property fmtid="{D5CDD505-2E9C-101B-9397-08002B2CF9AE}" pid="37" name="FSC#SKEDITIONSLOVLEX@103.510:typsprievdok">
    <vt:lpwstr>Uznesenie Vlády SR</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66" name="FSC#SKEDITIONSLOVLEX@103.510:AttrStrListDocPropAltRiesenia">
    <vt:lpwstr>Alternatívne riešenia neboli zvažované.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minister zahraničných vecí a európskych záležitostí  </vt:lpwstr>
  </property>
  <property fmtid="{D5CDD505-2E9C-101B-9397-08002B2CF9AE}" pid="137" name="FSC#SKEDITIONSLOVLEX@103.510:AttrStrListDocPropUznesenieNaVedomie">
    <vt:lpwstr>prezident Slovenskej republiky_x000d_
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záležitosti Slovenskej republiky</vt:lpwstr>
  </property>
  <property fmtid="{D5CDD505-2E9C-101B-9397-08002B2CF9AE}" pid="142" name="FSC#SKEDITIONSLOVLEX@103.510:funkciaZodpPredAkuzativ">
    <vt:lpwstr>Ministra zahraničných vecí a európskych záležitostí Slovenskej republiky</vt:lpwstr>
  </property>
  <property fmtid="{D5CDD505-2E9C-101B-9397-08002B2CF9AE}" pid="143" name="FSC#SKEDITIONSLOVLEX@103.510:funkciaZodpPredDativ">
    <vt:lpwstr>Ministrovi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Juraj Blanár_x000d_
Minister zahraničných vecí a európskych záležitosti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150" name="FSC#SKEDITIONSLOVLEX@103.510:vytvorenedna">
    <vt:lpwstr>9. 8. 2024</vt:lpwstr>
  </property>
  <property fmtid="{D5CDD505-2E9C-101B-9397-08002B2CF9AE}" pid="151" name="FSC#COOSYSTEM@1.1:Container">
    <vt:lpwstr>COO.2145.1000.3.6305386</vt:lpwstr>
  </property>
  <property fmtid="{D5CDD505-2E9C-101B-9397-08002B2CF9AE}" pid="152" name="FSC#FSCFOLIO@1.1001:docpropproject">
    <vt:lpwstr/>
  </property>
  <property fmtid="{D5CDD505-2E9C-101B-9397-08002B2CF9AE}" pid="153" name="ClassificationContentMarkingHeaderShapeIds">
    <vt:lpwstr>1b439a8f,535b20e2,5de9c20f</vt:lpwstr>
  </property>
  <property fmtid="{D5CDD505-2E9C-101B-9397-08002B2CF9AE}" pid="154" name="ClassificationContentMarkingHeaderFontProps">
    <vt:lpwstr>#ff0000,12,Calibri</vt:lpwstr>
  </property>
  <property fmtid="{D5CDD505-2E9C-101B-9397-08002B2CF9AE}" pid="155" name="ClassificationContentMarkingHeaderText">
    <vt:lpwstr>INTERNÉ</vt:lpwstr>
  </property>
  <property fmtid="{D5CDD505-2E9C-101B-9397-08002B2CF9AE}" pid="156" name="ClassificationContentMarkingFooterShapeIds">
    <vt:lpwstr>5bdb32d6,a8a4712,46a6adbc</vt:lpwstr>
  </property>
  <property fmtid="{D5CDD505-2E9C-101B-9397-08002B2CF9AE}" pid="157" name="ClassificationContentMarkingFooterFontProps">
    <vt:lpwstr>#ff0000,12,Calibri</vt:lpwstr>
  </property>
  <property fmtid="{D5CDD505-2E9C-101B-9397-08002B2CF9AE}" pid="158" name="ClassificationContentMarkingFooterText">
    <vt:lpwstr>INTERNÉ</vt:lpwstr>
  </property>
  <property fmtid="{D5CDD505-2E9C-101B-9397-08002B2CF9AE}" pid="159" name="MSIP_Label_8411ea1f-1665-4a34-a3d8-210cc7d6932e_Enabled">
    <vt:lpwstr>true</vt:lpwstr>
  </property>
  <property fmtid="{D5CDD505-2E9C-101B-9397-08002B2CF9AE}" pid="160" name="MSIP_Label_8411ea1f-1665-4a34-a3d8-210cc7d6932e_SetDate">
    <vt:lpwstr>2024-09-20T07:33:36Z</vt:lpwstr>
  </property>
  <property fmtid="{D5CDD505-2E9C-101B-9397-08002B2CF9AE}" pid="161" name="MSIP_Label_8411ea1f-1665-4a34-a3d8-210cc7d6932e_Method">
    <vt:lpwstr>Standard</vt:lpwstr>
  </property>
  <property fmtid="{D5CDD505-2E9C-101B-9397-08002B2CF9AE}" pid="162" name="MSIP_Label_8411ea1f-1665-4a34-a3d8-210cc7d6932e_Name">
    <vt:lpwstr>Interné</vt:lpwstr>
  </property>
  <property fmtid="{D5CDD505-2E9C-101B-9397-08002B2CF9AE}" pid="163" name="MSIP_Label_8411ea1f-1665-4a34-a3d8-210cc7d6932e_SiteId">
    <vt:lpwstr>8fe5905d-1a8a-4469-a0d9-11f2c367f0ac</vt:lpwstr>
  </property>
  <property fmtid="{D5CDD505-2E9C-101B-9397-08002B2CF9AE}" pid="164" name="MSIP_Label_8411ea1f-1665-4a34-a3d8-210cc7d6932e_ActionId">
    <vt:lpwstr>61727c84-2b1a-40cd-9d5d-46d9ef2c375c</vt:lpwstr>
  </property>
  <property fmtid="{D5CDD505-2E9C-101B-9397-08002B2CF9AE}" pid="165" name="MSIP_Label_8411ea1f-1665-4a34-a3d8-210cc7d6932e_ContentBits">
    <vt:lpwstr>3</vt:lpwstr>
  </property>
  <property fmtid="{D5CDD505-2E9C-101B-9397-08002B2CF9AE}" pid="166" name="ContentTypeId">
    <vt:lpwstr>0x0101006C0C8C3C1E3DCC44BECE3792677AD011</vt:lpwstr>
  </property>
  <property fmtid="{D5CDD505-2E9C-101B-9397-08002B2CF9AE}" pid="167" name="_dlc_DocIdItemGuid">
    <vt:lpwstr>41bb86b4-8dd0-498e-8584-e7237bd3a85b</vt:lpwstr>
  </property>
</Properties>
</file>