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118" w:rsidRPr="000032C8" w:rsidRDefault="00927118" w:rsidP="00927118">
      <w:pPr>
        <w:adjustRightInd w:val="0"/>
        <w:spacing w:after="0" w:line="240" w:lineRule="auto"/>
        <w:jc w:val="center"/>
        <w:rPr>
          <w:rFonts w:ascii="Times New Roman" w:eastAsia="Times New Roman" w:hAnsi="Times New Roman" w:cs="Calibri"/>
          <w:b/>
          <w:caps/>
          <w:sz w:val="28"/>
          <w:szCs w:val="28"/>
        </w:rPr>
      </w:pPr>
      <w:r w:rsidRPr="000032C8">
        <w:rPr>
          <w:rFonts w:ascii="Times New Roman" w:eastAsia="Times New Roman" w:hAnsi="Times New Roman" w:cs="Calibri"/>
          <w:b/>
          <w:caps/>
          <w:sz w:val="28"/>
          <w:szCs w:val="28"/>
        </w:rPr>
        <w:t>Vyhodnotenie medzirezortného pripomienkového konania</w:t>
      </w:r>
    </w:p>
    <w:p w:rsidR="00927118" w:rsidRPr="00024402" w:rsidRDefault="00927118" w:rsidP="00927118">
      <w:pPr>
        <w:jc w:val="center"/>
      </w:pPr>
    </w:p>
    <w:p w:rsidR="0065536E" w:rsidRDefault="0065536E">
      <w:pPr>
        <w:jc w:val="center"/>
        <w:divId w:val="363748380"/>
        <w:rPr>
          <w:rFonts w:ascii="Times" w:hAnsi="Times" w:cs="Times"/>
          <w:sz w:val="25"/>
          <w:szCs w:val="25"/>
        </w:rPr>
      </w:pPr>
      <w:r>
        <w:rPr>
          <w:rFonts w:ascii="Times" w:hAnsi="Times" w:cs="Times"/>
          <w:sz w:val="25"/>
          <w:szCs w:val="25"/>
        </w:rPr>
        <w:t>Lokalita svetového dedičstva UNESCO Staré bukové lesy a bukové pralesy Karpát a iných regiónov Európy – komplexný návrh opatrení</w:t>
      </w:r>
    </w:p>
    <w:p w:rsidR="00927118" w:rsidRPr="00024402" w:rsidRDefault="00927118" w:rsidP="00CE47A6"/>
    <w:tbl>
      <w:tblPr>
        <w:tblW w:w="15598" w:type="dxa"/>
        <w:tblCellMar>
          <w:left w:w="0" w:type="dxa"/>
          <w:right w:w="0" w:type="dxa"/>
        </w:tblCellMar>
        <w:tblLook w:val="0000" w:firstRow="0" w:lastRow="0" w:firstColumn="0" w:lastColumn="0" w:noHBand="0" w:noVBand="0"/>
      </w:tblPr>
      <w:tblGrid>
        <w:gridCol w:w="7797"/>
        <w:gridCol w:w="7801"/>
      </w:tblGrid>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Spôsob pripomienkového konania</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r w:rsidRPr="00024402">
              <w:rPr>
                <w:rFonts w:ascii="Times New Roman" w:hAnsi="Times New Roman" w:cs="Calibri"/>
                <w:sz w:val="20"/>
                <w:szCs w:val="20"/>
              </w:rPr>
              <w:t> </w:t>
            </w:r>
          </w:p>
        </w:tc>
      </w:tr>
      <w:tr w:rsidR="00A251BF" w:rsidRPr="00024402" w:rsidTr="00B76589">
        <w:tc>
          <w:tcPr>
            <w:tcW w:w="7797" w:type="dxa"/>
            <w:tcBorders>
              <w:top w:val="nil"/>
              <w:left w:val="nil"/>
              <w:bottom w:val="nil"/>
              <w:right w:val="nil"/>
            </w:tcBorders>
          </w:tcPr>
          <w:p w:rsidR="00A251BF" w:rsidRPr="000032C8" w:rsidRDefault="00A251BF"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vznesených pripomienok, z toho zásadných</w:t>
            </w:r>
          </w:p>
        </w:tc>
        <w:tc>
          <w:tcPr>
            <w:tcW w:w="7801" w:type="dxa"/>
            <w:tcBorders>
              <w:top w:val="nil"/>
              <w:left w:val="nil"/>
              <w:bottom w:val="nil"/>
              <w:right w:val="nil"/>
            </w:tcBorders>
          </w:tcPr>
          <w:p w:rsidR="00A251BF" w:rsidRPr="00024402" w:rsidRDefault="0065536E" w:rsidP="0065536E">
            <w:pPr>
              <w:spacing w:after="0" w:line="240" w:lineRule="auto"/>
              <w:rPr>
                <w:rFonts w:ascii="Times New Roman" w:hAnsi="Times New Roman" w:cs="Calibri"/>
                <w:sz w:val="20"/>
                <w:szCs w:val="20"/>
              </w:rPr>
            </w:pPr>
            <w:r>
              <w:rPr>
                <w:rFonts w:ascii="Times" w:hAnsi="Times" w:cs="Times"/>
                <w:sz w:val="25"/>
                <w:szCs w:val="25"/>
              </w:rPr>
              <w:t>43 /20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vyhodnotených pripomienok</w:t>
            </w:r>
          </w:p>
        </w:tc>
        <w:tc>
          <w:tcPr>
            <w:tcW w:w="7801" w:type="dxa"/>
            <w:tcBorders>
              <w:top w:val="nil"/>
              <w:left w:val="nil"/>
              <w:bottom w:val="nil"/>
              <w:right w:val="nil"/>
            </w:tcBorders>
          </w:tcPr>
          <w:p w:rsidR="00927118" w:rsidRPr="00024402" w:rsidRDefault="0065536E" w:rsidP="0065536E">
            <w:pPr>
              <w:spacing w:after="0" w:line="240" w:lineRule="auto"/>
              <w:rPr>
                <w:rFonts w:ascii="Times New Roman" w:hAnsi="Times New Roman" w:cs="Calibri"/>
                <w:sz w:val="20"/>
                <w:szCs w:val="20"/>
              </w:rPr>
            </w:pPr>
            <w:r>
              <w:rPr>
                <w:rFonts w:ascii="Times" w:hAnsi="Times" w:cs="Times"/>
                <w:sz w:val="25"/>
                <w:szCs w:val="25"/>
              </w:rPr>
              <w:t>43</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akceptovaných pripomienok, z toho zásadných</w:t>
            </w:r>
          </w:p>
        </w:tc>
        <w:tc>
          <w:tcPr>
            <w:tcW w:w="7801" w:type="dxa"/>
            <w:tcBorders>
              <w:top w:val="nil"/>
              <w:left w:val="nil"/>
              <w:bottom w:val="nil"/>
              <w:right w:val="nil"/>
            </w:tcBorders>
          </w:tcPr>
          <w:p w:rsidR="00927118" w:rsidRPr="00024402" w:rsidRDefault="00580B20" w:rsidP="00580B20">
            <w:pPr>
              <w:spacing w:after="0" w:line="240" w:lineRule="auto"/>
              <w:rPr>
                <w:rFonts w:ascii="Times New Roman" w:hAnsi="Times New Roman" w:cs="Calibri"/>
                <w:sz w:val="20"/>
                <w:szCs w:val="20"/>
              </w:rPr>
            </w:pPr>
            <w:r>
              <w:rPr>
                <w:rFonts w:ascii="Times" w:hAnsi="Times" w:cs="Times"/>
                <w:sz w:val="25"/>
                <w:szCs w:val="25"/>
              </w:rPr>
              <w:t>27 /8</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čiastočne akceptovaných pripomienok, z toho zásadných</w:t>
            </w:r>
          </w:p>
        </w:tc>
        <w:tc>
          <w:tcPr>
            <w:tcW w:w="7801" w:type="dxa"/>
            <w:tcBorders>
              <w:top w:val="nil"/>
              <w:left w:val="nil"/>
              <w:bottom w:val="nil"/>
              <w:right w:val="nil"/>
            </w:tcBorders>
          </w:tcPr>
          <w:p w:rsidR="00927118" w:rsidRPr="00024402" w:rsidRDefault="0065536E" w:rsidP="0065536E">
            <w:pPr>
              <w:spacing w:after="0" w:line="240" w:lineRule="auto"/>
              <w:rPr>
                <w:rFonts w:ascii="Times New Roman" w:hAnsi="Times New Roman" w:cs="Calibri"/>
                <w:sz w:val="20"/>
                <w:szCs w:val="20"/>
              </w:rPr>
            </w:pPr>
            <w:r>
              <w:rPr>
                <w:rFonts w:ascii="Times" w:hAnsi="Times" w:cs="Times"/>
                <w:sz w:val="25"/>
                <w:szCs w:val="25"/>
              </w:rPr>
              <w:t>9 /9</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neakceptovaných pripomienok, z toho zásadných</w:t>
            </w:r>
          </w:p>
        </w:tc>
        <w:tc>
          <w:tcPr>
            <w:tcW w:w="7801" w:type="dxa"/>
            <w:tcBorders>
              <w:top w:val="nil"/>
              <w:left w:val="nil"/>
              <w:bottom w:val="nil"/>
              <w:right w:val="nil"/>
            </w:tcBorders>
          </w:tcPr>
          <w:p w:rsidR="00927118" w:rsidRPr="00024402" w:rsidRDefault="00580B20" w:rsidP="0065536E">
            <w:pPr>
              <w:spacing w:after="0" w:line="240" w:lineRule="auto"/>
              <w:rPr>
                <w:rFonts w:ascii="Times New Roman" w:hAnsi="Times New Roman" w:cs="Calibri"/>
                <w:sz w:val="20"/>
                <w:szCs w:val="20"/>
              </w:rPr>
            </w:pPr>
            <w:r>
              <w:rPr>
                <w:rFonts w:ascii="Times" w:hAnsi="Times" w:cs="Times"/>
                <w:sz w:val="25"/>
                <w:szCs w:val="25"/>
              </w:rPr>
              <w:t>7 /3</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bCs/>
                <w:sz w:val="25"/>
                <w:szCs w:val="25"/>
              </w:rPr>
              <w:t>Rozporové konanie (s kým, kedy, s akým výsledkom)</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neodstránených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bl>
    <w:p w:rsidR="00927118" w:rsidRPr="00024402" w:rsidRDefault="00927118" w:rsidP="00927118">
      <w:pPr>
        <w:spacing w:after="0" w:line="240" w:lineRule="auto"/>
        <w:rPr>
          <w:rFonts w:ascii="Times New Roman" w:hAnsi="Times New Roman" w:cs="Calibri"/>
          <w:b/>
          <w:sz w:val="20"/>
          <w:szCs w:val="20"/>
        </w:rPr>
      </w:pPr>
    </w:p>
    <w:p w:rsidR="00927118" w:rsidRPr="000032C8" w:rsidRDefault="00927118" w:rsidP="00927118">
      <w:pPr>
        <w:spacing w:after="0" w:line="240" w:lineRule="auto"/>
        <w:rPr>
          <w:sz w:val="25"/>
          <w:szCs w:val="25"/>
        </w:rPr>
      </w:pPr>
      <w:r w:rsidRPr="000032C8">
        <w:rPr>
          <w:rFonts w:ascii="Times New Roman" w:hAnsi="Times New Roman" w:cs="Calibri"/>
          <w:sz w:val="25"/>
          <w:szCs w:val="25"/>
        </w:rPr>
        <w:t>Sumarizácia vznesených pripomienok podľa subjektov</w:t>
      </w:r>
    </w:p>
    <w:p w:rsidR="0065536E" w:rsidRDefault="0065536E" w:rsidP="00841FA6"/>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28"/>
        <w:gridCol w:w="7712"/>
        <w:gridCol w:w="1404"/>
        <w:gridCol w:w="1404"/>
        <w:gridCol w:w="1391"/>
        <w:gridCol w:w="1034"/>
      </w:tblGrid>
      <w:tr w:rsidR="0065536E">
        <w:trPr>
          <w:divId w:val="1335299350"/>
          <w:jc w:val="center"/>
        </w:trPr>
        <w:tc>
          <w:tcPr>
            <w:tcW w:w="1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Č.</w:t>
            </w:r>
          </w:p>
        </w:tc>
        <w:tc>
          <w:tcPr>
            <w:tcW w:w="30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Subjekt</w:t>
            </w:r>
          </w:p>
        </w:tc>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Pripomienky do termínu</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Pripomienky po termíne</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Nemali pripomienky</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Vôbec nezaslali</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Asociácia zamestnávatelských zväzov a združení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Generálna prokuratúra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LESY Slovenskej republiky, štátny podnik</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 (0o,2z)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4.</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financií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(0o,1z)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5.</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hospodárstva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 (2o,0z)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6.</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kultúry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7.</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pôdohospodárstva a rozvoja vidieka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 (0o,3z)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8.</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práce, sociálnych vecí a rodiny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 (0o,3z)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9.</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školstva, vedy, výskumu a športu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 (3o,0z)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10.</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vnútra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11.</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zdravotníctva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12.</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zahraničných vecí a európskych záležitostí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7 (4o,3z)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13.</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Národná banka Slovenska</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14.</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Splnomocnenec vlády SR pre podporu najmenej rozvinutých okresov</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5 (1o,4z)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15.</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geodézie, kartografie a katastra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16.</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podpredsedu vlády Slovenskej republiky pre investície a informatizáciu</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17.</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priemyselného vlastníctva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18.</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pre verejné obstarávanie</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19.</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vlády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20.</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Verejnosť</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6 (2o,4z)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21.</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Národný bezpečnostný úrad</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22.</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jadrového dozoru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23.</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pre normalizáciu, metrológiu a skúšobníctvo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24.</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obrany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25.</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Štatistický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26.</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dopravy a výstavby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27.</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Protimonopolný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28.</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spravodlivosti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29.</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Ministerstvo životného prostredia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30.</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Správa štátnych hmotných rezerv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31.</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Najvyšší kontrolný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32.</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Najvyšší súd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33.</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Národná rada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34.</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Kancelária Ústavného súdu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35.</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Odbor aproximácie práva sekcie vládnej legislatívy Úradu vlády SR</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36.</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Slovenská poľnohospodárska a potravinárska komora</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37.</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Združenie miest a obcí Slovenska</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38.</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Splnomocnenec vlády Slovenskej republiky pre rómske komunity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39.</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Konfederácia odborových zväzov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40.</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Republiková únia zamestnávateľov</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41.</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Úrad pre dohľad nad zdravotnou starostlivosťou</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42.</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Konferencia biskupov Slovenska</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x</w:t>
            </w:r>
          </w:p>
        </w:tc>
      </w:tr>
      <w:tr w:rsidR="0065536E">
        <w:trPr>
          <w:divId w:val="1335299350"/>
          <w:jc w:val="center"/>
        </w:trPr>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rPr>
                <w:rFonts w:ascii="Times" w:hAnsi="Times" w:cs="Times"/>
                <w:sz w:val="25"/>
                <w:szCs w:val="25"/>
              </w:rPr>
            </w:pPr>
            <w:r>
              <w:rPr>
                <w:rFonts w:ascii="Times" w:hAnsi="Times" w:cs="Times"/>
                <w:sz w:val="25"/>
                <w:szCs w:val="25"/>
              </w:rPr>
              <w:t>Spolu</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43 (23o,20z)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65536E" w:rsidRDefault="0065536E">
            <w:pPr>
              <w:jc w:val="center"/>
              <w:rPr>
                <w:sz w:val="20"/>
                <w:szCs w:val="20"/>
              </w:rPr>
            </w:pPr>
          </w:p>
        </w:tc>
      </w:tr>
    </w:tbl>
    <w:p w:rsidR="00BF7CE0" w:rsidRPr="00BF7CE0" w:rsidRDefault="00BF7CE0" w:rsidP="00841FA6">
      <w:pPr>
        <w:rPr>
          <w:b/>
          <w:bCs/>
          <w:color w:val="000000"/>
          <w:sz w:val="20"/>
          <w:szCs w:val="20"/>
        </w:rPr>
      </w:pPr>
      <w:r w:rsidRPr="009F7218">
        <w:rPr>
          <w:rFonts w:ascii="Times New Roman" w:eastAsia="Times New Roman" w:hAnsi="Times New Roman" w:cs="Times New Roman"/>
          <w:bCs/>
          <w:color w:val="000000"/>
          <w:sz w:val="25"/>
          <w:szCs w:val="25"/>
          <w:lang w:eastAsia="sk-SK"/>
        </w:rPr>
        <w:t>Vyhodnotenie vecných pripomienok je uvedené v tabuľkovej časti.</w:t>
      </w:r>
    </w:p>
    <w:p w:rsidR="00BF7CE0" w:rsidRPr="00BF7CE0" w:rsidRDefault="00BF7CE0" w:rsidP="00BF7CE0">
      <w:pPr>
        <w:pStyle w:val="Zkladntext"/>
        <w:widowControl/>
        <w:jc w:val="both"/>
        <w:rPr>
          <w:b w:val="0"/>
          <w:bCs w:val="0"/>
          <w:color w:val="000000"/>
          <w:sz w:val="20"/>
          <w:szCs w:val="20"/>
        </w:rPr>
      </w:pPr>
    </w:p>
    <w:tbl>
      <w:tblPr>
        <w:tblW w:w="0" w:type="auto"/>
        <w:tblLook w:val="0000" w:firstRow="0" w:lastRow="0" w:firstColumn="0" w:lastColumn="0" w:noHBand="0" w:noVBand="0"/>
      </w:tblPr>
      <w:tblGrid>
        <w:gridCol w:w="1809"/>
        <w:gridCol w:w="3119"/>
      </w:tblGrid>
      <w:tr w:rsidR="00BF7CE0" w:rsidRPr="00BF7CE0" w:rsidTr="00943EB2">
        <w:trPr>
          <w:cantSplit/>
        </w:trPr>
        <w:tc>
          <w:tcPr>
            <w:tcW w:w="4928" w:type="dxa"/>
            <w:gridSpan w:val="2"/>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Vysvetlivky  k použitým skratkám v tabuľke:</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O – obyčajná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A – akceptovaná</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Z – zásadná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N – neakceptovaná</w:t>
            </w:r>
          </w:p>
        </w:tc>
      </w:tr>
      <w:tr w:rsidR="00BF7CE0" w:rsidRPr="00856FFA"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ČA – čiastočne akceptovaná</w:t>
            </w:r>
          </w:p>
        </w:tc>
      </w:tr>
    </w:tbl>
    <w:p w:rsidR="00E85710" w:rsidRDefault="00E85710">
      <w:r>
        <w:br w:type="page"/>
      </w:r>
    </w:p>
    <w:p w:rsidR="0065536E" w:rsidRDefault="0065536E" w:rsidP="00CE47A6">
      <w:pPr>
        <w:rPr>
          <w:rFonts w:ascii="Consolas" w:hAnsi="Consolas" w:cs="Consolas"/>
          <w:sz w:val="20"/>
          <w:szCs w:val="20"/>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377"/>
        <w:gridCol w:w="6624"/>
        <w:gridCol w:w="651"/>
        <w:gridCol w:w="651"/>
        <w:gridCol w:w="3970"/>
      </w:tblGrid>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Subjekt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Pripomienka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Typ</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Vyh.</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Spôsob vyhodnotenia</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AZZZ 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k predloženému návrhu nemá pripomenky</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GPSR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LESY 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1. V texte „Komplexný návrh opatrení pre lokalitu svetového dedičstva UNESCO Staré bukové lesy a bukové pralesy Karpát a iných regiónov Európy“ (03 Vlastný-materiál) žiadame za pasážami, kde sa uvádza, že materiál bol prerokovaný s dotknutými subjektmi/stakeholdermi (1. strana 5 ods., 3 str. 3 ods.) uviesť text: „Žiadne z pripomienok a návrhov LESOV SR, š.p. na odstránenie nedostatkov a chýb nominačného projektu v Lokalite Vihorlat neboli (bez zdôvodnenia) do predloženého dokumentu premietnuté“.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Požadovaný text (1. strana 5.. odsek a 3. strana, 3. aktuálne 2. odsek) bol upravený. Pôvodný text v časti A „Odborný návrh ŠOP SR bol v priebehu prípravy materiálu opakovane prerokovaný s dotknutými subjektmi a pri jeho spracovaní boli tiež zohľadnené výsledky minulých rokovaní. Definitívny návrh na vymedzenie hraníc slovenských komponentov lokality a ich nárazníkových zón bude predmetom ďalších rokovaní s cieľom uzavrieť rokovania do 30. novembra 2017....“ bol nahradený textom „Odborný návrh bol predmetom rokovaní s dotknutými subjektmi a bol navrhnutý tak, aby rešpektoval odporúčania Výboru Svetového dedičstva UNESCO a medzinárodnej organizácie IUCN. V rámci snahy o spresnenie hraníc podľa nominačného projektu a zabezpečenie dostatočnej ochrany slovenskej časti lokality boli v roku 2011 pripravené a prerokované návrh na vyhlásenie 5 prírodných rezervácií (v komponentoch Stužica – Bukovské vrchy a Vihorlat), proces bol však pozastavený z dôvodu nesúhlasu vlastníkov a užívateľov dotknutých pozemkov. Definitívny návrh hraníc slovenských komponentov lokality a ich nárazníkových zón bude predmetom ďalších rokovaní s cieľom uzavrieť rokovania do 31.12. 2017“.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LESY 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2. V mapovej prílohe (05_Priloha_navrh-hranic“), žiadame do názvu mapy uviesť: „Predbežný návrh bez zapracovaných návrhov dotknutých užívateľov pozemkov (LESY SR, š.p.)“</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Mapa bola z vlastného materiálu odstránená.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MFSR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Žiadame preformulovať text úlohy B.11 návrhu uznesenia vlády Slovenskej republiky nasledovne: „pri príprave návrhu rozpočtu verejnej správy na roky 2019 až 2021 zohľadniť finančné nároky príslušných rezortov na zabezpečenie opatrení vyplývajúcich z medzinárodných záväzkov pre ochranu slovenských komponentov lokality Staré bukové lesy a bukové pralesy Karpát a iných regiónov Európy do 31. augusta 2018“.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MHSR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Odporúčame predkladateľovi v zmysle Jednotnej metodiky na posudzovanie vybraných vplyvov prehodnotiť vplyvy navrhovaného materiálu a následne predložiť materiál na Záverečné posúdenie. Zdôvodnenie: Z charakteru dokumentu, ako aj stanovených opatrení, je predpoklad priamych/nepriamych vplyvov najmä na podnikateľské prostredie.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Uvedený materiál nezakladá priame/nepriame vplyvy. Hodnotenie vplyvov aj v zmysle navrhovaného uznesenia je možné vypracovať až po finálnej úprave hraníc a bude súčasťou materiálov (návrhov nariadení vlády), ktorými sa budú vyhlasovať jednotlivé komponenty, resp. ich časti ako súčasť lokality UNESCO.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MHSR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Žiadame predkladateľa o prepracovanie Doložky vybraných vplyvov, a to vyznačením vplyvov primárne na podnikateľské prostredie. Zároveň žiadame následne o vypracovanie jednotlivých analýz vybraných vplyvov. V prípade ak sa nedá momentálne jednoznačne zadefinovať vplyv na predmetnú oblasť, odporúčame uvedené aspoň popisne uviesť v bode 10. Doložky vybraných vplyvov. Odôvodnenie: Jedným z opatrení je vypracovať návrh úpravy hraníc slovenských komponentov lokality Staré bukové lesy a bukové pralesy Karpát a iných regiónov Európy vrátane nárazníkových zón, v návrhu materiálu sú už dané výmery jednotlivých komponentov a ich nárazníkových zón po úprave hraníc známe a zároveň sú uvádzané dotknuté subjekty, ktorými sú okrem iných vlastníci, správcovia a nájomcovia dotknutých pozemkov. Z uvedeného je možné predpokladať vplyvy na podnikateľské prostredie, prípadne aj sociálne vplyvy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Podľa požiadavky doplnený bod 10 doložky vybraných vplyvov nasledovne: „Predkladaný materiál predstavuje strategický rámec pre napĺňanie požiadaviek Výboru svetového dedičstva ako aj odporúčaní medzinárodnej organizácie IUCN (primárne úprava hraníc slovenskej časti lokality a následne ďalšie na to nadväzujúce opatrenia – vypracovanie integrovaného manažmentového plánu, zabezpečenie adekvátnej starostlivosti o lokalitu, a i.). Je preto nutné uviesť, že materiál nezakladá žiadne priame/nepriame vplyvy. Hodnotenie vplyvov aj v zmysle navrhovaného uznesenia je možné vypracovať až po finálnej úprave hraníc a bude súčasťou materiálov (návrhov nariadení vlády), ktorými sa budú vyhlasovať jednotlivé komponenty, resp. ich časti ako súčasť lokality UNESCO.“</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MKSR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MK SR Vlastný materiál Na str.1 v poznámke pod čiarou k odkazu 1) odporúčame slová „v zmysle § 54 ods.2 písm. b“ nahradiť slovami „podľa § 54 ods.2 písm. b)“ a na str.9 v poznámke pod čiarou v odkaze 13) na konci doplniť slová „v znení neskorších predpisov“, pretože aj zákon č. 282/2008 Z. z. bol viackrát novelizovaný. Odôvodnenie: Legislatívno-technické pripomienky. Na str.10 na konci je potrebné slovo „Prehlásenie“ nahradiť gramaticky správnym slovom „Vyhlásenie“.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Vlastný materiál upravený, poznámka pod čiarou na str. 2 bola odstránená, ostatné pripomienky boli zapracované.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MPRVSR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Sme toho názoru, že materiál by nemal v predstihu (t. j. pred definitívnym vymedzením nových hraníc na základe posúdenia súčasného stavu) určovať spôsob, akým sa predloží návrh na úpravu hraníc lokality v zmysle operačných usmernení pre implementáciu Dohovoru o ochrane svetového kultúrneho a prírodného dedičstva – tzn. buď malá úprava alebo významná úprava vo forme nového nominačného projektu. Z tohto dôvodu žiadame vo vlastnom materiáli upraviť znenie prvej vety tretieho odseku v časti 3.A na str. 3 nasledovne: „V prípade, že novo vymedzené hranice slovenských komponentov lokality Staré bukové pralesy a bukové pralesy Karpát a iných regiónov Európy a ich nárazníkových zón majú byť budú určené tak, aby bolo že bude možné vypracovať návrh malej úpravy hraníc v zmysle Operačných usmernení (procesných pravidiel) pre implementáciu Dohovoru o ochrane svetového kultúrneho a prírodného dedičstva, bez nutnosti predloženia nebude potrebné predloženie nového nominačného projektu slovenskej časti lokality.“</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bol odstránený. Na rokovaní dňa 26.10.2017 bolo objasnené, že tzv. malá úprava hraníc je jednoznačne preferovaným riešením, nakoľko celková zmena nominačného projektu by znamenala opätovné posudzovanie celej multinárodnej lokality. Túto alternatívu podporuje aj MZVEZ SR a je v záujme aj všetkých štátov, ktoré majú svoje komponenty v lokalite UNESCO Staré bukové lesy a bukové pralesy Karpát a iných regiónov Európy.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MPRVSR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V zmysle predchádzajúcej pripomienky žiadame upraviť mapový podklad uvedený v prílohe k materiálu.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Mapa bola z vlastného materiálu odstránená.</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MPRVSR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Vo vlastnom materiáli žiadame na str. 4 upraviť názov tabuľky č.1 tak, aby bolo zrejmé, že táto tabuľka neuvádza údaje po definitívnej úprave hraníc slovenských komponentov lokality. Ide o predbežné údaje, z ktorých sa bude vychádzať pri vypracovaní definitívneho návrhu úpravy hraníc v termíne do 30. novembra 2017 (v zmysle navrhovanej úlohy B.1 návrhu uznesenia vlády SR). Zároveň žiadame upraviť údaje v tabuľke č. 1 tak, aby boli tieto v súlade so závermi predchádzajúcich rokovaní o problematike medzi relevantnými inštitúciami a subjektmi. Zdôvodnenie: Navrhované výmery, uvedené v tabuľke č. 1, nezodpovedajú návrhom úpravy hraníc slovenských komponentov lokality, ktoré boli dohodnuté prostredníctvom rokovaní medzi relevantnými inštitúciami a subjektmi. Konkrétne ide napr. o nesúlad s návrhom úpravy hraníc komponentu „Vihorlat“, ktorý bol odsúhlasený na pracovnom stretnutí medzi zástupcami MPRV SR, ŠOP SR a š. p. Lesy SR, ktoré sa uskutočnilo 9. augusta 2017 v Sobranciach.</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Na rozporovom rokovaní dňa 26.10.2017 bolo dohodnuté, že MŽP SR zašle upravenú tabuľku (názov, obsah) na odsúhlasenie spolupredkladajúcim rezortom. Aj v nadväznosti na ďalšie rokovania bola tabuľka z vlastného materiálu odstránená.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MPSVRSR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k doložke vybraných vplyvov V časti 9 Vplyvy navrhovaného materiálu v doložke vybraných vplyvov zásadne žiadame označiť negatívne sociálne vplyvy a doplniť analýzu sociálnych vplyvov. Odôvodnenie: Podľa Jednotnej metodiky na posudzovanie vybraných vplyvov predkladateľ musí zhodnotiť vplyvy materiálu v doložke vybraných vplyvov a v prípade, že materiál predpokladá niektorý z vybraných vplyvov podľa doložky vybraných vplyvov, doplniť analýzu tohto vybraného vplyvu a predložiť materiál na predbežné pripomienkové konanie, ktoré sa musí uskutočniť ešte pred medzirezortným pripomienkovým konaním. V prípade, ak materiál zakladá vplyvy na podnikateľské prostredie, je potrebné vykonať konzultácie s podnikateľským prostredím, a to ešte pred predbežným pripomienkovým konaním. Z návrhu materiálu bezprostredne vyplývajú negatívne sociálne vplyvy (najmä vplyvy na trh práce a na zamestnanosť v dotknutých regiónoch), ktoré v krátkodobom horizonte môžu priamo zasiahnuť dotknuté obyvateľstvo. Tieto vplyvy súvisia najmä s obmedzeniami pre ťažbu dreva na území lokality svetového dedičstva, kde sa predloženým materiálom navrhuje rozšíriť ochrana. Žiadame tieto vplyvy identifikovať v doložke vybraných vplyvov a priložiť analýzu sociálnych vplyvov.</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Uvedený materiál nezakladá priame/nepriame vplyvy. Hodnotenie vplyvov aj v zmysle navrhovaného uznesenia bod B.9 je možné vypracovať až po finálnej úprave hraníc a bude súčasťou materiálov (návrhov nariadení vlády), ktorými sa budú vyhlasovať jednotlivé komponenty, resp. ich časti ako súčasť lokality UNESCO. Doložka vplyvov bola v bode 10 doplnená nasledovne: „Predkladaný materiál predstavuje strategický rámec pre napĺňanie požiadaviek Výboru svetového dedičstva ako aj odporúčaní medzinárodnej organizácie IUCN (primárne úprava hraníc slovenskej časti lokality a následne ďalšie na to nadväzujúce opatrenia – vypracovanie integrovaného manažmentového plánu, zabezpečenie adekvátnej starostlivosti o lokalitu, a i.). Je preto nutné uviesť, že materiál nezakladá žiadne priame/nepriame vplyvy. Hodnotenie vplyvov aj v zmysle navrhovaného uznesenia je možné vypracovať až po finálnej úprave hraníc a bude súčasťou materiálov (návrhov nariadení vlády), ktorými sa budú vyhlasovať jednotlivé komponenty, resp. ich časti ako súčasť lokality UNESCO“.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MPSVRSR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K návrhu uznesenia vlády Slovenskej republiky Zásadne žiadame vypustiť navrhovanú úlohu B.9 z uznesenia vlády SR. Odôvodnenie: a. Z formulácie úlohy nie je jasné, akú analýzu má MPSVR SR pripraviť. Čo sú to napr. „iné dopady obmedzení vyplývajúce z ochrany novo vymedzených území“. Úloha presahuje vecnú pôsobnosť MPSVR SR, ktoré podľa Jednotnej metodiky na posudzovanie vybraných vplyvov plní úlohy gestora sociálnych vplyvov; to znamená, že MPSVR SR posudzuje, či predkladateľ materiálu zhodnotil jeho sociálne vplyvy správne a reálne v súlade s metodickým postupom pre analýzu sociálnych vplyvov, ktorý je súčasťou Jednotnej metodiky na posudzovanie vybraných vplyvov, a tiež posudzuje, či predkladateľom zhodnotené vplyvy zodpovedajú rozsahu navrhovaných zmien v hodnotenom materiáli. Povinnosť zhodnotiť vplyvy predkladaného materiálu, ako aj vypracovanie doložky vybraných vplyvov a analýz vybraných vplyvov má podľa Jednotnej metodiky na posudzovanie vybraných vplyvov iba predkladateľ návrhu, pričom doložka vybraných vplyvov a príslušné analýzy vybraných vplyvov sú povinnou súčasťou predkladaného návrhu. b. Obmedzenia zavádzané predkladaným materiálom, ktorých vplyvy predkladateľ navrhuje analyzovať, pričom túto úlohu predkladateľ navrhuje uložiť MPSVR SR, sú súčasťou politiky, ktorá nespadá do vecnej pôsobnosti MPSVR SR, ale do vecnej pôsobnosti predkladateľa, t.j. Ministerstva životného prostredia SR. MŽP SR disponuje analytickými kapacitami v oblasti zhodnotenia vplyvov regulácií. Iba predkladateľ má k dispozícii údaje a informácie o opatreniach, ktoré je potrebné zhodnotiť a ich budúceho pôsobenia v danej oblasti. Napr. informácie o dotknutých hospodárskych subjektoch, ktoré zamestnávajú časť obyvateľstva v daných lokalitách (vplyv na podnikateľské subjekty, štátne subjekty), o rozsahu a vplyve navrhovaných obmedzení na ich hospodársku činnosť ako aj o predpokladanom vplyve na počet pracovných miest a prepúšťanie časti zamestnancov dotknutých subjektov. c. Najzávažnejší dopad v sociálnej oblasti, ktorý môžu navrhované obmedzenia mať, je práve dosah na trh práce v danom regióne t.j. počet pracovných miest, zamestnanosť resp. prepúšťanie a možné zvýšenie nezamestnanosti. Tento vplyv je úzko spojený s finančnými dopadmi navrhovaných obmedzení na verejné a neverejné subjekty, ktoré sa predkladateľ zaväzuje preskúmať v úlohe B.8 navrhovaného uznesenia vlády Slovenskej republiky. d. Predkladateľ návrhu v spolupráci s dotknutými rezortmi (pôdohospodárstva a rozvoja vidieka a obrany) plánuje vyčísliť finančné dopady obmedzení (pozn. analýzu nezadáva ministrovi financií SR), preto navrhujeme, aby v nadväznosti na analýzu finančných dopadov na dotknuté hospodárske subjekty (neštátni vlastníci, nájomcovia lesa a štátne organizácie) vypracoval aj analýzu vplyvov na trh práce a zamestnanosť v dotknutom regióne. MPSVR SR môže poskytnúť spoluprácu pri vypracovaní tejto analýzy ako aj pri opatreniach, ktoré by kompenzovali vzniknutú situáciu. e. Zhodnotenie sociálnych vplyvov navrhovaných obmedzení vrátane vplyvu na trh práce a zamestnanosť malo byť súčasťou už tohto návrhu resp. návrhu, ktorý priamo obmedzenia zavádza.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9151BC">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80B20" w:rsidRPr="00580B20" w:rsidRDefault="00580B20" w:rsidP="00580B20">
            <w:pPr>
              <w:jc w:val="both"/>
              <w:rPr>
                <w:rFonts w:ascii="Times" w:hAnsi="Times" w:cs="Times"/>
                <w:sz w:val="25"/>
                <w:szCs w:val="25"/>
              </w:rPr>
            </w:pPr>
            <w:r w:rsidRPr="00580B20">
              <w:rPr>
                <w:rFonts w:ascii="Times" w:hAnsi="Times" w:cs="Times"/>
                <w:sz w:val="25"/>
                <w:szCs w:val="25"/>
              </w:rPr>
              <w:t>Na rokovaní dňa 9.11. 2017 bolo dohodnuté nové znenie uznesenia vlády a rozpor bol odstránený.</w:t>
            </w:r>
          </w:p>
          <w:p w:rsidR="0065536E" w:rsidRDefault="0065536E">
            <w:pP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MPSVRSR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k vlastnému materiálu Zásadne žiadame vypustiť vetu na str. 5 „Sociálne, ekonomické a iné dopady obmedzení vyplývajúcich z ochrany novo vymedzených území slovenskej časti lokality na dotknuté obyvateľstvo budú bližšie analyzované rezortom práce, sociálnych vecí a rodiny.“ Odôvodnenie: Odôvodnenie uvedené v našej pripomienke k návrhu uznesenia vlády Slovenskej republiky sa v plnom rozsahu vzťahuje aj na túto pripomienku.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Uvedený materiál nezakladá priame/nepriame vplyvy. Hodnotenie vplyvov aj v zmysle navrhovaného uznesenia je možné vypracovať až po finálnej úprave hraníc a bude súčasťou materiálov (návrhov nariadení vlády), ktorými sa budú vyhlasovať jednotlivé komponenty, resp. ich časti ako súčasť lokality UNESCO. Pripomienka bola premietnutá do doložky vybraných vplyvov, ktorá bola v bode 10 doplnená nasledovne: „Predkladaný materiál predstavuje strategický rámec pre napĺňanie požiadaviek Výboru svetového dedičstva ako aj odporúčaní medzinárodnej organizácie IUCN (primárne úprava hraníc slovenskej časti lokality a následne ďalšie na to nadväzujúce opatrenia – vypracovanie integrovaného manažmentového plánu, zabezpečenie adekvátnej starostlivosti o lokalitu, a i.). Je preto nutné uviesť, že materiál nezakladá žiadne priame/nepriame vplyvy. Hodnotenie vplyvov aj v zmysle navrhovaného uznesenia je možné vypracovať až po finálnej úprave hraníc a bude súčasťou materiálov (návrhov nariadení vlády), ktorými sa budú vyhlasovať jednotlivé komponenty, resp. ich časti ako súčasť lokality UNESCO“.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MŠVVaŠSR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Návrh uznesenia vlády V bode B. 15 odporúčame zmeniť termín plnenia úlohy miesto „do 31. decembra 2017“ na „do 30. apríla 2018“ Odôvodnenie: Každoročne sa výzva pripravuje a zverejňuje až v novom rozpočtovom roku v závislosti od možnosti rozpočtu.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MŠVVaŠSR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Predkladacia správa Navrhujeme upraviť v 4. odstavci v predposlednej vete názov zo "Stálej misie Slovenskej republiky pri UNESCO " na "Stálej delegácie Slovenskej republiky pri UNESCO" z dôvodu oficiálnej terminológie.</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Materiál upravený v zmysle pripomienky.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MŠVVaŠSR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Vlastný materiál na strane č. 8-9 navrhujeme skrátiť časť "Vzdelávanie dospelých" (vypustiť zoznam univerzít tretieho veku a ich konkrétnych programov - tento údaj by nebolo vhodné uvádzať vo finálnej podobe materiálu určenom pre verejnosť), nasledovne: V oblasti vzdelávania dospelých je možné vo väčšej miere využiť pre zvyšovanie povedomia univerzity tretieho veku. V súčasnosti sa na Slovensku v rámci pôsobnosti univerzít tretieho veku realizujú vzdelávacie programy zaoberajúce sa pamiatkami UNESCO v kontexte medzinárodných, národných a regionálnych reálií. Tieto vzdelávacie programy sú často kombináciou vzdelávania obsahujúceho prvky z oblasti reálií UNESCO a environmentalistiky. Väčšina z nich zároveň tvorí aj medzigeneračné vzdelávanie, nakoľko ich absolvovaním vznikajú zo študentov univerzít tretieho veku multiplikátori, ktorí môžu aktívne participovať ako asistenti na vyučovacích hodinách v školách, alebo na diskusiách v lokálnych knižniciach a pod. V oblasti školstva sa preto navrhuje posilniť vzdelávacie programy univerzít tretieho veku o výraznejší prvok environmentálneho vzdelávania so zreteľom na slovenské prírodné a kultúrne dedičstvo UNESCO. Dopomohlo by to k tomu, aby sa vzdelávacie programy týkajúce sa problematiky pamiatok UNESCO a environmentálneho vzdelávania stali kvalitnejšími a vyhľadávanejšími.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Bod B.1 návrhu uznesenia vlády navrhujeme doplniť záver vety nasledovne: vypracovať návrh úpravy hraníc slovenských komponentov lokality Staré bukové lesy a bukové pralesy Karpát a iných regiónov Európy (Stužica – Bukovské vrchy, Rožok, Havešová, Vihorlat) vrátane ich nárazníkových zón s uvedením vízie ochrany a manažmentu jednotlivých zón s cieľom sceliť lokalitu v časovom horizonte 50 rokov Odôvodnenie: v súlade s odporúčaniami WHC UNESCO a s cieľom vytvoriť podmienky pre ekonomický a sociálny prínos obyvateľom daných lokalít. Túto pripomienku považujeme za zásadnú.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odstránený. Text o dlhodobej vízii regiónu, tak ako navrhlo MZVaEZ SR bol zapracovaný do vlastného materiálu na záver 1. časti v nasledovnom znení: „Pri vypracovaní návrhu úpravy hraníc slovenských komponentov lokality Staré bukové lesy a bukové pralesy Karpát a iných regiónov Európy (Stužica – Bukovské vrchy, Rožok, Havešová, Vihorlat), vrátane ich nárazníkových zón sa uvedie zároveň vízia ochrany a manažmentu jednotlivých zón s cieľom zabezpečiť kompatibilitu lokality v časovom horizonte 50 rokov“.Navyše, v nadväznosti na rokovania s ďalšími subjektami bol na záver kapitoly C doplnený text: „V rámci IPM bude stanovený dlhodobý harmonogram zabezpečenia ochrany a starostlivosti o lokalitu v súlade s nominačným projektom, ako aj krátkodobé ciele a opatrenia na ich dosiahnutie. Snahou bude zabezpečiť ochranu na území v zmysle výmery uvedenej v nominačnom projekte (5766,40 ha)“.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odstrániť tabuľku č. 1 a upraviť súvisiaci text (str. 4). Odôvodnenie: úprava hraníc pamiatky má byť vykonaná v súlade s odporúčaním monitorovacej misie IUCN, čomu nezodpovedá uvedená tabuľka. V úlohe B.1. návrhu uznesenia sa ukladá úloha vypracovať návrh úpravy hraníc slovenských komponentov do 30.11. 2017, MZVaEZ SR odporúča využiť zostávajúci čas na dopracovanie návrhu zonácie v spolupráci s dotknutými subjektmi a s týmto cieľom ponúka pracovné stretnutie na pôde MZVaEZ SR. Túto pripomienku považujeme za zásadnú.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Rozpor odstránený. Tabuľka bola z vlastného materiálu odstránená spolu so súvisiacim textom.</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str. 1 a 2, bod 2. Súčasný stav riešenia a dosiahnutý pokrok – navrhujeme doplniť rezorty: Ministerstvo školstva, vedy, výskumu a športu SR, Ministerstvo kultúry SR a Úrad vlády SR.</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str. 2, bod 3. Komplexný návrh opatrení – spresniť znenie bodov A. až E. nasledovne: A. Prijať Integrovaný plán manažmentu lokalít svetového prírodného dedičstva. B. Legislatívne upraviť proti ťažbe vo všetkých chránených komponentoch v zmysle dohovorových záväzkov. C. Upraviť hranice pamiatky v súlade s odporúčaním monitorovacej komisie IUCN najneskôr do konca roka 2017. D. Vyčleniť finančné prostriedky na podporu rozvoja cestovného ruchu a alternatívnych zdrojov príjmu v regióne s využitím značky UNESCO. E. Budovanie kapacít pre výchovu a vzdelávanie k svetovému dedičstvu a k adekvátnemu enviromentálnemu vedomiu. Odôvodnenie: spresnenie textu podľa odporúčaní UNESCO.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str. 5, bod C Dopracovanie integrovaného manažmentového plánu pre lokalitu: v odst. 2 vypustiť druhú vetu: „Vzhľadom na to, že termín...významu.“ a nahradiť touto vetou: „Integrovaný manažmentový plán si bude vyžadovať zmenu legislatívy.“ Odôvodnenie: Vypracovanie integrovaného manažmentového plánu je jedna z explicitných podmienok v rámci odporúčaní WHC, nenahradí ho Program starostlivosti o medzinárodne chránené územie. Jeho vypracovanie sa predpokladá aj v súčinnosti s ďalšími krajinami (výsledok zasadnutia v Hainburgu, 2.-5.10. 2017). Túto pripomienku považujeme za zásadnú. V kontexte horeuvedeného textu vypustiť poznámku pod čiarou (PPČ 3) str. 1.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odstránený. Text vlastného materiálu bol po vzájomnej dohode upravený tak, že je používaný pojem „integrovaný plán manažmentu“, ktorý požaduje UNESCO.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str.1, štvrtý odsek – poslednú vetu „Slovenská republika je povinná dodať do 01.02.2018 Centru svetového dedičstva správu, ktorej súčasťou bude hlavne vymedzenie hraníc lokality a informácia o dosiahnutom pokroku“ odporúčame preformulovať nasledovne: "Slovenská republika je povinná do 1.2. 2018 podať Centru svetového dedičstva správu o implementácii všetkých odporúčaní a informácie o ďalších krokoch."</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str.9, druhý odsek, druhá veta – odporúčame preformulovať vetu „Posilnenie týchto programov by bolo možné zrealizovať cez vytvorenie finančného príspevku/mechanizmu pre univerzity tretieho veku zo strany Slovenskej komisie pre UNESCO, respektíve ich asociáciu, prostredníctvom ktorého by mohli vytvoriť nové vzdelávacie pomôcky a zdroje pre študentov.“ nasledovne: „Spôsob posilnenia týchto programov sa navrhuje diskutovať v rámci relevantných platforiem, vrátane Slovenskej komisie pre UNESCO.“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NBS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SVPPNRO</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Bod B.1 návrhu uznesenia vlády navrhujeme doplniť nasledovne: vypracovať návrh úpravy hraníc slovenských komponentov lokality Staré bukové lesy a bukové pralesy Karpát a iných regiónov Európy (Stužica – Bukovské vrchy, Rožok, Havešová, Vihorlat) vrátane ich nárazníkových zón v súlade s nominačným projektom a odporúčaniami Výboru svetového dedičstva UNESCO, expertov UNESCO a medzinárodnej organizácie IUCN a riaditeľky Centra svetového dedičstva UNESCO Mechtild Rössler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Na rozporovom konaní dňa 31.10.2017 bola diskutovaná otázka úpravy hraníc v súlade s nominačným projektom, tak ako požaduje SVPPNRO. MŽP SR objasnilo, že úpravou hraníc de facto dôjde k úprave nominačného projektu, preto je formulácia pripomienky „v súlade s nominačným projektom“ nepresná. Úprava hraníc bude vykonaná s cieľom rešpektovať odporúčania Výboru svetového dedičstva UNESCO a medzinárodnej organizácie IUCN a zároveň reflektovať súčasný reálny stav. Táto formulácia bola doplnená do úlohy B.1 uznesenia vlády. Znenie úlohy bolo čiastočne upravené v zmysle pripomienky: „vypracovať návrh úpravy hraníc slovenských komponentov lokality Staré bukové lesy a bukové pralesy Karpát a iných regiónov Európy (Stužica – Bukovské vrchy, Rožok, Havešová, Vihorlat) vrátane ich nárazníkových zón v súlade s odporúčaniami Výboru svetového dedičstva UNESCO a medzinárodnej organizácie IUCN“.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SVPPNRO</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Bod B.17 návrhu uznesenia vlády navrhujeme preformulovať nasledovne: zohľadniť a zakomponovať slovenské komponenty lokality svetového dedičstva UNESCO Staré bukové lesy a bukové pralesy Karpát a iných regiónov Európy vrátane navrhovaných opatrení ich programu starostlivosti (integrovaného manažmentového plánu) v pripravovaných akčných plánoch pre najmenej rozvinuté okresy a ich prípadných revíziách do 31. decembra 2018 a do 6 mesiacov od schválenia integrovaného manažmentového plánu pre slovenské komponenty lokality Staré bukové lesy a bukové pralesy Karpát a iných regiónov Európy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odstránený. Na rozporovom konaní dňa 31.10.2017 bol dohodnutý posun termínu úlohy B.17 na 31. decembra 2017.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SVPPNRO</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Bod B.2 návrhu uznesenia vlády navrhujeme doplniť nasledovne: pripraviť program starostlivosti (Integrovaný manažmentový plán) o slovenské komponenty lokality Staré bukové lesy a bukové pralesy Karpát a iných regiónov Európy vrátane ich nárazníkových zón v súlade s nominačným projektom a odporúčaniami Výboru svetového dedičstva UNESCO, expertov UNESCO a medzinárodnej organizácie IUCN a riaditeľky Centra svetového dedičstva UNESCO Mechtild Rössler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Na rozporovom konaní dňa 31.10.2017 bola diskutovaná otázka úpravy hraníc v súlade s nominačným projektom, tak ako požaduje SVPPNRO. MŽP SR objasnilo, že úpravou hraníc de facto dôjde k úprave nominačného projektu, preto je formulácia pripomienky „v súlade s nominačným projektom“ nepresná. Úprava hraníc bude vykonaná s cieľom rešpektovať odporúčania Výboru svetového dedičstva UNESCO a medzinárodnej organizácie IUCN a zároveň reflektovať súčasný reálny stav. Táto formulácia bola doplnená do úlohy B.1 uznesenia vlády. Znenie úlohy bolo čiastočne upravené v zmysle pripomienky: „vypracovať návrh úpravy hraníc slovenských komponentov lokality Staré bukové lesy a bukové pralesy Karpát a iných regiónov Európy (Stužica – Bukovské vrchy, Rožok, Havešová, Vihorlat) vrátane ich nárazníkových zón v súlade s odporúčaniami Výboru svetového dedičstva UNESCO a medzinárodnej organizácie IUCN“.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SVPPNRO</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Pripomienka k návrhu uznesenia vlády SR Za bodom B.17 návrhu uznesenia vlády navrhujeme pridať nasledovný samostatný bod: v rámci svojej agendy podpory rozvoja najmenej rozvinutých okresov úzko spolupracovať s Ministerstvo životného prostredia Slovenskej republiky pri plnení súvisiacich úloh B.1. a B.2 a s Ministerstvom dopravy a výstavy Slovenskej republiky pri plnení úlohy B.16 priebežne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odstránený. Na rozporovom konaní dňa 31.10.2017 bolo dohodnuté odstúpenie od pripomienky.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SVPPNRO</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Pripomienka k vlastnému materiálu k návrhu uznesenia vlády SR Tabuľku na strane 4 a mapu uvedenú vo Všeobecnej prílohe upraviť v súlade s nominačným projektom a odporúčaniami Výboru svetového dedičstva UNESCO, expertov UNESCO a medzinárodnej organizácie IUCN a riaditeľky Centra svetového dedičstva UNESCO Mechtild Rössler. Zdôvodnenie: V rámci nedávneho osobného stretnutia Splnomocnenca vlády Slovenskej republiky pre podporu najmenej rozvinutých okresov s riaditeľkou Centra svetového dedičstva UNESCO Mechtild Rössler, bolo okrem iného zo strany pani riaditeľky zdôraznené, že vymedzenie resp. zmena vymedzenia územia prírodného dedičstva UNESCO v rámci záväzného nominačného projektu je považovaná za “crucial part of the solution”. Akákoľvek zmena vymedzenia územia prírodného dedičstva UNESCO oproti pôvodnému nominačnému projektu by podľa nášho názoru mala byť navrhovaná v úzkej súčinnosti s expertmi UNESCO a IUCN. Zároveň zdôrazňujeme, že pre rozvoj okresu Snina je žiadúca postupná diverzifikácia ekonomických činností smerom k trvaloudržateľnému cestovnému ruchu, ktorý by mal byť postavený na výnimočných kultúrnych a prírodných hodnotách daného regiónu. Takto postavená koncepcia si však vyžaduje náležitú garanciu ochrany týchto hodnôt vrátane ochrany prírodného dedičstva UNESCO. UNESCO, je vo svete vnímané ako prestížna medzinárodná značka, ktorá výraznou mierou napomáha pri znižovaní nezamestnanosti a reštarte ekonomiky málo rozvinutých regiónov. Bola by preto obrovská chyba, ak by Slovenská republika prišla o túto značku z dôvodu nedodržania odporúčaní záväznej nominácie a expertov UNESCO a IUCN.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Na základe rozporového konania dňa 31.10.2017 bola pripomienka čiastočne akceptovaná. Mapová príloha i tabuľka boli z vlastného materiálu odstránené.</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ÚGKKSR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Odporúčame objekt s označením "Stužnica - Bukovské vrchy" uviesť s čiarkou ako "Stužnica, Bukovské vrchy". Uvedená pripomienka platí pre celý text navrhovaného dokumentu.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V materiáli sa zachováva označenie v zmysle nominačného projektu, navrhovaná zmena by evokovala zmenu počtu komponentov lokality UNESCO.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ÚPPVII</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Str. 5, bod B., predposledný odsek, v poslednej vete navrhujeme upraviť vetu „Rovnako by mali byť návrhy opatrení na podporu udržateľného regionálneho rozvoja dotknutého územia premietnuté aj v pripravovanom Národnom investičnom pláne.“ nasledovne „Rovnako by mali byť návrhy opatrení na podporu udržateľného regionálneho rozvoja dotknutého územia premietnuté aj v pripravovanom Národnom investičnom pláne SR na roky 2018 -2030“. Odôvodnenie: Toto je presná citácia Národného investičného plánu.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Materiál upravený v zmysle pripomienky.</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ÚPVSR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ÚVO</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ÚVSR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Komplexný návrh opatrení pre lokalitu svetového dedičstva UNESCO Staré bukové lesy a bukové pralesy Karpát a iných regiónov Európy Hromadná pripomienka LZ VLK Lesoochranárske zoskupenie VLK (LZ VLK), so sídlom 082 13 Tulčík 310, predkladá nasledujúcu hromadnú pripomienku k materiálu Komplexný návrh opatrení pre lokalitu svetového dedičstva UNESCO Staré bukové lesy a bukové pralesy Karpát a iných regiónov Európy. Pripomienkovaný materiál zverejnilo Ministerstvo životného prostredia Slovenskej republiky dňa 18. októbra 2017 pod rezortným číslom 8820/2017-6.1. Dátum ukončenia medzirezortného pripomienkového konania je 24. október 2017. Pripomienkovaný materiál je zverejnený na stránke https://www.slov-lex.sk/legislativne-procesy/SK/LP/2017/735. 1. Žiadame zabezpečiť ochranu slovenskej časti lokality Svetového dedičstva UNESCO Staré bukové lesy a bukové pralesy Karpát a iných regiónov Európy v zmysle rozhodnutia Výboru Svetového dedičstva UNESCO (WHC/17/41.COM/18), prijatého na jeho 41. zasadnutí v Krakove, na výmere 5766,4 ha, tak ako je to uvedené v nominačnom projekte. Do predloženého materiálu žiadame doplniť časový harmonogram rozšírenia jadrovej zóny na výmeru 5766,4 ha. V prípade, že Slovenská republika nie je schopná zabezpečiť ochranu na uvedenej výmere, žiadame aby Ministerstvo životného prostredia SR požiadalo Výbor Svetového dedičstva UNESCO o zaradenie lokality na Zoznam ohrozených lokalít. Pripomienka je zásadná. Odôvodnenie: Slovenská republika klame medzinárodnému spoločenstvu o skutočnom stave slovenskej časti lokality Svetového kultúrneho a prírodného dedičstva UNESCO „Staré bukové lesy a bukové pralesy Karpát a iných regiónov Európy“ už od roku 2005, keď MŽP SR podalo nominačný projekt. Väčšina (67 %) z celkovej výmery 5 766,4 hektárov nemá zabezpečenú ochranu ani 10 rokov po zápise do Zoznamu svetového dedičstva. V pohorí Vihorlat je chránených iba 6 % územia. Na ploche 3 860 hektárov UNESCO lokality prebieha ťažba ako v akýchkoľvek iných lesoch, loví sa tu zver, dokonca aj ohrozený vlk, stavajú sa nové poľovnícke posedy. Naplánované sú tu developerské projekty, ako napríklad výstavba lyžiarskeho strediska, lanovky či cestného hraničného prechodu do Poľska. Presné hranice slovenskej časti pozostávajúcej z piatich komponentov nie sú dodnes známe a preto ani neboli nikdy vyznačené v teréne. Slovenská republika tým vážne porušuje pravidlá stanovené UNESCO-m. Predmet ochrany, karpatské bukové pralesy, čelí vážnej hrozbe a môže byť nenávratne zničený. Po dlhotrvajúcej dôraznej kritike zo strany Výboru Svetového dedičstva UNESCO predkladá Ministerstvo životného prostredia SR „Komplexný návrh opatrení“, v ktorom opätovne neplánuje napĺňať záväzky Slovenskej republiky v plnej miere, ale ochranu navrhuje zabezpečiť na výmere 3 583,63 ha, čo tvorí iba 62 % rozlohy slovenskej časti lokality schválenej Výborom Svetového dedičstva UNESCO v roku 2007. VLK preto žiada zabezpečiť ochranu slovenskej časti lokality Svetového dedičstva UNESCO Staré bukové lesy a bukové pralesy Karpát a iných regiónov Európy v zmysle rozhodnutia Výboru Svetového dedičstva UNESCO (WHC) (WHC/17/41.COM/18), prijatého na 41. zasadnutí WHC v Krakove, na výmere 5766,4 ha, tak ako je to uvedené v nominačnom projekte. Do predloženého materiálu žiadame doplniť časový harmonogram rozšírenia jadrovej zóny na výmeru 5766,4 ha v zmysle záverov z pracovného stretnutia medzi LZ VLK a členmi Poradného zboru expertov Slovenskej komisie pre UNESCO, ktoré sa uskutočnilo dňa 29. septembra 2017 v priestoroch Ministerstva zahraničných vecí a európskych záležitostí SR v Bratislave. V prípade, že Slovenská republika nie je schopná zabezpečiť ochranu na uvedenej výmere, žiadame aby Ministerstvo životného prostredia SR požiadalo Výbor Svetového dedičstva UNESCO o zaradenie lokality na Zoznam ohrozených lokalít v zmysle pravidiel uvedených v dokumente „Operational Guidelines for the Implementation of the World Heritage Convention“. Zástupcovia verejnosti: Juraj Lukáč, LZ VLK, juro@osadne.sk Viliam Bartuš, LZ VLK Východné Karpaty, vilo@wolf.sk Peter Sabo, LZ VLK Východné Karpaty, peto@wolf.sk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Na rokovaní dňa 26.10.2017 s OZ VLK bolo zdôraznené zo strany predkladateľov, že primárnym cieľom dokumentu je naplniť závery 41. zasadnutia Výboru Svetového dedičstva UNESCO (WHC/17/41.COM/18). Taktiež predkladatelia materiálu potvrdili, že úlohou predkladaného materiálu je urýchlene riešiť pretrvávajúce nedostatky a v čo najkratšom období zabezpečiť najvyšší stupeň ochrany (bezzásahový režim) na celej slovenskej časti lokality Svetového dedičstva UNESCO Staré bukové lesy a bukové pralesy Karpát a iných regiónov Európy v zmysle záverov Výboru Svetového dedičstva UNESCO (WHC/17/41.COM/18), prijatého na jeho 41. zasadnutí v Krakove. Dlhodobá vízia zabezpečenia dostatočnej ochrany územia, ktoré bude v maximálne možnej miere reflektovať reálnu výmeru bukových pralesov zodpovedajúcich kritériám predmetu ochrany, bude súčasťou programu starostlivosti o územie medzinárodného významu. Jednou z úloh vyplývajúcou z návrhu uznesenia vlády k tomuto materiálu (bod B.1) je návrh úpravy hraníc, časový harmonogram rozšírenia lokality je možné stanoviť až následne. Na záver 1. časti vlastného materiálu bol doplnený text v nasledovnom znení: „Pri vypracovaní návrhu úpravy hraníc slovenských komponentov lokality Staré bukové lesy a bukové pralesy Karpát a iných regiónov Európy (Stužica – Bukovské vrchy, Rožok, Havešová, Vihorlat), vrátane ich nárazníkových zón sa uvedie zároveň vízia ochrany a manažmentu jednotlivých zón s cieľom zabezpečiť kompatibilitu lokality v časovom horizonte 50 rokov“. Aj v nadväznosti na rokovania s ďalšími subjektami bol na záver kapitoly C doplnený text: „V rámci IPM bude stanovený dlhodobý harmonogram zabezpečenia ochrany a starostlivosti o lokalitu v súlade s nominačným projektom, ako aj krátkodobé ciele a opatrenia na ich dosiahnutie. Snahou bude zabezpečiť ochranu na území v zmysle výmery uvedenej v nominačnom projekte (5766,40 ha)“.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Navrhovaná jadrová zóna komponentu Stužica - Bukovské vrchy (PR Černiny a PR Pramene Cirochy) zaberá iba uzučký pásik lesov pod hlavným hrebeňom Polonín široký prevažne menej ako 100 m. Chceme upozorniť na to, že v rámci Karpatského dohovoru bola spracovaná aj jednotná karpatská metodika na identifikáciu pralesov, kde je stanovený parameter minimálnej šírky pralesa a to na 200 m. Preto žiadame, aby navrhovaná jadrová zóna tento parameter rešpektovala. Z uvedeného dôvodu žiadame rozšíriť navrhovanú PR Pramenisko Cirochy o JPRL č. 158, 160, 162, 164 na LHC Starina, LUC Stakčín (spolu 37,31 ha) a navrhovanú PR Černiny o JPRL č. 820 (časť – mimo navrh. PR), 828 (časť – mimo navrh. PR), 1826 (časť – mimo navrh. PR), 1827 (časť – mimo navrh. PR) a lesný pozemok PH21 na LHC Starina, LUC Smolník, 957a, 959a, 959b, 963, 964, 968, 969, 974 1.p.s, 975b, 1975, 982, 984, 992, 1029a, 1029b a lesné pozemky č. PH6, PH8, CH9, CH10, CH11, CH12, CH13, CH14 na LHC Starina, LUC Zvala a JPRL č. 93a (časť – mimo navrh. PR), 93b (časť – mimo navrh. PR), 108a (časť – mimo navrh. PR), 108b (časť – mimo navrh. PR), 109 (časť – mimo navrh. PR), 1120 na LHC Nižná Jablonka, LUC Lesy Nižná Jablonka (spolu 221,36 ha).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odstránený. Na základe komunikácie bolo ozrejmené, že predkladaný materiál priamo neprejudikuje, ktoré konkrétne JPRL, resp. lesné pozemky budú súčasťou lokality. Tabuľka a mapový podklad ako súčasť predkladaného materiálu predstavuje východiskový stav pre ďalšie rokovania o návrhu úpravy hraníc, ktoré majú byť, v zmysle úlohy B.1 navrhovaného uznesenia vlády SR k tomuto materiálu, vypracované v termíne do 30 novembra 2017. Návrh PRALES, o.z. bude využitý ako podklad na rokovaní o návrhu úpravy hraníc lokality.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PRALES, o.z. k definitívneho vymedzenia hraníc slovenských komponentov lokality a ich nárazníkových zón a k zabezpečeniu ochrany pred ťažbou dreva a inými potenciálnymi hrozbami. V rokoch 2009 - 2014 PRALES, o.z. vykonal historicky prvá komplexnú priestorovú inventarizáciu (mapovanie) pralesov a ich zvyškov na Slovensku. Mapovanie bolo vykonané aj na územiach zaradených do svetového dedičstva UNESCO. V súvislosti s tým žiadame, aby všetky identifikované lokality pralesov a ich zvyšky nachádzajúce sa v daných územiach boli zahrnuté do jadrových zón jednotlivých slovenských komponentov. Nestalo sa tak, napriek tomu, že ŠOP SR sme po skončení identifikácie pralesov odovzdali podrobné výstupy, vrátane GIS vrstiev. Konkrétne: 1. ŠOP SR na ochranu komponentu Stužica - Bukovské vrchy navrhuje vyhlásiť vyhlásiť dve rezervácie a to navrhovanú PR Černiny a navrhovanú PR Pramene Cirochy. Obe ležia v NP Poloniny a prepájajú už existujúce vyhlásené PR a NPR (Udava, Šipková, Pľaša, Riaba skala, Borsukov vrch a Stužica). Do navrhovaných PR nie sú zahrnuté: - prales Rydošová (http://www.pralesy.sk/lokality/lokality-pralesov.html?id=107&amp;task=view) bezprostredne nadväzujúci na NPR Udava, t.j. na ŠOP SR navrhovanú jadrovú zónu komponentu Stužica – Bukovské vrchy. Žiadame do jadrovej zóny doplniť JPRL č. 165, 166, 167, 181, 182, 183 a lesné pozemky PH17,PH18, PH19 na LHC Nižná Jablonka, LUC Lesy Nižná Jablonka. Ide o výmeru 48,22 ha. - časť pralesa Riaba skala (http://www.pralesy.sk/lokality/lokality-pralesov.html?id=100&amp;task=view) bezprostredne nadväzujúca na NPR Riaba skala/Jarabá skala t.j. na ŠOP SR navrhovanú jadrovú zónu Stužica – Bukovské vrchy. Žiadame doplniť JPRL č. 201 na Topoľa, LUC Neštátne lesy na LHC Topoľa. Ide o výmeru 16,32 ha. 2. ŠOP SR na ochranu komponentu Vihorlat vyhlásiť rezerváciu Nežabec. Leží v CHKO Vihorlat a prepája už existujúce vyhlásené PP, PR a NPR (Morské oko, Baba pod Vihorlatom, Jedlinka, Motrogon, Sninský kameň). Do navrhovanej PR nie sú zahrnuté: - časť pralesa Morské oko (http://www.pralesy.sk/lokality/lokality-pralesov.html?id=103&amp;task=view) bezprostredne nadväzujúca na NPR Morské oko t.j. na ŠOP SR navrhovanú jadrovú zónu Vihorlat. Navrhujeme doplniť JPRL č. 203 1. ps, 203 2. ps, 206 1.ps, 206, 2.ps na LHC Sobrance, LUC Lesy Remetské Hámre (celková výmera 23,28 ha) - časť pralesa Motrogon (http://www.pralesy.sk/lokality/lokality-pralesov.html?id=104&amp;task=view) bezprostredne nadväzujúca na NPR Motrogon a PR Baba pod Vihorlatom t.j. na ŠOP SR navrhovanú jadrovú zónu Vihorlat. Navrhujeme doplniť JPRL č. 110a na LHC Sobrance, LUC Lesy Remetské Hámre (celková výmera 7,06ha) Celkovo žiadame doplnenie jadrových zón komponentov Stužica – Bukovské vrchy a Vihorlat o porasty na výmere 305,72 ha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odstránený. Na základe komunikácie bolo ozrejmené, že predkladaný materiál priamo neprejudikuje, ktoré konkrétne JPRL, resp. lesné pozemky budú súčasťou lokality. Tabuľka a mapový podklad ako súčasť predkladaného materiálu predstavuje východiskový stav pre ďalšie rokovania o návrhu úpravy hraníc, ktoré majú byť, v zmysle úlohy B.1 navrhovaného uznesenia vlády SR k tomuto materiálu, vypracované v termíne do 30. novembra 2017. Návrh PRALES, o.z. bude využitý ako podklad na rokovaní o návrhu úpravy hraníc lokality. </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 xml:space="preserve">PRALES, o.z. k návrhu definitívneho vymedzenia hraníc slovenských komponentov lokality a ich nárazníkových zón ŠOP SR vypracovala návrh modifikovaných hraníc 4 slovenských komponentov lokality Svetového dedičstva UNESCO, pričom v prílohe predkladaného materiálu predložila len mapu v mierke, z ktorej je veľmi problematické posúdiť hranice komponentov na úrovni jednotiek priestorového rozdelenia lesa (JPRL). Žiadame, aby bol materiál doplnený o podrobnejšie mapy (samostatné pre jednotlivé komponenty), z ktorých by bolo možné posúdiť priebeh hranice, vrátane možnosti identifikácie JPRL, ktoré sú súčasťou jadrových zón resp. ich ochranných pásem.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Tabuľka a mapový podklad ako súčasť predkladaného materiálu predstavuje východiskový stav pre ďalšie rokovania o návrhu úpravy hraníc, ktoré majú byť, v zmysle úlohy B.1 navrhovaného uznesenia vlády SR k tomuto materiálu, vypracované v termíne do 30. novembra 2017.</w:t>
            </w:r>
          </w:p>
        </w:tc>
      </w:tr>
      <w:tr w:rsidR="0065536E">
        <w:trPr>
          <w:divId w:val="1614482196"/>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br/>
              <w:t>Pripomienka PRALES, o.z. Navrhovaná jadrová zóna komponentu Stužica - Bukovské vrchy (PR Černiny a PR Pramene Cirochy) zaberá iba uzučký pásik lesov pod hlavným hrebeňom Polonín široký prevažne menej ako 100 m. Chceme upozorniť na to, že v rámci Karpatského dohovoru bola spracovaná aj jednotná karpatská metodika na identifikáciu pralesov, kde je stanovený parameter minimálnej šírky pralesa a to na 200 m. Preto žiadame, aby navrhovaná jadrová zóna tento parameter rešpektovala. Z uvedeného dôvodu žiadame rozšíriť navrhovanú PR Pramenisko Cirochy o JPRL č. 158, 160, 162, 164 na LHC Starina, LUC Stakčín (spolu 37,31 ha) a navrhovanú PR Černiny o JPRL č. 820 (časť – mimo navrh. PR), 828 (časť – mimo navrh. PR), 1826 (časť – mimo navrh. PR), 1827 (časť – mimo navrh. PR) a lesný pozemok PH21 na LHC Starina, LUC Smolník, 957a, 959a, 959b, 963, 964, 968, 969, 974 1.p.s, 975b, 1975, 982, 984, 992, 1029a, 1029b a lesné pozemky č. PH6, PH8, CH9, CH10, CH11, CH12, CH13, CH14 na LHC Starina, LUC Zvala a JPRL č. 93a (časť – mimo navrh. PR), 93b (časť – mimo navrh. PR), 108a (časť – mimo navrh. PR), 108b (časť – mimo navrh. PR), 109 (časť – mimo navrh. PR), 1120 na LHC Nižná Jablonka, LUC Lesy Nižná Jablonka (spolu 221,36 ha).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65536E" w:rsidRDefault="0065536E">
            <w:pPr>
              <w:rPr>
                <w:rFonts w:ascii="Times" w:hAnsi="Times" w:cs="Times"/>
                <w:sz w:val="25"/>
                <w:szCs w:val="25"/>
              </w:rPr>
            </w:pPr>
            <w:r>
              <w:rPr>
                <w:rFonts w:ascii="Times" w:hAnsi="Times" w:cs="Times"/>
                <w:sz w:val="25"/>
                <w:szCs w:val="25"/>
              </w:rPr>
              <w:t xml:space="preserve">Rozpor odstránený. Na základe komunikácie bolo ozrejmené, že predkladaný materiál priamo neprejudikuje, ktoré konkrétne JPRL, resp. lesné pozemky budú súčasťou lokality. Tabuľka a mapový podklad ako súčasť predkladaného materiálu predstavuje východiskový stav pre ďalšie rokovania o návrhu úpravy hraníc, ktoré majú byť, v zmysle úlohy B.1 uznesenia vlády SR k tomuto materiálu, vypracované v termíne do 30 novembra 2017. Návrh PRALES, o.z. bude využitý ako podklad na rokovaní o návrhu úpravy hraníc lokality. </w:t>
            </w:r>
          </w:p>
        </w:tc>
      </w:tr>
    </w:tbl>
    <w:p w:rsidR="00154A91" w:rsidRPr="00154A91" w:rsidRDefault="00154A91" w:rsidP="00CE47A6"/>
    <w:p w:rsidR="00154A91" w:rsidRPr="00024402" w:rsidRDefault="00154A91" w:rsidP="00CE47A6"/>
    <w:sectPr w:rsidR="00154A91" w:rsidRPr="00024402" w:rsidSect="004075B2">
      <w:pgSz w:w="15840" w:h="12240"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C5B" w:rsidRDefault="00584C5B" w:rsidP="000A67D5">
      <w:pPr>
        <w:spacing w:after="0" w:line="240" w:lineRule="auto"/>
      </w:pPr>
      <w:r>
        <w:separator/>
      </w:r>
    </w:p>
  </w:endnote>
  <w:endnote w:type="continuationSeparator" w:id="0">
    <w:p w:rsidR="00584C5B" w:rsidRDefault="00584C5B" w:rsidP="000A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C5B" w:rsidRDefault="00584C5B" w:rsidP="000A67D5">
      <w:pPr>
        <w:spacing w:after="0" w:line="240" w:lineRule="auto"/>
      </w:pPr>
      <w:r>
        <w:separator/>
      </w:r>
    </w:p>
  </w:footnote>
  <w:footnote w:type="continuationSeparator" w:id="0">
    <w:p w:rsidR="00584C5B" w:rsidRDefault="00584C5B" w:rsidP="000A6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44"/>
    <w:rsid w:val="000032C8"/>
    <w:rsid w:val="00024402"/>
    <w:rsid w:val="000324A3"/>
    <w:rsid w:val="0006543E"/>
    <w:rsid w:val="000A67D5"/>
    <w:rsid w:val="000E25CA"/>
    <w:rsid w:val="000F6658"/>
    <w:rsid w:val="000F7A42"/>
    <w:rsid w:val="00146547"/>
    <w:rsid w:val="00146B48"/>
    <w:rsid w:val="00147919"/>
    <w:rsid w:val="00150388"/>
    <w:rsid w:val="00154A91"/>
    <w:rsid w:val="002109B0"/>
    <w:rsid w:val="0021228E"/>
    <w:rsid w:val="00230F3C"/>
    <w:rsid w:val="00235B92"/>
    <w:rsid w:val="002576D9"/>
    <w:rsid w:val="002654AA"/>
    <w:rsid w:val="002827B4"/>
    <w:rsid w:val="002A5577"/>
    <w:rsid w:val="002D7471"/>
    <w:rsid w:val="00310A55"/>
    <w:rsid w:val="00322014"/>
    <w:rsid w:val="0039526D"/>
    <w:rsid w:val="003B435B"/>
    <w:rsid w:val="003C2752"/>
    <w:rsid w:val="003D101C"/>
    <w:rsid w:val="003D5E45"/>
    <w:rsid w:val="003E4226"/>
    <w:rsid w:val="004075B2"/>
    <w:rsid w:val="00436C44"/>
    <w:rsid w:val="00474A9D"/>
    <w:rsid w:val="00532574"/>
    <w:rsid w:val="00580B20"/>
    <w:rsid w:val="00584C5B"/>
    <w:rsid w:val="0059081C"/>
    <w:rsid w:val="005E7C53"/>
    <w:rsid w:val="00642FB8"/>
    <w:rsid w:val="0065536E"/>
    <w:rsid w:val="006A3681"/>
    <w:rsid w:val="007156F5"/>
    <w:rsid w:val="007A1010"/>
    <w:rsid w:val="007B7F1A"/>
    <w:rsid w:val="007D7AE6"/>
    <w:rsid w:val="007E4294"/>
    <w:rsid w:val="00841FA6"/>
    <w:rsid w:val="008A1964"/>
    <w:rsid w:val="008E2844"/>
    <w:rsid w:val="0090100E"/>
    <w:rsid w:val="009151BC"/>
    <w:rsid w:val="009239D9"/>
    <w:rsid w:val="00927118"/>
    <w:rsid w:val="00943EB2"/>
    <w:rsid w:val="0099665B"/>
    <w:rsid w:val="009C6C5C"/>
    <w:rsid w:val="009F7218"/>
    <w:rsid w:val="00A251BF"/>
    <w:rsid w:val="00A54A16"/>
    <w:rsid w:val="00B445F7"/>
    <w:rsid w:val="00B721A5"/>
    <w:rsid w:val="00B76589"/>
    <w:rsid w:val="00B8767E"/>
    <w:rsid w:val="00BD1FAB"/>
    <w:rsid w:val="00BE7302"/>
    <w:rsid w:val="00BF7CE0"/>
    <w:rsid w:val="00CA44D2"/>
    <w:rsid w:val="00CE47A6"/>
    <w:rsid w:val="00CF3D59"/>
    <w:rsid w:val="00D261C9"/>
    <w:rsid w:val="00D85172"/>
    <w:rsid w:val="00D969AC"/>
    <w:rsid w:val="00DF7085"/>
    <w:rsid w:val="00E85710"/>
    <w:rsid w:val="00EB772A"/>
    <w:rsid w:val="00EF1425"/>
    <w:rsid w:val="00F26A4A"/>
    <w:rsid w:val="00F727F0"/>
    <w:rsid w:val="00F85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2574"/>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character" w:styleId="Odkaznakomentr">
    <w:name w:val="annotation reference"/>
    <w:basedOn w:val="Predvolenpsmoodseku"/>
    <w:uiPriority w:val="99"/>
    <w:semiHidden/>
    <w:unhideWhenUsed/>
    <w:rsid w:val="00927118"/>
    <w:rPr>
      <w:sz w:val="16"/>
      <w:szCs w:val="16"/>
    </w:rPr>
  </w:style>
  <w:style w:type="paragraph" w:styleId="Textkomentra">
    <w:name w:val="annotation text"/>
    <w:basedOn w:val="Normlny"/>
    <w:link w:val="TextkomentraChar"/>
    <w:uiPriority w:val="99"/>
    <w:semiHidden/>
    <w:unhideWhenUsed/>
    <w:rsid w:val="00927118"/>
    <w:pPr>
      <w:widowControl w:val="0"/>
      <w:adjustRightInd w:val="0"/>
      <w:spacing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927118"/>
    <w:rPr>
      <w:rFonts w:ascii="Calibri" w:eastAsia="Times New Roman" w:hAnsi="Calibri" w:cs="Times New Roman"/>
      <w:sz w:val="20"/>
      <w:szCs w:val="20"/>
    </w:rPr>
  </w:style>
  <w:style w:type="paragraph" w:styleId="Zkladntext">
    <w:name w:val="Body Text"/>
    <w:basedOn w:val="Normlny"/>
    <w:link w:val="ZkladntextChar"/>
    <w:uiPriority w:val="99"/>
    <w:semiHidden/>
    <w:rsid w:val="00BF7CE0"/>
    <w:pPr>
      <w:widowControl w:val="0"/>
      <w:adjustRightInd w:val="0"/>
      <w:spacing w:after="0" w:line="240" w:lineRule="auto"/>
      <w:jc w:val="center"/>
    </w:pPr>
    <w:rPr>
      <w:rFonts w:ascii="Times New Roman" w:eastAsia="Times New Roman" w:hAnsi="Times New Roman" w:cs="Times New Roman"/>
      <w:b/>
      <w:bCs/>
      <w:sz w:val="28"/>
      <w:szCs w:val="28"/>
      <w:lang w:eastAsia="sk-SK"/>
    </w:rPr>
  </w:style>
  <w:style w:type="character" w:customStyle="1" w:styleId="ZkladntextChar">
    <w:name w:val="Základný text Char"/>
    <w:basedOn w:val="Predvolenpsmoodseku"/>
    <w:link w:val="Zkladntext"/>
    <w:uiPriority w:val="99"/>
    <w:semiHidden/>
    <w:rsid w:val="00BF7CE0"/>
    <w:rPr>
      <w:rFonts w:ascii="Times New Roman" w:eastAsia="Times New Roman" w:hAnsi="Times New Roman" w:cs="Times New Roman"/>
      <w:b/>
      <w:bCs/>
      <w:sz w:val="28"/>
      <w:szCs w:val="2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89112">
      <w:bodyDiv w:val="1"/>
      <w:marLeft w:val="0"/>
      <w:marRight w:val="0"/>
      <w:marTop w:val="0"/>
      <w:marBottom w:val="0"/>
      <w:divBdr>
        <w:top w:val="none" w:sz="0" w:space="0" w:color="auto"/>
        <w:left w:val="none" w:sz="0" w:space="0" w:color="auto"/>
        <w:bottom w:val="none" w:sz="0" w:space="0" w:color="auto"/>
        <w:right w:val="none" w:sz="0" w:space="0" w:color="auto"/>
      </w:divBdr>
    </w:div>
    <w:div w:id="363748380">
      <w:bodyDiv w:val="1"/>
      <w:marLeft w:val="0"/>
      <w:marRight w:val="0"/>
      <w:marTop w:val="0"/>
      <w:marBottom w:val="0"/>
      <w:divBdr>
        <w:top w:val="none" w:sz="0" w:space="0" w:color="auto"/>
        <w:left w:val="none" w:sz="0" w:space="0" w:color="auto"/>
        <w:bottom w:val="none" w:sz="0" w:space="0" w:color="auto"/>
        <w:right w:val="none" w:sz="0" w:space="0" w:color="auto"/>
      </w:divBdr>
    </w:div>
    <w:div w:id="1335299350">
      <w:bodyDiv w:val="1"/>
      <w:marLeft w:val="0"/>
      <w:marRight w:val="0"/>
      <w:marTop w:val="0"/>
      <w:marBottom w:val="0"/>
      <w:divBdr>
        <w:top w:val="none" w:sz="0" w:space="0" w:color="auto"/>
        <w:left w:val="none" w:sz="0" w:space="0" w:color="auto"/>
        <w:bottom w:val="none" w:sz="0" w:space="0" w:color="auto"/>
        <w:right w:val="none" w:sz="0" w:space="0" w:color="auto"/>
      </w:divBdr>
    </w:div>
    <w:div w:id="1577858396">
      <w:bodyDiv w:val="1"/>
      <w:marLeft w:val="0"/>
      <w:marRight w:val="0"/>
      <w:marTop w:val="0"/>
      <w:marBottom w:val="0"/>
      <w:divBdr>
        <w:top w:val="none" w:sz="0" w:space="0" w:color="auto"/>
        <w:left w:val="none" w:sz="0" w:space="0" w:color="auto"/>
        <w:bottom w:val="none" w:sz="0" w:space="0" w:color="auto"/>
        <w:right w:val="none" w:sz="0" w:space="0" w:color="auto"/>
      </w:divBdr>
    </w:div>
    <w:div w:id="1594433905">
      <w:bodyDiv w:val="1"/>
      <w:marLeft w:val="0"/>
      <w:marRight w:val="0"/>
      <w:marTop w:val="0"/>
      <w:marBottom w:val="0"/>
      <w:divBdr>
        <w:top w:val="none" w:sz="0" w:space="0" w:color="auto"/>
        <w:left w:val="none" w:sz="0" w:space="0" w:color="auto"/>
        <w:bottom w:val="none" w:sz="0" w:space="0" w:color="auto"/>
        <w:right w:val="none" w:sz="0" w:space="0" w:color="auto"/>
      </w:divBdr>
    </w:div>
    <w:div w:id="1603419247">
      <w:bodyDiv w:val="1"/>
      <w:marLeft w:val="0"/>
      <w:marRight w:val="0"/>
      <w:marTop w:val="0"/>
      <w:marBottom w:val="0"/>
      <w:divBdr>
        <w:top w:val="none" w:sz="0" w:space="0" w:color="auto"/>
        <w:left w:val="none" w:sz="0" w:space="0" w:color="auto"/>
        <w:bottom w:val="none" w:sz="0" w:space="0" w:color="auto"/>
        <w:right w:val="none" w:sz="0" w:space="0" w:color="auto"/>
      </w:divBdr>
    </w:div>
    <w:div w:id="1614482196">
      <w:bodyDiv w:val="1"/>
      <w:marLeft w:val="0"/>
      <w:marRight w:val="0"/>
      <w:marTop w:val="0"/>
      <w:marBottom w:val="0"/>
      <w:divBdr>
        <w:top w:val="none" w:sz="0" w:space="0" w:color="auto"/>
        <w:left w:val="none" w:sz="0" w:space="0" w:color="auto"/>
        <w:bottom w:val="none" w:sz="0" w:space="0" w:color="auto"/>
        <w:right w:val="none" w:sz="0" w:space="0" w:color="auto"/>
      </w:divBdr>
    </w:div>
    <w:div w:id="1806269945">
      <w:bodyDiv w:val="1"/>
      <w:marLeft w:val="0"/>
      <w:marRight w:val="0"/>
      <w:marTop w:val="0"/>
      <w:marBottom w:val="0"/>
      <w:divBdr>
        <w:top w:val="none" w:sz="0" w:space="0" w:color="auto"/>
        <w:left w:val="none" w:sz="0" w:space="0" w:color="auto"/>
        <w:bottom w:val="none" w:sz="0" w:space="0" w:color="auto"/>
        <w:right w:val="none" w:sz="0" w:space="0" w:color="auto"/>
      </w:divBdr>
    </w:div>
    <w:div w:id="181718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dlc_DocIdUrl xmlns="e60a29af-d413-48d4-bd90-fe9d2a897e4b">
      <Url>https://ovdmasv601/sites/DMS/_layouts/15/DocIdRedir.aspx?ID=WKX3UHSAJ2R6-2-808445</Url>
      <Description>WKX3UHSAJ2R6-2-808445</Description>
    </_dlc_DocIdUrl>
    <_dlc_DocId xmlns="e60a29af-d413-48d4-bd90-fe9d2a897e4b">WKX3UHSAJ2R6-2-808445</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f:fields xmlns:f="http://schemas.fabasoft.com/folio/2007/fields">
  <f:record ref="">
    <f:field ref="objname" par="" edit="true" text="Vyhodnotenie medzirezortného pripomienkového konania"/>
    <f:field ref="objsubject" par="" edit="true" text="Vyhodnotenie medzirezortného pripomienkového konania"/>
    <f:field ref="objcreatedby" par="" text="Administrator, System"/>
    <f:field ref="objcreatedat" par="" text="6.11.2017 11:24:04"/>
    <f:field ref="objchangedby" par="" text="Administrator, System"/>
    <f:field ref="objmodifiedat" par="" text="6.11.2017 11:24:09"/>
    <f:field ref="doc_FSCFOLIO_1_1001_FieldDocumentNumber" par="" text=""/>
    <f:field ref="doc_FSCFOLIO_1_1001_FieldSubject" par="" edit="true" text="Vyhodnotenie medzirezortného pripomienkového konania"/>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2101811-BE3E-4524-A20B-47D5C0A2D42E}"/>
</file>

<file path=customXml/itemProps2.xml><?xml version="1.0" encoding="utf-8"?>
<ds:datastoreItem xmlns:ds="http://schemas.openxmlformats.org/officeDocument/2006/customXml" ds:itemID="{5B3E7012-3C51-4A59-A918-B3A20BAF2FE4}"/>
</file>

<file path=customXml/itemProps3.xml><?xml version="1.0" encoding="utf-8"?>
<ds:datastoreItem xmlns:ds="http://schemas.openxmlformats.org/officeDocument/2006/customXml" ds:itemID="{7EF51AEB-D914-4978-BBC3-E1CB8917D450}"/>
</file>

<file path=customXml/itemProps4.xml><?xml version="1.0" encoding="utf-8"?>
<ds:datastoreItem xmlns:ds="http://schemas.openxmlformats.org/officeDocument/2006/customXml" ds:itemID="{9C034BF1-96A0-4EA0-8EC1-88D23B9BA0FA}"/>
</file>

<file path=customXml/itemProps5.xml><?xml version="1.0" encoding="utf-8"?>
<ds:datastoreItem xmlns:ds="http://schemas.openxmlformats.org/officeDocument/2006/customXml" ds:itemID="{4E8A9591-F074-446B-902F-511FF79C122F}"/>
</file>

<file path=docProps/app.xml><?xml version="1.0" encoding="utf-8"?>
<Properties xmlns="http://schemas.openxmlformats.org/officeDocument/2006/extended-properties" xmlns:vt="http://schemas.openxmlformats.org/officeDocument/2006/docPropsVTypes">
  <Template>Normal</Template>
  <TotalTime>0</TotalTime>
  <Pages>1</Pages>
  <Words>7018</Words>
  <Characters>40003</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2017-11-13T14:44:00Z</dcterms:created>
  <dcterms:modified xsi:type="dcterms:W3CDTF">2017-11-13T14:44:00Z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cisloparlamenttlac">
    <vt:lpwstr/>
  </property>
  <property fmtid="{D5CDD505-2E9C-101B-9397-08002B2CF9AE}" pid="5" name="FSC#SKEDITIONSLOVLEX@103.510:stavpredpis">
    <vt:lpwstr>Pred rokovaním</vt:lpwstr>
  </property>
  <property fmtid="{D5CDD505-2E9C-101B-9397-08002B2CF9AE}" pid="6" name="FSC#SKEDITIONSLOVLEX@103.510:povodpredpis">
    <vt:lpwstr>Slovlex (eLeg)</vt:lpwstr>
  </property>
  <property fmtid="{D5CDD505-2E9C-101B-9397-08002B2CF9AE}" pid="7" name="FSC#SKEDITIONSLOVLEX@103.510:legoblast">
    <vt:lpwstr>Životné prostredie</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Katarína Zubková</vt:lpwstr>
  </property>
  <property fmtid="{D5CDD505-2E9C-101B-9397-08002B2CF9AE}" pid="11" name="FSC#SKEDITIONSLOVLEX@103.510:zodppredkladatel">
    <vt:lpwstr>László Sólymos</vt:lpwstr>
  </property>
  <property fmtid="{D5CDD505-2E9C-101B-9397-08002B2CF9AE}" pid="12" name="FSC#SKEDITIONSLOVLEX@103.510:dalsipredkladatel">
    <vt:lpwstr>Gabriela Matečná_x000d_
Miroslav Lajčák</vt:lpwstr>
  </property>
  <property fmtid="{D5CDD505-2E9C-101B-9397-08002B2CF9AE}" pid="13" name="FSC#SKEDITIONSLOVLEX@103.510:nazovpredpis">
    <vt:lpwstr> Lokalita svetového dedičstva UNESCO Staré bukové lesy a bukové pralesy Karpát a iných regiónov Európy – komplexný návrh opatrení</vt:lpwstr>
  </property>
  <property fmtid="{D5CDD505-2E9C-101B-9397-08002B2CF9AE}" pid="14" name="FSC#SKEDITIONSLOVLEX@103.510:nazovpredpis1">
    <vt:lpwstr/>
  </property>
  <property fmtid="{D5CDD505-2E9C-101B-9397-08002B2CF9AE}" pid="15" name="FSC#SKEDITIONSLOVLEX@103.510:nazovpredpis2">
    <vt:lpwstr/>
  </property>
  <property fmtid="{D5CDD505-2E9C-101B-9397-08002B2CF9AE}" pid="16" name="FSC#SKEDITIONSLOVLEX@103.510:nazovpredpis3">
    <vt:lpwstr/>
  </property>
  <property fmtid="{D5CDD505-2E9C-101B-9397-08002B2CF9AE}" pid="17" name="FSC#SKEDITIONSLOVLEX@103.510:cislopredpis">
    <vt:lpwstr/>
  </property>
  <property fmtid="{D5CDD505-2E9C-101B-9397-08002B2CF9AE}" pid="18" name="FSC#SKEDITIONSLOVLEX@103.510:zodpinstitucia">
    <vt:lpwstr>Ministerstvo životného prostredia Slovenskej republiky</vt:lpwstr>
  </property>
  <property fmtid="{D5CDD505-2E9C-101B-9397-08002B2CF9AE}" pid="19" name="FSC#SKEDITIONSLOVLEX@103.510:pripomienkovatelia">
    <vt:lpwstr/>
  </property>
  <property fmtid="{D5CDD505-2E9C-101B-9397-08002B2CF9AE}" pid="20" name="FSC#SKEDITIONSLOVLEX@103.510:autorpredpis">
    <vt:lpwstr/>
  </property>
  <property fmtid="{D5CDD505-2E9C-101B-9397-08002B2CF9AE}" pid="21" name="FSC#SKEDITIONSLOVLEX@103.510:podnetpredpis">
    <vt:lpwstr>Uznesenie vlády SR č. 382/2017 </vt:lpwstr>
  </property>
  <property fmtid="{D5CDD505-2E9C-101B-9397-08002B2CF9AE}" pid="22" name="FSC#SKEDITIONSLOVLEX@103.510:plnynazovpredpis">
    <vt:lpwstr> Lokalita svetového dedičstva UNESCO Staré bukové lesy a bukové pralesy Karpát a iných regiónov Európy – komplexný návrh opatrení</vt:lpwstr>
  </property>
  <property fmtid="{D5CDD505-2E9C-101B-9397-08002B2CF9AE}" pid="23" name="FSC#SKEDITIONSLOVLEX@103.510:plnynazovpredpis1">
    <vt:lpwstr/>
  </property>
  <property fmtid="{D5CDD505-2E9C-101B-9397-08002B2CF9AE}" pid="24" name="FSC#SKEDITIONSLOVLEX@103.510:plnynazovpredpis2">
    <vt:lpwstr/>
  </property>
  <property fmtid="{D5CDD505-2E9C-101B-9397-08002B2CF9AE}" pid="25" name="FSC#SKEDITIONSLOVLEX@103.510:plnynazovpredpis3">
    <vt:lpwstr/>
  </property>
  <property fmtid="{D5CDD505-2E9C-101B-9397-08002B2CF9AE}" pid="26" name="FSC#SKEDITIONSLOVLEX@103.510:rezortcislopredpis">
    <vt:lpwstr>8820/2017-6.1</vt:lpwstr>
  </property>
  <property fmtid="{D5CDD505-2E9C-101B-9397-08002B2CF9AE}" pid="27" name="FSC#SKEDITIONSLOVLEX@103.510:citaciapredpis">
    <vt:lpwstr/>
  </property>
  <property fmtid="{D5CDD505-2E9C-101B-9397-08002B2CF9AE}" pid="28" name="FSC#SKEDITIONSLOVLEX@103.510:spiscislouv">
    <vt:lpwstr/>
  </property>
  <property fmtid="{D5CDD505-2E9C-101B-9397-08002B2CF9AE}" pid="29" name="FSC#SKEDITIONSLOVLEX@103.510:datumschvalpredpis">
    <vt:lpwstr/>
  </property>
  <property fmtid="{D5CDD505-2E9C-101B-9397-08002B2CF9AE}" pid="30" name="FSC#SKEDITIONSLOVLEX@103.510:platneod">
    <vt:lpwstr/>
  </property>
  <property fmtid="{D5CDD505-2E9C-101B-9397-08002B2CF9AE}" pid="31" name="FSC#SKEDITIONSLOVLEX@103.510:platnedo">
    <vt:lpwstr/>
  </property>
  <property fmtid="{D5CDD505-2E9C-101B-9397-08002B2CF9AE}" pid="32" name="FSC#SKEDITIONSLOVLEX@103.510:ucinnostod">
    <vt:lpwstr/>
  </property>
  <property fmtid="{D5CDD505-2E9C-101B-9397-08002B2CF9AE}" pid="33" name="FSC#SKEDITIONSLOVLEX@103.510:ucinnostdo">
    <vt:lpwstr/>
  </property>
  <property fmtid="{D5CDD505-2E9C-101B-9397-08002B2CF9AE}" pid="34" name="FSC#SKEDITIONSLOVLEX@103.510:datumplatnosti">
    <vt:lpwstr/>
  </property>
  <property fmtid="{D5CDD505-2E9C-101B-9397-08002B2CF9AE}" pid="35" name="FSC#SKEDITIONSLOVLEX@103.510:cislolp">
    <vt:lpwstr>LP/2017/735</vt:lpwstr>
  </property>
  <property fmtid="{D5CDD505-2E9C-101B-9397-08002B2CF9AE}" pid="36" name="FSC#SKEDITIONSLOVLEX@103.510:typsprievdok">
    <vt:lpwstr>Vyhodnotenie medzirezortného pripomienkového konania</vt:lpwstr>
  </property>
  <property fmtid="{D5CDD505-2E9C-101B-9397-08002B2CF9AE}" pid="37" name="FSC#SKEDITIONSLOVLEX@103.510:cislopartlac">
    <vt:lpwstr/>
  </property>
  <property fmtid="{D5CDD505-2E9C-101B-9397-08002B2CF9AE}" pid="38" name="FSC#SKEDITIONSLOVLEX@103.510:AttrStrListDocPropUcelPredmetZmluvy">
    <vt:lpwstr/>
  </property>
  <property fmtid="{D5CDD505-2E9C-101B-9397-08002B2CF9AE}" pid="39" name="FSC#SKEDITIONSLOVLEX@103.510:AttrStrListDocPropUpravaPravFOPRO">
    <vt:lpwstr/>
  </property>
  <property fmtid="{D5CDD505-2E9C-101B-9397-08002B2CF9AE}" pid="40" name="FSC#SKEDITIONSLOVLEX@103.510:AttrStrListDocPropUpravaPredmetuZmluvy">
    <vt:lpwstr/>
  </property>
  <property fmtid="{D5CDD505-2E9C-101B-9397-08002B2CF9AE}" pid="41" name="FSC#SKEDITIONSLOVLEX@103.510:AttrStrListDocPropKategoriaZmluvy74">
    <vt:lpwstr/>
  </property>
  <property fmtid="{D5CDD505-2E9C-101B-9397-08002B2CF9AE}" pid="42" name="FSC#SKEDITIONSLOVLEX@103.510:AttrStrListDocPropKategoriaZmluvy75">
    <vt:lpwstr/>
  </property>
  <property fmtid="{D5CDD505-2E9C-101B-9397-08002B2CF9AE}" pid="43" name="FSC#SKEDITIONSLOVLEX@103.510:AttrStrListDocPropDopadyPrijatiaZmluvy">
    <vt:lpwstr/>
  </property>
  <property fmtid="{D5CDD505-2E9C-101B-9397-08002B2CF9AE}" pid="44" name="FSC#SKEDITIONSLOVLEX@103.510:AttrStrListDocPropProblematikaPPa">
    <vt:lpwstr/>
  </property>
  <property fmtid="{D5CDD505-2E9C-101B-9397-08002B2CF9AE}" pid="45" name="FSC#SKEDITIONSLOVLEX@103.510:AttrStrListDocPropPrimarnePravoEU">
    <vt:lpwstr/>
  </property>
  <property fmtid="{D5CDD505-2E9C-101B-9397-08002B2CF9AE}" pid="46" name="FSC#SKEDITIONSLOVLEX@103.510:AttrStrListDocPropSekundarneLegPravoPO">
    <vt:lpwstr/>
  </property>
  <property fmtid="{D5CDD505-2E9C-101B-9397-08002B2CF9AE}" pid="47" name="FSC#SKEDITIONSLOVLEX@103.510:AttrStrListDocPropSekundarneNelegPravoPO">
    <vt:lpwstr/>
  </property>
  <property fmtid="{D5CDD505-2E9C-101B-9397-08002B2CF9AE}" pid="48" name="FSC#SKEDITIONSLOVLEX@103.510:AttrStrListDocPropSekundarneLegPravoDO">
    <vt:lpwstr/>
  </property>
  <property fmtid="{D5CDD505-2E9C-101B-9397-08002B2CF9AE}" pid="49" name="FSC#SKEDITIONSLOVLEX@103.510:AttrStrListDocPropProblematikaPPb">
    <vt:lpwstr/>
  </property>
  <property fmtid="{D5CDD505-2E9C-101B-9397-08002B2CF9AE}" pid="50" name="FSC#SKEDITIONSLOVLEX@103.510:AttrStrListDocPropNazovPredpisuEU">
    <vt:lpwstr/>
  </property>
  <property fmtid="{D5CDD505-2E9C-101B-9397-08002B2CF9AE}" pid="51" name="FSC#SKEDITIONSLOVLEX@103.510:AttrStrListDocPropLehotaPrebratieSmernice">
    <vt:lpwstr/>
  </property>
  <property fmtid="{D5CDD505-2E9C-101B-9397-08002B2CF9AE}" pid="52" name="FSC#SKEDITIONSLOVLEX@103.510:AttrStrListDocPropLehotaNaPredlozenie">
    <vt:lpwstr/>
  </property>
  <property fmtid="{D5CDD505-2E9C-101B-9397-08002B2CF9AE}" pid="53" name="FSC#SKEDITIONSLOVLEX@103.510:AttrStrListDocPropInfoZaciatokKonania">
    <vt:lpwstr/>
  </property>
  <property fmtid="{D5CDD505-2E9C-101B-9397-08002B2CF9AE}" pid="54" name="FSC#SKEDITIONSLOVLEX@103.510:AttrStrListDocPropInfoUzPreberanePP">
    <vt:lpwstr/>
  </property>
  <property fmtid="{D5CDD505-2E9C-101B-9397-08002B2CF9AE}" pid="55" name="FSC#SKEDITIONSLOVLEX@103.510:AttrStrListDocPropStupenZlucitelnostiPP">
    <vt:lpwstr/>
  </property>
  <property fmtid="{D5CDD505-2E9C-101B-9397-08002B2CF9AE}" pid="56" name="FSC#SKEDITIONSLOVLEX@103.510:AttrStrListDocPropGestorSpolupRezorty">
    <vt:lpwstr/>
  </property>
  <property fmtid="{D5CDD505-2E9C-101B-9397-08002B2CF9AE}" pid="57" name="FSC#SKEDITIONSLOVLEX@103.510:AttrDateDocPropZaciatokPKK">
    <vt:lpwstr/>
  </property>
  <property fmtid="{D5CDD505-2E9C-101B-9397-08002B2CF9AE}" pid="58" name="FSC#SKEDITIONSLOVLEX@103.510:AttrDateDocPropUkonceniePKK">
    <vt:lpwstr/>
  </property>
  <property fmtid="{D5CDD505-2E9C-101B-9397-08002B2CF9AE}" pid="59" name="FSC#SKEDITIONSLOVLEX@103.510:AttrStrDocPropVplyvRozpocetVS">
    <vt:lpwstr>Žiadne</vt:lpwstr>
  </property>
  <property fmtid="{D5CDD505-2E9C-101B-9397-08002B2CF9AE}" pid="60" name="FSC#SKEDITIONSLOVLEX@103.510:AttrStrDocPropVplyvPodnikatelskeProstr">
    <vt:lpwstr>Žiadne</vt:lpwstr>
  </property>
  <property fmtid="{D5CDD505-2E9C-101B-9397-08002B2CF9AE}" pid="61" name="FSC#SKEDITIONSLOVLEX@103.510:AttrStrDocPropVplyvSocialny">
    <vt:lpwstr>Žiadne</vt:lpwstr>
  </property>
  <property fmtid="{D5CDD505-2E9C-101B-9397-08002B2CF9AE}" pid="62" name="FSC#SKEDITIONSLOVLEX@103.510:AttrStrDocPropVplyvNaZivotProstr">
    <vt:lpwstr>Žiadne</vt:lpwstr>
  </property>
  <property fmtid="{D5CDD505-2E9C-101B-9397-08002B2CF9AE}" pid="63" name="FSC#SKEDITIONSLOVLEX@103.510:AttrStrDocPropVplyvNaInformatizaciu">
    <vt:lpwstr>Žiadne</vt:lpwstr>
  </property>
  <property fmtid="{D5CDD505-2E9C-101B-9397-08002B2CF9AE}" pid="64" name="FSC#SKEDITIONSLOVLEX@103.510:AttrStrListDocPropPoznamkaVplyv">
    <vt:lpwstr>Materiál je predkladaný v zmysle uznesenia vlády Slovenskej republiky č. 382 zo dňa 16.08.2017. Jeho zameranie bolo opakovane prerokované v rámci medzirezortnej pracovnej skupiny zriadenej k tejto problematike, ktorá pozostáva zo zástupcov rezortov životn</vt:lpwstr>
  </property>
  <property fmtid="{D5CDD505-2E9C-101B-9397-08002B2CF9AE}" pid="65" name="FSC#SKEDITIONSLOVLEX@103.510:AttrStrListDocPropAltRiesenia">
    <vt:lpwstr>-</vt:lpwstr>
  </property>
  <property fmtid="{D5CDD505-2E9C-101B-9397-08002B2CF9AE}" pid="66" name="FSC#SKEDITIONSLOVLEX@103.510:AttrStrListDocPropStanoviskoGest">
    <vt:lpwstr/>
  </property>
  <property fmtid="{D5CDD505-2E9C-101B-9397-08002B2CF9AE}" pid="67" name="FSC#SKEDITIONSLOVLEX@103.510:AttrStrListDocPropTextKomunike">
    <vt:lpwstr>Vláda Slovenskej republiky na svojom zasadnutí dňa...................... prerokovala a schválila materiál „Lokalita svetového dedičstva UNESCO Staré bukové lesy a bukové pralesy Karpát a iných regiónov Európy – komplexný návrh opatrení“. Materiál predstav</vt:lpwstr>
  </property>
  <property fmtid="{D5CDD505-2E9C-101B-9397-08002B2CF9AE}" pid="68" name="FSC#SKEDITIONSLOVLEX@103.510:AttrStrListDocPropUznesenieCastA">
    <vt:lpwstr/>
  </property>
  <property fmtid="{D5CDD505-2E9C-101B-9397-08002B2CF9AE}" pid="69" name="FSC#SKEDITIONSLOVLEX@103.510:AttrStrListDocPropUznesenieZodpovednyA1">
    <vt:lpwstr/>
  </property>
  <property fmtid="{D5CDD505-2E9C-101B-9397-08002B2CF9AE}" pid="70" name="FSC#SKEDITIONSLOVLEX@103.510:AttrStrListDocPropUznesenieTextA1">
    <vt:lpwstr/>
  </property>
  <property fmtid="{D5CDD505-2E9C-101B-9397-08002B2CF9AE}" pid="71" name="FSC#SKEDITIONSLOVLEX@103.510:AttrStrListDocPropUznesenieTerminA1">
    <vt:lpwstr/>
  </property>
  <property fmtid="{D5CDD505-2E9C-101B-9397-08002B2CF9AE}" pid="72" name="FSC#SKEDITIONSLOVLEX@103.510:AttrStrListDocPropUznesenieBODA1">
    <vt:lpwstr/>
  </property>
  <property fmtid="{D5CDD505-2E9C-101B-9397-08002B2CF9AE}" pid="73" name="FSC#SKEDITIONSLOVLEX@103.510:AttrStrListDocPropUznesenieZodpovednyA2">
    <vt:lpwstr/>
  </property>
  <property fmtid="{D5CDD505-2E9C-101B-9397-08002B2CF9AE}" pid="74" name="FSC#SKEDITIONSLOVLEX@103.510:AttrStrListDocPropUznesenieTextA2">
    <vt:lpwstr/>
  </property>
  <property fmtid="{D5CDD505-2E9C-101B-9397-08002B2CF9AE}" pid="75" name="FSC#SKEDITIONSLOVLEX@103.510:AttrStrListDocPropUznesenieTerminA2">
    <vt:lpwstr/>
  </property>
  <property fmtid="{D5CDD505-2E9C-101B-9397-08002B2CF9AE}" pid="76" name="FSC#SKEDITIONSLOVLEX@103.510:AttrStrListDocPropUznesenieBODA3">
    <vt:lpwstr/>
  </property>
  <property fmtid="{D5CDD505-2E9C-101B-9397-08002B2CF9AE}" pid="77" name="FSC#SKEDITIONSLOVLEX@103.510:AttrStrListDocPropUznesenieZodpovednyA3">
    <vt:lpwstr/>
  </property>
  <property fmtid="{D5CDD505-2E9C-101B-9397-08002B2CF9AE}" pid="78" name="FSC#SKEDITIONSLOVLEX@103.510:AttrStrListDocPropUznesenieTextA3">
    <vt:lpwstr/>
  </property>
  <property fmtid="{D5CDD505-2E9C-101B-9397-08002B2CF9AE}" pid="79" name="FSC#SKEDITIONSLOVLEX@103.510:AttrStrListDocPropUznesenieTerminA3">
    <vt:lpwstr/>
  </property>
  <property fmtid="{D5CDD505-2E9C-101B-9397-08002B2CF9AE}" pid="80" name="FSC#SKEDITIONSLOVLEX@103.510:AttrStrListDocPropUznesenieBODA4">
    <vt:lpwstr/>
  </property>
  <property fmtid="{D5CDD505-2E9C-101B-9397-08002B2CF9AE}" pid="81" name="FSC#SKEDITIONSLOVLEX@103.510:AttrStrListDocPropUznesenieZodpovednyA4">
    <vt:lpwstr/>
  </property>
  <property fmtid="{D5CDD505-2E9C-101B-9397-08002B2CF9AE}" pid="82" name="FSC#SKEDITIONSLOVLEX@103.510:AttrStrListDocPropUznesenieTextA4">
    <vt:lpwstr/>
  </property>
  <property fmtid="{D5CDD505-2E9C-101B-9397-08002B2CF9AE}" pid="83" name="FSC#SKEDITIONSLOVLEX@103.510:AttrStrListDocPropUznesenieTerminA4">
    <vt:lpwstr/>
  </property>
  <property fmtid="{D5CDD505-2E9C-101B-9397-08002B2CF9AE}" pid="84" name="FSC#SKEDITIONSLOVLEX@103.510:AttrStrListDocPropUznesenieCastB">
    <vt:lpwstr/>
  </property>
  <property fmtid="{D5CDD505-2E9C-101B-9397-08002B2CF9AE}" pid="85" name="FSC#SKEDITIONSLOVLEX@103.510:AttrStrListDocPropUznesenieBODB1">
    <vt:lpwstr/>
  </property>
  <property fmtid="{D5CDD505-2E9C-101B-9397-08002B2CF9AE}" pid="86" name="FSC#SKEDITIONSLOVLEX@103.510:AttrStrListDocPropUznesenieZodpovednyB1">
    <vt:lpwstr/>
  </property>
  <property fmtid="{D5CDD505-2E9C-101B-9397-08002B2CF9AE}" pid="87" name="FSC#SKEDITIONSLOVLEX@103.510:AttrStrListDocPropUznesenieTextB1">
    <vt:lpwstr/>
  </property>
  <property fmtid="{D5CDD505-2E9C-101B-9397-08002B2CF9AE}" pid="88" name="FSC#SKEDITIONSLOVLEX@103.510:AttrStrListDocPropUznesenieTerminB1">
    <vt:lpwstr/>
  </property>
  <property fmtid="{D5CDD505-2E9C-101B-9397-08002B2CF9AE}" pid="89" name="FSC#SKEDITIONSLOVLEX@103.510:AttrStrListDocPropUznesenieBODB2">
    <vt:lpwstr/>
  </property>
  <property fmtid="{D5CDD505-2E9C-101B-9397-08002B2CF9AE}" pid="90" name="FSC#SKEDITIONSLOVLEX@103.510:AttrStrListDocPropUznesenieZodpovednyB2">
    <vt:lpwstr/>
  </property>
  <property fmtid="{D5CDD505-2E9C-101B-9397-08002B2CF9AE}" pid="91" name="FSC#SKEDITIONSLOVLEX@103.510:AttrStrListDocPropUznesenieTextB2">
    <vt:lpwstr/>
  </property>
  <property fmtid="{D5CDD505-2E9C-101B-9397-08002B2CF9AE}" pid="92" name="FSC#SKEDITIONSLOVLEX@103.510:AttrStrListDocPropUznesenieTerminB2">
    <vt:lpwstr/>
  </property>
  <property fmtid="{D5CDD505-2E9C-101B-9397-08002B2CF9AE}" pid="93" name="FSC#SKEDITIONSLOVLEX@103.510:AttrStrListDocPropUznesenieBODB3">
    <vt:lpwstr/>
  </property>
  <property fmtid="{D5CDD505-2E9C-101B-9397-08002B2CF9AE}" pid="94" name="FSC#SKEDITIONSLOVLEX@103.510:AttrStrListDocPropUznesenieZodpovednyB3">
    <vt:lpwstr/>
  </property>
  <property fmtid="{D5CDD505-2E9C-101B-9397-08002B2CF9AE}" pid="95" name="FSC#SKEDITIONSLOVLEX@103.510:AttrStrListDocPropUznesenieTextB3">
    <vt:lpwstr/>
  </property>
  <property fmtid="{D5CDD505-2E9C-101B-9397-08002B2CF9AE}" pid="96" name="FSC#SKEDITIONSLOVLEX@103.510:AttrStrListDocPropUznesenieTerminB3">
    <vt:lpwstr/>
  </property>
  <property fmtid="{D5CDD505-2E9C-101B-9397-08002B2CF9AE}" pid="97" name="FSC#SKEDITIONSLOVLEX@103.510:AttrStrListDocPropUznesenieBODB4">
    <vt:lpwstr/>
  </property>
  <property fmtid="{D5CDD505-2E9C-101B-9397-08002B2CF9AE}" pid="98" name="FSC#SKEDITIONSLOVLEX@103.510:AttrStrListDocPropUznesenieZodpovednyB4">
    <vt:lpwstr/>
  </property>
  <property fmtid="{D5CDD505-2E9C-101B-9397-08002B2CF9AE}" pid="99" name="FSC#SKEDITIONSLOVLEX@103.510:AttrStrListDocPropUznesenieTextB4">
    <vt:lpwstr/>
  </property>
  <property fmtid="{D5CDD505-2E9C-101B-9397-08002B2CF9AE}" pid="100" name="FSC#SKEDITIONSLOVLEX@103.510:AttrStrListDocPropUznesenieTerminB4">
    <vt:lpwstr/>
  </property>
  <property fmtid="{D5CDD505-2E9C-101B-9397-08002B2CF9AE}" pid="101" name="FSC#SKEDITIONSLOVLEX@103.510:AttrStrListDocPropUznesenieCastC">
    <vt:lpwstr/>
  </property>
  <property fmtid="{D5CDD505-2E9C-101B-9397-08002B2CF9AE}" pid="102" name="FSC#SKEDITIONSLOVLEX@103.510:AttrStrListDocPropUznesenieBODC1">
    <vt:lpwstr/>
  </property>
  <property fmtid="{D5CDD505-2E9C-101B-9397-08002B2CF9AE}" pid="103" name="FSC#SKEDITIONSLOVLEX@103.510:AttrStrListDocPropUznesenieZodpovednyC1">
    <vt:lpwstr/>
  </property>
  <property fmtid="{D5CDD505-2E9C-101B-9397-08002B2CF9AE}" pid="104" name="FSC#SKEDITIONSLOVLEX@103.510:AttrStrListDocPropUznesenieTextC1">
    <vt:lpwstr/>
  </property>
  <property fmtid="{D5CDD505-2E9C-101B-9397-08002B2CF9AE}" pid="105" name="FSC#SKEDITIONSLOVLEX@103.510:AttrStrListDocPropUznesenieTerminC1">
    <vt:lpwstr/>
  </property>
  <property fmtid="{D5CDD505-2E9C-101B-9397-08002B2CF9AE}" pid="106" name="FSC#SKEDITIONSLOVLEX@103.510:AttrStrListDocPropUznesenieBODC2">
    <vt:lpwstr/>
  </property>
  <property fmtid="{D5CDD505-2E9C-101B-9397-08002B2CF9AE}" pid="107" name="FSC#SKEDITIONSLOVLEX@103.510:AttrStrListDocPropUznesenieZodpovednyC2">
    <vt:lpwstr/>
  </property>
  <property fmtid="{D5CDD505-2E9C-101B-9397-08002B2CF9AE}" pid="108" name="FSC#SKEDITIONSLOVLEX@103.510:AttrStrListDocPropUznesenieTextC2">
    <vt:lpwstr/>
  </property>
  <property fmtid="{D5CDD505-2E9C-101B-9397-08002B2CF9AE}" pid="109" name="FSC#SKEDITIONSLOVLEX@103.510:AttrStrListDocPropUznesenieTerminC2">
    <vt:lpwstr/>
  </property>
  <property fmtid="{D5CDD505-2E9C-101B-9397-08002B2CF9AE}" pid="110" name="FSC#SKEDITIONSLOVLEX@103.510:AttrStrListDocPropUznesenieBODC3">
    <vt:lpwstr/>
  </property>
  <property fmtid="{D5CDD505-2E9C-101B-9397-08002B2CF9AE}" pid="111" name="FSC#SKEDITIONSLOVLEX@103.510:AttrStrListDocPropUznesenieZodpovednyC3">
    <vt:lpwstr/>
  </property>
  <property fmtid="{D5CDD505-2E9C-101B-9397-08002B2CF9AE}" pid="112" name="FSC#SKEDITIONSLOVLEX@103.510:AttrStrListDocPropUznesenieTextC3">
    <vt:lpwstr/>
  </property>
  <property fmtid="{D5CDD505-2E9C-101B-9397-08002B2CF9AE}" pid="113" name="FSC#SKEDITIONSLOVLEX@103.510:AttrStrListDocPropUznesenieTerminC3">
    <vt:lpwstr/>
  </property>
  <property fmtid="{D5CDD505-2E9C-101B-9397-08002B2CF9AE}" pid="114" name="FSC#SKEDITIONSLOVLEX@103.510:AttrStrListDocPropUznesenieBODC4">
    <vt:lpwstr/>
  </property>
  <property fmtid="{D5CDD505-2E9C-101B-9397-08002B2CF9AE}" pid="115" name="FSC#SKEDITIONSLOVLEX@103.510:AttrStrListDocPropUznesenieZodpovednyC4">
    <vt:lpwstr/>
  </property>
  <property fmtid="{D5CDD505-2E9C-101B-9397-08002B2CF9AE}" pid="116" name="FSC#SKEDITIONSLOVLEX@103.510:AttrStrListDocPropUznesenieTextC4">
    <vt:lpwstr/>
  </property>
  <property fmtid="{D5CDD505-2E9C-101B-9397-08002B2CF9AE}" pid="117" name="FSC#SKEDITIONSLOVLEX@103.510:AttrStrListDocPropUznesenieTerminC4">
    <vt:lpwstr/>
  </property>
  <property fmtid="{D5CDD505-2E9C-101B-9397-08002B2CF9AE}" pid="118" name="FSC#SKEDITIONSLOVLEX@103.510:AttrStrListDocPropUznesenieCastD">
    <vt:lpwstr/>
  </property>
  <property fmtid="{D5CDD505-2E9C-101B-9397-08002B2CF9AE}" pid="119" name="FSC#SKEDITIONSLOVLEX@103.510:AttrStrListDocPropUznesenieBODD1">
    <vt:lpwstr/>
  </property>
  <property fmtid="{D5CDD505-2E9C-101B-9397-08002B2CF9AE}" pid="120" name="FSC#SKEDITIONSLOVLEX@103.510:AttrStrListDocPropUznesenieZodpovednyD1">
    <vt:lpwstr/>
  </property>
  <property fmtid="{D5CDD505-2E9C-101B-9397-08002B2CF9AE}" pid="121" name="FSC#SKEDITIONSLOVLEX@103.510:AttrStrListDocPropUznesenieTextD1">
    <vt:lpwstr/>
  </property>
  <property fmtid="{D5CDD505-2E9C-101B-9397-08002B2CF9AE}" pid="122" name="FSC#SKEDITIONSLOVLEX@103.510:AttrStrListDocPropUznesenieTerminD1">
    <vt:lpwstr/>
  </property>
  <property fmtid="{D5CDD505-2E9C-101B-9397-08002B2CF9AE}" pid="123" name="FSC#SKEDITIONSLOVLEX@103.510:AttrStrListDocPropUznesenieBODD2">
    <vt:lpwstr/>
  </property>
  <property fmtid="{D5CDD505-2E9C-101B-9397-08002B2CF9AE}" pid="124" name="FSC#SKEDITIONSLOVLEX@103.510:AttrStrListDocPropUznesenieZodpovednyD2">
    <vt:lpwstr/>
  </property>
  <property fmtid="{D5CDD505-2E9C-101B-9397-08002B2CF9AE}" pid="125" name="FSC#SKEDITIONSLOVLEX@103.510:AttrStrListDocPropUznesenieTextD2">
    <vt:lpwstr/>
  </property>
  <property fmtid="{D5CDD505-2E9C-101B-9397-08002B2CF9AE}" pid="126" name="FSC#SKEDITIONSLOVLEX@103.510:AttrStrListDocPropUznesenieTerminD2">
    <vt:lpwstr/>
  </property>
  <property fmtid="{D5CDD505-2E9C-101B-9397-08002B2CF9AE}" pid="127" name="FSC#SKEDITIONSLOVLEX@103.510:AttrStrListDocPropUznesenieBODD3">
    <vt:lpwstr/>
  </property>
  <property fmtid="{D5CDD505-2E9C-101B-9397-08002B2CF9AE}" pid="128" name="FSC#SKEDITIONSLOVLEX@103.510:AttrStrListDocPropUznesenieZodpovednyD3">
    <vt:lpwstr/>
  </property>
  <property fmtid="{D5CDD505-2E9C-101B-9397-08002B2CF9AE}" pid="129" name="FSC#SKEDITIONSLOVLEX@103.510:AttrStrListDocPropUznesenieTextD3">
    <vt:lpwstr/>
  </property>
  <property fmtid="{D5CDD505-2E9C-101B-9397-08002B2CF9AE}" pid="130" name="FSC#SKEDITIONSLOVLEX@103.510:AttrStrListDocPropUznesenieTerminD3">
    <vt:lpwstr/>
  </property>
  <property fmtid="{D5CDD505-2E9C-101B-9397-08002B2CF9AE}" pid="131" name="FSC#SKEDITIONSLOVLEX@103.510:AttrStrListDocPropUznesenieBODD4">
    <vt:lpwstr/>
  </property>
  <property fmtid="{D5CDD505-2E9C-101B-9397-08002B2CF9AE}" pid="132" name="FSC#SKEDITIONSLOVLEX@103.510:AttrStrListDocPropUznesenieZodpovednyD4">
    <vt:lpwstr/>
  </property>
  <property fmtid="{D5CDD505-2E9C-101B-9397-08002B2CF9AE}" pid="133" name="FSC#SKEDITIONSLOVLEX@103.510:AttrStrListDocPropUznesenieTextD4">
    <vt:lpwstr/>
  </property>
  <property fmtid="{D5CDD505-2E9C-101B-9397-08002B2CF9AE}" pid="134" name="FSC#SKEDITIONSLOVLEX@103.510:AttrStrListDocPropUznesenieTerminD4">
    <vt:lpwstr/>
  </property>
  <property fmtid="{D5CDD505-2E9C-101B-9397-08002B2CF9AE}" pid="135" name="FSC#SKEDITIONSLOVLEX@103.510:AttrStrListDocPropUznesenieVykonaju">
    <vt:lpwstr>minister životného prostredia_x000d_
ministerka pôdohospodárstva a rozvoja vidieka_x000d_
minister obrany_x000d_
minister práce, sociálnych vecí a rodiny_x000d_
minister financií_x000d_
minister zahraničných vecí a európskych záležitostí_x000d_
ministerka školstva, vedy, výskumu a športu_x000d_
m</vt:lpwstr>
  </property>
  <property fmtid="{D5CDD505-2E9C-101B-9397-08002B2CF9AE}" pid="136" name="FSC#SKEDITIONSLOVLEX@103.510:AttrStrListDocPropUznesenieNaVedomie">
    <vt:lpwstr/>
  </property>
  <property fmtid="{D5CDD505-2E9C-101B-9397-08002B2CF9AE}" pid="137" name="FSC#SKEDITIONSLOVLEX@103.510:funkciaPred">
    <vt:lpwstr/>
  </property>
  <property fmtid="{D5CDD505-2E9C-101B-9397-08002B2CF9AE}" pid="138" name="FSC#SKEDITIONSLOVLEX@103.510:funkciaPredAkuzativ">
    <vt:lpwstr/>
  </property>
  <property fmtid="{D5CDD505-2E9C-101B-9397-08002B2CF9AE}" pid="139" name="FSC#SKEDITIONSLOVLEX@103.510:funkciaPredDativ">
    <vt:lpwstr/>
  </property>
  <property fmtid="{D5CDD505-2E9C-101B-9397-08002B2CF9AE}" pid="140" name="FSC#SKEDITIONSLOVLEX@103.510:funkciaZodpPred">
    <vt:lpwstr>minister životného prostredia Slovenskej republiky</vt:lpwstr>
  </property>
  <property fmtid="{D5CDD505-2E9C-101B-9397-08002B2CF9AE}" pid="141" name="FSC#SKEDITIONSLOVLEX@103.510:funkciaZodpPredAkuzativ">
    <vt:lpwstr>ministerovi životného prostredia Slovenskej republiky</vt:lpwstr>
  </property>
  <property fmtid="{D5CDD505-2E9C-101B-9397-08002B2CF9AE}" pid="142" name="FSC#SKEDITIONSLOVLEX@103.510:funkciaZodpPredDativ">
    <vt:lpwstr>ministera životného prostredia Slovenskej republiky</vt:lpwstr>
  </property>
  <property fmtid="{D5CDD505-2E9C-101B-9397-08002B2CF9AE}" pid="143" name="FSC#SKEDITIONSLOVLEX@103.510:funkciaDalsiPred">
    <vt:lpwstr>ministerka pôdohospodárstva a rozvoja vidieka Slovenskej republiky, minister zahraničných vecí a európskych záležitostí Slovenskej republiky, </vt:lpwstr>
  </property>
  <property fmtid="{D5CDD505-2E9C-101B-9397-08002B2CF9AE}" pid="144" name="FSC#SKEDITIONSLOVLEX@103.510:funkciaDalsiPredAkuzativ">
    <vt:lpwstr>ministerka pôdohospodárstva a rozvoja vidieka Slovenskej republiky, ministrovi zahraničných vecí a európskych záležitostí Slovenskej republiky, </vt:lpwstr>
  </property>
  <property fmtid="{D5CDD505-2E9C-101B-9397-08002B2CF9AE}" pid="145" name="FSC#SKEDITIONSLOVLEX@103.510:funkciaDalsiPredDativ">
    <vt:lpwstr>ministerka pôdohospodárstva a rozvoja vidieka Slovenskej republiky, ministra zahraničných vecí a európskych záležitostí Slovenskej republiky, </vt:lpwstr>
  </property>
  <property fmtid="{D5CDD505-2E9C-101B-9397-08002B2CF9AE}" pid="146" name="FSC#SKEDITIONSLOVLEX@103.510:predkladateliaObalSD">
    <vt:lpwstr>László Sólymos_x000d_
minister životného prostredia Slovenskej republiky_x000d_
Gabriela Matečná_x000d_
ministerka pôdohospodárstva a rozvoja vidieka Slovenskej republiky_x000d_
Miroslav Lajčák_x000d_
minister zahraničných vecí a európskych záležitostí Slovenskej republiky</vt:lpwstr>
  </property>
  <property fmtid="{D5CDD505-2E9C-101B-9397-08002B2CF9AE}" pid="147" name="FSC#SKEDITIONSLOVLEX@103.510:AttrStrListDocPropTextVseobPrilohy">
    <vt:lpwstr/>
  </property>
  <property fmtid="{D5CDD505-2E9C-101B-9397-08002B2CF9AE}" pid="148" name="FSC#SKEDITIONSLOVLEX@103.510:AttrStrListDocPropTextPredklSpravy">
    <vt:lpwstr>&lt;p style="text-align: justify;"&gt;V&amp;nbsp;júni 2007 bola lokalita Karpatské bukové pralesy zapísaná na Zoznam svetového dedičstva UNESCO ako ukážka zvyškov pralesov v&amp;nbsp;cezhraničnom regióne Slovenska a&amp;nbsp;Ukrajiny. V&amp;nbsp;roku 2011 bola rozšírená o&amp;nbsp</vt:lpwstr>
  </property>
  <property fmtid="{D5CDD505-2E9C-101B-9397-08002B2CF9AE}" pid="149" name="FSC#COOSYSTEM@1.1:Container">
    <vt:lpwstr>COO.2145.1000.3.2235886</vt:lpwstr>
  </property>
  <property fmtid="{D5CDD505-2E9C-101B-9397-08002B2CF9AE}" pid="150" name="FSC#FSCFOLIO@1.1001:docpropproject">
    <vt:lpwstr/>
  </property>
  <property fmtid="{D5CDD505-2E9C-101B-9397-08002B2CF9AE}" pid="151" name="FSC#SKEDITIONSLOVLEX@103.510:aktualnyrok">
    <vt:lpwstr>2017</vt:lpwstr>
  </property>
  <property fmtid="{D5CDD505-2E9C-101B-9397-08002B2CF9AE}" pid="152" name="FSC#SKEDITIONSLOVLEX@103.510:vytvorenedna">
    <vt:lpwstr>6. 11. 2017</vt:lpwstr>
  </property>
  <property fmtid="{D5CDD505-2E9C-101B-9397-08002B2CF9AE}" pid="153" name="ContentTypeId">
    <vt:lpwstr>0x0101006C0C8C3C1E3DCC44BECE3792677AD011</vt:lpwstr>
  </property>
  <property fmtid="{D5CDD505-2E9C-101B-9397-08002B2CF9AE}" pid="154" name="_dlc_DocIdItemGuid">
    <vt:lpwstr>6b6795ce-1e1c-4864-8996-fa5702dd3b64</vt:lpwstr>
  </property>
</Properties>
</file>