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93" w:rsidRPr="003723D4" w:rsidRDefault="00DA6D93" w:rsidP="00DA6D93">
      <w:pPr>
        <w:jc w:val="center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Návrh na poskytnutie inv</w:t>
      </w:r>
      <w:r>
        <w:rPr>
          <w:b/>
          <w:sz w:val="24"/>
          <w:szCs w:val="24"/>
        </w:rPr>
        <w:t xml:space="preserve">estičnej pomoci pre RKN </w:t>
      </w:r>
      <w:proofErr w:type="spellStart"/>
      <w:r>
        <w:rPr>
          <w:b/>
          <w:sz w:val="24"/>
          <w:szCs w:val="24"/>
        </w:rPr>
        <w:t>Global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Europe</w:t>
      </w:r>
      <w:proofErr w:type="spellEnd"/>
      <w:r>
        <w:rPr>
          <w:b/>
          <w:sz w:val="24"/>
          <w:szCs w:val="24"/>
        </w:rPr>
        <w:t xml:space="preserve"> s. r. o.</w:t>
      </w:r>
      <w:r w:rsidRPr="003723D4">
        <w:rPr>
          <w:b/>
          <w:sz w:val="24"/>
          <w:szCs w:val="24"/>
        </w:rPr>
        <w:t xml:space="preserve">, so sídlom </w:t>
      </w:r>
      <w:r w:rsidR="00927A3A">
        <w:rPr>
          <w:b/>
          <w:sz w:val="24"/>
          <w:szCs w:val="24"/>
        </w:rPr>
        <w:br/>
      </w:r>
      <w:r w:rsidRPr="003723D4">
        <w:rPr>
          <w:b/>
          <w:sz w:val="24"/>
          <w:szCs w:val="24"/>
        </w:rPr>
        <w:t xml:space="preserve">Na Troskách 26, 974 01  Banská Bystrica </w:t>
      </w:r>
    </w:p>
    <w:p w:rsidR="00DA6D93" w:rsidRPr="003723D4" w:rsidRDefault="00DA6D93" w:rsidP="00DA6D93">
      <w:pPr>
        <w:pStyle w:val="Nzov"/>
        <w:rPr>
          <w:b/>
          <w:sz w:val="24"/>
          <w:szCs w:val="24"/>
        </w:rPr>
      </w:pPr>
    </w:p>
    <w:p w:rsidR="00DA6D93" w:rsidRPr="0048219A" w:rsidRDefault="00DA6D93" w:rsidP="00DA6D93">
      <w:pPr>
        <w:pStyle w:val="Nzov"/>
        <w:jc w:val="left"/>
        <w:rPr>
          <w:b/>
          <w:sz w:val="24"/>
          <w:szCs w:val="24"/>
        </w:rPr>
      </w:pPr>
    </w:p>
    <w:p w:rsidR="00DA6D93" w:rsidRPr="00DA6D93" w:rsidRDefault="00DA6D93" w:rsidP="00DA6D93">
      <w:pPr>
        <w:spacing w:after="120"/>
        <w:jc w:val="both"/>
        <w:rPr>
          <w:sz w:val="24"/>
          <w:szCs w:val="24"/>
        </w:rPr>
      </w:pPr>
      <w:r w:rsidRPr="00DA6D93">
        <w:rPr>
          <w:sz w:val="24"/>
          <w:szCs w:val="24"/>
        </w:rPr>
        <w:t xml:space="preserve">RKN </w:t>
      </w:r>
      <w:proofErr w:type="spellStart"/>
      <w:r w:rsidRPr="00DA6D93">
        <w:rPr>
          <w:sz w:val="24"/>
          <w:szCs w:val="24"/>
        </w:rPr>
        <w:t>Global</w:t>
      </w:r>
      <w:proofErr w:type="spellEnd"/>
      <w:r w:rsidRPr="00DA6D93">
        <w:rPr>
          <w:sz w:val="24"/>
          <w:szCs w:val="24"/>
        </w:rPr>
        <w:t xml:space="preserve"> </w:t>
      </w:r>
      <w:proofErr w:type="spellStart"/>
      <w:r w:rsidRPr="00DA6D93">
        <w:rPr>
          <w:sz w:val="24"/>
          <w:szCs w:val="24"/>
        </w:rPr>
        <w:t>Europe</w:t>
      </w:r>
      <w:proofErr w:type="spellEnd"/>
      <w:r w:rsidRPr="00DA6D93">
        <w:rPr>
          <w:sz w:val="24"/>
          <w:szCs w:val="24"/>
        </w:rPr>
        <w:t xml:space="preserve"> s. r. o., so sídlom Na Troskách 26, 974 01  Banská Bystrica, IČO 48 322 393, podala </w:t>
      </w:r>
      <w:r w:rsidR="0007214F" w:rsidRPr="0007214F">
        <w:rPr>
          <w:sz w:val="24"/>
          <w:szCs w:val="24"/>
        </w:rPr>
        <w:t xml:space="preserve">16. februára 2016 </w:t>
      </w:r>
      <w:r w:rsidRPr="00DA6D93">
        <w:rPr>
          <w:sz w:val="24"/>
          <w:szCs w:val="24"/>
        </w:rPr>
        <w:t xml:space="preserve">na Ministerstvo hospodárstva Slovenskej republiky </w:t>
      </w:r>
      <w:r w:rsidR="005C20F7" w:rsidRPr="003901F3">
        <w:rPr>
          <w:sz w:val="24"/>
          <w:szCs w:val="24"/>
        </w:rPr>
        <w:t xml:space="preserve">(ďalej </w:t>
      </w:r>
      <w:r w:rsidR="005C20F7">
        <w:rPr>
          <w:sz w:val="24"/>
          <w:szCs w:val="24"/>
        </w:rPr>
        <w:t>len</w:t>
      </w:r>
      <w:r w:rsidR="005C20F7" w:rsidRPr="003901F3">
        <w:rPr>
          <w:sz w:val="24"/>
          <w:szCs w:val="24"/>
        </w:rPr>
        <w:t xml:space="preserve"> „ministerstvo“) </w:t>
      </w:r>
      <w:r w:rsidRPr="00DA6D93">
        <w:rPr>
          <w:sz w:val="24"/>
          <w:szCs w:val="24"/>
        </w:rPr>
        <w:t>podľa § 12 zákona č. 561/2007 Z. z. o</w:t>
      </w:r>
      <w:r w:rsidR="009404AC">
        <w:rPr>
          <w:sz w:val="24"/>
          <w:szCs w:val="24"/>
        </w:rPr>
        <w:t xml:space="preserve"> </w:t>
      </w:r>
      <w:r w:rsidRPr="00DA6D93">
        <w:rPr>
          <w:sz w:val="24"/>
          <w:szCs w:val="24"/>
        </w:rPr>
        <w:t>investičnej pomoci a</w:t>
      </w:r>
      <w:r w:rsidR="009404AC">
        <w:rPr>
          <w:sz w:val="24"/>
          <w:szCs w:val="24"/>
        </w:rPr>
        <w:t xml:space="preserve"> </w:t>
      </w:r>
      <w:r w:rsidRPr="00DA6D93">
        <w:rPr>
          <w:sz w:val="24"/>
          <w:szCs w:val="24"/>
        </w:rPr>
        <w:t>o</w:t>
      </w:r>
      <w:r w:rsidR="009404AC">
        <w:rPr>
          <w:sz w:val="24"/>
          <w:szCs w:val="24"/>
        </w:rPr>
        <w:t xml:space="preserve"> </w:t>
      </w:r>
      <w:r w:rsidRPr="00DA6D93">
        <w:rPr>
          <w:sz w:val="24"/>
          <w:szCs w:val="24"/>
        </w:rPr>
        <w:t>zmene a doplnení niektorých zákonov v</w:t>
      </w:r>
      <w:r w:rsidR="009404AC">
        <w:rPr>
          <w:sz w:val="24"/>
          <w:szCs w:val="24"/>
        </w:rPr>
        <w:t xml:space="preserve"> </w:t>
      </w:r>
      <w:r w:rsidRPr="00DA6D93">
        <w:rPr>
          <w:sz w:val="24"/>
          <w:szCs w:val="24"/>
        </w:rPr>
        <w:t>znení neskorších predpisov (ďalej len „zákon o investičnej pomoci“) žiadosť o poskytnutie investičnej pomoci na realizáciu investičného zámeru: „</w:t>
      </w:r>
      <w:r w:rsidRPr="00DA6D93">
        <w:rPr>
          <w:rStyle w:val="hps"/>
          <w:sz w:val="24"/>
          <w:szCs w:val="24"/>
        </w:rPr>
        <w:t>Vytvorenie odvetvia chránenej tlače, vyhotovenia biometrických identifikačných dokladov a kariet platobných systémov v Slovenskej republike</w:t>
      </w:r>
      <w:r w:rsidRPr="00DA6D93">
        <w:rPr>
          <w:sz w:val="24"/>
          <w:szCs w:val="24"/>
        </w:rPr>
        <w:t>“ v</w:t>
      </w:r>
      <w:r w:rsidR="009404AC">
        <w:rPr>
          <w:sz w:val="24"/>
          <w:szCs w:val="24"/>
        </w:rPr>
        <w:t xml:space="preserve"> </w:t>
      </w:r>
      <w:r w:rsidRPr="00DA6D93">
        <w:rPr>
          <w:sz w:val="24"/>
          <w:szCs w:val="24"/>
        </w:rPr>
        <w:t xml:space="preserve">lokalite mesta Banská Bystrica, časť </w:t>
      </w:r>
      <w:proofErr w:type="spellStart"/>
      <w:r w:rsidRPr="00DA6D93">
        <w:rPr>
          <w:sz w:val="24"/>
          <w:szCs w:val="24"/>
        </w:rPr>
        <w:t>Šalková</w:t>
      </w:r>
      <w:proofErr w:type="spellEnd"/>
      <w:r w:rsidRPr="00DA6D93">
        <w:rPr>
          <w:sz w:val="24"/>
          <w:szCs w:val="24"/>
        </w:rPr>
        <w:t xml:space="preserve">, (ďalej len „investičný zámer“). </w:t>
      </w:r>
    </w:p>
    <w:p w:rsidR="00DA6D93" w:rsidRDefault="00DA6D93" w:rsidP="00DA6D93">
      <w:pPr>
        <w:pStyle w:val="Obsah3"/>
        <w:ind w:firstLine="0"/>
      </w:pPr>
      <w:r w:rsidRPr="0048219A">
        <w:t xml:space="preserve">Na realizáciu investičného zámeru požaduje </w:t>
      </w:r>
      <w:r>
        <w:t xml:space="preserve">žiadateľ </w:t>
      </w:r>
      <w:r w:rsidRPr="0048219A">
        <w:t>in</w:t>
      </w:r>
      <w:r>
        <w:t xml:space="preserve">vestičnú pomoc podľa § 2 ods. 1 písm. a) a b) </w:t>
      </w:r>
      <w:r w:rsidRPr="0048219A">
        <w:t>zákona o investičnej pomoci v</w:t>
      </w:r>
      <w:r w:rsidR="009404AC">
        <w:t xml:space="preserve"> </w:t>
      </w:r>
      <w:r w:rsidRPr="0048219A">
        <w:t xml:space="preserve">celkovej nominálnej </w:t>
      </w:r>
      <w:r w:rsidR="00A97C33">
        <w:t>výške</w:t>
      </w:r>
      <w:r>
        <w:t xml:space="preserve"> </w:t>
      </w:r>
      <w:r w:rsidR="00452A4C">
        <w:t>18 000 </w:t>
      </w:r>
      <w:proofErr w:type="spellStart"/>
      <w:r w:rsidR="00452A4C">
        <w:t>000</w:t>
      </w:r>
      <w:proofErr w:type="spellEnd"/>
      <w:r w:rsidR="00452A4C">
        <w:t xml:space="preserve"> </w:t>
      </w:r>
      <w:r w:rsidR="003266EB">
        <w:t>e</w:t>
      </w:r>
      <w:r w:rsidRPr="0048219A">
        <w:t xml:space="preserve">ur, vo forme: </w:t>
      </w:r>
    </w:p>
    <w:p w:rsidR="00DA6D93" w:rsidRPr="0085530E" w:rsidRDefault="00DA6D93" w:rsidP="00DA6D93"/>
    <w:p w:rsidR="00DA6D93" w:rsidRPr="0048219A" w:rsidRDefault="00DA6D93" w:rsidP="00DA6D93">
      <w:pPr>
        <w:pStyle w:val="Obsah3"/>
        <w:numPr>
          <w:ilvl w:val="0"/>
          <w:numId w:val="3"/>
        </w:numPr>
      </w:pPr>
      <w:r w:rsidRPr="0048219A">
        <w:t xml:space="preserve">dotácie na obstaraný dlhodobý hmotný majetok </w:t>
      </w:r>
      <w:r>
        <w:t>a</w:t>
      </w:r>
      <w:r w:rsidR="009404AC">
        <w:t xml:space="preserve"> </w:t>
      </w:r>
      <w:r>
        <w:t xml:space="preserve">dlhodobý nehmotný majetok </w:t>
      </w:r>
      <w:r w:rsidRPr="0048219A">
        <w:t xml:space="preserve">v nominálnej výške </w:t>
      </w:r>
      <w:r w:rsidR="00452A4C">
        <w:t>10 000 </w:t>
      </w:r>
      <w:proofErr w:type="spellStart"/>
      <w:r w:rsidR="00452A4C">
        <w:t>000</w:t>
      </w:r>
      <w:proofErr w:type="spellEnd"/>
      <w:r w:rsidR="00452A4C">
        <w:t xml:space="preserve"> </w:t>
      </w:r>
      <w:r w:rsidR="003266EB">
        <w:t>e</w:t>
      </w:r>
      <w:r w:rsidRPr="0048219A">
        <w:t xml:space="preserve">ur, </w:t>
      </w:r>
    </w:p>
    <w:p w:rsidR="00DA6D93" w:rsidRPr="0048219A" w:rsidRDefault="00DA6D93" w:rsidP="00DA6D93">
      <w:pPr>
        <w:pStyle w:val="Obsah3"/>
        <w:numPr>
          <w:ilvl w:val="0"/>
          <w:numId w:val="3"/>
        </w:numPr>
      </w:pPr>
      <w:r w:rsidRPr="0048219A">
        <w:t xml:space="preserve">úľavy na dani z príjmu v nominálnej </w:t>
      </w:r>
      <w:r>
        <w:t xml:space="preserve">výške </w:t>
      </w:r>
      <w:r w:rsidR="00452A4C">
        <w:t xml:space="preserve"> 8 000 </w:t>
      </w:r>
      <w:proofErr w:type="spellStart"/>
      <w:r w:rsidR="00452A4C">
        <w:t>000</w:t>
      </w:r>
      <w:proofErr w:type="spellEnd"/>
      <w:r w:rsidR="003266EB">
        <w:t xml:space="preserve"> e</w:t>
      </w:r>
      <w:r w:rsidRPr="0048219A">
        <w:t xml:space="preserve">ur. </w:t>
      </w:r>
    </w:p>
    <w:p w:rsidR="00DA6D93" w:rsidRDefault="00DA6D93" w:rsidP="00DA6D93">
      <w:pPr>
        <w:jc w:val="both"/>
        <w:rPr>
          <w:sz w:val="24"/>
          <w:szCs w:val="24"/>
          <w:highlight w:val="yellow"/>
        </w:rPr>
      </w:pPr>
    </w:p>
    <w:p w:rsidR="00DA6D93" w:rsidRPr="0048219A" w:rsidRDefault="00DA6D93" w:rsidP="00DA6D93">
      <w:pPr>
        <w:jc w:val="both"/>
        <w:rPr>
          <w:sz w:val="24"/>
          <w:szCs w:val="24"/>
          <w:highlight w:val="yellow"/>
        </w:rPr>
      </w:pPr>
    </w:p>
    <w:p w:rsidR="00DA6D93" w:rsidRPr="0048219A" w:rsidRDefault="00DA6D93" w:rsidP="00DA6D93">
      <w:pPr>
        <w:pStyle w:val="Nzov"/>
        <w:numPr>
          <w:ilvl w:val="0"/>
          <w:numId w:val="7"/>
        </w:numPr>
        <w:tabs>
          <w:tab w:val="clear" w:pos="390"/>
          <w:tab w:val="left" w:pos="360"/>
          <w:tab w:val="left" w:pos="709"/>
          <w:tab w:val="num" w:pos="750"/>
          <w:tab w:val="left" w:pos="2160"/>
          <w:tab w:val="left" w:pos="3060"/>
          <w:tab w:val="right" w:pos="7380"/>
        </w:tabs>
        <w:ind w:left="750" w:hanging="750"/>
        <w:jc w:val="both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Stručná charakteristika žiadateľa (prijímateľa) investičnej pomoci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2160"/>
          <w:tab w:val="left" w:pos="3060"/>
          <w:tab w:val="right" w:pos="7380"/>
        </w:tabs>
        <w:jc w:val="both"/>
        <w:rPr>
          <w:b/>
          <w:sz w:val="24"/>
          <w:szCs w:val="24"/>
          <w:highlight w:val="yellow"/>
        </w:rPr>
      </w:pPr>
    </w:p>
    <w:p w:rsidR="00DA6D93" w:rsidRDefault="00DA6D93" w:rsidP="00DA6D93">
      <w:pPr>
        <w:pStyle w:val="Nzov"/>
        <w:tabs>
          <w:tab w:val="left" w:pos="709"/>
          <w:tab w:val="left" w:pos="3060"/>
          <w:tab w:val="right" w:pos="7380"/>
        </w:tabs>
        <w:jc w:val="both"/>
        <w:rPr>
          <w:sz w:val="24"/>
          <w:szCs w:val="24"/>
        </w:rPr>
      </w:pPr>
      <w:r w:rsidRPr="0048219A">
        <w:rPr>
          <w:sz w:val="24"/>
          <w:szCs w:val="24"/>
        </w:rPr>
        <w:t>Žiadateľom a prijímateľom inv</w:t>
      </w:r>
      <w:r>
        <w:rPr>
          <w:sz w:val="24"/>
          <w:szCs w:val="24"/>
        </w:rPr>
        <w:t xml:space="preserve">estičnej pomoci je 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s. r. o.  </w:t>
      </w:r>
    </w:p>
    <w:p w:rsidR="00DA6D93" w:rsidRDefault="00DA6D93" w:rsidP="00DA6D93">
      <w:pPr>
        <w:pStyle w:val="Nzov"/>
        <w:tabs>
          <w:tab w:val="left" w:pos="709"/>
          <w:tab w:val="left" w:pos="3060"/>
          <w:tab w:val="right" w:pos="7380"/>
        </w:tabs>
        <w:jc w:val="both"/>
        <w:rPr>
          <w:sz w:val="24"/>
          <w:szCs w:val="24"/>
        </w:rPr>
      </w:pPr>
    </w:p>
    <w:p w:rsidR="00DA6D93" w:rsidRPr="0048219A" w:rsidRDefault="00DA6D93" w:rsidP="00DA6D93">
      <w:pPr>
        <w:pStyle w:val="Nzov"/>
        <w:tabs>
          <w:tab w:val="left" w:pos="709"/>
          <w:tab w:val="left" w:pos="3060"/>
          <w:tab w:val="righ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s. r. o. </w:t>
      </w:r>
      <w:r w:rsidRPr="0048219A">
        <w:rPr>
          <w:sz w:val="24"/>
          <w:szCs w:val="24"/>
        </w:rPr>
        <w:t xml:space="preserve">(ďalej </w:t>
      </w:r>
      <w:r>
        <w:rPr>
          <w:sz w:val="24"/>
          <w:szCs w:val="24"/>
        </w:rPr>
        <w:t xml:space="preserve">aj </w:t>
      </w:r>
      <w:r w:rsidRPr="0048219A">
        <w:rPr>
          <w:sz w:val="24"/>
          <w:szCs w:val="24"/>
        </w:rPr>
        <w:t>„žiadateľ alebo prijímateľ“) je zapísaná v Obchodnom registri Slovenskej republiky nasledovne:</w:t>
      </w:r>
    </w:p>
    <w:p w:rsidR="00DA6D93" w:rsidRPr="0048219A" w:rsidRDefault="00DA6D93" w:rsidP="00DA6D93">
      <w:pPr>
        <w:pStyle w:val="Nzov"/>
        <w:tabs>
          <w:tab w:val="left" w:pos="709"/>
          <w:tab w:val="left" w:pos="3060"/>
          <w:tab w:val="right" w:pos="7380"/>
        </w:tabs>
        <w:jc w:val="both"/>
        <w:rPr>
          <w:sz w:val="24"/>
          <w:szCs w:val="24"/>
          <w:highlight w:val="yellow"/>
        </w:rPr>
      </w:pPr>
      <w:r w:rsidRPr="0048219A">
        <w:rPr>
          <w:sz w:val="24"/>
          <w:szCs w:val="24"/>
          <w:highlight w:val="yellow"/>
        </w:rPr>
        <w:t xml:space="preserve">     </w:t>
      </w:r>
    </w:p>
    <w:p w:rsidR="00DA6D93" w:rsidRPr="0048219A" w:rsidRDefault="00DA6D93" w:rsidP="00DA6D93">
      <w:pPr>
        <w:tabs>
          <w:tab w:val="left" w:pos="2977"/>
        </w:tabs>
        <w:rPr>
          <w:sz w:val="24"/>
          <w:szCs w:val="24"/>
        </w:rPr>
      </w:pPr>
      <w:r w:rsidRPr="0048219A">
        <w:rPr>
          <w:sz w:val="24"/>
          <w:szCs w:val="24"/>
        </w:rPr>
        <w:t>Sídlo:</w:t>
      </w:r>
      <w:r w:rsidRPr="0048219A">
        <w:rPr>
          <w:sz w:val="24"/>
          <w:szCs w:val="24"/>
        </w:rPr>
        <w:tab/>
      </w:r>
      <w:r w:rsidRPr="001C4F5B">
        <w:rPr>
          <w:sz w:val="24"/>
          <w:szCs w:val="24"/>
        </w:rPr>
        <w:t>Na Troskách 26, 974 01  Banská</w:t>
      </w:r>
      <w:r>
        <w:rPr>
          <w:sz w:val="24"/>
          <w:szCs w:val="24"/>
        </w:rPr>
        <w:t xml:space="preserve"> Bystrica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2977"/>
          <w:tab w:val="left" w:pos="3060"/>
          <w:tab w:val="right" w:pos="7380"/>
        </w:tabs>
        <w:jc w:val="both"/>
        <w:rPr>
          <w:sz w:val="24"/>
          <w:szCs w:val="24"/>
        </w:rPr>
      </w:pPr>
      <w:r w:rsidRPr="0048219A">
        <w:rPr>
          <w:sz w:val="24"/>
          <w:szCs w:val="24"/>
        </w:rPr>
        <w:t>IČO:</w:t>
      </w:r>
      <w:r w:rsidRPr="0048219A">
        <w:rPr>
          <w:sz w:val="24"/>
          <w:szCs w:val="24"/>
        </w:rPr>
        <w:tab/>
      </w:r>
      <w:r w:rsidRPr="0048219A">
        <w:rPr>
          <w:sz w:val="24"/>
          <w:szCs w:val="24"/>
        </w:rPr>
        <w:tab/>
      </w:r>
      <w:r>
        <w:rPr>
          <w:sz w:val="24"/>
          <w:szCs w:val="24"/>
        </w:rPr>
        <w:t>48 322 393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2977"/>
          <w:tab w:val="left" w:pos="3060"/>
          <w:tab w:val="right" w:pos="7380"/>
        </w:tabs>
        <w:jc w:val="both"/>
        <w:rPr>
          <w:sz w:val="24"/>
          <w:szCs w:val="24"/>
        </w:rPr>
      </w:pPr>
      <w:r w:rsidRPr="0048219A">
        <w:rPr>
          <w:sz w:val="24"/>
          <w:szCs w:val="24"/>
        </w:rPr>
        <w:t>Registrácia:</w:t>
      </w:r>
      <w:r w:rsidRPr="0048219A">
        <w:rPr>
          <w:sz w:val="24"/>
          <w:szCs w:val="24"/>
        </w:rPr>
        <w:tab/>
        <w:t>Okresný súd</w:t>
      </w:r>
      <w:r>
        <w:rPr>
          <w:sz w:val="24"/>
          <w:szCs w:val="24"/>
        </w:rPr>
        <w:t xml:space="preserve"> Banská Bystrica</w:t>
      </w:r>
      <w:r w:rsidRPr="0048219A">
        <w:rPr>
          <w:sz w:val="24"/>
          <w:szCs w:val="24"/>
        </w:rPr>
        <w:t xml:space="preserve">, oddiel </w:t>
      </w:r>
      <w:proofErr w:type="spellStart"/>
      <w:r w:rsidRPr="0048219A">
        <w:rPr>
          <w:sz w:val="24"/>
          <w:szCs w:val="24"/>
        </w:rPr>
        <w:t>Sro</w:t>
      </w:r>
      <w:proofErr w:type="spellEnd"/>
      <w:r w:rsidRPr="0048219A">
        <w:rPr>
          <w:sz w:val="24"/>
          <w:szCs w:val="24"/>
        </w:rPr>
        <w:t xml:space="preserve">, vložka č. </w:t>
      </w:r>
      <w:r>
        <w:rPr>
          <w:sz w:val="24"/>
          <w:szCs w:val="24"/>
        </w:rPr>
        <w:t>28645/S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2977"/>
          <w:tab w:val="left" w:pos="3060"/>
          <w:tab w:val="right" w:pos="7380"/>
        </w:tabs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Dátum registrácie: </w:t>
      </w:r>
      <w:r w:rsidRPr="0048219A">
        <w:rPr>
          <w:sz w:val="24"/>
          <w:szCs w:val="24"/>
        </w:rPr>
        <w:tab/>
      </w:r>
      <w:r>
        <w:rPr>
          <w:sz w:val="24"/>
          <w:szCs w:val="24"/>
        </w:rPr>
        <w:t>24. 09. 2015</w:t>
      </w:r>
    </w:p>
    <w:p w:rsidR="00DA6D93" w:rsidRPr="0048219A" w:rsidRDefault="00DA6D93" w:rsidP="00DA6D93">
      <w:pPr>
        <w:pStyle w:val="Nzov"/>
        <w:jc w:val="both"/>
        <w:rPr>
          <w:sz w:val="24"/>
          <w:szCs w:val="24"/>
        </w:rPr>
      </w:pPr>
    </w:p>
    <w:p w:rsidR="00DA6D93" w:rsidRDefault="00DA6D93" w:rsidP="00DA6D93">
      <w:pPr>
        <w:pStyle w:val="Nzov"/>
        <w:tabs>
          <w:tab w:val="left" w:pos="709"/>
          <w:tab w:val="left" w:pos="3060"/>
          <w:tab w:val="right" w:pos="7380"/>
        </w:tabs>
        <w:spacing w:before="12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Základné imanie spoločnosti je vo výške </w:t>
      </w:r>
      <w:r w:rsidR="003266EB">
        <w:rPr>
          <w:sz w:val="24"/>
          <w:szCs w:val="24"/>
        </w:rPr>
        <w:t>25 000 e</w:t>
      </w:r>
      <w:r>
        <w:rPr>
          <w:sz w:val="24"/>
          <w:szCs w:val="24"/>
        </w:rPr>
        <w:t xml:space="preserve">ur a je splatené v plnej výške. </w:t>
      </w:r>
    </w:p>
    <w:p w:rsidR="00DA6D93" w:rsidRDefault="00DA6D93" w:rsidP="00DA6D93">
      <w:pPr>
        <w:pStyle w:val="Nzov"/>
        <w:tabs>
          <w:tab w:val="left" w:pos="709"/>
          <w:tab w:val="left" w:pos="3060"/>
          <w:tab w:val="right" w:pos="738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Jediným spoločníkom žiadateľa je 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DW-LLC, registračné číslo: 2647, so sídlom </w:t>
      </w:r>
      <w:proofErr w:type="spellStart"/>
      <w:r>
        <w:rPr>
          <w:sz w:val="24"/>
          <w:szCs w:val="24"/>
        </w:rPr>
        <w:t>Business</w:t>
      </w:r>
      <w:proofErr w:type="spellEnd"/>
      <w:r>
        <w:rPr>
          <w:sz w:val="24"/>
          <w:szCs w:val="24"/>
        </w:rPr>
        <w:t xml:space="preserve"> Park, Office No. E-3-O302, </w:t>
      </w:r>
      <w:proofErr w:type="spellStart"/>
      <w:r>
        <w:rPr>
          <w:sz w:val="24"/>
          <w:szCs w:val="24"/>
        </w:rPr>
        <w:t>Dubai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Aviation</w:t>
      </w:r>
      <w:proofErr w:type="spellEnd"/>
      <w:r>
        <w:rPr>
          <w:sz w:val="24"/>
          <w:szCs w:val="24"/>
        </w:rPr>
        <w:t xml:space="preserve"> City – </w:t>
      </w:r>
      <w:proofErr w:type="spellStart"/>
      <w:r>
        <w:rPr>
          <w:sz w:val="24"/>
          <w:szCs w:val="24"/>
        </w:rPr>
        <w:t>Logistics</w:t>
      </w:r>
      <w:proofErr w:type="spellEnd"/>
      <w:r>
        <w:rPr>
          <w:sz w:val="24"/>
          <w:szCs w:val="24"/>
        </w:rPr>
        <w:t xml:space="preserve"> City, </w:t>
      </w:r>
      <w:proofErr w:type="spellStart"/>
      <w:r>
        <w:rPr>
          <w:sz w:val="24"/>
          <w:szCs w:val="24"/>
        </w:rPr>
        <w:t>Dubai</w:t>
      </w:r>
      <w:proofErr w:type="spellEnd"/>
      <w:r>
        <w:rPr>
          <w:sz w:val="24"/>
          <w:szCs w:val="24"/>
        </w:rPr>
        <w:t>, Spojené arabské emiráty.</w:t>
      </w:r>
    </w:p>
    <w:p w:rsidR="005D0533" w:rsidRDefault="00DA6D93" w:rsidP="005D053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Žiadateľ patrí do skupiny „Inovačná Priemyselná Skupina“, ktorá sa skladá z 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s.r.o., </w:t>
      </w:r>
      <w:proofErr w:type="spellStart"/>
      <w:r>
        <w:rPr>
          <w:sz w:val="24"/>
          <w:szCs w:val="24"/>
        </w:rPr>
        <w:t>Specialized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Enterprise</w:t>
      </w:r>
      <w:proofErr w:type="spellEnd"/>
      <w:r>
        <w:rPr>
          <w:sz w:val="24"/>
          <w:szCs w:val="24"/>
        </w:rPr>
        <w:t xml:space="preserve"> HOLOGRAPHY </w:t>
      </w:r>
      <w:proofErr w:type="spellStart"/>
      <w:r>
        <w:rPr>
          <w:sz w:val="24"/>
          <w:szCs w:val="24"/>
        </w:rPr>
        <w:t>Ltd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Polly-Service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Ltd</w:t>
      </w:r>
      <w:proofErr w:type="spellEnd"/>
      <w:r>
        <w:rPr>
          <w:sz w:val="24"/>
          <w:szCs w:val="24"/>
        </w:rPr>
        <w:t xml:space="preserve">, JSC </w:t>
      </w:r>
      <w:proofErr w:type="spellStart"/>
      <w:r>
        <w:rPr>
          <w:sz w:val="24"/>
          <w:szCs w:val="24"/>
        </w:rPr>
        <w:t>Ltd</w:t>
      </w:r>
      <w:proofErr w:type="spellEnd"/>
      <w:r>
        <w:rPr>
          <w:sz w:val="24"/>
          <w:szCs w:val="24"/>
        </w:rPr>
        <w:t xml:space="preserve">. </w:t>
      </w:r>
      <w:r w:rsidR="00A70CBB" w:rsidRPr="005D0533">
        <w:rPr>
          <w:sz w:val="24"/>
          <w:szCs w:val="24"/>
        </w:rPr>
        <w:t xml:space="preserve">RKN </w:t>
      </w:r>
      <w:proofErr w:type="spellStart"/>
      <w:r w:rsidR="00A70CBB" w:rsidRPr="005D0533">
        <w:rPr>
          <w:sz w:val="24"/>
          <w:szCs w:val="24"/>
        </w:rPr>
        <w:t>Global</w:t>
      </w:r>
      <w:proofErr w:type="spellEnd"/>
      <w:r w:rsidR="00A70CBB" w:rsidRPr="005D0533">
        <w:rPr>
          <w:sz w:val="24"/>
          <w:szCs w:val="24"/>
        </w:rPr>
        <w:t xml:space="preserve"> </w:t>
      </w:r>
      <w:proofErr w:type="spellStart"/>
      <w:r w:rsidR="00A70CBB" w:rsidRPr="005D0533">
        <w:rPr>
          <w:sz w:val="24"/>
          <w:szCs w:val="24"/>
        </w:rPr>
        <w:t>Europe</w:t>
      </w:r>
      <w:proofErr w:type="spellEnd"/>
      <w:r w:rsidR="00A70CBB" w:rsidRPr="005D0533">
        <w:rPr>
          <w:sz w:val="24"/>
          <w:szCs w:val="24"/>
        </w:rPr>
        <w:t xml:space="preserve"> s.r.o. je 100% dcérskou spoločnosťou RKN </w:t>
      </w:r>
      <w:proofErr w:type="spellStart"/>
      <w:r w:rsidR="00A70CBB" w:rsidRPr="005D0533">
        <w:rPr>
          <w:sz w:val="24"/>
          <w:szCs w:val="24"/>
        </w:rPr>
        <w:t>Global</w:t>
      </w:r>
      <w:proofErr w:type="spellEnd"/>
      <w:r w:rsidR="00A70CBB" w:rsidRPr="005D0533">
        <w:rPr>
          <w:sz w:val="24"/>
          <w:szCs w:val="24"/>
        </w:rPr>
        <w:t xml:space="preserve"> DWC - LLC so sídlom v Dubaji, SAE, ktorej 100% vlastníkom je p. R. K. </w:t>
      </w:r>
      <w:proofErr w:type="spellStart"/>
      <w:r w:rsidR="00A70CBB" w:rsidRPr="005D0533">
        <w:rPr>
          <w:sz w:val="24"/>
          <w:szCs w:val="24"/>
        </w:rPr>
        <w:t>Noble</w:t>
      </w:r>
      <w:proofErr w:type="spellEnd"/>
      <w:r w:rsidR="00A70CBB" w:rsidRPr="005D0533">
        <w:rPr>
          <w:sz w:val="24"/>
          <w:szCs w:val="24"/>
        </w:rPr>
        <w:t xml:space="preserve">. Technologickými partnermi spoločnosti sú firmy VTI Servis, HOLOGRAPHY, YS </w:t>
      </w:r>
      <w:proofErr w:type="spellStart"/>
      <w:r w:rsidR="00A70CBB" w:rsidRPr="005D0533">
        <w:rPr>
          <w:sz w:val="24"/>
          <w:szCs w:val="24"/>
        </w:rPr>
        <w:t>Design</w:t>
      </w:r>
      <w:proofErr w:type="spellEnd"/>
      <w:r w:rsidR="00A70CBB" w:rsidRPr="005D0533">
        <w:rPr>
          <w:sz w:val="24"/>
          <w:szCs w:val="24"/>
        </w:rPr>
        <w:t xml:space="preserve">, </w:t>
      </w:r>
      <w:proofErr w:type="spellStart"/>
      <w:r w:rsidR="00A70CBB" w:rsidRPr="005D0533">
        <w:rPr>
          <w:sz w:val="24"/>
          <w:szCs w:val="24"/>
        </w:rPr>
        <w:t>Polly</w:t>
      </w:r>
      <w:proofErr w:type="spellEnd"/>
      <w:r w:rsidR="00A70CBB" w:rsidRPr="005D0533">
        <w:rPr>
          <w:sz w:val="24"/>
          <w:szCs w:val="24"/>
        </w:rPr>
        <w:t xml:space="preserve"> </w:t>
      </w:r>
      <w:proofErr w:type="spellStart"/>
      <w:r w:rsidR="00A70CBB" w:rsidRPr="005D0533">
        <w:rPr>
          <w:sz w:val="24"/>
          <w:szCs w:val="24"/>
        </w:rPr>
        <w:t>Service</w:t>
      </w:r>
      <w:proofErr w:type="spellEnd"/>
      <w:r w:rsidR="00A70CBB" w:rsidRPr="005D0533">
        <w:rPr>
          <w:sz w:val="24"/>
          <w:szCs w:val="24"/>
        </w:rPr>
        <w:t xml:space="preserve">. Momentálne prebieha ich začlenenie do skupiny. Spoločnosť ponúka 28 produktov od dokladov, platobných kariet po informačné systémy a pôsobí na trhoch Východnej Európy, Blízkeho Východu, Ázie a Južnej Ameriky.  </w:t>
      </w:r>
    </w:p>
    <w:p w:rsidR="008552B1" w:rsidRDefault="008552B1" w:rsidP="008552B1">
      <w:pPr>
        <w:jc w:val="both"/>
        <w:rPr>
          <w:sz w:val="24"/>
          <w:szCs w:val="24"/>
        </w:rPr>
      </w:pPr>
    </w:p>
    <w:p w:rsidR="00DA6D93" w:rsidRPr="00F77D6F" w:rsidRDefault="00DA6D93" w:rsidP="00DA6D93">
      <w:pPr>
        <w:pStyle w:val="Nzov"/>
        <w:tabs>
          <w:tab w:val="left" w:pos="709"/>
          <w:tab w:val="left" w:pos="3060"/>
          <w:tab w:val="right" w:pos="738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Predmetom činnosti žiadateľa sú okrem iného počítačové služby, služby súvisiace s počítačovým spracovaním údajov, polygrafická výroba, sadzba a konečná úprava tlačovín. </w:t>
      </w:r>
    </w:p>
    <w:p w:rsidR="00DA6D93" w:rsidRDefault="00DA6D93" w:rsidP="00DA6D9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Spoločnosť 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s. r. o., </w:t>
      </w:r>
      <w:r w:rsidRPr="001C4F5B">
        <w:rPr>
          <w:sz w:val="24"/>
          <w:szCs w:val="24"/>
        </w:rPr>
        <w:t>Na Troskách 26, 974 01 Banská</w:t>
      </w:r>
      <w:r>
        <w:rPr>
          <w:sz w:val="24"/>
          <w:szCs w:val="24"/>
        </w:rPr>
        <w:t xml:space="preserve"> Bystrica</w:t>
      </w:r>
      <w:r w:rsidRPr="0048219A">
        <w:rPr>
          <w:sz w:val="24"/>
          <w:szCs w:val="24"/>
        </w:rPr>
        <w:t xml:space="preserve"> </w:t>
      </w:r>
      <w:r>
        <w:rPr>
          <w:sz w:val="24"/>
          <w:szCs w:val="24"/>
        </w:rPr>
        <w:t>bola založená v</w:t>
      </w:r>
      <w:r w:rsidR="00940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roku 2015. RKN GLOBAL ako divízia Inovačnej Priemyselnej Skupiny </w:t>
      </w:r>
      <w:r>
        <w:rPr>
          <w:sz w:val="24"/>
          <w:szCs w:val="24"/>
        </w:rPr>
        <w:lastRenderedPageBreak/>
        <w:t>zabezpečuje komplexnú dodávku riešení a služieb na základe svojich vlastných technologických produktov a systémov integrácie. Skupina ponúka vládnym a štátnym orgánom komplexné riešenia a</w:t>
      </w:r>
      <w:r w:rsidR="00940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integrované systémy evidencie obyvateľstva, identifikácie dokladov, </w:t>
      </w:r>
      <w:proofErr w:type="spellStart"/>
      <w:r>
        <w:rPr>
          <w:sz w:val="24"/>
          <w:szCs w:val="24"/>
        </w:rPr>
        <w:t>personalizácie</w:t>
      </w:r>
      <w:proofErr w:type="spellEnd"/>
      <w:r>
        <w:rPr>
          <w:sz w:val="24"/>
          <w:szCs w:val="24"/>
        </w:rPr>
        <w:t xml:space="preserve"> identifikačných dokladov s použitím technológie laserového gravírovania, elektronickej vlády. Obdobné produkty prispôsobené pre súkromný sektor ponúka spoločnosť aj na komerčné použitie. RKN GLOBAL disponuje unikátnym vedecko-priemyselným komplexom s uzavretým výrobným cyklom biometrických pasov s vysokým stupňom zabezpečenia, ID kariet, elektronických plastových (</w:t>
      </w:r>
      <w:proofErr w:type="spellStart"/>
      <w:r>
        <w:rPr>
          <w:sz w:val="24"/>
          <w:szCs w:val="24"/>
        </w:rPr>
        <w:t>polykarbonátových</w:t>
      </w:r>
      <w:proofErr w:type="spellEnd"/>
      <w:r>
        <w:rPr>
          <w:sz w:val="24"/>
          <w:szCs w:val="24"/>
        </w:rPr>
        <w:t xml:space="preserve">) a papierových kariet v jedinom výrobnom technologickom reťazci. </w:t>
      </w:r>
    </w:p>
    <w:p w:rsidR="00DA6D93" w:rsidRDefault="00DA6D93" w:rsidP="00DA6D9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Spoločnosť RKN GLOBAL je držiteľom certifikátov systému riadenia kvality ISO 9001:2008, systému riadenia informačnej bezpečnosti ISO 27001:2005 a systému životného prostredia ISO 14001:2006. </w:t>
      </w:r>
    </w:p>
    <w:p w:rsidR="00DA6D93" w:rsidRDefault="00DA6D93" w:rsidP="00DA6D93">
      <w:pPr>
        <w:pStyle w:val="Text-M"/>
        <w:spacing w:after="0"/>
      </w:pPr>
      <w:r>
        <w:t xml:space="preserve">Žiadateľ je novozaložená slovenská spoločnosť v Banskej Bystrici, ktorá bola do obchodného registra zapísaná 24. septembra 2015 a doposiaľ nevykonávala podnikateľskú činnosť. </w:t>
      </w:r>
    </w:p>
    <w:p w:rsidR="00DA6D93" w:rsidRDefault="00DA6D93" w:rsidP="00DA6D93">
      <w:pPr>
        <w:pStyle w:val="Text-M"/>
        <w:spacing w:after="0"/>
      </w:pPr>
    </w:p>
    <w:p w:rsidR="00DA6D93" w:rsidRPr="0090076B" w:rsidRDefault="00DA6D93" w:rsidP="00DA6D93">
      <w:pPr>
        <w:spacing w:before="120"/>
        <w:jc w:val="both"/>
        <w:rPr>
          <w:b/>
          <w:i/>
          <w:sz w:val="24"/>
          <w:szCs w:val="24"/>
        </w:rPr>
      </w:pPr>
      <w:r w:rsidRPr="0090076B">
        <w:rPr>
          <w:b/>
          <w:i/>
          <w:sz w:val="24"/>
          <w:szCs w:val="24"/>
        </w:rPr>
        <w:t xml:space="preserve">Očakávaní odberatelia produktov sú: </w:t>
      </w: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110"/>
      </w:tblGrid>
      <w:tr w:rsidR="00DA6D93" w:rsidRPr="00033F8C" w:rsidTr="00606245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Názov o</w:t>
            </w:r>
            <w:r w:rsidRPr="00033F8C">
              <w:rPr>
                <w:b/>
                <w:bCs/>
                <w:sz w:val="24"/>
                <w:szCs w:val="24"/>
              </w:rPr>
              <w:t>dberateľ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 w:rsidRPr="00033F8C">
              <w:rPr>
                <w:b/>
                <w:bCs/>
                <w:sz w:val="24"/>
                <w:szCs w:val="24"/>
              </w:rPr>
              <w:t>Štát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Existujúci zákazníci skupiny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  <w:r w:rsidRPr="00033F8C">
              <w:rPr>
                <w:sz w:val="24"/>
                <w:szCs w:val="24"/>
              </w:rPr>
              <w:t xml:space="preserve">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Orgány štátnej správy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Štátne alebo komerčné banky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Hotely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Letecké spoločnosti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Palivo-energetické</w:t>
            </w:r>
            <w:proofErr w:type="spellEnd"/>
            <w:r>
              <w:rPr>
                <w:sz w:val="24"/>
                <w:szCs w:val="24"/>
              </w:rPr>
              <w:t xml:space="preserve"> spoločnosti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8A0A62" w:rsidRDefault="00DA6D93" w:rsidP="00606245">
            <w:pPr>
              <w:rPr>
                <w:sz w:val="24"/>
                <w:szCs w:val="24"/>
              </w:rPr>
            </w:pPr>
            <w:r w:rsidRPr="008A0A62">
              <w:rPr>
                <w:sz w:val="24"/>
                <w:szCs w:val="24"/>
              </w:rPr>
              <w:t>výrobcovia tabakovej a alkoholickej produkcie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8A0A62" w:rsidRDefault="00DA6D93" w:rsidP="00606245">
            <w:pPr>
              <w:rPr>
                <w:sz w:val="24"/>
                <w:szCs w:val="24"/>
              </w:rPr>
            </w:pPr>
            <w:r w:rsidRPr="008A0A62">
              <w:rPr>
                <w:sz w:val="24"/>
                <w:szCs w:val="24"/>
              </w:rPr>
              <w:t>automobiloví producenti, dodávatelia náhradných dielov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8A0A62" w:rsidRDefault="00DA6D93" w:rsidP="00606245">
            <w:pPr>
              <w:rPr>
                <w:sz w:val="24"/>
                <w:szCs w:val="24"/>
              </w:rPr>
            </w:pPr>
            <w:r w:rsidRPr="008A0A62">
              <w:rPr>
                <w:sz w:val="24"/>
                <w:szCs w:val="24"/>
              </w:rPr>
              <w:t>telekomunikační operátori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8A0A62" w:rsidRDefault="00DA6D93" w:rsidP="00606245">
            <w:pPr>
              <w:rPr>
                <w:sz w:val="24"/>
                <w:szCs w:val="24"/>
              </w:rPr>
            </w:pPr>
            <w:r w:rsidRPr="008A0A62">
              <w:rPr>
                <w:sz w:val="24"/>
                <w:szCs w:val="24"/>
              </w:rPr>
              <w:t>operátori platenej televízie a pripojenia do Internetu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t>krajiny EÚ a zvyšok Európy, krajiny západnej a východnej Afriky, krajiny Blízkeho východu, krajiny Spoločenstva nezávislých štátov</w:t>
            </w:r>
          </w:p>
        </w:tc>
      </w:tr>
    </w:tbl>
    <w:p w:rsidR="001947FF" w:rsidRDefault="00DA6D93" w:rsidP="00DA6D93">
      <w:pPr>
        <w:pStyle w:val="Odsekzoznamu"/>
        <w:spacing w:before="120"/>
        <w:ind w:left="0"/>
        <w:jc w:val="both"/>
      </w:pPr>
      <w:r>
        <w:t xml:space="preserve">Hlavným predmetom podnikania je tlač a služby súvisiace s tlačou. </w:t>
      </w:r>
    </w:p>
    <w:p w:rsidR="00D265A8" w:rsidRPr="00D265A8" w:rsidRDefault="00D265A8" w:rsidP="00DA6D93">
      <w:pPr>
        <w:pStyle w:val="Odsekzoznamu"/>
        <w:spacing w:before="120"/>
        <w:ind w:left="0"/>
        <w:jc w:val="both"/>
      </w:pPr>
    </w:p>
    <w:p w:rsidR="00DA6D93" w:rsidRPr="0090076B" w:rsidRDefault="00DA6D93" w:rsidP="00DA6D93">
      <w:pPr>
        <w:pStyle w:val="Odsekzoznamu"/>
        <w:spacing w:before="120"/>
        <w:ind w:left="0"/>
        <w:jc w:val="both"/>
        <w:rPr>
          <w:b/>
          <w:i/>
          <w:lang w:bidi="sk-SK"/>
        </w:rPr>
      </w:pPr>
      <w:r w:rsidRPr="0090076B">
        <w:rPr>
          <w:b/>
          <w:i/>
          <w:lang w:bidi="sk-SK"/>
        </w:rPr>
        <w:t>Očakávaní dodávatelia pre novú produkciu sú:</w:t>
      </w:r>
    </w:p>
    <w:tbl>
      <w:tblPr>
        <w:tblW w:w="66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701"/>
      </w:tblGrid>
      <w:tr w:rsidR="00DA6D93" w:rsidRPr="00033F8C" w:rsidTr="00606245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Názov d</w:t>
            </w:r>
            <w:r w:rsidRPr="00033F8C">
              <w:rPr>
                <w:b/>
                <w:bCs/>
                <w:sz w:val="24"/>
                <w:szCs w:val="24"/>
              </w:rPr>
              <w:t>odávateľ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 w:rsidRPr="00033F8C">
              <w:rPr>
                <w:b/>
                <w:bCs/>
                <w:sz w:val="24"/>
                <w:szCs w:val="24"/>
              </w:rPr>
              <w:t>Štát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25E3E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sk-SK"/>
              </w:rPr>
              <w:t>V</w:t>
            </w:r>
            <w:r w:rsidRPr="00D25E3E">
              <w:rPr>
                <w:sz w:val="24"/>
                <w:szCs w:val="24"/>
                <w:lang w:bidi="sk-SK"/>
              </w:rPr>
              <w:t>ýskumný ústav papiera a celulózy, a.s.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Slovensko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25E3E" w:rsidRDefault="00DA6D93" w:rsidP="00606245">
            <w:pPr>
              <w:rPr>
                <w:sz w:val="24"/>
                <w:szCs w:val="24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lastRenderedPageBreak/>
              <w:t>Quadrant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Plastic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Composites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Slovakia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Slovensko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25E3E" w:rsidRDefault="00DA6D93" w:rsidP="00606245">
            <w:pPr>
              <w:rPr>
                <w:sz w:val="24"/>
                <w:szCs w:val="24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Remarkplast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r>
              <w:rPr>
                <w:sz w:val="24"/>
                <w:szCs w:val="24"/>
                <w:lang w:bidi="sk-SK"/>
              </w:rPr>
              <w:t xml:space="preserve">Slovakia, </w:t>
            </w:r>
            <w:r w:rsidRPr="00D25E3E">
              <w:rPr>
                <w:sz w:val="24"/>
                <w:szCs w:val="24"/>
                <w:lang w:bidi="sk-SK"/>
              </w:rPr>
              <w:t>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Slovensko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Bayer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Nemecko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r w:rsidRPr="00D25E3E">
              <w:rPr>
                <w:sz w:val="24"/>
                <w:szCs w:val="24"/>
                <w:lang w:bidi="sk-SK"/>
              </w:rPr>
              <w:t xml:space="preserve">SABIC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Snij-Unie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Holandsko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r w:rsidRPr="00D25E3E">
              <w:rPr>
                <w:sz w:val="24"/>
                <w:szCs w:val="24"/>
                <w:lang w:bidi="sk-SK"/>
              </w:rPr>
              <w:t xml:space="preserve">NXP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Semiconductors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Thajsko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Bilcare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Research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S.r.l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Taliansko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r w:rsidRPr="00D25E3E">
              <w:rPr>
                <w:sz w:val="24"/>
                <w:szCs w:val="24"/>
                <w:lang w:bidi="sk-SK"/>
              </w:rPr>
              <w:t>GREENCORP MAGNETICS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Nemecko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Luminescence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International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Ltd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Veľká Británia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r w:rsidRPr="00D25E3E">
              <w:rPr>
                <w:sz w:val="24"/>
                <w:szCs w:val="24"/>
                <w:lang w:bidi="sk-SK"/>
              </w:rPr>
              <w:t>OOO SP „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Holografia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Ukrajina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FiberMark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Red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Bridge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International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Ltd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Veľká Británia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D25E3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D25E3E">
              <w:rPr>
                <w:sz w:val="24"/>
                <w:szCs w:val="24"/>
                <w:lang w:bidi="sk-SK"/>
              </w:rPr>
              <w:t>Petrel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Francúzsko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72358E">
              <w:rPr>
                <w:sz w:val="24"/>
                <w:szCs w:val="24"/>
                <w:lang w:bidi="sk-SK"/>
              </w:rPr>
              <w:t>Henkel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Nemecko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r w:rsidRPr="0072358E">
              <w:rPr>
                <w:sz w:val="24"/>
                <w:szCs w:val="24"/>
                <w:lang w:bidi="sk-SK"/>
              </w:rPr>
              <w:t>AWEKA GmbH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Nemecko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r w:rsidRPr="0072358E">
              <w:rPr>
                <w:sz w:val="24"/>
                <w:szCs w:val="24"/>
                <w:lang w:bidi="sk-SK"/>
              </w:rPr>
              <w:t xml:space="preserve">Intel </w:t>
            </w:r>
            <w:proofErr w:type="spellStart"/>
            <w:r w:rsidRPr="0072358E">
              <w:rPr>
                <w:sz w:val="24"/>
                <w:szCs w:val="24"/>
                <w:lang w:bidi="sk-SK"/>
              </w:rPr>
              <w:t>corporation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72358E">
              <w:rPr>
                <w:sz w:val="24"/>
                <w:szCs w:val="24"/>
                <w:lang w:bidi="sk-SK"/>
              </w:rPr>
              <w:t>Hewlett-Packard</w:t>
            </w:r>
            <w:proofErr w:type="spellEnd"/>
            <w:r w:rsidRPr="0072358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72358E">
              <w:rPr>
                <w:sz w:val="24"/>
                <w:szCs w:val="24"/>
                <w:lang w:bidi="sk-SK"/>
              </w:rPr>
              <w:t>Company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72358E">
              <w:rPr>
                <w:sz w:val="24"/>
                <w:szCs w:val="24"/>
                <w:lang w:bidi="sk-SK"/>
              </w:rPr>
              <w:t>Kodak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72358E" w:rsidRDefault="00DA6D93" w:rsidP="00606245">
            <w:pPr>
              <w:rPr>
                <w:sz w:val="24"/>
                <w:szCs w:val="24"/>
                <w:lang w:bidi="sk-SK"/>
              </w:rPr>
            </w:pPr>
            <w:proofErr w:type="spellStart"/>
            <w:r w:rsidRPr="0072358E">
              <w:rPr>
                <w:sz w:val="24"/>
                <w:szCs w:val="24"/>
                <w:lang w:bidi="sk-SK"/>
              </w:rPr>
              <w:t>Toray</w:t>
            </w:r>
            <w:proofErr w:type="spellEnd"/>
            <w:r w:rsidRPr="0072358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72358E">
              <w:rPr>
                <w:sz w:val="24"/>
                <w:szCs w:val="24"/>
                <w:lang w:bidi="sk-SK"/>
              </w:rPr>
              <w:t>Industries</w:t>
            </w:r>
            <w:proofErr w:type="spellEnd"/>
            <w:r w:rsidRPr="0072358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72358E">
              <w:rPr>
                <w:sz w:val="24"/>
                <w:szCs w:val="24"/>
                <w:lang w:bidi="sk-SK"/>
              </w:rPr>
              <w:t>Inc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Japonsko </w:t>
            </w:r>
          </w:p>
        </w:tc>
      </w:tr>
      <w:tr w:rsidR="00DA6D93" w:rsidRPr="00033F8C" w:rsidTr="00606245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25E3E" w:rsidRDefault="00DA6D93" w:rsidP="00606245">
            <w:pPr>
              <w:rPr>
                <w:sz w:val="24"/>
                <w:szCs w:val="24"/>
              </w:rPr>
            </w:pPr>
            <w:r w:rsidRPr="00D25E3E">
              <w:rPr>
                <w:sz w:val="24"/>
                <w:szCs w:val="24"/>
                <w:lang w:bidi="sk-SK"/>
              </w:rPr>
              <w:t xml:space="preserve">BOGRAMA AG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Bochsler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Grafische</w:t>
            </w:r>
            <w:proofErr w:type="spellEnd"/>
            <w:r w:rsidRPr="00D25E3E">
              <w:rPr>
                <w:sz w:val="24"/>
                <w:szCs w:val="24"/>
                <w:lang w:bidi="sk-SK"/>
              </w:rPr>
              <w:t xml:space="preserve"> </w:t>
            </w:r>
            <w:proofErr w:type="spellStart"/>
            <w:r w:rsidRPr="00D25E3E">
              <w:rPr>
                <w:sz w:val="24"/>
                <w:szCs w:val="24"/>
                <w:lang w:bidi="sk-SK"/>
              </w:rPr>
              <w:t>Maschinen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r w:rsidRPr="00033F8C">
              <w:rPr>
                <w:sz w:val="24"/>
                <w:szCs w:val="24"/>
              </w:rPr>
              <w:t>Nemecko</w:t>
            </w:r>
          </w:p>
        </w:tc>
      </w:tr>
    </w:tbl>
    <w:p w:rsidR="00DA6D93" w:rsidRDefault="00DA6D93" w:rsidP="00DA6D93">
      <w:pPr>
        <w:pStyle w:val="Odsekzoznamu"/>
        <w:spacing w:before="120"/>
        <w:ind w:left="0"/>
        <w:jc w:val="both"/>
        <w:rPr>
          <w:b/>
          <w:lang w:bidi="sk-SK"/>
        </w:rPr>
      </w:pPr>
    </w:p>
    <w:p w:rsidR="00DA6D93" w:rsidRPr="0090076B" w:rsidRDefault="00DA6D93" w:rsidP="00DA6D93">
      <w:pPr>
        <w:pStyle w:val="Odsekzoznamu"/>
        <w:spacing w:before="120"/>
        <w:ind w:left="0"/>
        <w:rPr>
          <w:b/>
          <w:i/>
        </w:rPr>
      </w:pPr>
      <w:r w:rsidRPr="0090076B">
        <w:rPr>
          <w:b/>
          <w:i/>
        </w:rPr>
        <w:t>Žiadateľ za svojich hlavných ko</w:t>
      </w:r>
      <w:r>
        <w:rPr>
          <w:b/>
          <w:i/>
        </w:rPr>
        <w:t>nkurentov považuje:</w:t>
      </w:r>
    </w:p>
    <w:tbl>
      <w:tblPr>
        <w:tblW w:w="83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353"/>
        <w:gridCol w:w="2000"/>
      </w:tblGrid>
      <w:tr w:rsidR="00DA6D93" w:rsidRPr="00033F8C" w:rsidTr="00606245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Názov konkurenta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Relevantný trh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b/>
                <w:bCs/>
                <w:sz w:val="24"/>
                <w:szCs w:val="24"/>
              </w:rPr>
            </w:pPr>
            <w:r w:rsidRPr="00033F8C">
              <w:rPr>
                <w:b/>
                <w:bCs/>
                <w:sz w:val="24"/>
                <w:szCs w:val="24"/>
              </w:rPr>
              <w:t>Trhový podiel v EU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Morpho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Safran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Francúzsko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jc w:val="center"/>
            </w:pPr>
            <w:r w:rsidRPr="00D12CE6">
              <w:t xml:space="preserve">20%, viac ako 90% na trhu ID dokladov 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Entrust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Datacard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jc w:val="center"/>
            </w:pPr>
            <w:r w:rsidRPr="00D12CE6">
              <w:t>30%, cca 99% riešení PKI a </w:t>
            </w:r>
            <w:proofErr w:type="spellStart"/>
            <w:r w:rsidRPr="00D12CE6">
              <w:t>personalizácie</w:t>
            </w:r>
            <w:proofErr w:type="spellEnd"/>
            <w:r w:rsidRPr="00D12CE6">
              <w:t xml:space="preserve"> 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Hewlett-Packard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jc w:val="center"/>
            </w:pPr>
            <w:r w:rsidRPr="00D12CE6">
              <w:t>30%, cca 100% riešení systému osobných preukazov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Optaglio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jc w:val="center"/>
            </w:pPr>
            <w:r w:rsidRPr="00D12CE6">
              <w:t xml:space="preserve">10 %, cca 90% riešení systému 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Gemalto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Francúzsko/Holandsko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jc w:val="center"/>
            </w:pPr>
            <w:r w:rsidRPr="00D12CE6">
              <w:t xml:space="preserve">30%, cca 30% trhu platobných kariet 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Bundesdruckerei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Nemecko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33F8C">
              <w:rPr>
                <w:sz w:val="24"/>
                <w:szCs w:val="24"/>
              </w:rPr>
              <w:t>%</w:t>
            </w:r>
          </w:p>
        </w:tc>
      </w:tr>
      <w:tr w:rsidR="00DA6D93" w:rsidRPr="00033F8C" w:rsidTr="00606245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D12CE6" w:rsidRDefault="00DA6D93" w:rsidP="00606245">
            <w:pPr>
              <w:rPr>
                <w:sz w:val="24"/>
                <w:szCs w:val="24"/>
              </w:rPr>
            </w:pPr>
            <w:proofErr w:type="spellStart"/>
            <w:r w:rsidRPr="00D12CE6">
              <w:rPr>
                <w:sz w:val="24"/>
                <w:szCs w:val="24"/>
              </w:rPr>
              <w:t>Czech</w:t>
            </w:r>
            <w:proofErr w:type="spellEnd"/>
            <w:r w:rsidRPr="00D12CE6">
              <w:rPr>
                <w:sz w:val="24"/>
                <w:szCs w:val="24"/>
              </w:rPr>
              <w:t xml:space="preserve"> State </w:t>
            </w:r>
            <w:proofErr w:type="spellStart"/>
            <w:r w:rsidRPr="00D12CE6">
              <w:rPr>
                <w:sz w:val="24"/>
                <w:szCs w:val="24"/>
              </w:rPr>
              <w:t>Printing</w:t>
            </w:r>
            <w:proofErr w:type="spellEnd"/>
            <w:r w:rsidRPr="00D12CE6">
              <w:rPr>
                <w:sz w:val="24"/>
                <w:szCs w:val="24"/>
              </w:rPr>
              <w:t xml:space="preserve"> Works od </w:t>
            </w:r>
            <w:proofErr w:type="spellStart"/>
            <w:r w:rsidRPr="00D12CE6">
              <w:rPr>
                <w:sz w:val="24"/>
                <w:szCs w:val="24"/>
              </w:rPr>
              <w:t>Securities</w:t>
            </w:r>
            <w:proofErr w:type="spellEnd"/>
            <w:r w:rsidRPr="00D12CE6">
              <w:rPr>
                <w:sz w:val="24"/>
                <w:szCs w:val="24"/>
              </w:rPr>
              <w:t xml:space="preserve"> (STC)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D93" w:rsidRPr="00033F8C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3F8C">
              <w:rPr>
                <w:sz w:val="24"/>
                <w:szCs w:val="24"/>
              </w:rPr>
              <w:t>%</w:t>
            </w:r>
          </w:p>
        </w:tc>
      </w:tr>
    </w:tbl>
    <w:p w:rsidR="00DA6D93" w:rsidRDefault="00DA6D93" w:rsidP="00DA6D93">
      <w:pPr>
        <w:pStyle w:val="Odsekzoznamu"/>
        <w:spacing w:before="120"/>
        <w:ind w:left="720"/>
      </w:pPr>
    </w:p>
    <w:p w:rsidR="00DA6D93" w:rsidRPr="00D25E3E" w:rsidRDefault="00DA6D93" w:rsidP="00DA6D93">
      <w:pPr>
        <w:tabs>
          <w:tab w:val="left" w:pos="540"/>
        </w:tabs>
        <w:spacing w:before="12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Žiadateľ je veľký podnik, t. j. v zmysle Prílohy č. I Nariadenia Komisie (EÚ) č. 651/2014 zo 17. júna 2014 o vyhlásení určitých kategórií pomoci za zlučiteľné s vnútorným trhom podľa článkov 107 a 108 zmluvy ni</w:t>
      </w:r>
      <w:r>
        <w:rPr>
          <w:sz w:val="24"/>
          <w:szCs w:val="24"/>
        </w:rPr>
        <w:t>e je malý alebo stredný podnik.</w:t>
      </w:r>
    </w:p>
    <w:p w:rsidR="00DA6D93" w:rsidRDefault="00DA6D93" w:rsidP="00DA6D93">
      <w:pPr>
        <w:rPr>
          <w:sz w:val="24"/>
          <w:szCs w:val="24"/>
          <w:highlight w:val="yellow"/>
        </w:rPr>
      </w:pPr>
    </w:p>
    <w:p w:rsidR="007B10B4" w:rsidRPr="0048219A" w:rsidRDefault="007B10B4" w:rsidP="00DA6D93">
      <w:pPr>
        <w:rPr>
          <w:sz w:val="24"/>
          <w:szCs w:val="24"/>
          <w:highlight w:val="yellow"/>
        </w:rPr>
      </w:pPr>
    </w:p>
    <w:p w:rsidR="00DA6D93" w:rsidRPr="0048219A" w:rsidRDefault="00DA6D93" w:rsidP="00DA6D93">
      <w:pPr>
        <w:pStyle w:val="Nzov"/>
        <w:tabs>
          <w:tab w:val="left" w:pos="709"/>
          <w:tab w:val="left" w:pos="3060"/>
          <w:tab w:val="right" w:pos="7380"/>
        </w:tabs>
        <w:jc w:val="both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(B) Stručná charakteristika investičného zámeru</w:t>
      </w:r>
    </w:p>
    <w:p w:rsidR="00DA6D93" w:rsidRPr="0048219A" w:rsidRDefault="00DA6D93" w:rsidP="00DA6D93">
      <w:pPr>
        <w:pStyle w:val="Zkladntext2"/>
        <w:rPr>
          <w:b/>
          <w:i/>
          <w:szCs w:val="24"/>
        </w:rPr>
      </w:pPr>
    </w:p>
    <w:p w:rsidR="00DA6D93" w:rsidRPr="00D45BEC" w:rsidRDefault="00DA6D93" w:rsidP="00DA6D9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RKN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s. r. o.</w:t>
      </w:r>
      <w:r w:rsidRPr="00D45BEC">
        <w:rPr>
          <w:sz w:val="24"/>
          <w:szCs w:val="24"/>
        </w:rPr>
        <w:t xml:space="preserve"> vytvorí v Slovenskej republike najmodernejší podnik chránenej tlače v oblasti vyhotovenia štátnych a identifikačných dokladov na papierovom alebo plastovom základe, kariet národných a medzinárodných platobných systémov, kontrolných </w:t>
      </w:r>
      <w:r w:rsidRPr="00D45BEC">
        <w:rPr>
          <w:sz w:val="24"/>
          <w:szCs w:val="24"/>
        </w:rPr>
        <w:lastRenderedPageBreak/>
        <w:t>známok a značiek, holografických ochranných prvkov a veľkého spektr</w:t>
      </w:r>
      <w:r>
        <w:rPr>
          <w:sz w:val="24"/>
          <w:szCs w:val="24"/>
        </w:rPr>
        <w:t>a</w:t>
      </w:r>
      <w:r w:rsidRPr="00D45BEC">
        <w:rPr>
          <w:sz w:val="24"/>
          <w:szCs w:val="24"/>
        </w:rPr>
        <w:t xml:space="preserve"> plastových kariet </w:t>
      </w:r>
      <w:r w:rsidR="009404AC">
        <w:rPr>
          <w:sz w:val="24"/>
          <w:szCs w:val="24"/>
        </w:rPr>
        <w:br/>
      </w:r>
      <w:r w:rsidRPr="00D45BEC">
        <w:rPr>
          <w:sz w:val="24"/>
          <w:szCs w:val="24"/>
        </w:rPr>
        <w:t xml:space="preserve">a ochranných prvkov vysokých technológií. Projekt taktiež predpokladá </w:t>
      </w:r>
      <w:r>
        <w:rPr>
          <w:sz w:val="24"/>
          <w:szCs w:val="24"/>
        </w:rPr>
        <w:t xml:space="preserve">obstaranie a použitie </w:t>
      </w:r>
      <w:r w:rsidRPr="00D45BEC">
        <w:rPr>
          <w:sz w:val="24"/>
          <w:szCs w:val="24"/>
        </w:rPr>
        <w:t>úpln</w:t>
      </w:r>
      <w:r>
        <w:rPr>
          <w:sz w:val="24"/>
          <w:szCs w:val="24"/>
        </w:rPr>
        <w:t>ého</w:t>
      </w:r>
      <w:r w:rsidRPr="00D45BEC">
        <w:rPr>
          <w:sz w:val="24"/>
          <w:szCs w:val="24"/>
        </w:rPr>
        <w:t xml:space="preserve"> integrovan</w:t>
      </w:r>
      <w:r>
        <w:rPr>
          <w:sz w:val="24"/>
          <w:szCs w:val="24"/>
        </w:rPr>
        <w:t>ého</w:t>
      </w:r>
      <w:r w:rsidRPr="00D45BEC">
        <w:rPr>
          <w:sz w:val="24"/>
          <w:szCs w:val="24"/>
        </w:rPr>
        <w:t xml:space="preserve"> rozsah</w:t>
      </w:r>
      <w:r>
        <w:rPr>
          <w:sz w:val="24"/>
          <w:szCs w:val="24"/>
        </w:rPr>
        <w:t>u</w:t>
      </w:r>
      <w:r w:rsidRPr="00D45BEC">
        <w:rPr>
          <w:sz w:val="24"/>
          <w:szCs w:val="24"/>
        </w:rPr>
        <w:t xml:space="preserve"> systémov na vyhotovenie, kontrolu obratu a verifikáciu dokladov. Projekt zahŕňa vytvorenie Inovačného centra, v rámci ktorého sa bude uskutočňovať vzdelávacia a vedecko-výskumná činnosť RKN </w:t>
      </w:r>
      <w:proofErr w:type="spellStart"/>
      <w:r w:rsidRPr="00D45BEC">
        <w:rPr>
          <w:sz w:val="24"/>
          <w:szCs w:val="24"/>
        </w:rPr>
        <w:t>Global</w:t>
      </w:r>
      <w:proofErr w:type="spellEnd"/>
      <w:r w:rsidRPr="00D45BEC">
        <w:rPr>
          <w:sz w:val="24"/>
          <w:szCs w:val="24"/>
        </w:rPr>
        <w:t xml:space="preserve"> </w:t>
      </w:r>
      <w:proofErr w:type="spellStart"/>
      <w:r w:rsidRPr="00D45BEC">
        <w:rPr>
          <w:sz w:val="24"/>
          <w:szCs w:val="24"/>
        </w:rPr>
        <w:t>Europe</w:t>
      </w:r>
      <w:proofErr w:type="spellEnd"/>
      <w:r w:rsidRPr="00D45BEC">
        <w:rPr>
          <w:sz w:val="24"/>
          <w:szCs w:val="24"/>
        </w:rPr>
        <w:t xml:space="preserve"> spolu </w:t>
      </w:r>
      <w:r w:rsidR="009404AC">
        <w:rPr>
          <w:sz w:val="24"/>
          <w:szCs w:val="24"/>
        </w:rPr>
        <w:br/>
      </w:r>
      <w:r w:rsidRPr="00D45BEC">
        <w:rPr>
          <w:sz w:val="24"/>
          <w:szCs w:val="24"/>
        </w:rPr>
        <w:t xml:space="preserve">s Univerzitou Mateja Bela v Banskej Bystrici v oblasti inovácií a </w:t>
      </w:r>
      <w:r>
        <w:rPr>
          <w:sz w:val="24"/>
          <w:szCs w:val="24"/>
        </w:rPr>
        <w:t>vypracovania nových technológií odvetvia chrá</w:t>
      </w:r>
      <w:r w:rsidRPr="00D45BEC">
        <w:rPr>
          <w:sz w:val="24"/>
          <w:szCs w:val="24"/>
        </w:rPr>
        <w:t>nenej tlač</w:t>
      </w:r>
      <w:r>
        <w:rPr>
          <w:sz w:val="24"/>
          <w:szCs w:val="24"/>
        </w:rPr>
        <w:t>e</w:t>
      </w:r>
      <w:r w:rsidRPr="00D45BEC">
        <w:rPr>
          <w:sz w:val="24"/>
          <w:szCs w:val="24"/>
        </w:rPr>
        <w:t xml:space="preserve">, štátnych IT systémov identifikácie osoby </w:t>
      </w:r>
      <w:r w:rsidR="009404AC">
        <w:rPr>
          <w:sz w:val="24"/>
          <w:szCs w:val="24"/>
        </w:rPr>
        <w:br/>
      </w:r>
      <w:r w:rsidRPr="00D45BEC">
        <w:rPr>
          <w:sz w:val="24"/>
          <w:szCs w:val="24"/>
        </w:rPr>
        <w:t xml:space="preserve">a elektronických platieb. </w:t>
      </w:r>
      <w:r>
        <w:rPr>
          <w:sz w:val="24"/>
          <w:szCs w:val="24"/>
        </w:rPr>
        <w:t xml:space="preserve">Za najvhodnejšiu lokalitu bol zvolený priemyselný park Banská Bystrica – </w:t>
      </w:r>
      <w:proofErr w:type="spellStart"/>
      <w:r>
        <w:rPr>
          <w:sz w:val="24"/>
          <w:szCs w:val="24"/>
        </w:rPr>
        <w:t>Šalková</w:t>
      </w:r>
      <w:proofErr w:type="spellEnd"/>
      <w:r>
        <w:rPr>
          <w:sz w:val="24"/>
          <w:szCs w:val="24"/>
        </w:rPr>
        <w:t xml:space="preserve"> s</w:t>
      </w:r>
      <w:r w:rsidR="009404AC">
        <w:rPr>
          <w:sz w:val="24"/>
          <w:szCs w:val="24"/>
        </w:rPr>
        <w:t xml:space="preserve"> </w:t>
      </w:r>
      <w:r>
        <w:rPr>
          <w:sz w:val="24"/>
          <w:szCs w:val="24"/>
        </w:rPr>
        <w:t> požiadavkou na celkovú plochu výstavby 38 200 m2.</w:t>
      </w:r>
    </w:p>
    <w:p w:rsidR="00DA6D93" w:rsidRDefault="00DA6D93" w:rsidP="00DA6D93">
      <w:pPr>
        <w:tabs>
          <w:tab w:val="left" w:pos="0"/>
        </w:tabs>
        <w:jc w:val="both"/>
        <w:rPr>
          <w:sz w:val="24"/>
          <w:szCs w:val="24"/>
        </w:rPr>
      </w:pPr>
    </w:p>
    <w:p w:rsidR="008552B1" w:rsidRPr="00F239AF" w:rsidRDefault="008552B1" w:rsidP="00DA6D93">
      <w:pPr>
        <w:tabs>
          <w:tab w:val="left" w:pos="0"/>
        </w:tabs>
        <w:jc w:val="both"/>
        <w:rPr>
          <w:sz w:val="24"/>
          <w:szCs w:val="24"/>
        </w:rPr>
      </w:pPr>
    </w:p>
    <w:p w:rsidR="00DA6D93" w:rsidRDefault="00DA6D93" w:rsidP="00DA6D93">
      <w:pPr>
        <w:tabs>
          <w:tab w:val="left" w:pos="1080"/>
        </w:tabs>
        <w:ind w:left="1080" w:hanging="1080"/>
        <w:jc w:val="both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Plánované údaje investície</w:t>
      </w:r>
    </w:p>
    <w:p w:rsidR="00DA6D93" w:rsidRPr="0048219A" w:rsidRDefault="00DA6D93" w:rsidP="00DA6D93">
      <w:pPr>
        <w:tabs>
          <w:tab w:val="left" w:pos="1080"/>
        </w:tabs>
        <w:ind w:left="1080" w:hanging="1080"/>
        <w:jc w:val="both"/>
        <w:rPr>
          <w:b/>
          <w:sz w:val="24"/>
          <w:szCs w:val="24"/>
        </w:rPr>
      </w:pPr>
    </w:p>
    <w:p w:rsidR="00DA6D93" w:rsidRPr="0048219A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Celková výška oprávnených nákladov: </w:t>
      </w:r>
      <w:r w:rsidRPr="0048219A">
        <w:rPr>
          <w:sz w:val="24"/>
          <w:szCs w:val="24"/>
        </w:rPr>
        <w:tab/>
      </w:r>
      <w:r>
        <w:rPr>
          <w:iCs/>
          <w:sz w:val="24"/>
          <w:szCs w:val="24"/>
        </w:rPr>
        <w:t>89 401 016</w:t>
      </w:r>
      <w:r w:rsidRPr="0048219A">
        <w:rPr>
          <w:iCs/>
          <w:sz w:val="24"/>
          <w:szCs w:val="24"/>
        </w:rPr>
        <w:t xml:space="preserve"> </w:t>
      </w:r>
      <w:r w:rsidR="003266EB">
        <w:rPr>
          <w:sz w:val="24"/>
          <w:szCs w:val="24"/>
        </w:rPr>
        <w:t>e</w:t>
      </w:r>
      <w:r w:rsidRPr="0048219A">
        <w:rPr>
          <w:sz w:val="24"/>
          <w:szCs w:val="24"/>
        </w:rPr>
        <w:t>ur</w:t>
      </w:r>
    </w:p>
    <w:p w:rsidR="00DA6D93" w:rsidRPr="0048219A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Priama zamestnanosť: </w:t>
      </w:r>
      <w:r w:rsidRPr="0048219A">
        <w:rPr>
          <w:sz w:val="24"/>
          <w:szCs w:val="24"/>
        </w:rPr>
        <w:tab/>
      </w:r>
      <w:r>
        <w:rPr>
          <w:sz w:val="24"/>
          <w:szCs w:val="24"/>
        </w:rPr>
        <w:t>1238</w:t>
      </w:r>
      <w:r w:rsidRPr="0048219A">
        <w:rPr>
          <w:sz w:val="24"/>
          <w:szCs w:val="24"/>
        </w:rPr>
        <w:t xml:space="preserve"> nových pracovných miest </w:t>
      </w:r>
    </w:p>
    <w:p w:rsidR="00DA6D93" w:rsidRPr="0048219A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Podiel nových strojov a zariadení:</w:t>
      </w:r>
      <w:r w:rsidRPr="0048219A">
        <w:rPr>
          <w:sz w:val="24"/>
          <w:szCs w:val="24"/>
        </w:rPr>
        <w:tab/>
      </w:r>
      <w:r w:rsidRPr="009965B1">
        <w:rPr>
          <w:sz w:val="24"/>
          <w:szCs w:val="24"/>
        </w:rPr>
        <w:t>100 %</w:t>
      </w:r>
    </w:p>
    <w:p w:rsidR="00DA6D93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Výrobná kapacita:</w:t>
      </w:r>
      <w:r>
        <w:rPr>
          <w:sz w:val="24"/>
          <w:szCs w:val="24"/>
        </w:rPr>
        <w:tab/>
        <w:t>30 8</w:t>
      </w:r>
      <w:r w:rsidRPr="0048219A">
        <w:rPr>
          <w:sz w:val="24"/>
          <w:szCs w:val="24"/>
        </w:rPr>
        <w:t xml:space="preserve">00 000 </w:t>
      </w:r>
      <w:r>
        <w:rPr>
          <w:sz w:val="24"/>
          <w:szCs w:val="24"/>
        </w:rPr>
        <w:t>kariet</w:t>
      </w:r>
      <w:r w:rsidRPr="0048219A">
        <w:rPr>
          <w:sz w:val="24"/>
          <w:szCs w:val="24"/>
        </w:rPr>
        <w:t>/rok</w:t>
      </w:r>
    </w:p>
    <w:p w:rsidR="00DA6D93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1 500 000 knižočiek/rok</w:t>
      </w:r>
    </w:p>
    <w:p w:rsidR="00DA6D93" w:rsidRPr="0048219A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10 000 </w:t>
      </w:r>
      <w:proofErr w:type="spellStart"/>
      <w:r>
        <w:rPr>
          <w:sz w:val="24"/>
          <w:szCs w:val="24"/>
        </w:rPr>
        <w:t>000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000</w:t>
      </w:r>
      <w:proofErr w:type="spellEnd"/>
      <w:r>
        <w:rPr>
          <w:sz w:val="24"/>
          <w:szCs w:val="24"/>
        </w:rPr>
        <w:t xml:space="preserve"> známok/rok</w:t>
      </w:r>
    </w:p>
    <w:p w:rsidR="00DA6D93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Umiestnenie produkcie:</w:t>
      </w:r>
      <w:r w:rsidRPr="0048219A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48219A">
        <w:rPr>
          <w:sz w:val="24"/>
          <w:szCs w:val="24"/>
        </w:rPr>
        <w:t xml:space="preserve"> % domáci trh</w:t>
      </w:r>
    </w:p>
    <w:p w:rsidR="00DA6D93" w:rsidRDefault="00DA6D93" w:rsidP="00DA6D9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80 % export. </w:t>
      </w:r>
      <w:r w:rsidRPr="0048219A">
        <w:rPr>
          <w:sz w:val="24"/>
          <w:szCs w:val="24"/>
        </w:rPr>
        <w:t xml:space="preserve"> </w:t>
      </w:r>
    </w:p>
    <w:p w:rsidR="00DA6D93" w:rsidRDefault="00DA6D93" w:rsidP="00DA6D93">
      <w:pPr>
        <w:pStyle w:val="Text-M"/>
        <w:spacing w:before="0" w:after="0"/>
        <w:rPr>
          <w:b/>
          <w:i/>
        </w:rPr>
      </w:pPr>
    </w:p>
    <w:p w:rsidR="008552B1" w:rsidRDefault="008552B1" w:rsidP="00DA6D93">
      <w:pPr>
        <w:pStyle w:val="Text-M"/>
        <w:spacing w:before="0" w:after="0"/>
        <w:rPr>
          <w:b/>
          <w:i/>
        </w:rPr>
      </w:pPr>
    </w:p>
    <w:p w:rsidR="00DA6D93" w:rsidRPr="0048219A" w:rsidRDefault="00DA6D93" w:rsidP="00DA6D93">
      <w:pPr>
        <w:pStyle w:val="Text-M"/>
        <w:spacing w:before="0" w:after="0"/>
        <w:rPr>
          <w:b/>
          <w:i/>
        </w:rPr>
      </w:pPr>
      <w:r w:rsidRPr="0048219A">
        <w:rPr>
          <w:b/>
          <w:i/>
        </w:rPr>
        <w:t xml:space="preserve">Plánovaná výška oprávnených nákladov      </w:t>
      </w:r>
      <w:r>
        <w:rPr>
          <w:b/>
          <w:i/>
        </w:rPr>
        <w:t xml:space="preserve">                </w:t>
      </w:r>
      <w:r w:rsidRPr="0048219A">
        <w:rPr>
          <w:b/>
          <w:i/>
        </w:rPr>
        <w:t xml:space="preserve"> (v </w:t>
      </w:r>
      <w:r w:rsidR="008552B1">
        <w:rPr>
          <w:b/>
          <w:i/>
        </w:rPr>
        <w:t>e</w:t>
      </w:r>
      <w:r w:rsidRPr="0048219A">
        <w:rPr>
          <w:b/>
          <w:i/>
        </w:rPr>
        <w:t>ur</w:t>
      </w:r>
      <w:r w:rsidR="00ED17D0">
        <w:rPr>
          <w:b/>
          <w:i/>
        </w:rPr>
        <w:t>ách</w:t>
      </w:r>
      <w:r w:rsidRPr="0048219A">
        <w:rPr>
          <w:b/>
          <w:i/>
        </w:rPr>
        <w:t>)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560"/>
        <w:gridCol w:w="1275"/>
        <w:gridCol w:w="1701"/>
        <w:gridCol w:w="1418"/>
      </w:tblGrid>
      <w:tr w:rsidR="00DA6D93" w:rsidRPr="0048219A" w:rsidTr="008552B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6D93" w:rsidRPr="0048219A" w:rsidRDefault="00DA6D93" w:rsidP="00606245">
            <w:pPr>
              <w:rPr>
                <w:b/>
                <w:color w:val="000000"/>
                <w:sz w:val="24"/>
                <w:szCs w:val="24"/>
              </w:rPr>
            </w:pPr>
            <w:r w:rsidRPr="0048219A">
              <w:rPr>
                <w:b/>
                <w:color w:val="000000"/>
                <w:sz w:val="24"/>
                <w:szCs w:val="24"/>
              </w:rPr>
              <w:t>náklady / rok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ind w:left="-212" w:firstLine="212"/>
              <w:jc w:val="center"/>
              <w:rPr>
                <w:b/>
                <w:color w:val="000000"/>
                <w:sz w:val="24"/>
                <w:szCs w:val="24"/>
              </w:rPr>
            </w:pPr>
            <w:r w:rsidRPr="0048219A"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219A"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48219A" w:rsidRDefault="00DA6D93" w:rsidP="006062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219A">
              <w:rPr>
                <w:b/>
                <w:color w:val="000000"/>
                <w:sz w:val="24"/>
                <w:szCs w:val="24"/>
              </w:rPr>
              <w:t xml:space="preserve">SPOLU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48219A" w:rsidRDefault="00DA6D93" w:rsidP="006062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8219A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>Pozemky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1 416 640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1 416 640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1,58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>Budovy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34,90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>Stroje, prístroje a zariadenia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54 007 029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54 007 029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60,41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277 735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277 735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Patenty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0,93</w:t>
            </w:r>
          </w:p>
        </w:tc>
      </w:tr>
      <w:tr w:rsidR="00DA6D93" w:rsidRPr="0048219A" w:rsidTr="00606245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Know-how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1 666 408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1 666 408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1,86</w:t>
            </w:r>
          </w:p>
        </w:tc>
      </w:tr>
      <w:tr w:rsidR="00DA6D93" w:rsidRPr="0048219A" w:rsidTr="008552B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6D93" w:rsidRPr="0048219A" w:rsidRDefault="00DA6D93" w:rsidP="00606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 xml:space="preserve"> SPOLU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A6D93" w:rsidRPr="0048219A" w:rsidRDefault="00DA6D93" w:rsidP="00606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89 401 016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48219A" w:rsidRDefault="00DA6D93" w:rsidP="00606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89 401 016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48219A" w:rsidRDefault="00DA6D93" w:rsidP="00606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8552B1" w:rsidRPr="0048219A" w:rsidRDefault="008552B1" w:rsidP="00DA6D93">
      <w:pPr>
        <w:rPr>
          <w:sz w:val="24"/>
          <w:szCs w:val="24"/>
        </w:rPr>
      </w:pPr>
    </w:p>
    <w:p w:rsidR="00DA6D93" w:rsidRPr="0048219A" w:rsidRDefault="00DA6D93" w:rsidP="00DA6D93">
      <w:pPr>
        <w:pStyle w:val="Text-M"/>
        <w:rPr>
          <w:b/>
          <w:i/>
        </w:rPr>
      </w:pPr>
      <w:r w:rsidRPr="0048219A">
        <w:rPr>
          <w:b/>
          <w:i/>
        </w:rPr>
        <w:t>Plánovaný počet vytvorených nových pracovných miest</w:t>
      </w: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709"/>
        <w:gridCol w:w="709"/>
        <w:gridCol w:w="709"/>
        <w:gridCol w:w="992"/>
      </w:tblGrid>
      <w:tr w:rsidR="00DA6D93" w:rsidRPr="0048219A" w:rsidTr="008552B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položka / 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SPOLU</w:t>
            </w:r>
          </w:p>
        </w:tc>
      </w:tr>
      <w:tr w:rsidR="00DA6D93" w:rsidRPr="0048219A" w:rsidTr="00606245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>Vytvorené nové pracovné miesta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04A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238</w:t>
            </w:r>
          </w:p>
        </w:tc>
      </w:tr>
      <w:tr w:rsidR="00DA6D93" w:rsidRPr="0048219A" w:rsidTr="00606245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spacing w:before="120"/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 xml:space="preserve">Vytvorené nové pracovné miesta – </w:t>
            </w:r>
            <w:proofErr w:type="spellStart"/>
            <w:r w:rsidRPr="0048219A">
              <w:rPr>
                <w:color w:val="000000"/>
                <w:sz w:val="24"/>
                <w:szCs w:val="24"/>
              </w:rPr>
              <w:t>kumulatív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404A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552B1" w:rsidRPr="0048219A" w:rsidRDefault="008552B1" w:rsidP="00DA6D93">
      <w:pPr>
        <w:pStyle w:val="Text-M"/>
        <w:spacing w:after="0"/>
        <w:rPr>
          <w:b/>
          <w:i/>
        </w:rPr>
      </w:pPr>
    </w:p>
    <w:p w:rsidR="00DA6D93" w:rsidRPr="0048219A" w:rsidRDefault="00DA6D93" w:rsidP="00DA6D93">
      <w:pPr>
        <w:pStyle w:val="Text-M"/>
        <w:spacing w:before="0" w:after="0"/>
        <w:rPr>
          <w:b/>
          <w:i/>
        </w:rPr>
      </w:pPr>
      <w:r w:rsidRPr="0048219A">
        <w:rPr>
          <w:b/>
          <w:i/>
        </w:rPr>
        <w:t>Vzdelanostná štruktúra zamestnancov</w:t>
      </w: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276"/>
        <w:gridCol w:w="1559"/>
      </w:tblGrid>
      <w:tr w:rsidR="00DA6D93" w:rsidRPr="0048219A" w:rsidTr="008552B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Vzdelanostná štruktúra zamestnancov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A6D93" w:rsidRPr="0048219A" w:rsidTr="006062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>s vysokoškolským vzdelaním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A6D93" w:rsidRPr="0048219A" w:rsidTr="006062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 xml:space="preserve">s úplným stredoškolským vzdelaním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A6D93" w:rsidRPr="0048219A" w:rsidTr="006062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93" w:rsidRPr="0048219A" w:rsidRDefault="00DA6D93" w:rsidP="00606245">
            <w:pPr>
              <w:rPr>
                <w:color w:val="000000"/>
                <w:sz w:val="24"/>
                <w:szCs w:val="24"/>
              </w:rPr>
            </w:pPr>
            <w:r w:rsidRPr="0048219A">
              <w:rPr>
                <w:color w:val="000000"/>
                <w:sz w:val="24"/>
                <w:szCs w:val="24"/>
              </w:rPr>
              <w:t xml:space="preserve">so základným vzdelaním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E833F5" w:rsidP="006062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A6D9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D93" w:rsidRPr="0048219A" w:rsidRDefault="00E833F5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A6D93">
              <w:rPr>
                <w:sz w:val="24"/>
                <w:szCs w:val="24"/>
              </w:rPr>
              <w:t>2</w:t>
            </w:r>
          </w:p>
        </w:tc>
      </w:tr>
      <w:tr w:rsidR="00DA6D93" w:rsidRPr="0048219A" w:rsidTr="008552B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 xml:space="preserve"> SPOLU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6D93" w:rsidRPr="0048219A" w:rsidRDefault="00DA6D93" w:rsidP="006062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219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7B10B4" w:rsidRDefault="007B10B4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Cs/>
          <w:iCs/>
          <w:sz w:val="24"/>
          <w:szCs w:val="24"/>
        </w:rPr>
      </w:pPr>
    </w:p>
    <w:p w:rsidR="007B10B4" w:rsidRDefault="007B10B4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Cs/>
          <w:iCs/>
          <w:sz w:val="24"/>
          <w:szCs w:val="24"/>
        </w:rPr>
      </w:pPr>
    </w:p>
    <w:p w:rsidR="00D265A8" w:rsidRDefault="00D265A8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Cs/>
          <w:iCs/>
          <w:sz w:val="24"/>
          <w:szCs w:val="24"/>
        </w:rPr>
      </w:pPr>
    </w:p>
    <w:p w:rsidR="00DA6D93" w:rsidRPr="008C1C4D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/>
          <w:bCs/>
          <w:i/>
          <w:iCs/>
          <w:sz w:val="24"/>
          <w:szCs w:val="24"/>
        </w:rPr>
      </w:pPr>
      <w:r w:rsidRPr="008C1C4D">
        <w:rPr>
          <w:b/>
          <w:bCs/>
          <w:i/>
          <w:iCs/>
          <w:sz w:val="24"/>
          <w:szCs w:val="24"/>
        </w:rPr>
        <w:lastRenderedPageBreak/>
        <w:t>Zdroje financovania investičného zámeru                                                    v </w:t>
      </w:r>
      <w:r w:rsidR="008552B1">
        <w:rPr>
          <w:b/>
          <w:bCs/>
          <w:i/>
          <w:iCs/>
          <w:sz w:val="24"/>
          <w:szCs w:val="24"/>
        </w:rPr>
        <w:t>e</w:t>
      </w:r>
      <w:r w:rsidRPr="008C1C4D">
        <w:rPr>
          <w:b/>
          <w:bCs/>
          <w:i/>
          <w:iCs/>
          <w:sz w:val="24"/>
          <w:szCs w:val="24"/>
        </w:rPr>
        <w:t>urách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777"/>
        <w:gridCol w:w="1414"/>
        <w:gridCol w:w="1276"/>
        <w:gridCol w:w="1275"/>
        <w:gridCol w:w="1134"/>
        <w:gridCol w:w="1134"/>
        <w:gridCol w:w="1276"/>
      </w:tblGrid>
      <w:tr w:rsidR="00DA6D93" w:rsidRPr="0048219A" w:rsidTr="008552B1">
        <w:trPr>
          <w:trHeight w:hRule="exact" w:val="638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E86798">
              <w:rPr>
                <w:bCs/>
                <w:iCs/>
                <w:sz w:val="22"/>
                <w:szCs w:val="22"/>
              </w:rPr>
              <w:t>Zdroj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  <w:r w:rsidRPr="00E86798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  <w:r w:rsidRPr="00E86798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  <w:r w:rsidRPr="00E86798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  <w:r w:rsidRPr="00E86798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E86798" w:rsidRDefault="00DA6D93" w:rsidP="00E833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  <w:r w:rsidRPr="00E8679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- 202</w:t>
            </w:r>
            <w:r w:rsidR="00E833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D93" w:rsidRPr="00E86798" w:rsidRDefault="00DA6D93" w:rsidP="00606245">
            <w:pPr>
              <w:jc w:val="center"/>
              <w:rPr>
                <w:b/>
                <w:bCs/>
                <w:sz w:val="22"/>
                <w:szCs w:val="22"/>
              </w:rPr>
            </w:pPr>
            <w:r w:rsidRPr="00E86798">
              <w:rPr>
                <w:b/>
                <w:bCs/>
                <w:sz w:val="22"/>
                <w:szCs w:val="22"/>
              </w:rPr>
              <w:t>Spolu</w:t>
            </w:r>
          </w:p>
        </w:tc>
      </w:tr>
      <w:tr w:rsidR="00DA6D93" w:rsidRPr="0048219A" w:rsidTr="00C16B00">
        <w:trPr>
          <w:trHeight w:val="454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Vlastné zdroje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44 800 508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44 800 508</w:t>
            </w:r>
          </w:p>
        </w:tc>
      </w:tr>
      <w:tr w:rsidR="00DA6D93" w:rsidRPr="0048219A" w:rsidTr="00C16B00">
        <w:trPr>
          <w:trHeight w:val="40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Cudzie zdroje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6E74F0" w:rsidP="00606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44 600 508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42 719 288</w:t>
            </w:r>
          </w:p>
        </w:tc>
      </w:tr>
      <w:tr w:rsidR="00DA6D93" w:rsidRPr="0048219A" w:rsidTr="00C16B00">
        <w:trPr>
          <w:trHeight w:val="402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93" w:rsidRPr="00DB1BEE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ind w:left="113" w:right="113"/>
              <w:jc w:val="both"/>
              <w:rPr>
                <w:bCs/>
                <w:iCs/>
                <w:sz w:val="20"/>
              </w:rPr>
            </w:pPr>
            <w:r w:rsidRPr="00E833F5">
              <w:rPr>
                <w:sz w:val="20"/>
              </w:rPr>
              <w:t>Investičná</w:t>
            </w:r>
            <w:r w:rsidRPr="00DB1BEE">
              <w:rPr>
                <w:sz w:val="20"/>
              </w:rPr>
              <w:t xml:space="preserve"> pomoc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DHM</w:t>
            </w:r>
            <w:r>
              <w:rPr>
                <w:sz w:val="22"/>
                <w:szCs w:val="22"/>
              </w:rPr>
              <w:t xml:space="preserve"> a DNM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AA2A20" w:rsidP="00606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C16B00" w:rsidP="00606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5 000 </w:t>
            </w:r>
            <w:proofErr w:type="spellStart"/>
            <w:r>
              <w:rPr>
                <w:sz w:val="22"/>
                <w:szCs w:val="22"/>
              </w:rPr>
              <w:t>000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C16B00" w:rsidP="0060624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3 000 </w:t>
            </w:r>
            <w:proofErr w:type="spellStart"/>
            <w:r>
              <w:rPr>
                <w:bCs/>
                <w:sz w:val="22"/>
                <w:szCs w:val="22"/>
              </w:rPr>
              <w:t>000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C16B00" w:rsidP="0060624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2 000 </w:t>
            </w:r>
            <w:proofErr w:type="spellStart"/>
            <w:r>
              <w:rPr>
                <w:bCs/>
                <w:sz w:val="22"/>
                <w:szCs w:val="22"/>
              </w:rPr>
              <w:t>00</w:t>
            </w:r>
            <w:r w:rsidR="00DA6D93" w:rsidRPr="00E86798">
              <w:rPr>
                <w:bCs/>
                <w:sz w:val="22"/>
                <w:szCs w:val="22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bCs/>
                <w:sz w:val="22"/>
                <w:szCs w:val="22"/>
              </w:rPr>
            </w:pPr>
            <w:r w:rsidRPr="00E8679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C16B00" w:rsidRDefault="00C16B00" w:rsidP="00606245">
            <w:pPr>
              <w:jc w:val="right"/>
              <w:rPr>
                <w:b/>
                <w:sz w:val="22"/>
                <w:szCs w:val="22"/>
              </w:rPr>
            </w:pPr>
            <w:r w:rsidRPr="00C16B00">
              <w:rPr>
                <w:b/>
                <w:sz w:val="22"/>
                <w:szCs w:val="22"/>
              </w:rPr>
              <w:t xml:space="preserve">10 000 </w:t>
            </w:r>
            <w:proofErr w:type="spellStart"/>
            <w:r w:rsidRPr="00C16B00">
              <w:rPr>
                <w:b/>
                <w:sz w:val="22"/>
                <w:szCs w:val="22"/>
              </w:rPr>
              <w:t>000</w:t>
            </w:r>
            <w:proofErr w:type="spellEnd"/>
          </w:p>
        </w:tc>
      </w:tr>
      <w:tr w:rsidR="00DA6D93" w:rsidRPr="0048219A" w:rsidTr="00C16B00">
        <w:trPr>
          <w:trHeight w:val="402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DÚ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C16B00" w:rsidP="00606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1 586 623</w:t>
            </w:r>
            <w:r w:rsidR="00DA6D93" w:rsidRPr="00E86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  <w:r w:rsidRPr="00E86798">
              <w:rPr>
                <w:sz w:val="22"/>
                <w:szCs w:val="22"/>
              </w:rPr>
              <w:t>710 626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2D09EA" w:rsidP="00E83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833F5">
              <w:rPr>
                <w:sz w:val="22"/>
                <w:szCs w:val="22"/>
              </w:rPr>
              <w:t> 702 751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00D38" w:rsidRDefault="00C16B00" w:rsidP="00606245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C16B00">
              <w:rPr>
                <w:b/>
                <w:sz w:val="22"/>
                <w:szCs w:val="22"/>
              </w:rPr>
              <w:t xml:space="preserve">8 000 </w:t>
            </w:r>
            <w:proofErr w:type="spellStart"/>
            <w:r w:rsidRPr="00C16B00">
              <w:rPr>
                <w:b/>
                <w:sz w:val="22"/>
                <w:szCs w:val="22"/>
              </w:rPr>
              <w:t>000</w:t>
            </w:r>
            <w:proofErr w:type="spellEnd"/>
          </w:p>
        </w:tc>
      </w:tr>
      <w:tr w:rsidR="00DA6D93" w:rsidRPr="0048219A" w:rsidTr="00C16B00">
        <w:trPr>
          <w:trHeight w:val="40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pStyle w:val="Nzov"/>
              <w:tabs>
                <w:tab w:val="left" w:pos="360"/>
                <w:tab w:val="left" w:pos="709"/>
                <w:tab w:val="left" w:pos="3060"/>
                <w:tab w:val="right" w:pos="7380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E86798">
              <w:rPr>
                <w:b/>
                <w:bCs/>
                <w:iCs/>
                <w:sz w:val="22"/>
                <w:szCs w:val="22"/>
              </w:rPr>
              <w:t>Celkom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6E74F0" w:rsidP="00606245">
            <w:pPr>
              <w:jc w:val="right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89 401 016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2D09EA" w:rsidP="006062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5 000 </w:t>
            </w:r>
            <w:proofErr w:type="spellStart"/>
            <w:r>
              <w:rPr>
                <w:b/>
                <w:sz w:val="22"/>
                <w:szCs w:val="22"/>
              </w:rPr>
              <w:t>000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2D09EA" w:rsidP="006062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4 586 623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2D09EA" w:rsidP="006062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="00DA6D93" w:rsidRPr="00E86798">
              <w:rPr>
                <w:b/>
                <w:sz w:val="22"/>
                <w:szCs w:val="22"/>
              </w:rPr>
              <w:t xml:space="preserve">710 626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E833F5" w:rsidP="00606245">
            <w:pPr>
              <w:jc w:val="right"/>
              <w:rPr>
                <w:b/>
                <w:sz w:val="22"/>
                <w:szCs w:val="22"/>
              </w:rPr>
            </w:pPr>
            <w:r w:rsidRPr="00E833F5">
              <w:rPr>
                <w:b/>
                <w:sz w:val="22"/>
                <w:szCs w:val="22"/>
              </w:rPr>
              <w:t>5 702 751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E86798" w:rsidRDefault="00DA6D93" w:rsidP="00606245">
            <w:pPr>
              <w:jc w:val="right"/>
              <w:rPr>
                <w:sz w:val="22"/>
                <w:szCs w:val="22"/>
              </w:rPr>
            </w:pPr>
          </w:p>
        </w:tc>
      </w:tr>
    </w:tbl>
    <w:p w:rsidR="00DA6D93" w:rsidRPr="00173031" w:rsidRDefault="00DA6D93" w:rsidP="00DA6D93">
      <w:pPr>
        <w:jc w:val="both"/>
        <w:rPr>
          <w:bCs/>
        </w:rPr>
      </w:pPr>
      <w:r w:rsidRPr="00173031">
        <w:rPr>
          <w:bCs/>
        </w:rPr>
        <w:t xml:space="preserve">Pozn. </w:t>
      </w:r>
      <w:r>
        <w:rPr>
          <w:bCs/>
        </w:rPr>
        <w:t xml:space="preserve">k tab.: </w:t>
      </w:r>
      <w:r w:rsidRPr="00173031">
        <w:rPr>
          <w:bCs/>
        </w:rPr>
        <w:t>DHM - dotácia na obstaraný dlhodobý hmotný majetok,</w:t>
      </w:r>
      <w:r>
        <w:rPr>
          <w:bCs/>
        </w:rPr>
        <w:t xml:space="preserve"> DNM – dotácia na obstaraný dlhodobý nehmotný majetok,</w:t>
      </w:r>
      <w:r w:rsidRPr="00173031">
        <w:rPr>
          <w:bCs/>
        </w:rPr>
        <w:t xml:space="preserve"> DÚ – úľava na dani z príjmu 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Cs/>
          <w:iCs/>
          <w:sz w:val="24"/>
          <w:szCs w:val="24"/>
        </w:rPr>
      </w:pP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/>
          <w:bCs/>
          <w:iCs/>
          <w:sz w:val="24"/>
          <w:szCs w:val="24"/>
        </w:rPr>
      </w:pPr>
      <w:r w:rsidRPr="0048219A">
        <w:rPr>
          <w:b/>
          <w:bCs/>
          <w:iCs/>
          <w:sz w:val="24"/>
          <w:szCs w:val="24"/>
        </w:rPr>
        <w:t>Časový harmonogram:</w:t>
      </w:r>
    </w:p>
    <w:p w:rsidR="00DA6D93" w:rsidRPr="0048219A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bCs/>
          <w:iCs/>
          <w:sz w:val="24"/>
          <w:szCs w:val="24"/>
        </w:rPr>
      </w:pPr>
    </w:p>
    <w:p w:rsidR="00DA6D93" w:rsidRPr="0048219A" w:rsidRDefault="00DA6D93" w:rsidP="00DA6D93">
      <w:pPr>
        <w:pStyle w:val="Zkladntext2"/>
        <w:numPr>
          <w:ilvl w:val="0"/>
          <w:numId w:val="20"/>
        </w:numPr>
        <w:rPr>
          <w:szCs w:val="24"/>
        </w:rPr>
      </w:pPr>
      <w:r w:rsidRPr="0048219A">
        <w:rPr>
          <w:szCs w:val="24"/>
        </w:rPr>
        <w:t>Plánovaný začiatok rea</w:t>
      </w:r>
      <w:r>
        <w:rPr>
          <w:szCs w:val="24"/>
        </w:rPr>
        <w:t xml:space="preserve">lizácie investičného zámeru – </w:t>
      </w:r>
      <w:r>
        <w:rPr>
          <w:szCs w:val="24"/>
          <w:lang w:val="sk-SK"/>
        </w:rPr>
        <w:t>1. až 2. kvartál</w:t>
      </w:r>
      <w:r w:rsidRPr="0048219A">
        <w:rPr>
          <w:szCs w:val="24"/>
        </w:rPr>
        <w:t xml:space="preserve"> 2016.</w:t>
      </w:r>
    </w:p>
    <w:p w:rsidR="00DA6D93" w:rsidRPr="0048219A" w:rsidRDefault="00DA6D93" w:rsidP="00DA6D93">
      <w:pPr>
        <w:pStyle w:val="Zkladntext2"/>
        <w:numPr>
          <w:ilvl w:val="0"/>
          <w:numId w:val="20"/>
        </w:numPr>
        <w:rPr>
          <w:szCs w:val="24"/>
        </w:rPr>
      </w:pPr>
      <w:r w:rsidRPr="0048219A">
        <w:rPr>
          <w:szCs w:val="24"/>
        </w:rPr>
        <w:t>Plánovaný začiatok výroby –</w:t>
      </w:r>
      <w:r w:rsidR="00275ED7">
        <w:rPr>
          <w:szCs w:val="24"/>
          <w:lang w:val="sk-SK"/>
        </w:rPr>
        <w:t xml:space="preserve"> </w:t>
      </w:r>
      <w:r w:rsidR="00F8382F">
        <w:rPr>
          <w:szCs w:val="24"/>
          <w:lang w:val="sk-SK"/>
        </w:rPr>
        <w:t>2</w:t>
      </w:r>
      <w:r w:rsidRPr="00F8382F">
        <w:rPr>
          <w:szCs w:val="24"/>
          <w:lang w:val="sk-SK"/>
        </w:rPr>
        <w:t>. kvartál</w:t>
      </w:r>
      <w:r>
        <w:rPr>
          <w:szCs w:val="24"/>
          <w:lang w:val="sk-SK"/>
        </w:rPr>
        <w:t xml:space="preserve"> </w:t>
      </w:r>
      <w:r w:rsidRPr="0048219A">
        <w:rPr>
          <w:szCs w:val="24"/>
        </w:rPr>
        <w:t xml:space="preserve"> 201</w:t>
      </w:r>
      <w:r w:rsidR="00F8382F">
        <w:rPr>
          <w:szCs w:val="24"/>
          <w:lang w:val="sk-SK"/>
        </w:rPr>
        <w:t>7</w:t>
      </w:r>
      <w:r w:rsidRPr="0048219A">
        <w:rPr>
          <w:szCs w:val="24"/>
        </w:rPr>
        <w:t>.</w:t>
      </w:r>
    </w:p>
    <w:p w:rsidR="00DA6D93" w:rsidRPr="0048219A" w:rsidRDefault="00DA6D93" w:rsidP="00DA6D93">
      <w:pPr>
        <w:pStyle w:val="Zkladntext2"/>
        <w:numPr>
          <w:ilvl w:val="0"/>
          <w:numId w:val="20"/>
        </w:numPr>
        <w:rPr>
          <w:szCs w:val="24"/>
        </w:rPr>
      </w:pPr>
      <w:r w:rsidRPr="0048219A">
        <w:rPr>
          <w:szCs w:val="24"/>
        </w:rPr>
        <w:t>Rok dosiahnuti</w:t>
      </w:r>
      <w:r>
        <w:rPr>
          <w:szCs w:val="24"/>
        </w:rPr>
        <w:t>a plnej plánovanej kapacity –</w:t>
      </w:r>
      <w:r w:rsidR="00275ED7">
        <w:rPr>
          <w:szCs w:val="24"/>
          <w:lang w:val="sk-SK"/>
        </w:rPr>
        <w:t xml:space="preserve"> 1. </w:t>
      </w:r>
      <w:r>
        <w:rPr>
          <w:szCs w:val="24"/>
          <w:lang w:val="sk-SK"/>
        </w:rPr>
        <w:t xml:space="preserve">kvartál </w:t>
      </w:r>
      <w:r w:rsidRPr="0048219A">
        <w:rPr>
          <w:szCs w:val="24"/>
        </w:rPr>
        <w:t xml:space="preserve"> 201</w:t>
      </w:r>
      <w:r w:rsidR="00275ED7">
        <w:rPr>
          <w:szCs w:val="24"/>
          <w:lang w:val="sk-SK"/>
        </w:rPr>
        <w:t>9</w:t>
      </w:r>
      <w:r w:rsidRPr="0048219A">
        <w:rPr>
          <w:szCs w:val="24"/>
        </w:rPr>
        <w:t>.</w:t>
      </w:r>
    </w:p>
    <w:p w:rsidR="00DA6D93" w:rsidRDefault="00DA6D93" w:rsidP="00DA6D93">
      <w:pPr>
        <w:pStyle w:val="Zkladntext2"/>
        <w:rPr>
          <w:szCs w:val="24"/>
          <w:lang w:val="sk-SK"/>
        </w:rPr>
      </w:pPr>
    </w:p>
    <w:p w:rsidR="00B85FA6" w:rsidRPr="0048219A" w:rsidRDefault="00B85FA6" w:rsidP="00DA6D93">
      <w:pPr>
        <w:pStyle w:val="Zkladntext2"/>
        <w:rPr>
          <w:szCs w:val="24"/>
          <w:lang w:val="sk-SK"/>
        </w:rPr>
      </w:pPr>
    </w:p>
    <w:p w:rsidR="00DA6D93" w:rsidRPr="0048219A" w:rsidRDefault="00DA6D93" w:rsidP="00DA6D93">
      <w:pPr>
        <w:pStyle w:val="Zkladntext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Požadovaná investičná pomoc</w:t>
      </w:r>
    </w:p>
    <w:p w:rsidR="00DA6D93" w:rsidRPr="0048219A" w:rsidRDefault="00DA6D93" w:rsidP="00DA6D93">
      <w:pPr>
        <w:pStyle w:val="Zkladntext"/>
        <w:spacing w:after="0"/>
        <w:rPr>
          <w:sz w:val="24"/>
          <w:szCs w:val="24"/>
        </w:rPr>
      </w:pPr>
    </w:p>
    <w:p w:rsidR="00DA6D93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sz w:val="24"/>
          <w:szCs w:val="24"/>
        </w:rPr>
      </w:pPr>
      <w:r w:rsidRPr="009B0DF1">
        <w:rPr>
          <w:sz w:val="24"/>
          <w:szCs w:val="24"/>
        </w:rPr>
        <w:t>V súvislosti s plánovanou realizáciou investičn</w:t>
      </w:r>
      <w:r w:rsidR="00FB3D61">
        <w:rPr>
          <w:sz w:val="24"/>
          <w:szCs w:val="24"/>
        </w:rPr>
        <w:t xml:space="preserve">ého zámeru v priebehu roka 2016 </w:t>
      </w:r>
      <w:r w:rsidRPr="009B0DF1">
        <w:rPr>
          <w:sz w:val="24"/>
          <w:szCs w:val="24"/>
        </w:rPr>
        <w:t>žiadateľ požiadal o investičnú pomoc vo forme:</w:t>
      </w:r>
    </w:p>
    <w:p w:rsidR="00DA6D93" w:rsidRPr="009B0DF1" w:rsidRDefault="00DA6D93" w:rsidP="00DA6D93">
      <w:pPr>
        <w:pStyle w:val="Nzov"/>
        <w:tabs>
          <w:tab w:val="left" w:pos="360"/>
          <w:tab w:val="left" w:pos="709"/>
          <w:tab w:val="left" w:pos="3060"/>
          <w:tab w:val="right" w:pos="7380"/>
        </w:tabs>
        <w:jc w:val="both"/>
        <w:rPr>
          <w:sz w:val="24"/>
          <w:szCs w:val="24"/>
        </w:rPr>
      </w:pPr>
    </w:p>
    <w:p w:rsidR="00DA6D93" w:rsidRPr="0048219A" w:rsidRDefault="00DA6D93" w:rsidP="00DA6D93">
      <w:pPr>
        <w:pStyle w:val="Obsah3"/>
        <w:numPr>
          <w:ilvl w:val="0"/>
          <w:numId w:val="12"/>
        </w:numPr>
      </w:pPr>
      <w:r w:rsidRPr="0048219A">
        <w:t>dotácie na obstaraný dlhodobý hmotný majetok</w:t>
      </w:r>
      <w:r>
        <w:t xml:space="preserve"> a dlhodobý nehmotný majetok</w:t>
      </w:r>
      <w:r w:rsidRPr="0048219A">
        <w:t xml:space="preserve"> v nominálnej výške </w:t>
      </w:r>
      <w:r w:rsidR="00BE6E15">
        <w:t>10 000 </w:t>
      </w:r>
      <w:proofErr w:type="spellStart"/>
      <w:r w:rsidR="00BE6E15">
        <w:t>000</w:t>
      </w:r>
      <w:proofErr w:type="spellEnd"/>
      <w:r w:rsidR="00BE6E15">
        <w:t xml:space="preserve"> </w:t>
      </w:r>
      <w:r w:rsidR="003266EB">
        <w:t>e</w:t>
      </w:r>
      <w:r w:rsidRPr="0048219A">
        <w:t xml:space="preserve">ur, </w:t>
      </w:r>
    </w:p>
    <w:p w:rsidR="00DA6D93" w:rsidRPr="0048219A" w:rsidRDefault="00DA6D93" w:rsidP="00DA6D93">
      <w:pPr>
        <w:pStyle w:val="Obsah3"/>
        <w:numPr>
          <w:ilvl w:val="0"/>
          <w:numId w:val="12"/>
        </w:numPr>
      </w:pPr>
      <w:r w:rsidRPr="0048219A">
        <w:t xml:space="preserve">úľavy na dani z príjmu v nominálnej </w:t>
      </w:r>
      <w:r>
        <w:t xml:space="preserve">výške </w:t>
      </w:r>
      <w:r w:rsidR="00BE6E15">
        <w:t xml:space="preserve">8 000 </w:t>
      </w:r>
      <w:proofErr w:type="spellStart"/>
      <w:r w:rsidR="00BE6E15">
        <w:t>000</w:t>
      </w:r>
      <w:proofErr w:type="spellEnd"/>
      <w:r>
        <w:rPr>
          <w:sz w:val="22"/>
          <w:szCs w:val="22"/>
        </w:rPr>
        <w:t xml:space="preserve"> </w:t>
      </w:r>
      <w:r w:rsidR="003266EB">
        <w:t>e</w:t>
      </w:r>
      <w:r w:rsidRPr="0048219A">
        <w:t>ur.</w:t>
      </w:r>
    </w:p>
    <w:p w:rsidR="00DA6D93" w:rsidRPr="0048219A" w:rsidRDefault="00DA6D93" w:rsidP="00DA6D93">
      <w:pPr>
        <w:rPr>
          <w:sz w:val="24"/>
          <w:szCs w:val="24"/>
        </w:rPr>
      </w:pPr>
    </w:p>
    <w:p w:rsidR="00DA6D93" w:rsidRPr="0098683D" w:rsidRDefault="00DA6D93" w:rsidP="00DA6D93">
      <w:pPr>
        <w:tabs>
          <w:tab w:val="left" w:pos="360"/>
          <w:tab w:val="right" w:pos="9070"/>
        </w:tabs>
        <w:jc w:val="both"/>
        <w:rPr>
          <w:bCs/>
          <w:i/>
          <w:iCs/>
          <w:sz w:val="24"/>
          <w:szCs w:val="24"/>
        </w:rPr>
      </w:pPr>
      <w:r w:rsidRPr="0098683D">
        <w:rPr>
          <w:b/>
          <w:i/>
          <w:sz w:val="24"/>
          <w:szCs w:val="24"/>
        </w:rPr>
        <w:t xml:space="preserve">Predpokladané čerpanie investičnej pomoci                                         </w:t>
      </w:r>
      <w:r w:rsidRPr="0098683D">
        <w:rPr>
          <w:i/>
          <w:sz w:val="24"/>
          <w:szCs w:val="24"/>
        </w:rPr>
        <w:t>v </w:t>
      </w:r>
      <w:r w:rsidR="008552B1">
        <w:rPr>
          <w:bCs/>
          <w:i/>
          <w:iCs/>
          <w:sz w:val="24"/>
          <w:szCs w:val="24"/>
        </w:rPr>
        <w:t>e</w:t>
      </w:r>
      <w:r w:rsidRPr="0098683D">
        <w:rPr>
          <w:bCs/>
          <w:i/>
          <w:iCs/>
          <w:sz w:val="24"/>
          <w:szCs w:val="24"/>
        </w:rPr>
        <w:t>urách</w:t>
      </w:r>
    </w:p>
    <w:tbl>
      <w:tblPr>
        <w:tblW w:w="973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1"/>
        <w:gridCol w:w="1267"/>
        <w:gridCol w:w="1254"/>
        <w:gridCol w:w="1176"/>
        <w:gridCol w:w="1450"/>
      </w:tblGrid>
      <w:tr w:rsidR="00275ED7" w:rsidRPr="0048219A" w:rsidTr="0025455C">
        <w:trPr>
          <w:trHeight w:val="405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5ED7" w:rsidRPr="0048219A" w:rsidRDefault="00275ED7" w:rsidP="00606245">
            <w:pPr>
              <w:rPr>
                <w:b/>
                <w:sz w:val="24"/>
                <w:szCs w:val="24"/>
              </w:rPr>
            </w:pPr>
            <w:r w:rsidRPr="0048219A">
              <w:rPr>
                <w:b/>
                <w:sz w:val="24"/>
                <w:szCs w:val="24"/>
              </w:rPr>
              <w:t xml:space="preserve">Rok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5ED7" w:rsidRPr="0048219A" w:rsidRDefault="00275ED7" w:rsidP="0025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5ED7" w:rsidRPr="0048219A" w:rsidRDefault="00275ED7" w:rsidP="0025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5ED7" w:rsidRPr="0048219A" w:rsidRDefault="00275ED7" w:rsidP="00606245">
            <w:pPr>
              <w:jc w:val="center"/>
              <w:rPr>
                <w:b/>
                <w:sz w:val="24"/>
                <w:szCs w:val="24"/>
              </w:rPr>
            </w:pPr>
            <w:r w:rsidRPr="0048219A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5ED7" w:rsidRPr="0048219A" w:rsidRDefault="00275ED7" w:rsidP="0060624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 w:rsidRPr="0048219A">
              <w:rPr>
                <w:b/>
                <w:sz w:val="24"/>
                <w:szCs w:val="24"/>
              </w:rPr>
              <w:t>Spolu</w:t>
            </w:r>
          </w:p>
        </w:tc>
      </w:tr>
      <w:tr w:rsidR="00275ED7" w:rsidRPr="0048219A" w:rsidTr="00BE6E15">
        <w:trPr>
          <w:trHeight w:val="405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D7" w:rsidRPr="0048219A" w:rsidRDefault="00275ED7" w:rsidP="00606245">
            <w:pPr>
              <w:rPr>
                <w:sz w:val="24"/>
                <w:szCs w:val="24"/>
              </w:rPr>
            </w:pPr>
            <w:r w:rsidRPr="0048219A">
              <w:rPr>
                <w:sz w:val="24"/>
                <w:szCs w:val="24"/>
              </w:rPr>
              <w:t xml:space="preserve">Dotácia na obstaraný dlhodobý hmotný majetok </w:t>
            </w:r>
            <w:r>
              <w:rPr>
                <w:sz w:val="24"/>
                <w:szCs w:val="24"/>
              </w:rPr>
              <w:t>a dlhodobý nehmotný majetok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D7" w:rsidRDefault="00E55192" w:rsidP="00E8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D7" w:rsidRDefault="00E55192" w:rsidP="00E8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D7" w:rsidRPr="00066A1B" w:rsidRDefault="00E55192" w:rsidP="00E8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D7" w:rsidRPr="00066A1B" w:rsidRDefault="00BE6E15" w:rsidP="00BE6E15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10 000 </w:t>
            </w:r>
            <w:proofErr w:type="spellStart"/>
            <w:r w:rsidR="00E55192">
              <w:rPr>
                <w:b/>
                <w:sz w:val="24"/>
                <w:szCs w:val="24"/>
              </w:rPr>
              <w:t>000</w:t>
            </w:r>
            <w:proofErr w:type="spellEnd"/>
          </w:p>
        </w:tc>
      </w:tr>
    </w:tbl>
    <w:p w:rsidR="00DA6D93" w:rsidRPr="0048219A" w:rsidRDefault="00DA6D93" w:rsidP="00DA6D93">
      <w:pPr>
        <w:tabs>
          <w:tab w:val="left" w:pos="360"/>
          <w:tab w:val="right" w:pos="9070"/>
        </w:tabs>
        <w:jc w:val="both"/>
        <w:rPr>
          <w:bCs/>
          <w:iCs/>
          <w:sz w:val="24"/>
          <w:szCs w:val="24"/>
        </w:rPr>
      </w:pPr>
    </w:p>
    <w:tbl>
      <w:tblPr>
        <w:tblW w:w="4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2856"/>
      </w:tblGrid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D93" w:rsidRPr="0048219A" w:rsidRDefault="00DA6D93" w:rsidP="006062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6D93" w:rsidRPr="0048219A" w:rsidRDefault="00DA6D93" w:rsidP="00606245">
            <w:pPr>
              <w:jc w:val="right"/>
              <w:rPr>
                <w:b/>
                <w:sz w:val="24"/>
                <w:szCs w:val="24"/>
              </w:rPr>
            </w:pPr>
            <w:r w:rsidRPr="0048219A">
              <w:rPr>
                <w:sz w:val="24"/>
                <w:szCs w:val="24"/>
              </w:rPr>
              <w:t>Úľava na dani z príjmu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sz w:val="24"/>
                <w:szCs w:val="24"/>
              </w:rPr>
            </w:pPr>
            <w:r w:rsidRPr="00485084">
              <w:rPr>
                <w:sz w:val="24"/>
                <w:szCs w:val="24"/>
              </w:rPr>
              <w:t>2018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E8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1 586 </w:t>
            </w:r>
            <w:r w:rsidR="00E833F5">
              <w:rPr>
                <w:sz w:val="24"/>
                <w:szCs w:val="24"/>
              </w:rPr>
              <w:t>623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sz w:val="24"/>
                <w:szCs w:val="24"/>
              </w:rPr>
            </w:pPr>
            <w:r w:rsidRPr="00485084">
              <w:rPr>
                <w:sz w:val="24"/>
                <w:szCs w:val="24"/>
              </w:rPr>
              <w:t>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710 626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sz w:val="24"/>
                <w:szCs w:val="24"/>
              </w:rPr>
            </w:pPr>
            <w:r w:rsidRPr="00485084">
              <w:rPr>
                <w:sz w:val="24"/>
                <w:szCs w:val="24"/>
              </w:rPr>
              <w:t>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1 579 699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sz w:val="24"/>
                <w:szCs w:val="24"/>
              </w:rPr>
            </w:pPr>
            <w:r w:rsidRPr="00485084">
              <w:rPr>
                <w:sz w:val="24"/>
                <w:szCs w:val="24"/>
              </w:rPr>
              <w:t>2021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DA6D93" w:rsidP="00606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2 352 083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sz w:val="24"/>
                <w:szCs w:val="24"/>
              </w:rPr>
            </w:pPr>
            <w:r w:rsidRPr="00485084">
              <w:rPr>
                <w:sz w:val="24"/>
                <w:szCs w:val="24"/>
              </w:rPr>
              <w:t>2022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219A" w:rsidRDefault="00E55192" w:rsidP="00E8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33F5">
              <w:rPr>
                <w:sz w:val="24"/>
                <w:szCs w:val="24"/>
              </w:rPr>
              <w:t> 770 969</w:t>
            </w:r>
          </w:p>
        </w:tc>
      </w:tr>
      <w:tr w:rsidR="00DA6D93" w:rsidRPr="0048219A" w:rsidTr="00606245">
        <w:trPr>
          <w:trHeight w:val="40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485084" w:rsidRDefault="00DA6D93" w:rsidP="00606245">
            <w:pPr>
              <w:rPr>
                <w:b/>
                <w:sz w:val="24"/>
                <w:szCs w:val="24"/>
              </w:rPr>
            </w:pPr>
            <w:r w:rsidRPr="00485084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3" w:rsidRPr="00066A1B" w:rsidRDefault="00E55192" w:rsidP="0060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8 000 </w:t>
            </w:r>
            <w:proofErr w:type="spellStart"/>
            <w:r>
              <w:rPr>
                <w:b/>
                <w:sz w:val="24"/>
                <w:szCs w:val="24"/>
              </w:rPr>
              <w:t>000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A6D93" w:rsidRPr="0048219A" w:rsidRDefault="00DA6D93" w:rsidP="00DA6D93">
      <w:pPr>
        <w:jc w:val="both"/>
        <w:rPr>
          <w:b/>
          <w:sz w:val="24"/>
          <w:szCs w:val="24"/>
        </w:rPr>
      </w:pPr>
    </w:p>
    <w:p w:rsidR="009404AC" w:rsidRDefault="00DA6D93" w:rsidP="00DA6D93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Požadovaná investičná pomoc na 1 novovytvorené pracovné miesto je </w:t>
      </w:r>
      <w:r w:rsidR="00E55192">
        <w:rPr>
          <w:iCs/>
          <w:sz w:val="24"/>
          <w:szCs w:val="24"/>
        </w:rPr>
        <w:t>14 540</w:t>
      </w:r>
      <w:r w:rsidR="003266EB">
        <w:rPr>
          <w:iCs/>
          <w:sz w:val="24"/>
          <w:szCs w:val="24"/>
        </w:rPr>
        <w:t xml:space="preserve"> e</w:t>
      </w:r>
      <w:r>
        <w:rPr>
          <w:iCs/>
          <w:sz w:val="24"/>
          <w:szCs w:val="24"/>
        </w:rPr>
        <w:t xml:space="preserve">ur. Plánovaná priemerná výška mzdy pre zamestnanca pred zdanením vrátane odvodov zamestnávateľa je </w:t>
      </w:r>
      <w:r w:rsidR="009404AC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>1</w:t>
      </w:r>
      <w:r w:rsidR="009404AC">
        <w:rPr>
          <w:iCs/>
          <w:sz w:val="24"/>
          <w:szCs w:val="24"/>
        </w:rPr>
        <w:t xml:space="preserve"> </w:t>
      </w:r>
      <w:r w:rsidR="003266EB">
        <w:rPr>
          <w:iCs/>
          <w:sz w:val="24"/>
          <w:szCs w:val="24"/>
        </w:rPr>
        <w:t>443 e</w:t>
      </w:r>
      <w:r>
        <w:rPr>
          <w:iCs/>
          <w:sz w:val="24"/>
          <w:szCs w:val="24"/>
        </w:rPr>
        <w:t xml:space="preserve">ur. </w:t>
      </w:r>
    </w:p>
    <w:p w:rsidR="00DA6D93" w:rsidRPr="0048219A" w:rsidRDefault="00DA6D93" w:rsidP="00DA6D9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lastRenderedPageBreak/>
        <w:t>Hodnotenie</w:t>
      </w:r>
    </w:p>
    <w:p w:rsidR="00DA6D93" w:rsidRPr="0048219A" w:rsidRDefault="00DA6D93" w:rsidP="00DA6D93">
      <w:pPr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 </w:t>
      </w:r>
    </w:p>
    <w:p w:rsidR="00DA6D93" w:rsidRPr="0048219A" w:rsidRDefault="00DA6D93" w:rsidP="00DA6D93">
      <w:pPr>
        <w:jc w:val="both"/>
        <w:rPr>
          <w:sz w:val="24"/>
          <w:szCs w:val="24"/>
        </w:rPr>
      </w:pPr>
      <w:r w:rsidRPr="0048219A">
        <w:rPr>
          <w:sz w:val="24"/>
          <w:szCs w:val="24"/>
        </w:rPr>
        <w:t>Pri posudzovaní investičného zámeru vychádzalo ministerstvo z nasledujúcich podkladov:</w:t>
      </w:r>
    </w:p>
    <w:p w:rsidR="00DA6D93" w:rsidRPr="0048219A" w:rsidRDefault="00DA6D93" w:rsidP="00DA6D93">
      <w:pPr>
        <w:jc w:val="both"/>
        <w:rPr>
          <w:sz w:val="24"/>
          <w:szCs w:val="24"/>
        </w:rPr>
      </w:pPr>
    </w:p>
    <w:p w:rsidR="00DA6D93" w:rsidRPr="0048219A" w:rsidRDefault="00DA6D93" w:rsidP="00DA6D93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z investičného zámeru, ktorý žiadateľ</w:t>
      </w:r>
      <w:r w:rsidRPr="0048219A">
        <w:rPr>
          <w:bCs/>
          <w:sz w:val="24"/>
          <w:szCs w:val="24"/>
        </w:rPr>
        <w:t xml:space="preserve"> </w:t>
      </w:r>
      <w:r w:rsidRPr="0048219A">
        <w:rPr>
          <w:sz w:val="24"/>
          <w:szCs w:val="24"/>
        </w:rPr>
        <w:t xml:space="preserve">podal </w:t>
      </w:r>
      <w:r>
        <w:rPr>
          <w:sz w:val="24"/>
          <w:szCs w:val="24"/>
        </w:rPr>
        <w:t>26. novembra</w:t>
      </w:r>
      <w:r w:rsidRPr="0048219A">
        <w:rPr>
          <w:sz w:val="24"/>
          <w:szCs w:val="24"/>
        </w:rPr>
        <w:t xml:space="preserve"> 2015</w:t>
      </w:r>
      <w:r>
        <w:rPr>
          <w:sz w:val="24"/>
          <w:szCs w:val="24"/>
        </w:rPr>
        <w:t>, a</w:t>
      </w:r>
      <w:r w:rsidR="009404AC">
        <w:rPr>
          <w:sz w:val="24"/>
          <w:szCs w:val="24"/>
        </w:rPr>
        <w:t xml:space="preserve"> </w:t>
      </w:r>
      <w:r>
        <w:rPr>
          <w:sz w:val="24"/>
          <w:szCs w:val="24"/>
        </w:rPr>
        <w:t>ktorý bol aktualizovaný a</w:t>
      </w:r>
      <w:r w:rsidR="00940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doplnený dňa 13. januára 2016, </w:t>
      </w:r>
      <w:r w:rsidRPr="0048219A">
        <w:rPr>
          <w:sz w:val="24"/>
          <w:szCs w:val="24"/>
        </w:rPr>
        <w:t xml:space="preserve"> </w:t>
      </w:r>
    </w:p>
    <w:p w:rsidR="00DA6D93" w:rsidRPr="008C13D9" w:rsidRDefault="00DA6D93" w:rsidP="00DA6D93">
      <w:pPr>
        <w:numPr>
          <w:ilvl w:val="0"/>
          <w:numId w:val="4"/>
        </w:numPr>
        <w:tabs>
          <w:tab w:val="clear" w:pos="1281"/>
          <w:tab w:val="left" w:pos="360"/>
        </w:tabs>
        <w:ind w:left="360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z odborného posudku k investičnému zámeru, ktorý vypracovala </w:t>
      </w:r>
      <w:r>
        <w:rPr>
          <w:sz w:val="24"/>
          <w:szCs w:val="24"/>
        </w:rPr>
        <w:t xml:space="preserve">Slovenská inovačná </w:t>
      </w:r>
      <w:r w:rsidRPr="008C13D9">
        <w:rPr>
          <w:sz w:val="24"/>
          <w:szCs w:val="24"/>
        </w:rPr>
        <w:t xml:space="preserve">a energetická agentúra </w:t>
      </w:r>
      <w:r>
        <w:rPr>
          <w:sz w:val="24"/>
          <w:szCs w:val="24"/>
        </w:rPr>
        <w:t xml:space="preserve">dňa </w:t>
      </w:r>
      <w:r w:rsidRPr="00851828">
        <w:rPr>
          <w:sz w:val="24"/>
          <w:szCs w:val="24"/>
        </w:rPr>
        <w:t>19. januára 2016</w:t>
      </w:r>
      <w:r w:rsidRPr="008C13D9">
        <w:rPr>
          <w:sz w:val="24"/>
          <w:szCs w:val="24"/>
        </w:rPr>
        <w:t>.</w:t>
      </w:r>
      <w:r w:rsidRPr="008C13D9">
        <w:rPr>
          <w:bCs/>
          <w:sz w:val="24"/>
          <w:szCs w:val="24"/>
        </w:rPr>
        <w:t xml:space="preserve"> </w:t>
      </w:r>
    </w:p>
    <w:p w:rsidR="00DA6D93" w:rsidRDefault="00DA6D93" w:rsidP="00DA6D93">
      <w:pPr>
        <w:jc w:val="both"/>
        <w:rPr>
          <w:sz w:val="24"/>
          <w:szCs w:val="24"/>
        </w:rPr>
      </w:pPr>
    </w:p>
    <w:p w:rsidR="00DA6D93" w:rsidRPr="0048219A" w:rsidRDefault="00DA6D93" w:rsidP="00DA6D93">
      <w:pPr>
        <w:jc w:val="both"/>
        <w:rPr>
          <w:sz w:val="24"/>
          <w:szCs w:val="24"/>
        </w:rPr>
      </w:pPr>
      <w:r w:rsidRPr="0048219A">
        <w:rPr>
          <w:sz w:val="24"/>
          <w:szCs w:val="24"/>
        </w:rPr>
        <w:t>Vzhľadom na to, že:</w:t>
      </w:r>
    </w:p>
    <w:p w:rsidR="00DA6D93" w:rsidRPr="0048219A" w:rsidRDefault="00DA6D93" w:rsidP="00DA6D93">
      <w:pPr>
        <w:numPr>
          <w:ilvl w:val="0"/>
          <w:numId w:val="5"/>
        </w:numPr>
        <w:tabs>
          <w:tab w:val="num" w:pos="374"/>
        </w:tabs>
        <w:ind w:left="374" w:hanging="374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v prípade poskytnutia investičnej pomoci ide o výhodu poskytovanú prijímateľovi z verejných zdrojov,</w:t>
      </w:r>
    </w:p>
    <w:p w:rsidR="00DA6D93" w:rsidRPr="0048219A" w:rsidRDefault="00DA6D93" w:rsidP="00DA6D93">
      <w:pPr>
        <w:numPr>
          <w:ilvl w:val="0"/>
          <w:numId w:val="5"/>
        </w:numPr>
        <w:tabs>
          <w:tab w:val="num" w:pos="374"/>
        </w:tabs>
        <w:ind w:left="374" w:hanging="374"/>
        <w:jc w:val="both"/>
        <w:rPr>
          <w:sz w:val="24"/>
          <w:szCs w:val="24"/>
        </w:rPr>
      </w:pPr>
      <w:r w:rsidRPr="0048219A">
        <w:rPr>
          <w:sz w:val="24"/>
          <w:szCs w:val="24"/>
        </w:rPr>
        <w:t>táto výhoda zvýhodňuje podnikanie, pretože investičná pomoc umožní prijímateľovi znížiť náklady na realizáciu investičného zámeru, ktoré by musel vynaložiť, čím je mu poskytnutá výhoda na úkor iných konkurujúcich spoločností,</w:t>
      </w:r>
    </w:p>
    <w:p w:rsidR="00DA6D93" w:rsidRPr="0048219A" w:rsidRDefault="00DA6D93" w:rsidP="00DA6D93">
      <w:pPr>
        <w:numPr>
          <w:ilvl w:val="0"/>
          <w:numId w:val="5"/>
        </w:numPr>
        <w:tabs>
          <w:tab w:val="num" w:pos="374"/>
        </w:tabs>
        <w:ind w:left="374" w:hanging="374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hrozí narušenie hospodárskej súťaže, pretože z predložených podkladov vyplýva, </w:t>
      </w:r>
      <w:r w:rsidRPr="0048219A">
        <w:rPr>
          <w:sz w:val="24"/>
          <w:szCs w:val="24"/>
        </w:rPr>
        <w:br/>
        <w:t xml:space="preserve">že prijímateľovi investičná pomoc umožní </w:t>
      </w:r>
      <w:r w:rsidRPr="00801DF7">
        <w:rPr>
          <w:sz w:val="24"/>
          <w:szCs w:val="24"/>
        </w:rPr>
        <w:t>založiť nový výrobný podnik, v dôsledku čoho je očakávaný nárast trhového podielu</w:t>
      </w:r>
      <w:r w:rsidRPr="004821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žiadateľa na vnútornom trhu </w:t>
      </w:r>
      <w:r w:rsidRPr="0048219A">
        <w:rPr>
          <w:sz w:val="24"/>
          <w:szCs w:val="24"/>
        </w:rPr>
        <w:t xml:space="preserve">Európskej únie, </w:t>
      </w:r>
    </w:p>
    <w:p w:rsidR="00DA6D93" w:rsidRDefault="00DA6D93" w:rsidP="00DA6D93">
      <w:pPr>
        <w:numPr>
          <w:ilvl w:val="0"/>
          <w:numId w:val="5"/>
        </w:numPr>
        <w:tabs>
          <w:tab w:val="num" w:pos="374"/>
        </w:tabs>
        <w:ind w:left="374" w:hanging="374"/>
        <w:jc w:val="both"/>
        <w:rPr>
          <w:sz w:val="24"/>
          <w:szCs w:val="24"/>
        </w:rPr>
      </w:pPr>
      <w:r w:rsidRPr="0048219A">
        <w:rPr>
          <w:sz w:val="24"/>
          <w:szCs w:val="24"/>
        </w:rPr>
        <w:t xml:space="preserve">poskytnutím výhody môže byť dotknutý obchod medzi Slovenskou republikou </w:t>
      </w:r>
      <w:r w:rsidRPr="0048219A">
        <w:rPr>
          <w:sz w:val="24"/>
          <w:szCs w:val="24"/>
        </w:rPr>
        <w:br/>
        <w:t xml:space="preserve">a členskými štátmi Európskej únie, a to tým, že realizáciou investície sa zvýši výrobná kapacita, pričom produkcia prijímateľa bude vyvážaná do štátov Európskej únie, </w:t>
      </w:r>
    </w:p>
    <w:p w:rsidR="00DA6D93" w:rsidRPr="00AA1583" w:rsidRDefault="00DA6D93" w:rsidP="00DA6D93">
      <w:pPr>
        <w:ind w:left="374"/>
        <w:jc w:val="both"/>
        <w:rPr>
          <w:sz w:val="24"/>
          <w:szCs w:val="24"/>
        </w:rPr>
      </w:pPr>
    </w:p>
    <w:p w:rsidR="00DA6D93" w:rsidRPr="00E4493C" w:rsidRDefault="00DA6D93" w:rsidP="00DA6D93">
      <w:pPr>
        <w:spacing w:before="120"/>
        <w:jc w:val="both"/>
        <w:rPr>
          <w:spacing w:val="-1"/>
          <w:sz w:val="24"/>
          <w:szCs w:val="24"/>
        </w:rPr>
      </w:pPr>
      <w:r w:rsidRPr="0048219A">
        <w:rPr>
          <w:sz w:val="24"/>
          <w:szCs w:val="24"/>
        </w:rPr>
        <w:t xml:space="preserve">ide o štátnu pomoc spĺňajúcu definičné znaky pomoci </w:t>
      </w:r>
      <w:r w:rsidRPr="0048219A">
        <w:rPr>
          <w:spacing w:val="-1"/>
          <w:sz w:val="24"/>
          <w:szCs w:val="24"/>
        </w:rPr>
        <w:t xml:space="preserve">v zmysle článku 107 ods. 1 Zmluvy </w:t>
      </w:r>
      <w:r w:rsidRPr="0048219A">
        <w:rPr>
          <w:spacing w:val="-1"/>
          <w:sz w:val="24"/>
          <w:szCs w:val="24"/>
        </w:rPr>
        <w:br/>
        <w:t xml:space="preserve">o </w:t>
      </w:r>
      <w:r w:rsidRPr="0048219A">
        <w:rPr>
          <w:sz w:val="24"/>
          <w:szCs w:val="24"/>
        </w:rPr>
        <w:t>fungovaní Európskej únie</w:t>
      </w:r>
      <w:r w:rsidRPr="0048219A">
        <w:rPr>
          <w:spacing w:val="-1"/>
          <w:sz w:val="24"/>
          <w:szCs w:val="24"/>
        </w:rPr>
        <w:t>.</w:t>
      </w:r>
    </w:p>
    <w:p w:rsidR="00DA6D93" w:rsidRPr="0048219A" w:rsidRDefault="00DA6D93" w:rsidP="00DA6D93">
      <w:pPr>
        <w:spacing w:before="120"/>
        <w:jc w:val="both"/>
        <w:rPr>
          <w:sz w:val="24"/>
          <w:szCs w:val="24"/>
        </w:rPr>
      </w:pPr>
      <w:r w:rsidRPr="0048219A">
        <w:rPr>
          <w:spacing w:val="3"/>
          <w:sz w:val="24"/>
          <w:szCs w:val="24"/>
        </w:rPr>
        <w:t xml:space="preserve">V článku </w:t>
      </w:r>
      <w:r w:rsidRPr="0048219A">
        <w:rPr>
          <w:sz w:val="24"/>
          <w:szCs w:val="24"/>
        </w:rPr>
        <w:t>107 ods. 1 Zmluvy o fungovaní Európskej únie</w:t>
      </w:r>
      <w:r w:rsidRPr="0048219A">
        <w:rPr>
          <w:spacing w:val="3"/>
          <w:sz w:val="24"/>
          <w:szCs w:val="24"/>
        </w:rPr>
        <w:t xml:space="preserve"> sa stanovuje všeobecná zásada zákazu štátnej </w:t>
      </w:r>
      <w:r>
        <w:rPr>
          <w:sz w:val="24"/>
          <w:szCs w:val="24"/>
        </w:rPr>
        <w:t>pomoci v rámci Európskej únie.</w:t>
      </w:r>
    </w:p>
    <w:p w:rsidR="00DA6D93" w:rsidRPr="00F02F5F" w:rsidRDefault="00DA6D93" w:rsidP="00DA6D93">
      <w:pPr>
        <w:spacing w:before="120"/>
        <w:jc w:val="both"/>
        <w:rPr>
          <w:spacing w:val="2"/>
          <w:sz w:val="24"/>
          <w:szCs w:val="24"/>
        </w:rPr>
      </w:pPr>
      <w:r w:rsidRPr="0048219A">
        <w:rPr>
          <w:spacing w:val="-1"/>
          <w:sz w:val="24"/>
          <w:szCs w:val="24"/>
        </w:rPr>
        <w:t>Výnimky,</w:t>
      </w:r>
      <w:r w:rsidRPr="0048219A">
        <w:rPr>
          <w:spacing w:val="2"/>
          <w:sz w:val="24"/>
          <w:szCs w:val="24"/>
        </w:rPr>
        <w:t xml:space="preserve"> na základe ktorých možno štátnu pomoc považovať za zlučiteľnú s vnútorným</w:t>
      </w:r>
      <w:r w:rsidRPr="0048219A">
        <w:rPr>
          <w:spacing w:val="4"/>
          <w:sz w:val="24"/>
          <w:szCs w:val="24"/>
        </w:rPr>
        <w:t xml:space="preserve"> trhom, </w:t>
      </w:r>
      <w:r w:rsidRPr="0048219A">
        <w:rPr>
          <w:spacing w:val="-1"/>
          <w:sz w:val="24"/>
          <w:szCs w:val="24"/>
        </w:rPr>
        <w:t xml:space="preserve">sa ustanovujú v článku </w:t>
      </w:r>
      <w:r w:rsidRPr="0048219A">
        <w:rPr>
          <w:sz w:val="24"/>
          <w:szCs w:val="24"/>
        </w:rPr>
        <w:t>107</w:t>
      </w:r>
      <w:r w:rsidRPr="0048219A">
        <w:rPr>
          <w:spacing w:val="-1"/>
          <w:sz w:val="24"/>
          <w:szCs w:val="24"/>
        </w:rPr>
        <w:t xml:space="preserve"> ods. </w:t>
      </w:r>
      <w:r w:rsidRPr="0048219A">
        <w:rPr>
          <w:spacing w:val="2"/>
          <w:sz w:val="24"/>
          <w:szCs w:val="24"/>
        </w:rPr>
        <w:t xml:space="preserve">2 a 3 </w:t>
      </w:r>
      <w:r w:rsidRPr="0048219A">
        <w:rPr>
          <w:sz w:val="24"/>
          <w:szCs w:val="24"/>
        </w:rPr>
        <w:t>Zmluvy o fungovaní Európskej únie</w:t>
      </w:r>
      <w:r w:rsidRPr="0048219A">
        <w:rPr>
          <w:spacing w:val="4"/>
          <w:sz w:val="24"/>
          <w:szCs w:val="24"/>
        </w:rPr>
        <w:t xml:space="preserve">. </w:t>
      </w:r>
    </w:p>
    <w:p w:rsidR="00DA6D93" w:rsidRPr="00F02F5F" w:rsidRDefault="00DA6D93" w:rsidP="00DA6D93">
      <w:pPr>
        <w:spacing w:before="120"/>
        <w:jc w:val="both"/>
        <w:rPr>
          <w:sz w:val="24"/>
          <w:szCs w:val="24"/>
        </w:rPr>
      </w:pPr>
      <w:r w:rsidRPr="0048219A">
        <w:rPr>
          <w:spacing w:val="2"/>
          <w:sz w:val="24"/>
          <w:szCs w:val="24"/>
        </w:rPr>
        <w:t xml:space="preserve">V súlade s článkom 107 ods. 3 písm. a) </w:t>
      </w:r>
      <w:r w:rsidRPr="0048219A">
        <w:rPr>
          <w:sz w:val="24"/>
          <w:szCs w:val="24"/>
        </w:rPr>
        <w:t>Zmluvy o fungovaní Európskej únie</w:t>
      </w:r>
      <w:r w:rsidRPr="0048219A">
        <w:rPr>
          <w:spacing w:val="2"/>
          <w:sz w:val="24"/>
          <w:szCs w:val="24"/>
        </w:rPr>
        <w:t xml:space="preserve"> možno pomoc považovať za zlučiteľnú s vnútorným</w:t>
      </w:r>
      <w:r w:rsidRPr="0048219A">
        <w:rPr>
          <w:spacing w:val="4"/>
          <w:sz w:val="24"/>
          <w:szCs w:val="24"/>
        </w:rPr>
        <w:t xml:space="preserve"> </w:t>
      </w:r>
      <w:r w:rsidRPr="0048219A">
        <w:rPr>
          <w:spacing w:val="2"/>
          <w:sz w:val="24"/>
          <w:szCs w:val="24"/>
        </w:rPr>
        <w:t xml:space="preserve">trhom, ak podporuje hospodársky rozvoj oblastí, </w:t>
      </w:r>
      <w:r w:rsidRPr="0048219A">
        <w:rPr>
          <w:spacing w:val="2"/>
          <w:sz w:val="24"/>
          <w:szCs w:val="24"/>
        </w:rPr>
        <w:br/>
        <w:t xml:space="preserve">v ktorých je životná úroveň mimoriadne </w:t>
      </w:r>
      <w:r w:rsidRPr="0048219A">
        <w:rPr>
          <w:sz w:val="24"/>
          <w:szCs w:val="24"/>
        </w:rPr>
        <w:t>nízka, alebo v ktorých existuje mi</w:t>
      </w:r>
      <w:r>
        <w:rPr>
          <w:sz w:val="24"/>
          <w:szCs w:val="24"/>
        </w:rPr>
        <w:t>moriadne vysoká nezamestnanosť.</w:t>
      </w:r>
    </w:p>
    <w:p w:rsidR="00DA6D93" w:rsidRPr="00F02F5F" w:rsidRDefault="00DA6D93" w:rsidP="00DA6D93">
      <w:pPr>
        <w:spacing w:before="120"/>
        <w:jc w:val="both"/>
        <w:rPr>
          <w:spacing w:val="2"/>
          <w:sz w:val="24"/>
          <w:szCs w:val="24"/>
        </w:rPr>
      </w:pPr>
      <w:r w:rsidRPr="0048219A">
        <w:rPr>
          <w:spacing w:val="2"/>
          <w:sz w:val="24"/>
          <w:szCs w:val="24"/>
        </w:rPr>
        <w:t>V súlade s článkom 107 ods. 3 písm. c) Zmluvy o fungovaní Európskej únie možno pomoc považovať za zlučiteľnú s vnútorným trhom, ak podporuje rozvoj určitých hospodárskych aktivít alebo oblastí, za predpokladu, že táto pomoc nepriaznivo neovplyvní podmienky obchodu tak, že by to bolo v </w:t>
      </w:r>
      <w:r>
        <w:rPr>
          <w:spacing w:val="2"/>
          <w:sz w:val="24"/>
          <w:szCs w:val="24"/>
        </w:rPr>
        <w:t xml:space="preserve">rozpore so spoločným záujmom.  </w:t>
      </w:r>
    </w:p>
    <w:p w:rsidR="00DA6D93" w:rsidRPr="003901F3" w:rsidRDefault="00DA6D93" w:rsidP="00DA6D93">
      <w:pPr>
        <w:pStyle w:val="Text-M"/>
        <w:spacing w:after="0"/>
        <w:rPr>
          <w:spacing w:val="2"/>
        </w:rPr>
      </w:pPr>
      <w:r>
        <w:rPr>
          <w:spacing w:val="2"/>
        </w:rPr>
        <w:t>V</w:t>
      </w:r>
      <w:r w:rsidRPr="003901F3">
        <w:rPr>
          <w:spacing w:val="2"/>
        </w:rPr>
        <w:t>zhľadom na to, že cieľom investičnej pomoci je</w:t>
      </w:r>
      <w:r>
        <w:rPr>
          <w:spacing w:val="2"/>
        </w:rPr>
        <w:t xml:space="preserve"> podpora </w:t>
      </w:r>
      <w:r>
        <w:t xml:space="preserve">počiatočnej investície žiadateľa zameranej na vybudovanie nového podniku chránenej tlače na výrobu a vyhotovenie </w:t>
      </w:r>
      <w:r w:rsidRPr="00011760">
        <w:rPr>
          <w:rStyle w:val="hps"/>
        </w:rPr>
        <w:t>biometrických identifikačných dokladov</w:t>
      </w:r>
      <w:r>
        <w:rPr>
          <w:rStyle w:val="hps"/>
        </w:rPr>
        <w:t xml:space="preserve"> na papierovom alebo plastovom základe,</w:t>
      </w:r>
      <w:r w:rsidRPr="00011760">
        <w:rPr>
          <w:rStyle w:val="hps"/>
        </w:rPr>
        <w:t xml:space="preserve"> kariet platobných systémov</w:t>
      </w:r>
      <w:r>
        <w:rPr>
          <w:rStyle w:val="hps"/>
        </w:rPr>
        <w:t>, kontrolných značiek, holografických ochranných prvkov a</w:t>
      </w:r>
      <w:r w:rsidR="009404AC">
        <w:rPr>
          <w:rStyle w:val="hps"/>
        </w:rPr>
        <w:t xml:space="preserve"> </w:t>
      </w:r>
      <w:r>
        <w:rPr>
          <w:rStyle w:val="hps"/>
        </w:rPr>
        <w:t>i.</w:t>
      </w:r>
      <w:r w:rsidR="009404AC">
        <w:rPr>
          <w:rStyle w:val="hps"/>
        </w:rPr>
        <w:t xml:space="preserve"> </w:t>
      </w:r>
      <w:r>
        <w:rPr>
          <w:spacing w:val="2"/>
        </w:rPr>
        <w:t>v</w:t>
      </w:r>
      <w:r w:rsidR="009404AC">
        <w:rPr>
          <w:spacing w:val="2"/>
        </w:rPr>
        <w:t xml:space="preserve"> </w:t>
      </w:r>
      <w:r>
        <w:rPr>
          <w:spacing w:val="2"/>
        </w:rPr>
        <w:t>lokalite mesta Banská Bystrica</w:t>
      </w:r>
      <w:r w:rsidRPr="004304DC">
        <w:t>,</w:t>
      </w:r>
      <w:r w:rsidRPr="003901F3">
        <w:rPr>
          <w:spacing w:val="2"/>
        </w:rPr>
        <w:t xml:space="preserve"> požadovaná pomoc spadá pod výnimku podľa článku 107 ods. </w:t>
      </w:r>
      <w:r w:rsidR="009404AC">
        <w:rPr>
          <w:spacing w:val="2"/>
        </w:rPr>
        <w:br/>
      </w:r>
      <w:r w:rsidRPr="003901F3">
        <w:rPr>
          <w:spacing w:val="2"/>
        </w:rPr>
        <w:t xml:space="preserve">3 písm. a) Zmluvy </w:t>
      </w:r>
      <w:r>
        <w:rPr>
          <w:spacing w:val="2"/>
        </w:rPr>
        <w:t xml:space="preserve">o </w:t>
      </w:r>
      <w:r w:rsidRPr="003901F3">
        <w:rPr>
          <w:spacing w:val="2"/>
        </w:rPr>
        <w:t>fungovaní Európskej únie.</w:t>
      </w:r>
    </w:p>
    <w:p w:rsidR="00DA6D93" w:rsidRPr="003901F3" w:rsidRDefault="00DA6D93" w:rsidP="00DA6D93">
      <w:pPr>
        <w:pStyle w:val="Text-M"/>
        <w:spacing w:after="0"/>
      </w:pPr>
      <w:r w:rsidRPr="003901F3">
        <w:t>Žiadateľ si je vedomý, že pri realizácii svojho investičného zámeru musí dodržať ustanovenia zákona č. 24/2006 Z. z. o posudzovaní vplyvov na životné prostredie a o zmene a doplnení niektorých zákonov v znení neskorších predpisov.</w:t>
      </w:r>
    </w:p>
    <w:p w:rsidR="00DA6D93" w:rsidRPr="003901F3" w:rsidRDefault="00DA6D93" w:rsidP="00DA6D93">
      <w:pPr>
        <w:pStyle w:val="Nadpis-M"/>
        <w:numPr>
          <w:ilvl w:val="0"/>
          <w:numId w:val="8"/>
        </w:numPr>
      </w:pPr>
      <w:r w:rsidRPr="003901F3">
        <w:lastRenderedPageBreak/>
        <w:t>Právna analýza</w:t>
      </w:r>
    </w:p>
    <w:p w:rsidR="00DA6D93" w:rsidRPr="003901F3" w:rsidRDefault="00DA6D93" w:rsidP="00DA6D93">
      <w:pPr>
        <w:pStyle w:val="Text-M"/>
      </w:pPr>
      <w:r w:rsidRPr="003901F3">
        <w:t xml:space="preserve">Požadovaná investičná pomoc spĺňa definičné znaky investičnej pomoci, ktorej cieľom je </w:t>
      </w:r>
      <w:r>
        <w:t>vybudovať nový po</w:t>
      </w:r>
      <w:r w:rsidRPr="003901F3">
        <w:rPr>
          <w:spacing w:val="2"/>
        </w:rPr>
        <w:t>dnik</w:t>
      </w:r>
      <w:r>
        <w:rPr>
          <w:spacing w:val="2"/>
        </w:rPr>
        <w:t xml:space="preserve"> priemyselnej výroby</w:t>
      </w:r>
      <w:r>
        <w:t>.</w:t>
      </w:r>
    </w:p>
    <w:p w:rsidR="00DA6D93" w:rsidRPr="003901F3" w:rsidRDefault="00DA6D93" w:rsidP="00DA6D93">
      <w:pPr>
        <w:pStyle w:val="Text-M"/>
      </w:pPr>
      <w:r w:rsidRPr="003901F3">
        <w:t xml:space="preserve">Pri posudzovaní zlučiteľnosti navrhovanej investičnej pomoci </w:t>
      </w:r>
      <w:r w:rsidRPr="003901F3">
        <w:rPr>
          <w:spacing w:val="2"/>
        </w:rPr>
        <w:t>s</w:t>
      </w:r>
      <w:r>
        <w:rPr>
          <w:spacing w:val="2"/>
        </w:rPr>
        <w:t xml:space="preserve"> </w:t>
      </w:r>
      <w:r w:rsidRPr="003901F3">
        <w:rPr>
          <w:spacing w:val="2"/>
        </w:rPr>
        <w:t xml:space="preserve">vnútorným trhom </w:t>
      </w:r>
      <w:r w:rsidRPr="003901F3">
        <w:t>treba postupovať v súlade:</w:t>
      </w:r>
    </w:p>
    <w:p w:rsidR="00DA6D93" w:rsidRPr="00E5085A" w:rsidRDefault="00DA6D93" w:rsidP="00DA6D93">
      <w:pPr>
        <w:pStyle w:val="Odraky-M"/>
      </w:pPr>
      <w:r w:rsidRPr="001B280F">
        <w:t xml:space="preserve">so </w:t>
      </w:r>
      <w:r>
        <w:t>z</w:t>
      </w:r>
      <w:r w:rsidRPr="001B280F">
        <w:t xml:space="preserve">ákonom o investičnej pomoci, </w:t>
      </w:r>
    </w:p>
    <w:p w:rsidR="00DA6D93" w:rsidRPr="004144E7" w:rsidRDefault="00DA6D93" w:rsidP="00DA6D93">
      <w:pPr>
        <w:pStyle w:val="Odraky-M"/>
      </w:pPr>
      <w:r w:rsidRPr="004144E7">
        <w:t>s Nariadením vlády Slovenskej republiky</w:t>
      </w:r>
      <w:r>
        <w:t xml:space="preserve"> č. 219/2015,</w:t>
      </w:r>
      <w:r w:rsidRPr="004144E7">
        <w:t xml:space="preserve"> </w:t>
      </w:r>
      <w:r w:rsidRPr="00622638">
        <w:t xml:space="preserve">ktorým sa ustanovuje maximálna intenzita investičnej pomoci a výška investičnej pomoci </w:t>
      </w:r>
      <w:r>
        <w:br/>
      </w:r>
      <w:r w:rsidRPr="00622638">
        <w:t>v jednotlivých regiónoch Slovenskej republiky</w:t>
      </w:r>
      <w:r w:rsidRPr="004144E7">
        <w:t xml:space="preserve"> (ďalej len „nariadenie</w:t>
      </w:r>
      <w:r>
        <w:t xml:space="preserve"> vlády</w:t>
      </w:r>
      <w:r w:rsidRPr="004144E7">
        <w:t>“)</w:t>
      </w:r>
      <w:r>
        <w:t>,</w:t>
      </w:r>
    </w:p>
    <w:p w:rsidR="00DA6D93" w:rsidRPr="004144E7" w:rsidRDefault="00DA6D93" w:rsidP="00DA6D93">
      <w:pPr>
        <w:pStyle w:val="Odraky-M"/>
      </w:pPr>
      <w:r w:rsidRPr="004144E7">
        <w:t>s</w:t>
      </w:r>
      <w:r>
        <w:t xml:space="preserve"> </w:t>
      </w:r>
      <w:r w:rsidRPr="004144E7">
        <w:t>Nariadením Komisie (EÚ) č. 651/2014 zo 17. júna 2014 o</w:t>
      </w:r>
      <w:r>
        <w:t xml:space="preserve"> </w:t>
      </w:r>
      <w:r w:rsidRPr="004144E7">
        <w:t>vyhlásení určitých kategórií pomoci za zlučiteľné s</w:t>
      </w:r>
      <w:r>
        <w:t xml:space="preserve"> </w:t>
      </w:r>
      <w:r w:rsidRPr="004144E7">
        <w:t>vnútorným trhom podľa článkov 107 a</w:t>
      </w:r>
      <w:r>
        <w:t xml:space="preserve"> </w:t>
      </w:r>
      <w:r w:rsidRPr="004144E7">
        <w:t>108 zmluvy</w:t>
      </w:r>
      <w:r>
        <w:t xml:space="preserve"> </w:t>
      </w:r>
      <w:r w:rsidRPr="004144E7">
        <w:t>(ďalej len „nariadeni</w:t>
      </w:r>
      <w:r>
        <w:t>e komisie</w:t>
      </w:r>
      <w:r w:rsidRPr="004144E7">
        <w:t>“)</w:t>
      </w:r>
      <w:r w:rsidR="00F8382F">
        <w:t>.</w:t>
      </w:r>
    </w:p>
    <w:p w:rsidR="00FB3D61" w:rsidRDefault="00FB3D61" w:rsidP="00DA6D93">
      <w:pPr>
        <w:pStyle w:val="Text-M"/>
      </w:pPr>
    </w:p>
    <w:p w:rsidR="00DA6D93" w:rsidRPr="003901F3" w:rsidRDefault="00DA6D93" w:rsidP="00DA6D93">
      <w:pPr>
        <w:pStyle w:val="Text-M"/>
      </w:pPr>
      <w:r w:rsidRPr="003901F3">
        <w:t xml:space="preserve">Podľa </w:t>
      </w:r>
      <w:r w:rsidR="00FB3D61">
        <w:t>nariadenia komisie</w:t>
      </w:r>
      <w:r w:rsidRPr="003901F3">
        <w:t xml:space="preserve"> sa regionálna investičná pomoc môže poskytnúť na podporu hospodárskeho rozvoja regiónov, v ktorých je životná úroveň mimoriadne nízka, alebo v ktorých je vysoká nezamestnanosť, t. j. regionálna pomoc je určená na rozvoj znevýhodnených regiónov, s cieľom podporiť investície a rozvoj pracovných miest v trvalom kontexte.</w:t>
      </w:r>
    </w:p>
    <w:p w:rsidR="00DA6D93" w:rsidRPr="00686482" w:rsidRDefault="00DA6D93" w:rsidP="00DA6D93">
      <w:pPr>
        <w:pStyle w:val="Text-M"/>
        <w:spacing w:after="0"/>
      </w:pPr>
      <w:r w:rsidRPr="001B280F">
        <w:t xml:space="preserve">V prípade investičného zámeru ide o regionálnu investičnú pomoc, ktorej cieľom </w:t>
      </w:r>
      <w:r>
        <w:t xml:space="preserve">je vybudovanie nového závodu v odvetví chránenej tlače, na výrobu a vyhotovenie biometrických identifikačných dokladov </w:t>
      </w:r>
      <w:r>
        <w:rPr>
          <w:rStyle w:val="hps"/>
        </w:rPr>
        <w:t>na papierovom alebo plastovom základe,</w:t>
      </w:r>
      <w:r w:rsidRPr="00011760">
        <w:rPr>
          <w:rStyle w:val="hps"/>
        </w:rPr>
        <w:t xml:space="preserve"> </w:t>
      </w:r>
      <w:r>
        <w:t xml:space="preserve">kariet platobných systémov, </w:t>
      </w:r>
      <w:r>
        <w:rPr>
          <w:rStyle w:val="hps"/>
        </w:rPr>
        <w:t>kontrolných značiek, holografických ochranných prvkov a</w:t>
      </w:r>
      <w:r w:rsidR="009404AC">
        <w:rPr>
          <w:rStyle w:val="hps"/>
        </w:rPr>
        <w:t xml:space="preserve"> </w:t>
      </w:r>
      <w:r>
        <w:rPr>
          <w:rStyle w:val="hps"/>
        </w:rPr>
        <w:t>i</w:t>
      </w:r>
      <w:r>
        <w:t>. v</w:t>
      </w:r>
      <w:r w:rsidR="009404AC">
        <w:t xml:space="preserve"> </w:t>
      </w:r>
      <w:r>
        <w:t>lokalite Banská Bystrica, okres Banská Bystrica.</w:t>
      </w:r>
    </w:p>
    <w:p w:rsidR="00DA6D93" w:rsidRPr="003901F3" w:rsidRDefault="00DA6D93" w:rsidP="00DA6D93">
      <w:pPr>
        <w:pStyle w:val="Text-M"/>
        <w:spacing w:after="0"/>
      </w:pPr>
      <w:r>
        <w:t xml:space="preserve">Vytvorenie odvetvia chránenej tlače </w:t>
      </w:r>
      <w:r w:rsidRPr="003901F3">
        <w:t xml:space="preserve">spadá podľa klasifikácie SK NACE Rev. 2 do Sekcie C Priemyselná výroba, konkrétne triedy </w:t>
      </w:r>
      <w:r>
        <w:t>18.1</w:t>
      </w:r>
      <w:r w:rsidRPr="003901F3">
        <w:t xml:space="preserve">. – </w:t>
      </w:r>
      <w:r>
        <w:t>Tlač a služby súvisiace s</w:t>
      </w:r>
      <w:r w:rsidR="009404AC">
        <w:t xml:space="preserve"> </w:t>
      </w:r>
      <w:r>
        <w:t xml:space="preserve">tlačou. </w:t>
      </w:r>
    </w:p>
    <w:p w:rsidR="00DA6D93" w:rsidRPr="001B280F" w:rsidRDefault="00DA6D93" w:rsidP="00DA6D93">
      <w:pPr>
        <w:pStyle w:val="Text-M"/>
        <w:spacing w:after="0"/>
      </w:pPr>
      <w:r w:rsidRPr="001B280F">
        <w:t>Podľa zatriedenia produkcie ide o</w:t>
      </w:r>
      <w:r>
        <w:t xml:space="preserve"> </w:t>
      </w:r>
      <w:r w:rsidRPr="001B280F">
        <w:t xml:space="preserve">investičný zámer spĺňajúci definičné znaky priemyselnej výroby podľa § 4 </w:t>
      </w:r>
      <w:r>
        <w:t>z</w:t>
      </w:r>
      <w:r w:rsidRPr="001B280F">
        <w:t>ákona o</w:t>
      </w:r>
      <w:r>
        <w:t xml:space="preserve"> </w:t>
      </w:r>
      <w:r w:rsidRPr="001B280F">
        <w:t>investičnej pomoci.</w:t>
      </w:r>
    </w:p>
    <w:p w:rsidR="00DA6D93" w:rsidRPr="001B280F" w:rsidRDefault="00DA6D93" w:rsidP="00DA6D93">
      <w:pPr>
        <w:pStyle w:val="Text-M"/>
        <w:spacing w:after="0"/>
      </w:pPr>
      <w:r w:rsidRPr="00285325">
        <w:t xml:space="preserve">Súlad štátnej pomoci </w:t>
      </w:r>
      <w:r>
        <w:t>s vnútorným</w:t>
      </w:r>
      <w:r w:rsidRPr="00285325">
        <w:t xml:space="preserve"> trhom </w:t>
      </w:r>
      <w:r>
        <w:t>môže byť prípustný</w:t>
      </w:r>
      <w:r w:rsidRPr="00285325">
        <w:t xml:space="preserve"> v</w:t>
      </w:r>
      <w:r>
        <w:t xml:space="preserve"> </w:t>
      </w:r>
      <w:r w:rsidRPr="00285325">
        <w:t xml:space="preserve">zmysle </w:t>
      </w:r>
      <w:r>
        <w:t xml:space="preserve">pravidiel </w:t>
      </w:r>
      <w:r w:rsidRPr="00285325">
        <w:t>regionálnej pomoci iba</w:t>
      </w:r>
      <w:r>
        <w:t xml:space="preserve"> </w:t>
      </w:r>
      <w:r w:rsidRPr="00285325">
        <w:t>vtedy, ak je garantovaná rovnováha medzi výsledným narušením hospodárskej súťaže a</w:t>
      </w:r>
      <w:r>
        <w:t xml:space="preserve"> výhodami vyplývajúcimi z pomoci.</w:t>
      </w:r>
    </w:p>
    <w:p w:rsidR="00DA6D93" w:rsidRPr="003901F3" w:rsidRDefault="00DA6D93" w:rsidP="00DA6D93">
      <w:pPr>
        <w:pStyle w:val="Text-M"/>
        <w:spacing w:after="0"/>
      </w:pPr>
      <w:r w:rsidRPr="003901F3">
        <w:t>Investičný zámer má byť realizovaný v</w:t>
      </w:r>
      <w:r>
        <w:t xml:space="preserve"> priemyselnom parku Banská Bystrica – </w:t>
      </w:r>
      <w:proofErr w:type="spellStart"/>
      <w:r>
        <w:t>Šalková</w:t>
      </w:r>
      <w:proofErr w:type="spellEnd"/>
      <w:r>
        <w:t xml:space="preserve">, </w:t>
      </w:r>
      <w:r w:rsidRPr="003901F3">
        <w:t xml:space="preserve">okres </w:t>
      </w:r>
      <w:r>
        <w:t>Banská Bystrica</w:t>
      </w:r>
      <w:r w:rsidRPr="003901F3">
        <w:t>, t. j. v</w:t>
      </w:r>
      <w:r>
        <w:t xml:space="preserve"> </w:t>
      </w:r>
      <w:r w:rsidRPr="003901F3">
        <w:t>regióne NUTS</w:t>
      </w:r>
      <w:r>
        <w:t xml:space="preserve"> </w:t>
      </w:r>
      <w:r w:rsidRPr="003901F3">
        <w:t xml:space="preserve">2 </w:t>
      </w:r>
      <w:r w:rsidR="00FB3D61">
        <w:t>S</w:t>
      </w:r>
      <w:r>
        <w:t>tredné Slovensko</w:t>
      </w:r>
      <w:r w:rsidRPr="003901F3">
        <w:t xml:space="preserve">, </w:t>
      </w:r>
      <w:r>
        <w:t xml:space="preserve">Banskobystrický </w:t>
      </w:r>
      <w:r w:rsidRPr="003901F3">
        <w:t>kraj, ktorý spadá pod vymedzenie regiónov podľa čl.</w:t>
      </w:r>
      <w:r>
        <w:t xml:space="preserve"> </w:t>
      </w:r>
      <w:r w:rsidRPr="003901F3">
        <w:t>107 ods. 3 písm. a) Zmluvy o</w:t>
      </w:r>
      <w:r>
        <w:t xml:space="preserve"> </w:t>
      </w:r>
      <w:r w:rsidRPr="003901F3">
        <w:t>fungovaní EÚ.</w:t>
      </w:r>
    </w:p>
    <w:p w:rsidR="00FB3D61" w:rsidRDefault="00DA6D93" w:rsidP="00DA6D93">
      <w:pPr>
        <w:pStyle w:val="Text-M"/>
        <w:spacing w:after="0"/>
      </w:pPr>
      <w:r w:rsidRPr="001B280F">
        <w:t xml:space="preserve">Pri posudzovaní regionálneho prínosu investičného zámeru sa analyzoval súbor faktorov </w:t>
      </w:r>
      <w:r>
        <w:br/>
      </w:r>
      <w:r w:rsidRPr="001B280F">
        <w:t>s</w:t>
      </w:r>
      <w:r>
        <w:t xml:space="preserve"> </w:t>
      </w:r>
      <w:r w:rsidRPr="001B280F">
        <w:t xml:space="preserve">dôrazom na špecifické faktory regiónu. </w:t>
      </w:r>
    </w:p>
    <w:p w:rsidR="00DA6D93" w:rsidRPr="003901F3" w:rsidRDefault="00DA6D93" w:rsidP="00DA6D93">
      <w:pPr>
        <w:pStyle w:val="Text-M"/>
        <w:spacing w:after="0"/>
        <w:rPr>
          <w:bCs/>
        </w:rPr>
      </w:pPr>
      <w:r>
        <w:t>P</w:t>
      </w:r>
      <w:r w:rsidRPr="00C90ABB">
        <w:t>odľa údajov Ústredia práce, sociálnych vecí a</w:t>
      </w:r>
      <w:r>
        <w:t xml:space="preserve"> </w:t>
      </w:r>
      <w:r w:rsidRPr="00C90ABB">
        <w:t>rodiny</w:t>
      </w:r>
      <w:r>
        <w:t xml:space="preserve"> v okrese Banská Bystrica</w:t>
      </w:r>
      <w:r w:rsidRPr="00C90ABB">
        <w:t xml:space="preserve"> dosiahla priemerná miera evidovanej nezamestnanosti za rok </w:t>
      </w:r>
      <w:r w:rsidRPr="00C90ABB">
        <w:rPr>
          <w:bCs/>
        </w:rPr>
        <w:t>201</w:t>
      </w:r>
      <w:r>
        <w:rPr>
          <w:bCs/>
        </w:rPr>
        <w:t>4</w:t>
      </w:r>
      <w:r w:rsidRPr="00C90ABB">
        <w:rPr>
          <w:bCs/>
        </w:rPr>
        <w:t xml:space="preserve"> výšku </w:t>
      </w:r>
      <w:r>
        <w:rPr>
          <w:bCs/>
        </w:rPr>
        <w:t xml:space="preserve">9,47 </w:t>
      </w:r>
      <w:r w:rsidRPr="00C90ABB">
        <w:rPr>
          <w:bCs/>
        </w:rPr>
        <w:t xml:space="preserve">%, t. j. </w:t>
      </w:r>
      <w:r>
        <w:rPr>
          <w:bCs/>
        </w:rPr>
        <w:t xml:space="preserve">74,00 </w:t>
      </w:r>
      <w:r w:rsidR="00FB3D61">
        <w:rPr>
          <w:bCs/>
        </w:rPr>
        <w:t xml:space="preserve">% priemeru Slovenskej republiky a </w:t>
      </w:r>
      <w:r w:rsidR="00FB3D61" w:rsidRPr="00C90ABB">
        <w:t xml:space="preserve">za rok </w:t>
      </w:r>
      <w:r w:rsidR="00FB3D61" w:rsidRPr="00C90ABB">
        <w:rPr>
          <w:bCs/>
        </w:rPr>
        <w:t>201</w:t>
      </w:r>
      <w:r w:rsidR="00FB3D61">
        <w:rPr>
          <w:bCs/>
        </w:rPr>
        <w:t>5</w:t>
      </w:r>
      <w:r w:rsidR="00FB3D61" w:rsidRPr="00C90ABB">
        <w:rPr>
          <w:bCs/>
        </w:rPr>
        <w:t xml:space="preserve"> výšku </w:t>
      </w:r>
      <w:r w:rsidR="00FB3D61">
        <w:rPr>
          <w:bCs/>
        </w:rPr>
        <w:t xml:space="preserve">8,39 </w:t>
      </w:r>
      <w:r w:rsidR="00FB3D61" w:rsidRPr="00C90ABB">
        <w:rPr>
          <w:bCs/>
        </w:rPr>
        <w:t xml:space="preserve">%, t. j. </w:t>
      </w:r>
      <w:r w:rsidR="00FB3D61">
        <w:rPr>
          <w:bCs/>
        </w:rPr>
        <w:t>72,94 % priemeru Slovenskej republiky.</w:t>
      </w:r>
    </w:p>
    <w:p w:rsidR="00DA6D93" w:rsidRDefault="00DA6D93" w:rsidP="00DA6D93">
      <w:pPr>
        <w:pStyle w:val="Text-M"/>
        <w:spacing w:after="0"/>
      </w:pPr>
      <w:r w:rsidRPr="00622638">
        <w:t xml:space="preserve">Okres </w:t>
      </w:r>
      <w:r>
        <w:t xml:space="preserve">Banská Bystrica </w:t>
      </w:r>
      <w:r w:rsidRPr="00622638">
        <w:t>sa nachádza v</w:t>
      </w:r>
      <w:r>
        <w:t xml:space="preserve"> Banskobystrickom </w:t>
      </w:r>
      <w:r w:rsidRPr="00622638">
        <w:t xml:space="preserve">kraji a podľa § 2 ods. </w:t>
      </w:r>
      <w:r w:rsidR="00E26832">
        <w:t>2 písm. b)</w:t>
      </w:r>
      <w:r w:rsidRPr="00622638">
        <w:t xml:space="preserve"> nariadenia vlády sa, zaraďuje do regiónu </w:t>
      </w:r>
      <w:r w:rsidR="00E26832">
        <w:t>S</w:t>
      </w:r>
      <w:r>
        <w:t xml:space="preserve">tredné </w:t>
      </w:r>
      <w:r w:rsidRPr="00622638">
        <w:t>Slovensko</w:t>
      </w:r>
      <w:r>
        <w:t xml:space="preserve">. </w:t>
      </w:r>
    </w:p>
    <w:p w:rsidR="000347E9" w:rsidRDefault="000347E9" w:rsidP="00DA6D93">
      <w:pPr>
        <w:pStyle w:val="Text-M"/>
        <w:spacing w:after="0"/>
      </w:pPr>
    </w:p>
    <w:p w:rsidR="000347E9" w:rsidRDefault="000347E9" w:rsidP="000347E9">
      <w:pPr>
        <w:pStyle w:val="Normlnywebov"/>
        <w:spacing w:before="0" w:beforeAutospacing="0" w:after="0" w:afterAutospacing="0"/>
        <w:jc w:val="both"/>
      </w:pPr>
      <w:r>
        <w:t xml:space="preserve">Podľa § 2 ods. 6 nariadenia vlády, maximálna intenzita investičnej pomoci pre investičný zámer s oprávnenými nákladmi do 50 miliónov eur nesmie počas čerpania investičnej pomoci v jednotlivých regiónoch presiahnuť hodnoty vyjadrené ako percentuálny podiel z celkovej </w:t>
      </w:r>
      <w:r>
        <w:lastRenderedPageBreak/>
        <w:t>výšky oprávnených nákladov investičného zámeru podľa prílohy č. 1 nariadenia vlády. Vzhľadom na výšku plánovaných oprávnených nákladov investičného zámeru, maximálna intenzita investičnej pomoci musí byť znížená podľa § 3 nariadenia vlády.</w:t>
      </w:r>
    </w:p>
    <w:p w:rsidR="000347E9" w:rsidRDefault="000347E9" w:rsidP="000347E9">
      <w:pPr>
        <w:pStyle w:val="Normlnywebov"/>
        <w:spacing w:before="0" w:beforeAutospacing="0" w:after="0" w:afterAutospacing="0"/>
        <w:jc w:val="both"/>
      </w:pPr>
    </w:p>
    <w:p w:rsidR="000347E9" w:rsidRDefault="000347E9" w:rsidP="000347E9">
      <w:pPr>
        <w:pStyle w:val="Normlnywebov"/>
        <w:spacing w:before="0" w:beforeAutospacing="0" w:after="0" w:afterAutospacing="0"/>
        <w:jc w:val="both"/>
      </w:pPr>
      <w:r>
        <w:t>Podľa § 3  nariadenia vlády a prílohy č. 1 k nariadeniu vlády, celková intenzita investičnej pomoci pre investičný zámer, ktorý spadá do odvetví priemyselnej výroby a je realizovaný v regióne Stredné Slovensko, nemôže počas celej doby poskytovania investičnej pomoci presiahnuť 35 % oprávnených investičných nákladov.</w:t>
      </w:r>
    </w:p>
    <w:p w:rsidR="00DA6D93" w:rsidRDefault="00DA6D93" w:rsidP="00DA6D93">
      <w:pPr>
        <w:spacing w:before="120"/>
        <w:jc w:val="both"/>
        <w:rPr>
          <w:sz w:val="24"/>
          <w:szCs w:val="24"/>
        </w:rPr>
      </w:pPr>
      <w:r w:rsidRPr="00622638">
        <w:rPr>
          <w:sz w:val="24"/>
          <w:szCs w:val="24"/>
        </w:rPr>
        <w:t>Podľa príloh</w:t>
      </w:r>
      <w:r>
        <w:rPr>
          <w:sz w:val="24"/>
          <w:szCs w:val="24"/>
        </w:rPr>
        <w:t>y č. 2 k</w:t>
      </w:r>
      <w:r w:rsidR="007F2FEA">
        <w:rPr>
          <w:sz w:val="24"/>
          <w:szCs w:val="24"/>
        </w:rPr>
        <w:t xml:space="preserve"> </w:t>
      </w:r>
      <w:r>
        <w:rPr>
          <w:sz w:val="24"/>
          <w:szCs w:val="24"/>
        </w:rPr>
        <w:t>nariadeniu</w:t>
      </w:r>
      <w:r w:rsidR="007F2FEA">
        <w:rPr>
          <w:sz w:val="24"/>
          <w:szCs w:val="24"/>
        </w:rPr>
        <w:t xml:space="preserve"> vlády</w:t>
      </w:r>
      <w:r>
        <w:rPr>
          <w:sz w:val="24"/>
          <w:szCs w:val="24"/>
        </w:rPr>
        <w:t xml:space="preserve">, maximálna výška dotácie na obstaraný dlhodobý hmotný majetok a dlhodobý nehmotný majetok v oblasti priemyselnej výroby v regióne </w:t>
      </w:r>
      <w:r w:rsidR="00242322">
        <w:rPr>
          <w:sz w:val="24"/>
          <w:szCs w:val="24"/>
        </w:rPr>
        <w:t>S</w:t>
      </w:r>
      <w:r>
        <w:rPr>
          <w:sz w:val="24"/>
          <w:szCs w:val="24"/>
        </w:rPr>
        <w:t>tredné Slovensko nesmie prekročiť 35 % oprávnených investičných nákladov.</w:t>
      </w:r>
    </w:p>
    <w:p w:rsidR="00DA6D93" w:rsidRPr="00622638" w:rsidRDefault="00DA6D93" w:rsidP="00DA6D93">
      <w:pPr>
        <w:spacing w:before="120"/>
        <w:jc w:val="both"/>
        <w:rPr>
          <w:sz w:val="24"/>
          <w:szCs w:val="24"/>
        </w:rPr>
      </w:pPr>
      <w:r w:rsidRPr="00646FA1">
        <w:rPr>
          <w:sz w:val="24"/>
          <w:szCs w:val="24"/>
        </w:rPr>
        <w:t>Podľa príloh</w:t>
      </w:r>
      <w:r>
        <w:rPr>
          <w:sz w:val="24"/>
          <w:szCs w:val="24"/>
        </w:rPr>
        <w:t>y č. 3 k</w:t>
      </w:r>
      <w:r w:rsidR="007F2FEA">
        <w:rPr>
          <w:sz w:val="24"/>
          <w:szCs w:val="24"/>
        </w:rPr>
        <w:t xml:space="preserve"> </w:t>
      </w:r>
      <w:r>
        <w:rPr>
          <w:sz w:val="24"/>
          <w:szCs w:val="24"/>
        </w:rPr>
        <w:t>nariadeniu</w:t>
      </w:r>
      <w:r w:rsidR="007F2FEA">
        <w:rPr>
          <w:sz w:val="24"/>
          <w:szCs w:val="24"/>
        </w:rPr>
        <w:t xml:space="preserve"> vlády</w:t>
      </w:r>
      <w:r>
        <w:rPr>
          <w:sz w:val="24"/>
          <w:szCs w:val="24"/>
        </w:rPr>
        <w:t xml:space="preserve">, maximálna výška úľavy na dani z príjmov v oblasti priemyselnej výroby v regióne </w:t>
      </w:r>
      <w:r w:rsidR="00242322">
        <w:rPr>
          <w:sz w:val="24"/>
          <w:szCs w:val="24"/>
        </w:rPr>
        <w:t>S</w:t>
      </w:r>
      <w:r>
        <w:rPr>
          <w:sz w:val="24"/>
          <w:szCs w:val="24"/>
        </w:rPr>
        <w:t>tredné Slovensko nesmie prekročiť 35 % oprávnených investičných nákladov.</w:t>
      </w:r>
    </w:p>
    <w:p w:rsidR="00DA6D93" w:rsidRPr="001B280F" w:rsidRDefault="00DA6D93" w:rsidP="00DA6D93">
      <w:pPr>
        <w:pStyle w:val="Text-M"/>
        <w:spacing w:after="0"/>
      </w:pPr>
      <w:r w:rsidRPr="001B280F">
        <w:t xml:space="preserve">Z podkladov, ktoré sú súčasťou investičného zámeru vyplýva, že základom pre výpočet investičnej pomoci je výška oprávnených nákladov, ktoré tvoria dlhodobý hmotný majetok </w:t>
      </w:r>
      <w:r w:rsidR="007F2FEA">
        <w:br/>
      </w:r>
      <w:r w:rsidRPr="001B280F">
        <w:t>vo forme</w:t>
      </w:r>
      <w:r>
        <w:t xml:space="preserve"> pozemkov, budov, </w:t>
      </w:r>
      <w:r w:rsidRPr="001B280F">
        <w:t>strojného a</w:t>
      </w:r>
      <w:r>
        <w:t xml:space="preserve"> </w:t>
      </w:r>
      <w:r w:rsidRPr="001B280F">
        <w:t>te</w:t>
      </w:r>
      <w:r>
        <w:t>chnologického zariadenia a dlhodobý nehmotný</w:t>
      </w:r>
      <w:r w:rsidR="003E6FCD">
        <w:t xml:space="preserve"> majetok podľa § 8 ods. 1</w:t>
      </w:r>
      <w:r>
        <w:t xml:space="preserve"> písm. b) zákona o investičnej pomoci</w:t>
      </w:r>
      <w:r w:rsidRPr="001B280F">
        <w:t>.</w:t>
      </w:r>
    </w:p>
    <w:p w:rsidR="00DA6D93" w:rsidRPr="003901F3" w:rsidRDefault="00DA6D93" w:rsidP="00DA6D93">
      <w:pPr>
        <w:pStyle w:val="Text-M"/>
        <w:spacing w:after="0"/>
      </w:pPr>
      <w:r w:rsidRPr="003901F3">
        <w:t>Výška oprávnených nákladov je dôležitá z</w:t>
      </w:r>
      <w:r>
        <w:t xml:space="preserve"> </w:t>
      </w:r>
      <w:r w:rsidRPr="003901F3">
        <w:t xml:space="preserve">hľadiska posúdenia účinkov investičnej pomoci investičného zámeru na hospodársku súťaž, pretože tieto náklady sú základom na stanovenie maximálnej výšky investičnej pomoci. </w:t>
      </w:r>
    </w:p>
    <w:p w:rsidR="00DA6D93" w:rsidRPr="003901F3" w:rsidRDefault="00DA6D93" w:rsidP="00DA6D93">
      <w:pPr>
        <w:pStyle w:val="Text-M"/>
        <w:spacing w:after="0"/>
      </w:pPr>
      <w:r w:rsidRPr="003901F3">
        <w:t>S</w:t>
      </w:r>
      <w:r>
        <w:t xml:space="preserve"> </w:t>
      </w:r>
      <w:r w:rsidRPr="003901F3">
        <w:t>rastom výšky oprávnených nákladov investičného zámeru sa v</w:t>
      </w:r>
      <w:r>
        <w:t xml:space="preserve"> </w:t>
      </w:r>
      <w:r w:rsidRPr="003901F3">
        <w:t xml:space="preserve">dôsledku percentuálneho určenia maximálnej intenzity investičnej pomoci zvyšuje hodnota investičnej pomoci, teda </w:t>
      </w:r>
      <w:r>
        <w:br/>
      </w:r>
      <w:r w:rsidRPr="003901F3">
        <w:t>i konkurenčná výhoda žiadateľa, a</w:t>
      </w:r>
      <w:r>
        <w:t xml:space="preserve"> </w:t>
      </w:r>
      <w:r w:rsidRPr="003901F3">
        <w:t>tým aj deformačné účinky investičnej pomoci na hospodársku súťaž.</w:t>
      </w:r>
    </w:p>
    <w:p w:rsidR="00DA6D93" w:rsidRDefault="00DA6D93" w:rsidP="00DA6D93">
      <w:pPr>
        <w:pStyle w:val="Text-M"/>
        <w:spacing w:after="0"/>
      </w:pPr>
      <w:r w:rsidRPr="001B280F">
        <w:t>Oprávnené náklady investičného zámeru sú definované v</w:t>
      </w:r>
      <w:r>
        <w:t xml:space="preserve"> </w:t>
      </w:r>
      <w:r w:rsidRPr="001B280F">
        <w:t xml:space="preserve">súlade s § 8 ods. 1 písm. </w:t>
      </w:r>
      <w:r w:rsidRPr="00EE5253">
        <w:t>a)</w:t>
      </w:r>
      <w:r w:rsidRPr="001B280F">
        <w:t xml:space="preserve"> </w:t>
      </w:r>
      <w:r>
        <w:t>a</w:t>
      </w:r>
      <w:r w:rsidR="007F2FEA">
        <w:t xml:space="preserve"> </w:t>
      </w:r>
      <w:r>
        <w:t>písm. b) z</w:t>
      </w:r>
      <w:r w:rsidRPr="001B280F">
        <w:t>ákona o</w:t>
      </w:r>
      <w:r>
        <w:t xml:space="preserve"> </w:t>
      </w:r>
      <w:r w:rsidRPr="001B280F">
        <w:t>investičnej pomoci.</w:t>
      </w:r>
    </w:p>
    <w:p w:rsidR="00DA6D93" w:rsidRPr="00446D22" w:rsidRDefault="00DA6D93" w:rsidP="00DA6D93">
      <w:pPr>
        <w:pStyle w:val="Zkladntext2"/>
        <w:spacing w:before="120"/>
        <w:jc w:val="both"/>
        <w:rPr>
          <w:szCs w:val="24"/>
          <w:lang w:val="sk-SK"/>
        </w:rPr>
      </w:pPr>
      <w:r w:rsidRPr="00622638">
        <w:t xml:space="preserve">Vzhľadom na to, že výška oprávnených nákladov je v nominálnej hodnote </w:t>
      </w:r>
      <w:r>
        <w:rPr>
          <w:lang w:val="sk-SK"/>
        </w:rPr>
        <w:t>89 401 016</w:t>
      </w:r>
      <w:r w:rsidRPr="00622638">
        <w:t xml:space="preserve"> </w:t>
      </w:r>
      <w:r w:rsidR="00DF01A0">
        <w:rPr>
          <w:lang w:val="sk-SK"/>
        </w:rPr>
        <w:t>e</w:t>
      </w:r>
      <w:proofErr w:type="spellStart"/>
      <w:r w:rsidRPr="00622638">
        <w:t>ur</w:t>
      </w:r>
      <w:proofErr w:type="spellEnd"/>
      <w:r w:rsidRPr="00622638">
        <w:t>, maximálna intenzita investičnej pomoci musí byť znížená v súlade s § 3 písm. b) nariadenia</w:t>
      </w:r>
      <w:r w:rsidR="00D22163">
        <w:rPr>
          <w:lang w:val="sk-SK"/>
        </w:rPr>
        <w:t xml:space="preserve"> vlády</w:t>
      </w:r>
      <w:r w:rsidRPr="00622638">
        <w:t>.</w:t>
      </w:r>
    </w:p>
    <w:p w:rsidR="000347E9" w:rsidRDefault="00DA6D93" w:rsidP="00DA6D93">
      <w:pPr>
        <w:pStyle w:val="Text-M"/>
        <w:spacing w:after="0"/>
        <w:rPr>
          <w:bCs/>
        </w:rPr>
      </w:pPr>
      <w:r w:rsidRPr="001B280F">
        <w:t>Plánovaná výška finančných prostriedkov, ktoré budú vynaložené na obstaranie dlhodobého hmotného majetku</w:t>
      </w:r>
      <w:r>
        <w:t xml:space="preserve"> a dlhodobého nehmotného majetku</w:t>
      </w:r>
      <w:r w:rsidRPr="001B280F">
        <w:t xml:space="preserve"> v hodnote </w:t>
      </w:r>
      <w:r>
        <w:t xml:space="preserve">89 401 016 </w:t>
      </w:r>
      <w:r w:rsidR="00DF01A0">
        <w:rPr>
          <w:bCs/>
        </w:rPr>
        <w:t>e</w:t>
      </w:r>
      <w:r w:rsidRPr="001B280F">
        <w:rPr>
          <w:bCs/>
        </w:rPr>
        <w:t>ur, je v</w:t>
      </w:r>
      <w:r>
        <w:rPr>
          <w:bCs/>
        </w:rPr>
        <w:t xml:space="preserve"> </w:t>
      </w:r>
      <w:r w:rsidRPr="001B280F">
        <w:rPr>
          <w:bCs/>
        </w:rPr>
        <w:t xml:space="preserve">súlade s § 4 ods. </w:t>
      </w:r>
      <w:r>
        <w:rPr>
          <w:bCs/>
        </w:rPr>
        <w:t>1</w:t>
      </w:r>
      <w:r w:rsidRPr="001B280F">
        <w:rPr>
          <w:bCs/>
        </w:rPr>
        <w:t xml:space="preserve"> </w:t>
      </w:r>
      <w:r>
        <w:rPr>
          <w:bCs/>
        </w:rPr>
        <w:t>zákona o investičnej pomoci.</w:t>
      </w:r>
    </w:p>
    <w:p w:rsidR="000347E9" w:rsidRDefault="000347E9" w:rsidP="000347E9">
      <w:pPr>
        <w:pStyle w:val="Text-M"/>
        <w:spacing w:before="0" w:after="0"/>
        <w:rPr>
          <w:bCs/>
        </w:rPr>
      </w:pPr>
    </w:p>
    <w:p w:rsidR="000347E9" w:rsidRDefault="000347E9" w:rsidP="000347E9">
      <w:pPr>
        <w:pStyle w:val="Zkladntext2"/>
        <w:jc w:val="both"/>
        <w:rPr>
          <w:szCs w:val="24"/>
          <w:lang w:val="sk-SK"/>
        </w:rPr>
      </w:pPr>
      <w:r w:rsidRPr="000347E9">
        <w:rPr>
          <w:szCs w:val="24"/>
          <w:lang w:val="sk-SK"/>
        </w:rPr>
        <w:t xml:space="preserve">Celková upravená </w:t>
      </w:r>
      <w:r w:rsidRPr="000347E9">
        <w:rPr>
          <w:szCs w:val="24"/>
        </w:rPr>
        <w:t xml:space="preserve">výška </w:t>
      </w:r>
      <w:r w:rsidRPr="000347E9">
        <w:rPr>
          <w:szCs w:val="24"/>
          <w:lang w:val="sk-SK"/>
        </w:rPr>
        <w:t>oprávnených nákladov</w:t>
      </w:r>
      <w:r w:rsidRPr="000347E9">
        <w:rPr>
          <w:szCs w:val="24"/>
        </w:rPr>
        <w:t>,</w:t>
      </w:r>
      <w:r w:rsidRPr="000347E9">
        <w:rPr>
          <w:szCs w:val="24"/>
          <w:lang w:val="sk-SK"/>
        </w:rPr>
        <w:t xml:space="preserve"> ktoré sú uplatniteľné na účely výpočtu upravenej výšky pomoci v súlade s usmerneniami, je 69 700 508 eur.</w:t>
      </w:r>
    </w:p>
    <w:p w:rsidR="000347E9" w:rsidRPr="000347E9" w:rsidRDefault="000347E9" w:rsidP="000347E9">
      <w:pPr>
        <w:pStyle w:val="Zkladntext2"/>
        <w:jc w:val="both"/>
        <w:rPr>
          <w:szCs w:val="24"/>
          <w:lang w:val="sk-SK"/>
        </w:rPr>
      </w:pPr>
    </w:p>
    <w:p w:rsidR="00DA6D93" w:rsidRPr="003B0A2D" w:rsidRDefault="00DA6D93" w:rsidP="00DA6D93">
      <w:pPr>
        <w:pStyle w:val="Zkladntext2"/>
        <w:spacing w:before="120"/>
        <w:jc w:val="both"/>
        <w:rPr>
          <w:lang w:val="sk-SK"/>
        </w:rPr>
      </w:pPr>
      <w:r>
        <w:t>Podľa § 15 ods. 1 zákona o</w:t>
      </w:r>
      <w:r>
        <w:rPr>
          <w:lang w:val="sk-SK"/>
        </w:rPr>
        <w:t xml:space="preserve"> </w:t>
      </w:r>
      <w:r>
        <w:t xml:space="preserve">investičnej </w:t>
      </w:r>
      <w:r w:rsidRPr="00006BC9">
        <w:rPr>
          <w:color w:val="000000"/>
        </w:rPr>
        <w:t xml:space="preserve">pomoci </w:t>
      </w:r>
      <w:r w:rsidRPr="00006BC9">
        <w:rPr>
          <w:bCs/>
          <w:color w:val="000000"/>
        </w:rPr>
        <w:t>je</w:t>
      </w:r>
      <w:r w:rsidRPr="00006BC9">
        <w:rPr>
          <w:color w:val="000000"/>
        </w:rPr>
        <w:t xml:space="preserve"> prijímateľ</w:t>
      </w:r>
      <w:r>
        <w:t xml:space="preserve"> investičnej pomoci povinný zachovávať dlhodobý hmotný majetok </w:t>
      </w:r>
      <w:r>
        <w:rPr>
          <w:lang w:val="sk-SK"/>
        </w:rPr>
        <w:t xml:space="preserve">a dlhodobý nehmotný majetok </w:t>
      </w:r>
      <w:r>
        <w:t>počas uplatňovania investičnej pomoci, najmenej však počas piatich zdaňovacích období nasledujúcich po zdaňovacom období, v</w:t>
      </w:r>
      <w:r>
        <w:rPr>
          <w:lang w:val="sk-SK"/>
        </w:rPr>
        <w:t xml:space="preserve"> </w:t>
      </w:r>
      <w:r>
        <w:t>ktorom prijí</w:t>
      </w:r>
      <w:r w:rsidR="003B0A2D">
        <w:t>mateľ skončil investičný zámer</w:t>
      </w:r>
      <w:r w:rsidR="003B0A2D">
        <w:rPr>
          <w:lang w:val="sk-SK"/>
        </w:rPr>
        <w:t>.</w:t>
      </w:r>
    </w:p>
    <w:p w:rsidR="00DA6D93" w:rsidRDefault="00DA6D93" w:rsidP="00DA6D93">
      <w:pPr>
        <w:pStyle w:val="Text-M"/>
        <w:spacing w:after="0"/>
      </w:pPr>
      <w:r w:rsidRPr="003901F3">
        <w:t xml:space="preserve">Realizáciou investičného zámeru sa predpokladá vytvorenie </w:t>
      </w:r>
      <w:r>
        <w:t>1</w:t>
      </w:r>
      <w:r w:rsidR="007F2FEA">
        <w:t xml:space="preserve"> </w:t>
      </w:r>
      <w:r>
        <w:t>238</w:t>
      </w:r>
      <w:r w:rsidRPr="003901F3">
        <w:t xml:space="preserve"> nových pracovných miest do</w:t>
      </w:r>
      <w:r>
        <w:t xml:space="preserve"> </w:t>
      </w:r>
      <w:r w:rsidRPr="003901F3">
        <w:t>konca</w:t>
      </w:r>
      <w:r>
        <w:t xml:space="preserve"> </w:t>
      </w:r>
      <w:r w:rsidRPr="003901F3">
        <w:t>roku 20</w:t>
      </w:r>
      <w:r>
        <w:t>18</w:t>
      </w:r>
      <w:r w:rsidRPr="003901F3">
        <w:t xml:space="preserve">. </w:t>
      </w:r>
    </w:p>
    <w:p w:rsidR="00DA6D93" w:rsidRPr="00285325" w:rsidRDefault="00DA6D93" w:rsidP="00DA6D93">
      <w:pPr>
        <w:pStyle w:val="Text-M"/>
        <w:spacing w:after="0"/>
      </w:pPr>
      <w:r w:rsidRPr="00285325">
        <w:t xml:space="preserve">Podľa § 15 ods. 3 </w:t>
      </w:r>
      <w:r>
        <w:t xml:space="preserve">zákona o investičnej pomoci </w:t>
      </w:r>
      <w:r w:rsidRPr="00285325">
        <w:t>je prijímateľ povinný zachovať počet vytvorených nových pracovných miest a</w:t>
      </w:r>
      <w:r>
        <w:t xml:space="preserve"> </w:t>
      </w:r>
      <w:r w:rsidRPr="00285325">
        <w:t>obsadenie týchto miest zamestnancami najmenej päť rokov odo dňa prvého obsadenia pracovného miesta.</w:t>
      </w:r>
    </w:p>
    <w:p w:rsidR="00DA6D93" w:rsidRDefault="00DA6D93" w:rsidP="00DA6D93">
      <w:pPr>
        <w:pStyle w:val="Text-M"/>
        <w:spacing w:after="0"/>
      </w:pPr>
      <w:r w:rsidRPr="001B280F">
        <w:lastRenderedPageBreak/>
        <w:t>Vzhľadom na to, že investičný zámer vedie k</w:t>
      </w:r>
      <w:r>
        <w:t xml:space="preserve"> </w:t>
      </w:r>
      <w:r w:rsidRPr="001B280F">
        <w:t>čistému nárastu pracovných miest, je možné konštatovať, že investičný zámer bude mať priaznivý vplyv na zamestnanosť v</w:t>
      </w:r>
      <w:r>
        <w:t xml:space="preserve"> </w:t>
      </w:r>
      <w:r w:rsidRPr="001B280F">
        <w:t xml:space="preserve">regióne. </w:t>
      </w:r>
    </w:p>
    <w:p w:rsidR="00DA6D93" w:rsidRPr="00AD3050" w:rsidRDefault="00DA6D93" w:rsidP="00DA6D93">
      <w:pPr>
        <w:spacing w:before="120"/>
        <w:jc w:val="both"/>
        <w:rPr>
          <w:sz w:val="24"/>
          <w:szCs w:val="24"/>
        </w:rPr>
      </w:pPr>
      <w:r w:rsidRPr="00AD3050">
        <w:rPr>
          <w:sz w:val="24"/>
          <w:szCs w:val="24"/>
        </w:rPr>
        <w:t>Okrem prínosu pre zamestnanosť v</w:t>
      </w:r>
      <w:r>
        <w:rPr>
          <w:sz w:val="24"/>
          <w:szCs w:val="24"/>
        </w:rPr>
        <w:t xml:space="preserve"> </w:t>
      </w:r>
      <w:r w:rsidRPr="00AD3050">
        <w:rPr>
          <w:sz w:val="24"/>
          <w:szCs w:val="24"/>
        </w:rPr>
        <w:t>regióne bude v</w:t>
      </w:r>
      <w:r>
        <w:rPr>
          <w:sz w:val="24"/>
          <w:szCs w:val="24"/>
        </w:rPr>
        <w:t xml:space="preserve"> </w:t>
      </w:r>
      <w:r w:rsidRPr="00AD3050">
        <w:rPr>
          <w:sz w:val="24"/>
          <w:szCs w:val="24"/>
        </w:rPr>
        <w:t xml:space="preserve">dôsledku realizácie investičného zámeru vysoko pozitívny vplyv na obchodnú bilanciu Slovenskej republiky, pretože </w:t>
      </w:r>
      <w:r>
        <w:rPr>
          <w:sz w:val="24"/>
          <w:szCs w:val="24"/>
        </w:rPr>
        <w:t>80</w:t>
      </w:r>
      <w:r w:rsidRPr="00AD3050">
        <w:rPr>
          <w:sz w:val="24"/>
          <w:szCs w:val="24"/>
        </w:rPr>
        <w:t xml:space="preserve"> % vyrábanej produkcie bude určených na export.</w:t>
      </w:r>
    </w:p>
    <w:p w:rsidR="00DA6D93" w:rsidRPr="003901F3" w:rsidRDefault="00DA6D93" w:rsidP="00DA6D93">
      <w:pPr>
        <w:pStyle w:val="Text-M"/>
        <w:spacing w:after="0"/>
      </w:pPr>
      <w:r w:rsidRPr="003901F3">
        <w:t xml:space="preserve">V dôsledku uvedených skutočností možno konštatovať, že je zabezpečená vyváženosť medzi narušením hospodárskej súťaže a výhodami vyplývajúcimi pre Slovenskú republiku </w:t>
      </w:r>
      <w:r>
        <w:br/>
      </w:r>
      <w:r w:rsidRPr="003901F3">
        <w:t>z uvedenej investície. Prínosy investičného zámeru žiadateľa sú konkretizované vyššie.</w:t>
      </w:r>
    </w:p>
    <w:p w:rsidR="00DA6D93" w:rsidRPr="002A6515" w:rsidRDefault="00DA6D93" w:rsidP="00DA6D93">
      <w:pPr>
        <w:pStyle w:val="Text-M"/>
        <w:spacing w:after="0"/>
      </w:pPr>
      <w:r w:rsidRPr="00285325">
        <w:t>Žiadateľ v</w:t>
      </w:r>
      <w:r>
        <w:t xml:space="preserve"> </w:t>
      </w:r>
      <w:r w:rsidRPr="00285325">
        <w:t xml:space="preserve">investičnom </w:t>
      </w:r>
      <w:r w:rsidRPr="002A6515">
        <w:t xml:space="preserve">zámere deklaruje, že </w:t>
      </w:r>
      <w:r w:rsidRPr="00622638">
        <w:t xml:space="preserve">najmenej </w:t>
      </w:r>
      <w:r>
        <w:t>65</w:t>
      </w:r>
      <w:r w:rsidRPr="00622638">
        <w:t xml:space="preserve"> %</w:t>
      </w:r>
      <w:r w:rsidRPr="002A6515">
        <w:t xml:space="preserve"> </w:t>
      </w:r>
      <w:r>
        <w:t>nominálnej</w:t>
      </w:r>
      <w:r w:rsidRPr="002A6515">
        <w:t xml:space="preserve"> hodnoty oprávnených nákladov poskytne prostredníctvom svojich vlastných zdrojov alebo prostredníctvom externého financovania, ktoré nezahŕňa štátnu pomoc.</w:t>
      </w:r>
    </w:p>
    <w:p w:rsidR="00DA6D93" w:rsidRDefault="00DA6D93" w:rsidP="00DA6D93">
      <w:pPr>
        <w:pStyle w:val="Text-M"/>
        <w:spacing w:after="0"/>
      </w:pPr>
      <w:r w:rsidRPr="005A343E">
        <w:t xml:space="preserve">Žiadateľ preukázal prítomnosť stimulačného účinku podľa čl. 6 ods. 2 </w:t>
      </w:r>
      <w:r w:rsidR="001947FF">
        <w:t>nariadenia komisie</w:t>
      </w:r>
      <w:r>
        <w:t>, tzn. že</w:t>
      </w:r>
      <w:r w:rsidRPr="005A343E">
        <w:t xml:space="preserve"> žiadateľ </w:t>
      </w:r>
      <w:r>
        <w:t>preukázal, že nezačal</w:t>
      </w:r>
      <w:r w:rsidRPr="005A343E">
        <w:t xml:space="preserve"> práce na investičnom zámere pred dňom podania investičného zámeru.</w:t>
      </w:r>
      <w:r>
        <w:t xml:space="preserve"> </w:t>
      </w:r>
    </w:p>
    <w:p w:rsidR="00DA6D93" w:rsidRPr="00801DF7" w:rsidRDefault="00DA6D93" w:rsidP="00DA6D93">
      <w:pPr>
        <w:pStyle w:val="Zkladntext"/>
        <w:spacing w:before="120" w:after="0"/>
        <w:jc w:val="both"/>
        <w:rPr>
          <w:sz w:val="24"/>
          <w:szCs w:val="24"/>
        </w:rPr>
      </w:pPr>
      <w:r w:rsidRPr="00801DF7">
        <w:rPr>
          <w:sz w:val="24"/>
          <w:szCs w:val="24"/>
        </w:rPr>
        <w:t>Žiadateľovi nebola vládou Slovenskej republiky v predchádzajúcom období schválená investičná pomoc ani iná štátna pomoc.</w:t>
      </w:r>
    </w:p>
    <w:p w:rsidR="00DA6D93" w:rsidRDefault="00DA6D93" w:rsidP="00DA6D93">
      <w:pPr>
        <w:pStyle w:val="Text-M"/>
        <w:spacing w:after="0"/>
      </w:pPr>
      <w:r>
        <w:t>Na základe analýzy porovnávajúcej situáciu – úroveň plánovanej činnosti bez investičnej pomoci a s poskytnutou investičnou pomocou, vyplýva, že žiadateľ by bez poskytnutia investičnej pomoci investičný zámer v Slovenskej republike nerealizoval.</w:t>
      </w:r>
    </w:p>
    <w:p w:rsidR="00DA6D93" w:rsidRDefault="00DA6D93" w:rsidP="00DA6D93">
      <w:pPr>
        <w:pStyle w:val="Text-M"/>
        <w:spacing w:after="0"/>
      </w:pPr>
      <w:r w:rsidRPr="00AE1472">
        <w:t xml:space="preserve">Z predložených podkladov vyplýva, že žiadateľ </w:t>
      </w:r>
      <w:r>
        <w:t xml:space="preserve">má predpoklad </w:t>
      </w:r>
      <w:r w:rsidRPr="00AE1472">
        <w:t>splniť všeobecné podmienky definované v</w:t>
      </w:r>
      <w:r>
        <w:t xml:space="preserve"> </w:t>
      </w:r>
      <w:r w:rsidRPr="00AE1472">
        <w:t>§</w:t>
      </w:r>
      <w:r>
        <w:t xml:space="preserve"> </w:t>
      </w:r>
      <w:r w:rsidRPr="00AE1472">
        <w:t>4 ods.</w:t>
      </w:r>
      <w:r>
        <w:t xml:space="preserve"> 1 z</w:t>
      </w:r>
      <w:r w:rsidRPr="00AE1472">
        <w:t xml:space="preserve">ákona o investičnej pomoci a osobité podmienky </w:t>
      </w:r>
      <w:r>
        <w:t xml:space="preserve">podľa </w:t>
      </w:r>
      <w:r w:rsidRPr="00485ED0">
        <w:rPr>
          <w:bCs/>
        </w:rPr>
        <w:t>§ 30a</w:t>
      </w:r>
      <w:r>
        <w:rPr>
          <w:bCs/>
        </w:rPr>
        <w:t xml:space="preserve"> </w:t>
      </w:r>
      <w:r>
        <w:rPr>
          <w:bCs/>
        </w:rPr>
        <w:br/>
      </w:r>
      <w:r w:rsidRPr="00485ED0">
        <w:rPr>
          <w:bCs/>
        </w:rPr>
        <w:t>zákona č.</w:t>
      </w:r>
      <w:r>
        <w:rPr>
          <w:bCs/>
        </w:rPr>
        <w:t xml:space="preserve"> </w:t>
      </w:r>
      <w:r w:rsidRPr="00485ED0">
        <w:rPr>
          <w:bCs/>
        </w:rPr>
        <w:t xml:space="preserve">595/2003 Z. z. o dani z príjmov v znení </w:t>
      </w:r>
      <w:r>
        <w:rPr>
          <w:bCs/>
        </w:rPr>
        <w:t>n</w:t>
      </w:r>
      <w:r w:rsidRPr="00485ED0">
        <w:rPr>
          <w:bCs/>
        </w:rPr>
        <w:t>eskorších predpisov</w:t>
      </w:r>
      <w:r>
        <w:rPr>
          <w:bCs/>
        </w:rPr>
        <w:t xml:space="preserve">.  </w:t>
      </w:r>
    </w:p>
    <w:p w:rsidR="00DA6D93" w:rsidRPr="003901F3" w:rsidRDefault="00DA6D93" w:rsidP="00DA6D93">
      <w:pPr>
        <w:pStyle w:val="Nadpis-M"/>
        <w:numPr>
          <w:ilvl w:val="0"/>
          <w:numId w:val="8"/>
        </w:numPr>
      </w:pPr>
      <w:r w:rsidRPr="003901F3">
        <w:t>Výška a intenzita investičnej pomoci</w:t>
      </w:r>
    </w:p>
    <w:p w:rsidR="00DA6D93" w:rsidRDefault="00DA6D93" w:rsidP="00DA6D93">
      <w:pPr>
        <w:pStyle w:val="Text-M"/>
      </w:pPr>
      <w:r w:rsidRPr="001B280F">
        <w:t xml:space="preserve">Podľa § 3 písm. </w:t>
      </w:r>
      <w:r>
        <w:t>i</w:t>
      </w:r>
      <w:r w:rsidRPr="001B280F">
        <w:t xml:space="preserve">) </w:t>
      </w:r>
      <w:r>
        <w:t>z</w:t>
      </w:r>
      <w:r w:rsidRPr="001B280F">
        <w:t>ákona o</w:t>
      </w:r>
      <w:r>
        <w:t xml:space="preserve"> </w:t>
      </w:r>
      <w:r w:rsidRPr="001B280F">
        <w:t>investičnej pomoci, intenzita investičnej pomoci sa počíta ako</w:t>
      </w:r>
      <w:r>
        <w:t xml:space="preserve"> </w:t>
      </w:r>
      <w:r w:rsidRPr="001B280F">
        <w:t>percentuálne vyjadrenie investičnej pomoci z</w:t>
      </w:r>
      <w:r>
        <w:t xml:space="preserve"> </w:t>
      </w:r>
      <w:r w:rsidRPr="001B280F">
        <w:t>celkovej výšky oprávnených nákladov súvisiacich s</w:t>
      </w:r>
      <w:r>
        <w:t xml:space="preserve"> </w:t>
      </w:r>
      <w:r w:rsidRPr="001B280F">
        <w:t>realizáciou investičného zámeru, ktoré tvoria:</w:t>
      </w:r>
    </w:p>
    <w:p w:rsidR="00DA6D93" w:rsidRDefault="00DA6D93" w:rsidP="00DA6D93">
      <w:pPr>
        <w:pStyle w:val="Odraky-M"/>
        <w:ind w:left="714" w:hanging="357"/>
      </w:pPr>
      <w:r>
        <w:t>pozemky</w:t>
      </w:r>
      <w:r>
        <w:tab/>
      </w:r>
      <w:r>
        <w:tab/>
      </w:r>
      <w:r w:rsidRPr="001B280F">
        <w:tab/>
      </w:r>
      <w:r>
        <w:tab/>
      </w:r>
      <w:r w:rsidR="00B85FA6">
        <w:t xml:space="preserve"> </w:t>
      </w:r>
      <w:r w:rsidR="00F8382F">
        <w:t xml:space="preserve"> </w:t>
      </w:r>
      <w:r>
        <w:t xml:space="preserve">1 416 640 </w:t>
      </w:r>
      <w:r w:rsidR="00DF01A0">
        <w:t>e</w:t>
      </w:r>
      <w:r w:rsidRPr="001B280F">
        <w:t>ur</w:t>
      </w:r>
      <w:r>
        <w:t>,</w:t>
      </w:r>
    </w:p>
    <w:p w:rsidR="00DA6D93" w:rsidRPr="001B280F" w:rsidRDefault="00DA6D93" w:rsidP="00DA6D93">
      <w:pPr>
        <w:pStyle w:val="Odraky-M"/>
        <w:ind w:left="714" w:hanging="357"/>
      </w:pPr>
      <w:r w:rsidRPr="001B280F">
        <w:t>budovy</w:t>
      </w:r>
      <w:r w:rsidRPr="001B280F">
        <w:tab/>
      </w:r>
      <w:r w:rsidRPr="001B280F">
        <w:tab/>
      </w:r>
      <w:r w:rsidRPr="001B280F">
        <w:tab/>
      </w:r>
      <w:r w:rsidRPr="001B280F">
        <w:tab/>
      </w:r>
      <w:r>
        <w:t xml:space="preserve">31 200 000 </w:t>
      </w:r>
      <w:r w:rsidR="00DF01A0">
        <w:t>e</w:t>
      </w:r>
      <w:r w:rsidRPr="001B280F">
        <w:t>ur,</w:t>
      </w:r>
    </w:p>
    <w:p w:rsidR="00DA6D93" w:rsidRDefault="00DA6D93" w:rsidP="00DA6D93">
      <w:pPr>
        <w:pStyle w:val="Odraky-M"/>
        <w:ind w:left="714" w:hanging="357"/>
      </w:pPr>
      <w:r w:rsidRPr="001B280F">
        <w:t>stroje, prístroje a</w:t>
      </w:r>
      <w:r>
        <w:t xml:space="preserve"> </w:t>
      </w:r>
      <w:r w:rsidRPr="001B280F">
        <w:t>zariadenia</w:t>
      </w:r>
      <w:r w:rsidRPr="001B280F">
        <w:tab/>
      </w:r>
      <w:r>
        <w:tab/>
      </w:r>
      <w:r>
        <w:rPr>
          <w:color w:val="000000"/>
        </w:rPr>
        <w:t xml:space="preserve">54 007 029 </w:t>
      </w:r>
      <w:r w:rsidR="00DF01A0">
        <w:t>e</w:t>
      </w:r>
      <w:r w:rsidRPr="001B280F">
        <w:t>ur</w:t>
      </w:r>
      <w:r>
        <w:t>,</w:t>
      </w:r>
    </w:p>
    <w:p w:rsidR="00DA6D93" w:rsidRDefault="00DA6D93" w:rsidP="00DA6D93">
      <w:pPr>
        <w:pStyle w:val="Odraky-M"/>
        <w:ind w:left="714" w:hanging="357"/>
      </w:pPr>
      <w:r>
        <w:t>licencie</w:t>
      </w:r>
      <w:r>
        <w:tab/>
      </w:r>
      <w:r>
        <w:tab/>
      </w:r>
      <w:r>
        <w:tab/>
      </w:r>
      <w:r>
        <w:tab/>
      </w:r>
      <w:r w:rsidR="00B85FA6">
        <w:t xml:space="preserve">     </w:t>
      </w:r>
      <w:r w:rsidR="00DF01A0">
        <w:t>277 735 e</w:t>
      </w:r>
      <w:r>
        <w:t>ur,</w:t>
      </w:r>
    </w:p>
    <w:p w:rsidR="00DA6D93" w:rsidRDefault="004F2A3E" w:rsidP="00DA6D93">
      <w:pPr>
        <w:pStyle w:val="Odraky-M"/>
        <w:ind w:left="714" w:hanging="357"/>
      </w:pPr>
      <w:r>
        <w:t>p</w:t>
      </w:r>
      <w:r w:rsidR="00DA6D93">
        <w:t>atenty</w:t>
      </w:r>
      <w:r w:rsidR="00DA6D93">
        <w:tab/>
      </w:r>
      <w:r w:rsidR="00DA6D93">
        <w:tab/>
      </w:r>
      <w:r w:rsidR="00DA6D93">
        <w:tab/>
      </w:r>
      <w:r w:rsidR="00DA6D93">
        <w:tab/>
      </w:r>
      <w:r w:rsidR="00B85FA6">
        <w:t xml:space="preserve">     </w:t>
      </w:r>
      <w:r w:rsidR="00DF01A0">
        <w:t>833 204 e</w:t>
      </w:r>
      <w:r w:rsidR="00DA6D93">
        <w:t>ur,</w:t>
      </w:r>
    </w:p>
    <w:p w:rsidR="00DA6D93" w:rsidRDefault="00DA6D93" w:rsidP="00DA6D93">
      <w:pPr>
        <w:pStyle w:val="Odraky-M"/>
        <w:ind w:left="714" w:hanging="357"/>
      </w:pPr>
      <w:proofErr w:type="spellStart"/>
      <w:r>
        <w:t>know-how</w:t>
      </w:r>
      <w:proofErr w:type="spellEnd"/>
      <w:r>
        <w:tab/>
      </w:r>
      <w:r>
        <w:tab/>
      </w:r>
      <w:r>
        <w:tab/>
      </w:r>
      <w:r>
        <w:tab/>
      </w:r>
      <w:r w:rsidR="00B85FA6">
        <w:t xml:space="preserve">  </w:t>
      </w:r>
      <w:r w:rsidR="00DF01A0">
        <w:t>1 666 408 e</w:t>
      </w:r>
      <w:r>
        <w:t>ur.</w:t>
      </w:r>
    </w:p>
    <w:p w:rsidR="00DA6D93" w:rsidRPr="001B280F" w:rsidRDefault="00DA6D93" w:rsidP="00DA6D93">
      <w:pPr>
        <w:pStyle w:val="Odraky-M"/>
        <w:numPr>
          <w:ilvl w:val="0"/>
          <w:numId w:val="0"/>
        </w:numPr>
      </w:pPr>
    </w:p>
    <w:p w:rsidR="00DA6D93" w:rsidRDefault="004F2A3E" w:rsidP="00DA6D93">
      <w:pPr>
        <w:pStyle w:val="Text-M"/>
      </w:pPr>
      <w:r>
        <w:t>I</w:t>
      </w:r>
      <w:r w:rsidR="00DA6D93" w:rsidRPr="001B280F">
        <w:t>ntenzita investičnej pomoci musí byť vypočítaná vzhľadom na</w:t>
      </w:r>
      <w:r w:rsidR="00DA6D93">
        <w:t xml:space="preserve"> </w:t>
      </w:r>
      <w:r w:rsidR="00DA6D93" w:rsidRPr="001B280F">
        <w:t>ekvivalent hrubej hotovostnej finančnej pomoci. Intenzita investičnej pomoci v ekvivalente hrubej hotovostnej finančnej pomoci (GGE) je diskontovaná hodnota pomoci vyjadrená ako</w:t>
      </w:r>
      <w:r w:rsidR="00DA6D93">
        <w:t xml:space="preserve"> </w:t>
      </w:r>
      <w:r w:rsidR="00DA6D93" w:rsidRPr="001B280F">
        <w:t>percento diskontovanej hodnoty oprávnených nákladov počítaná v</w:t>
      </w:r>
      <w:r w:rsidR="00DA6D93">
        <w:t xml:space="preserve"> </w:t>
      </w:r>
      <w:r w:rsidR="00DA6D93" w:rsidRPr="001B280F">
        <w:t>čas</w:t>
      </w:r>
      <w:r w:rsidR="007B71CF">
        <w:t>e poskytnutia pomoci na základe diskontnej</w:t>
      </w:r>
      <w:r w:rsidR="00DA6D93" w:rsidRPr="001B280F">
        <w:t xml:space="preserve"> sadzby platnej k</w:t>
      </w:r>
      <w:r w:rsidR="00DA6D93">
        <w:t xml:space="preserve"> </w:t>
      </w:r>
      <w:r w:rsidR="00DA6D93" w:rsidRPr="001B280F">
        <w:t>tomuto dátumu.</w:t>
      </w:r>
    </w:p>
    <w:p w:rsidR="00DA6D93" w:rsidRDefault="00DA6D93" w:rsidP="00DA6D93">
      <w:pPr>
        <w:pStyle w:val="Text-M"/>
      </w:pPr>
      <w:r>
        <w:t xml:space="preserve">Oprávnené náklady rozvrhnuté do viacerých rokov sa musia na účely stanovenia výšky investičnej pomoci diskontovať na hodnotu v čase jej oznámenia. Prepočet v čase podania investičného zámeru je iba orientačný a uvedené sumy budú prepočítané v čase poskytnutia investičnej pomoci podľa platnej </w:t>
      </w:r>
      <w:r w:rsidR="007B71CF">
        <w:t>diskontnej</w:t>
      </w:r>
      <w:r>
        <w:t xml:space="preserve"> sadzby.</w:t>
      </w:r>
    </w:p>
    <w:p w:rsidR="00DA6D93" w:rsidRDefault="00DA6D93" w:rsidP="00DA6D93">
      <w:pPr>
        <w:pStyle w:val="Text-M"/>
      </w:pPr>
      <w:r w:rsidRPr="00856CBB">
        <w:t>Investičná pomoc splatná v</w:t>
      </w:r>
      <w:r>
        <w:t xml:space="preserve"> </w:t>
      </w:r>
      <w:r w:rsidRPr="00856CBB">
        <w:t>niekoľkých splátkach sa diskontuje na svoju hodnotu v</w:t>
      </w:r>
      <w:r>
        <w:t xml:space="preserve"> </w:t>
      </w:r>
      <w:r w:rsidRPr="00856CBB">
        <w:t xml:space="preserve">čase </w:t>
      </w:r>
      <w:r w:rsidR="007B71CF">
        <w:t>poskytnutia</w:t>
      </w:r>
      <w:r w:rsidRPr="00856CBB">
        <w:t xml:space="preserve"> na základe </w:t>
      </w:r>
      <w:r w:rsidR="007B71CF">
        <w:t>diskontnej</w:t>
      </w:r>
      <w:r w:rsidRPr="00856CBB">
        <w:t xml:space="preserve"> sadzby platnej v čase poskytnutia.</w:t>
      </w:r>
      <w:r>
        <w:t xml:space="preserve"> </w:t>
      </w:r>
      <w:r w:rsidRPr="001B280F">
        <w:t xml:space="preserve">Uvedený prepočet </w:t>
      </w:r>
      <w:r>
        <w:t xml:space="preserve">v čase </w:t>
      </w:r>
      <w:r>
        <w:lastRenderedPageBreak/>
        <w:t xml:space="preserve">podania investičného zámeru </w:t>
      </w:r>
      <w:r w:rsidRPr="001B280F">
        <w:t>je iba orientačný a</w:t>
      </w:r>
      <w:r>
        <w:t xml:space="preserve"> </w:t>
      </w:r>
      <w:r w:rsidRPr="001B280F">
        <w:t>uvedené sumy budú prepočítané v</w:t>
      </w:r>
      <w:r>
        <w:t xml:space="preserve"> </w:t>
      </w:r>
      <w:r w:rsidRPr="001B280F">
        <w:t xml:space="preserve">čase poskytnutia investičnej pomoci podľa platnej </w:t>
      </w:r>
      <w:r w:rsidR="007B71CF">
        <w:t>diskontnej</w:t>
      </w:r>
      <w:r w:rsidRPr="001B280F">
        <w:t xml:space="preserve"> sadzby.</w:t>
      </w:r>
    </w:p>
    <w:p w:rsidR="0097703A" w:rsidRPr="001B280F" w:rsidRDefault="0097703A" w:rsidP="00DA6D93">
      <w:pPr>
        <w:pStyle w:val="Text-M"/>
      </w:pPr>
      <w:proofErr w:type="spellStart"/>
      <w:r>
        <w:t>Diskontácia</w:t>
      </w:r>
      <w:proofErr w:type="spellEnd"/>
      <w:r>
        <w:t xml:space="preserve"> </w:t>
      </w:r>
      <w:proofErr w:type="spellStart"/>
      <w:r>
        <w:t>tranží</w:t>
      </w:r>
      <w:proofErr w:type="spellEnd"/>
      <w:r>
        <w:t xml:space="preserve"> pomoci vo forme úľavy na dani z príjmu podľa § 2 ods. 1 písm. b) zákona o investičnej pomoci, sa uskutoční na základe diskontných sadzieb uplatniteľných vždy v tom čase, keď daňové zvýhodnenie nadobudne účinnosť.</w:t>
      </w:r>
    </w:p>
    <w:p w:rsidR="00DA6D93" w:rsidRPr="001B280F" w:rsidRDefault="00DA6D93" w:rsidP="00DA6D93">
      <w:pPr>
        <w:pStyle w:val="Text-M"/>
      </w:pPr>
      <w:r w:rsidRPr="001B280F">
        <w:t xml:space="preserve">Podľa oznámenia Európskej komisie </w:t>
      </w:r>
      <w:r>
        <w:t>bola</w:t>
      </w:r>
      <w:r w:rsidRPr="001B280F">
        <w:t xml:space="preserve"> </w:t>
      </w:r>
      <w:r>
        <w:t>s účinnosťou od 1</w:t>
      </w:r>
      <w:r w:rsidRPr="001B280F">
        <w:t>.</w:t>
      </w:r>
      <w:r>
        <w:t xml:space="preserve"> </w:t>
      </w:r>
      <w:r w:rsidR="00E27145">
        <w:t>marca</w:t>
      </w:r>
      <w:r w:rsidR="003E61D5">
        <w:t xml:space="preserve"> </w:t>
      </w:r>
      <w:r w:rsidRPr="001B280F">
        <w:t>201</w:t>
      </w:r>
      <w:r>
        <w:t>6</w:t>
      </w:r>
      <w:r w:rsidRPr="001B280F">
        <w:t xml:space="preserve"> pre</w:t>
      </w:r>
      <w:r>
        <w:t xml:space="preserve"> </w:t>
      </w:r>
      <w:r w:rsidRPr="001B280F">
        <w:t>Slovenskú</w:t>
      </w:r>
      <w:r>
        <w:t xml:space="preserve"> </w:t>
      </w:r>
      <w:r w:rsidRPr="001B280F">
        <w:t xml:space="preserve">republiku </w:t>
      </w:r>
      <w:r>
        <w:t xml:space="preserve">stanovená </w:t>
      </w:r>
      <w:r w:rsidRPr="001B280F">
        <w:t>základná sadzba vo výške 0</w:t>
      </w:r>
      <w:r>
        <w:t>,</w:t>
      </w:r>
      <w:r w:rsidR="00E27145">
        <w:t>06</w:t>
      </w:r>
      <w:r>
        <w:t xml:space="preserve"> %.</w:t>
      </w:r>
    </w:p>
    <w:p w:rsidR="00DA6D93" w:rsidRPr="001B280F" w:rsidRDefault="00DA6D93" w:rsidP="00DA6D93">
      <w:pPr>
        <w:pStyle w:val="Text-M"/>
      </w:pPr>
      <w:r w:rsidRPr="001B280F">
        <w:t>Aplikujúc oznámenie Európskej komisie o</w:t>
      </w:r>
      <w:r>
        <w:t xml:space="preserve"> </w:t>
      </w:r>
      <w:r w:rsidRPr="001B280F">
        <w:t xml:space="preserve">revízii spôsobu stanovenia základných sadzieb, </w:t>
      </w:r>
      <w:r>
        <w:br/>
      </w:r>
      <w:r w:rsidRPr="001B280F">
        <w:t>v</w:t>
      </w:r>
      <w:r>
        <w:t xml:space="preserve"> </w:t>
      </w:r>
      <w:r w:rsidRPr="001B280F">
        <w:t>prípade diskontnej sadzby, ktorá sa používa na výpočet súčasných hodnôt, sa k</w:t>
      </w:r>
      <w:r>
        <w:t xml:space="preserve"> </w:t>
      </w:r>
      <w:r w:rsidRPr="001B280F">
        <w:t>základnej sadzbe pripočí</w:t>
      </w:r>
      <w:r>
        <w:t>tava marža 100 bázických bodov.</w:t>
      </w:r>
    </w:p>
    <w:p w:rsidR="00DA6D93" w:rsidRPr="001B280F" w:rsidRDefault="00DA6D93" w:rsidP="00DA6D93">
      <w:pPr>
        <w:pStyle w:val="Text-M"/>
      </w:pPr>
      <w:r w:rsidRPr="001B280F">
        <w:t>Diskontovaná hodnota oprávnených nákladov vhodných na poskytnutie investičnej pomoci</w:t>
      </w:r>
      <w:r>
        <w:t xml:space="preserve"> </w:t>
      </w:r>
      <w:r>
        <w:br/>
      </w:r>
      <w:r w:rsidRPr="001B280F">
        <w:t>je</w:t>
      </w:r>
      <w:r w:rsidR="00165D6B">
        <w:t xml:space="preserve"> 88 463 304,97</w:t>
      </w:r>
      <w:r>
        <w:t xml:space="preserve"> </w:t>
      </w:r>
      <w:r w:rsidR="00DF01A0">
        <w:t>e</w:t>
      </w:r>
      <w:r w:rsidRPr="003A43BF">
        <w:t>ur.</w:t>
      </w:r>
    </w:p>
    <w:p w:rsidR="00DA6D93" w:rsidRDefault="00DA6D93" w:rsidP="00DA6D93">
      <w:pPr>
        <w:pStyle w:val="Text-M"/>
      </w:pPr>
      <w:r w:rsidRPr="001B280F">
        <w:t xml:space="preserve">Diskontovaná hodnota požadovanej investičnej pomoci je </w:t>
      </w:r>
      <w:r w:rsidR="00865953">
        <w:t>17</w:t>
      </w:r>
      <w:r w:rsidR="00165D6B">
        <w:t> 289 568,56</w:t>
      </w:r>
      <w:r w:rsidR="0097703A">
        <w:t xml:space="preserve"> </w:t>
      </w:r>
      <w:r w:rsidR="00DF01A0">
        <w:t>e</w:t>
      </w:r>
      <w:r>
        <w:t>ur, z toho vo forme:</w:t>
      </w:r>
    </w:p>
    <w:p w:rsidR="00DA6D93" w:rsidRPr="00284B5D" w:rsidRDefault="00DA6D93" w:rsidP="00DA6D93">
      <w:pPr>
        <w:numPr>
          <w:ilvl w:val="0"/>
          <w:numId w:val="23"/>
        </w:numPr>
        <w:rPr>
          <w:sz w:val="24"/>
          <w:szCs w:val="24"/>
        </w:rPr>
      </w:pPr>
      <w:r w:rsidRPr="00284B5D">
        <w:rPr>
          <w:sz w:val="24"/>
          <w:szCs w:val="24"/>
        </w:rPr>
        <w:t>dotácie na obstaraný dlhodobý hmotný majetok</w:t>
      </w:r>
      <w:r>
        <w:rPr>
          <w:sz w:val="24"/>
          <w:szCs w:val="24"/>
        </w:rPr>
        <w:t xml:space="preserve"> a dlhodobý nehmotný majetok</w:t>
      </w:r>
      <w:r w:rsidRPr="00284B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diskontovaná výška pomoci </w:t>
      </w:r>
      <w:r w:rsidR="00865953">
        <w:rPr>
          <w:sz w:val="24"/>
          <w:szCs w:val="24"/>
        </w:rPr>
        <w:t>9</w:t>
      </w:r>
      <w:r w:rsidR="007609DA">
        <w:rPr>
          <w:sz w:val="24"/>
          <w:szCs w:val="24"/>
        </w:rPr>
        <w:t> 719 649,63</w:t>
      </w:r>
      <w:r w:rsidR="0097703A">
        <w:rPr>
          <w:sz w:val="24"/>
          <w:szCs w:val="24"/>
        </w:rPr>
        <w:t xml:space="preserve"> </w:t>
      </w:r>
      <w:r w:rsidR="00DF01A0">
        <w:rPr>
          <w:sz w:val="24"/>
          <w:szCs w:val="24"/>
        </w:rPr>
        <w:t>e</w:t>
      </w:r>
      <w:r w:rsidRPr="00284B5D">
        <w:rPr>
          <w:sz w:val="24"/>
          <w:szCs w:val="24"/>
        </w:rPr>
        <w:t>ur,</w:t>
      </w:r>
    </w:p>
    <w:p w:rsidR="00DA6D93" w:rsidRPr="00284B5D" w:rsidRDefault="00DA6D93" w:rsidP="00DA6D93">
      <w:pPr>
        <w:numPr>
          <w:ilvl w:val="0"/>
          <w:numId w:val="23"/>
        </w:numPr>
        <w:rPr>
          <w:sz w:val="24"/>
          <w:szCs w:val="24"/>
        </w:rPr>
      </w:pPr>
      <w:r w:rsidRPr="00284B5D">
        <w:rPr>
          <w:sz w:val="24"/>
          <w:szCs w:val="24"/>
        </w:rPr>
        <w:t>úľavy na dani z</w:t>
      </w:r>
      <w:r>
        <w:rPr>
          <w:sz w:val="24"/>
          <w:szCs w:val="24"/>
        </w:rPr>
        <w:t xml:space="preserve"> </w:t>
      </w:r>
      <w:r w:rsidRPr="00284B5D">
        <w:rPr>
          <w:sz w:val="24"/>
          <w:szCs w:val="24"/>
        </w:rPr>
        <w:t xml:space="preserve">príjmu </w:t>
      </w:r>
      <w:r>
        <w:rPr>
          <w:sz w:val="24"/>
          <w:szCs w:val="24"/>
        </w:rPr>
        <w:t xml:space="preserve">je diskontovaná výška pomoci </w:t>
      </w:r>
      <w:r w:rsidR="00865953">
        <w:rPr>
          <w:sz w:val="24"/>
          <w:szCs w:val="24"/>
        </w:rPr>
        <w:t>7</w:t>
      </w:r>
      <w:r w:rsidR="007609DA">
        <w:rPr>
          <w:sz w:val="24"/>
          <w:szCs w:val="24"/>
        </w:rPr>
        <w:t> 569 918,93</w:t>
      </w:r>
      <w:r w:rsidR="0097703A">
        <w:rPr>
          <w:sz w:val="24"/>
          <w:szCs w:val="24"/>
        </w:rPr>
        <w:t xml:space="preserve"> </w:t>
      </w:r>
      <w:r w:rsidR="00DF01A0">
        <w:rPr>
          <w:sz w:val="24"/>
          <w:szCs w:val="24"/>
        </w:rPr>
        <w:t>e</w:t>
      </w:r>
      <w:r>
        <w:rPr>
          <w:sz w:val="24"/>
          <w:szCs w:val="24"/>
        </w:rPr>
        <w:t>ur.</w:t>
      </w:r>
    </w:p>
    <w:p w:rsidR="00DA6D93" w:rsidRPr="00284B5D" w:rsidRDefault="00DA6D93" w:rsidP="00DA6D93">
      <w:pPr>
        <w:ind w:left="720"/>
        <w:rPr>
          <w:sz w:val="24"/>
          <w:szCs w:val="24"/>
        </w:rPr>
      </w:pPr>
    </w:p>
    <w:p w:rsidR="00DA6D93" w:rsidRDefault="00DA6D93" w:rsidP="00DA6D93">
      <w:pPr>
        <w:pStyle w:val="Text-M"/>
      </w:pPr>
      <w:r w:rsidRPr="001B280F">
        <w:t xml:space="preserve">Celková intenzita požadovanej investičnej pomoci v ekvivalente hrubej hotovostnej finančnej pomoci (GGE) je </w:t>
      </w:r>
      <w:r w:rsidR="00165D6B">
        <w:t>19,54</w:t>
      </w:r>
      <w:r w:rsidR="007609DA">
        <w:t xml:space="preserve"> </w:t>
      </w:r>
      <w:r w:rsidRPr="003A43BF">
        <w:t>%,</w:t>
      </w:r>
      <w:r w:rsidRPr="001B280F">
        <w:t xml:space="preserve"> čo je pod maximálnou možnou intenzitou pomoci podľa </w:t>
      </w:r>
      <w:r>
        <w:t>n</w:t>
      </w:r>
      <w:r w:rsidRPr="001B280F">
        <w:t>ariadenia</w:t>
      </w:r>
      <w:r w:rsidR="00696C77">
        <w:t xml:space="preserve"> vlády</w:t>
      </w:r>
      <w:r w:rsidRPr="001B280F">
        <w:t>.</w:t>
      </w:r>
      <w:r>
        <w:t xml:space="preserve"> Uvedená intenzita pomoci je v súlade s platnou mapou regionálnej štátnej pomoci na roky 2014 – 2020 pre Slovenskú republiku, ktorú schválila Európska komisia.</w:t>
      </w:r>
    </w:p>
    <w:p w:rsidR="00DA6D93" w:rsidRDefault="00DA6D93" w:rsidP="00DA6D93"/>
    <w:p w:rsidR="00AF01D8" w:rsidRPr="00AD3050" w:rsidRDefault="00AF01D8" w:rsidP="00DA6D93"/>
    <w:p w:rsidR="00DA6D93" w:rsidRPr="003901F3" w:rsidRDefault="00DA6D93" w:rsidP="00DA6D93">
      <w:pPr>
        <w:pStyle w:val="Nadpis-M"/>
        <w:numPr>
          <w:ilvl w:val="0"/>
          <w:numId w:val="8"/>
        </w:numPr>
        <w:spacing w:before="0" w:after="0"/>
      </w:pPr>
      <w:r>
        <w:t xml:space="preserve"> </w:t>
      </w:r>
      <w:r w:rsidRPr="003901F3">
        <w:t>Záver</w:t>
      </w:r>
    </w:p>
    <w:p w:rsidR="00DA6D93" w:rsidRDefault="00DA6D93" w:rsidP="00DA6D93">
      <w:pPr>
        <w:pStyle w:val="Text-M"/>
      </w:pPr>
      <w:r w:rsidRPr="00B17664">
        <w:t>Vzhľadom na to, že intenzita pomoci pre investičný zámer nepresahuje maximálnu možnú intenzitu pomoci podľa nariadenia vlády, požadovaná výška investičnej pomoci je v súlade s</w:t>
      </w:r>
      <w:r>
        <w:t> </w:t>
      </w:r>
      <w:r w:rsidRPr="00B17664">
        <w:t>nariadením</w:t>
      </w:r>
      <w:r>
        <w:t xml:space="preserve"> vlády </w:t>
      </w:r>
      <w:r w:rsidRPr="00B17664">
        <w:t>a</w:t>
      </w:r>
      <w:r>
        <w:t xml:space="preserve"> </w:t>
      </w:r>
      <w:r w:rsidRPr="00B17664">
        <w:t>zákonom o investičnej pomoci.</w:t>
      </w:r>
    </w:p>
    <w:p w:rsidR="00DA6D93" w:rsidRPr="00D517E3" w:rsidRDefault="00DA6D93" w:rsidP="00DA6D93">
      <w:pPr>
        <w:pStyle w:val="Text-M"/>
      </w:pPr>
      <w:r>
        <w:t xml:space="preserve">Na základe vyššie uvedeného hodnotenia, </w:t>
      </w:r>
      <w:r w:rsidRPr="00D517E3">
        <w:t xml:space="preserve">ministerstvo navrhuje schváliť požadovanú investičnú pomoc pre žiadateľa v maximálnej nominálnej výške </w:t>
      </w:r>
      <w:r w:rsidR="00D517E3" w:rsidRPr="00D517E3">
        <w:t>18 000 </w:t>
      </w:r>
      <w:proofErr w:type="spellStart"/>
      <w:r w:rsidR="00D517E3" w:rsidRPr="00D517E3">
        <w:t>000</w:t>
      </w:r>
      <w:proofErr w:type="spellEnd"/>
      <w:r w:rsidR="00D517E3" w:rsidRPr="00D517E3">
        <w:t xml:space="preserve"> </w:t>
      </w:r>
      <w:r w:rsidR="00DF01A0">
        <w:t>e</w:t>
      </w:r>
      <w:r w:rsidRPr="00D517E3">
        <w:t>ur, vo forme:</w:t>
      </w:r>
    </w:p>
    <w:p w:rsidR="00DA6D93" w:rsidRPr="00D517E3" w:rsidRDefault="00DA6D93" w:rsidP="00DA6D93">
      <w:pPr>
        <w:numPr>
          <w:ilvl w:val="0"/>
          <w:numId w:val="23"/>
        </w:numPr>
        <w:rPr>
          <w:sz w:val="24"/>
          <w:szCs w:val="24"/>
        </w:rPr>
      </w:pPr>
      <w:r w:rsidRPr="00D517E3">
        <w:rPr>
          <w:sz w:val="24"/>
          <w:szCs w:val="24"/>
        </w:rPr>
        <w:t xml:space="preserve">dotácie na obstaraný dlhodobý hmotný majetok a dlhodobý nehmotný majetok </w:t>
      </w:r>
      <w:r w:rsidR="00C0332A">
        <w:rPr>
          <w:sz w:val="24"/>
          <w:szCs w:val="24"/>
        </w:rPr>
        <w:br/>
      </w:r>
      <w:r w:rsidRPr="00D517E3">
        <w:rPr>
          <w:sz w:val="24"/>
          <w:szCs w:val="24"/>
        </w:rPr>
        <w:t xml:space="preserve">v </w:t>
      </w:r>
      <w:r w:rsidR="005F697C">
        <w:rPr>
          <w:sz w:val="24"/>
          <w:szCs w:val="24"/>
        </w:rPr>
        <w:t xml:space="preserve">maximálnej </w:t>
      </w:r>
      <w:r w:rsidRPr="00D517E3">
        <w:rPr>
          <w:sz w:val="24"/>
          <w:szCs w:val="24"/>
        </w:rPr>
        <w:t xml:space="preserve">nominálnej výške </w:t>
      </w:r>
      <w:r w:rsidR="00D517E3" w:rsidRPr="00D517E3">
        <w:rPr>
          <w:sz w:val="24"/>
          <w:szCs w:val="24"/>
        </w:rPr>
        <w:t>10 000 </w:t>
      </w:r>
      <w:proofErr w:type="spellStart"/>
      <w:r w:rsidR="00D517E3" w:rsidRPr="00D517E3">
        <w:rPr>
          <w:sz w:val="24"/>
          <w:szCs w:val="24"/>
        </w:rPr>
        <w:t>000</w:t>
      </w:r>
      <w:proofErr w:type="spellEnd"/>
      <w:r w:rsidR="00D517E3" w:rsidRPr="00D517E3">
        <w:rPr>
          <w:sz w:val="24"/>
          <w:szCs w:val="24"/>
        </w:rPr>
        <w:t xml:space="preserve"> </w:t>
      </w:r>
      <w:r w:rsidR="00DF01A0">
        <w:rPr>
          <w:sz w:val="24"/>
          <w:szCs w:val="24"/>
        </w:rPr>
        <w:t>e</w:t>
      </w:r>
      <w:r w:rsidRPr="00D517E3">
        <w:rPr>
          <w:sz w:val="24"/>
          <w:szCs w:val="24"/>
        </w:rPr>
        <w:t>ur,</w:t>
      </w:r>
    </w:p>
    <w:p w:rsidR="00DA6D93" w:rsidRPr="00D517E3" w:rsidRDefault="00DA6D93" w:rsidP="00DA6D93">
      <w:pPr>
        <w:numPr>
          <w:ilvl w:val="0"/>
          <w:numId w:val="23"/>
        </w:numPr>
        <w:rPr>
          <w:sz w:val="24"/>
          <w:szCs w:val="24"/>
        </w:rPr>
      </w:pPr>
      <w:r w:rsidRPr="00D517E3">
        <w:rPr>
          <w:sz w:val="24"/>
          <w:szCs w:val="24"/>
        </w:rPr>
        <w:t xml:space="preserve">úľavy na dani z príjmu v </w:t>
      </w:r>
      <w:r w:rsidR="005F697C">
        <w:rPr>
          <w:sz w:val="24"/>
          <w:szCs w:val="24"/>
        </w:rPr>
        <w:t xml:space="preserve">maximálnej </w:t>
      </w:r>
      <w:r w:rsidRPr="00D517E3">
        <w:rPr>
          <w:sz w:val="24"/>
          <w:szCs w:val="24"/>
        </w:rPr>
        <w:t xml:space="preserve">nominálnej výške </w:t>
      </w:r>
      <w:r w:rsidR="00D517E3" w:rsidRPr="00D517E3">
        <w:rPr>
          <w:sz w:val="24"/>
          <w:szCs w:val="24"/>
        </w:rPr>
        <w:t>8 000 </w:t>
      </w:r>
      <w:proofErr w:type="spellStart"/>
      <w:r w:rsidR="00D517E3" w:rsidRPr="00D517E3">
        <w:rPr>
          <w:sz w:val="24"/>
          <w:szCs w:val="24"/>
        </w:rPr>
        <w:t>000</w:t>
      </w:r>
      <w:proofErr w:type="spellEnd"/>
      <w:r w:rsidR="00D517E3" w:rsidRPr="00D517E3">
        <w:rPr>
          <w:sz w:val="24"/>
          <w:szCs w:val="24"/>
        </w:rPr>
        <w:t xml:space="preserve"> </w:t>
      </w:r>
      <w:r w:rsidR="00DF01A0">
        <w:rPr>
          <w:sz w:val="24"/>
          <w:szCs w:val="24"/>
        </w:rPr>
        <w:t>e</w:t>
      </w:r>
      <w:r w:rsidRPr="00D517E3">
        <w:rPr>
          <w:sz w:val="24"/>
          <w:szCs w:val="24"/>
        </w:rPr>
        <w:t>ur,</w:t>
      </w:r>
    </w:p>
    <w:p w:rsidR="00DA6D93" w:rsidRPr="00D517E3" w:rsidRDefault="00DA6D93" w:rsidP="00DA6D93"/>
    <w:p w:rsidR="00DA6D93" w:rsidRPr="00314A58" w:rsidRDefault="00DA6D93" w:rsidP="00DA6D93">
      <w:pPr>
        <w:rPr>
          <w:sz w:val="24"/>
          <w:szCs w:val="24"/>
        </w:rPr>
      </w:pPr>
      <w:r w:rsidRPr="00D517E3">
        <w:rPr>
          <w:sz w:val="24"/>
          <w:szCs w:val="24"/>
        </w:rPr>
        <w:t>za týchto podmienok:</w:t>
      </w:r>
    </w:p>
    <w:p w:rsidR="00DA6D93" w:rsidRDefault="00DA6D93" w:rsidP="00DA6D93"/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>Prijímateľ</w:t>
      </w:r>
      <w:r>
        <w:t xml:space="preserve"> investičnej pomoci</w:t>
      </w:r>
      <w:r w:rsidRPr="002F7190">
        <w:t xml:space="preserve"> nezačal práce na investičnom zámere </w:t>
      </w:r>
      <w:r>
        <w:t xml:space="preserve">pred dňom podania investičného zámeru </w:t>
      </w:r>
      <w:r w:rsidRPr="00174B61">
        <w:rPr>
          <w:bCs/>
        </w:rPr>
        <w:t xml:space="preserve">na Ministerstvo hospodárstva SR podľa § 10 ods. 9 </w:t>
      </w:r>
      <w:r w:rsidRPr="00174B61">
        <w:t xml:space="preserve">zákona </w:t>
      </w:r>
      <w:r w:rsidR="00C0332A">
        <w:br/>
      </w:r>
      <w:r w:rsidRPr="00174B61">
        <w:t>č. 561/2007 Z. z. o investičnej pomoci a o zmene a doplnení niektorých zákonov v znení neskorších predpisov</w:t>
      </w:r>
      <w:r>
        <w:t>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Prijímateľ </w:t>
      </w:r>
      <w:r>
        <w:t>investičnej pomoci</w:t>
      </w:r>
      <w:r w:rsidRPr="002F7190">
        <w:t xml:space="preserve"> začne obstarávanie dlhodobého hmotného majetku</w:t>
      </w:r>
      <w:r>
        <w:t xml:space="preserve"> a dlhodobého nehmotného majetku</w:t>
      </w:r>
      <w:r w:rsidRPr="002F7190">
        <w:t xml:space="preserve"> najneskôr do 12 mesiacov </w:t>
      </w:r>
      <w:r>
        <w:t>od vydania</w:t>
      </w:r>
      <w:r w:rsidRPr="002F7190">
        <w:t xml:space="preserve"> rozhodnutia </w:t>
      </w:r>
      <w:r w:rsidR="00C0332A">
        <w:br/>
      </w:r>
      <w:r w:rsidRPr="002F7190">
        <w:t>o</w:t>
      </w:r>
      <w:r>
        <w:t xml:space="preserve"> </w:t>
      </w:r>
      <w:r w:rsidRPr="002F7190">
        <w:t xml:space="preserve">schválení investičnej pomoci a </w:t>
      </w:r>
      <w:r w:rsidRPr="006259A9">
        <w:t xml:space="preserve">najneskôr do </w:t>
      </w:r>
      <w:r w:rsidRPr="00622638">
        <w:t>piatich</w:t>
      </w:r>
      <w:r w:rsidRPr="002F7190">
        <w:t xml:space="preserve"> rokov odo dňa doručenia rozhodnutia o schválení investičnej pomoci začne vykonávať podnikateľskú činnosť uvedenú v investičnom zámere.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lastRenderedPageBreak/>
        <w:t>Prijímateľ zrealizuje investičný zámer vo všetkých podstatných ohľadoch v</w:t>
      </w:r>
      <w:r>
        <w:t xml:space="preserve"> </w:t>
      </w:r>
      <w:r w:rsidRPr="002F7190">
        <w:t xml:space="preserve">súlade </w:t>
      </w:r>
      <w:r>
        <w:br/>
      </w:r>
      <w:r w:rsidRPr="002F7190">
        <w:t xml:space="preserve">s </w:t>
      </w:r>
      <w:r>
        <w:t>údajmi</w:t>
      </w:r>
      <w:r w:rsidRPr="002F7190">
        <w:t>, ktoré sú uvedené v</w:t>
      </w:r>
      <w:r>
        <w:t xml:space="preserve"> </w:t>
      </w:r>
      <w:r w:rsidRPr="002F7190">
        <w:t>podklad</w:t>
      </w:r>
      <w:r>
        <w:t>och investičného zámeru do piatich</w:t>
      </w:r>
      <w:r w:rsidRPr="002F7190">
        <w:t xml:space="preserve"> rokov od vydania rozhodnutia </w:t>
      </w:r>
      <w:r>
        <w:t>o schválení investičnej pomoci.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Celkové oprávnené náklady, ktoré budú vynaložené v súvislosti s investičným zámerom dosiahnu minimálnu výšku </w:t>
      </w:r>
      <w:r>
        <w:t xml:space="preserve">89 401 016 </w:t>
      </w:r>
      <w:r w:rsidR="00DF01A0">
        <w:t>e</w:t>
      </w:r>
      <w:r w:rsidRPr="002F7190">
        <w:t xml:space="preserve">ur. Oprávnenými nákladmi na účely obstarania dlhodobého hmotného majetku sú obstarávacie ceny </w:t>
      </w:r>
      <w:r>
        <w:t xml:space="preserve">pozemkov, </w:t>
      </w:r>
      <w:r w:rsidRPr="002F7190">
        <w:t>budov, strojov</w:t>
      </w:r>
      <w:r>
        <w:t xml:space="preserve">ého </w:t>
      </w:r>
      <w:r>
        <w:br/>
        <w:t xml:space="preserve">a technologického zariadenia. </w:t>
      </w:r>
      <w:r w:rsidRPr="002F7190">
        <w:t xml:space="preserve">Oprávnenými nákladmi na účely obstarania </w:t>
      </w:r>
      <w:r>
        <w:t xml:space="preserve">dlhodobého nehmotného majetku </w:t>
      </w:r>
      <w:r w:rsidRPr="002F7190">
        <w:t>sú obstarávacie ceny</w:t>
      </w:r>
      <w:r>
        <w:t xml:space="preserve"> licencií, patentov a práv </w:t>
      </w:r>
      <w:proofErr w:type="spellStart"/>
      <w:r>
        <w:t>know-how</w:t>
      </w:r>
      <w:proofErr w:type="spellEnd"/>
      <w:r>
        <w:t>.</w:t>
      </w:r>
    </w:p>
    <w:p w:rsidR="00DA6D9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>Dlhodobý hmotný majetok vo forme</w:t>
      </w:r>
      <w:r>
        <w:t xml:space="preserve"> pozemkov,</w:t>
      </w:r>
      <w:r w:rsidRPr="002F7190">
        <w:t xml:space="preserve"> budov, strojov</w:t>
      </w:r>
      <w:r>
        <w:t>ého a technologického zariadenia</w:t>
      </w:r>
      <w:r w:rsidRPr="002F7190">
        <w:t>, sa</w:t>
      </w:r>
      <w:r>
        <w:t xml:space="preserve"> </w:t>
      </w:r>
      <w:r w:rsidRPr="002F7190">
        <w:t>bude nachádzať na území Slovenskej republiky</w:t>
      </w:r>
      <w:r w:rsidR="00C0332A">
        <w:t xml:space="preserve">, bude nový </w:t>
      </w:r>
      <w:r w:rsidRPr="002F7190">
        <w:t xml:space="preserve">a bude obstaraný za trhových podmienok, bude využívaný výhradne prijímateľom </w:t>
      </w:r>
      <w:r>
        <w:t xml:space="preserve">investičnej pomoci </w:t>
      </w:r>
      <w:r w:rsidRPr="002F7190">
        <w:t>v súlade s investičným zámerom, ktorý tvoril podklad pre schvaľovanie investičnej pomoci.</w:t>
      </w:r>
    </w:p>
    <w:p w:rsidR="00DA6D9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>
        <w:t xml:space="preserve">Dlhodobý nehmotný majetok, ktorý vznikol transferom technológií vo forme patentových práv, licencií alebo práv </w:t>
      </w:r>
      <w:proofErr w:type="spellStart"/>
      <w:r>
        <w:t>know-how</w:t>
      </w:r>
      <w:proofErr w:type="spellEnd"/>
      <w:r>
        <w:t xml:space="preserve"> bude obstaraný za trhových podmienok od iných ako ekonomicky alebo personálne prepojených osôb, bude zahrnutý do majetku prijímateľa a</w:t>
      </w:r>
      <w:r w:rsidR="00C0332A">
        <w:t xml:space="preserve"> </w:t>
      </w:r>
      <w:r>
        <w:t>bude odpisovaný a využívaný výhradne prijímateľom v podniku najmenej päť rokov v</w:t>
      </w:r>
      <w:r w:rsidR="00C0332A">
        <w:t xml:space="preserve"> </w:t>
      </w:r>
      <w:r>
        <w:t xml:space="preserve">súlade s investičným zámerom, ktorý tvoril podklad pre schvaľovanie investičnej pomoci.  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Prijímateľ </w:t>
      </w:r>
      <w:r>
        <w:t xml:space="preserve">investičnej pomoci </w:t>
      </w:r>
      <w:r w:rsidRPr="002F7190">
        <w:t xml:space="preserve">zachová investíciu v dotknutom regióne počas čerpania investičnej pomoci, minimálne počas piatich zdaňovacích období nasledujúcich po zdaňovacom období, v ktorom prijímateľ skončil investičný zámer. Dátum skončenia investičného zámeru prijímateľ písomne oznámi </w:t>
      </w:r>
      <w:r>
        <w:t>m</w:t>
      </w:r>
      <w:r w:rsidRPr="002F7190">
        <w:t>inisterstvu.</w:t>
      </w:r>
    </w:p>
    <w:p w:rsidR="00DA6D93" w:rsidRPr="00D517E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Podmienka č. </w:t>
      </w:r>
      <w:r>
        <w:t>7</w:t>
      </w:r>
      <w:r w:rsidRPr="002F7190">
        <w:t xml:space="preserve"> nebráni výmene zariadenia alebo vybavenia, ktoré zastaralo v dôsledku rýchlych </w:t>
      </w:r>
      <w:r w:rsidRPr="00D517E3">
        <w:t>technologických zmien</w:t>
      </w:r>
      <w:r w:rsidR="0044248C">
        <w:t xml:space="preserve"> alebo sa pokazilo</w:t>
      </w:r>
      <w:r w:rsidRPr="00D517E3">
        <w:t>, za predpokladu, že podnikateľská činnosť v danom regióne počas uvedeného obdobia bude zachovaná.</w:t>
      </w:r>
    </w:p>
    <w:p w:rsidR="00DA6D93" w:rsidRPr="00D517E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D517E3">
        <w:t xml:space="preserve">Celková hodnota poskytnutej investičnej pomoci na realizáciu investičného zámeru neprekročí v nominálnej hodnote výšku </w:t>
      </w:r>
      <w:r w:rsidR="00D517E3" w:rsidRPr="00D517E3">
        <w:t>18 000 </w:t>
      </w:r>
      <w:proofErr w:type="spellStart"/>
      <w:r w:rsidR="00D517E3" w:rsidRPr="00D517E3">
        <w:t>000</w:t>
      </w:r>
      <w:proofErr w:type="spellEnd"/>
      <w:r w:rsidR="00D517E3" w:rsidRPr="00D517E3">
        <w:t xml:space="preserve"> </w:t>
      </w:r>
      <w:r w:rsidR="00DF01A0">
        <w:t>e</w:t>
      </w:r>
      <w:r w:rsidRPr="00D517E3">
        <w:t>ur.</w:t>
      </w:r>
    </w:p>
    <w:p w:rsidR="00DA6D93" w:rsidRPr="00D517E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D517E3">
        <w:t xml:space="preserve">Celková hodnota poskytnutej investičnej pomoci na realizáciu investičného zámeru formou dotácie na obstaraný dlhodobý hmotný majetok a dlhodobý nehmotný majetok neprekročí v nominálnej výške </w:t>
      </w:r>
      <w:r w:rsidR="00D517E3" w:rsidRPr="00D517E3">
        <w:t>10 000 </w:t>
      </w:r>
      <w:proofErr w:type="spellStart"/>
      <w:r w:rsidR="00D517E3" w:rsidRPr="00D517E3">
        <w:t>000</w:t>
      </w:r>
      <w:proofErr w:type="spellEnd"/>
      <w:r w:rsidR="00D517E3" w:rsidRPr="00D517E3">
        <w:t xml:space="preserve"> </w:t>
      </w:r>
      <w:r w:rsidR="00DF01A0">
        <w:t>e</w:t>
      </w:r>
      <w:r w:rsidRPr="00D517E3">
        <w:t>ur.</w:t>
      </w:r>
    </w:p>
    <w:p w:rsidR="00DA6D93" w:rsidRPr="00D517E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D517E3">
        <w:t xml:space="preserve">Celková hodnota poskytnutej investičnej pomoci na realizáciu investičného zámeru formou úľavy na dani z príjmu neprekročí v nominálnej výške </w:t>
      </w:r>
      <w:r w:rsidR="00D517E3" w:rsidRPr="00D517E3">
        <w:t>8 000 </w:t>
      </w:r>
      <w:proofErr w:type="spellStart"/>
      <w:r w:rsidR="00D517E3" w:rsidRPr="00D517E3">
        <w:t>000</w:t>
      </w:r>
      <w:proofErr w:type="spellEnd"/>
      <w:r w:rsidR="00D517E3" w:rsidRPr="00D517E3">
        <w:t xml:space="preserve"> </w:t>
      </w:r>
      <w:r w:rsidR="00DF01A0">
        <w:t>e</w:t>
      </w:r>
      <w:r w:rsidRPr="00D517E3">
        <w:t>ur.</w:t>
      </w:r>
    </w:p>
    <w:p w:rsidR="0097703A" w:rsidRDefault="0097703A" w:rsidP="0097703A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>
        <w:t xml:space="preserve">Celková hodnota poskytnutej investičnej pomoci na realizáciu investičného zámeru neprekročí intenzitu investičnej pomoci, ktorá bude vypočítaná ku dňu vydania Rozhodnutia, maximálne však 35 %. </w:t>
      </w:r>
      <w:proofErr w:type="spellStart"/>
      <w:r>
        <w:t>Diskontácia</w:t>
      </w:r>
      <w:proofErr w:type="spellEnd"/>
      <w:r>
        <w:t xml:space="preserve"> </w:t>
      </w:r>
      <w:proofErr w:type="spellStart"/>
      <w:r>
        <w:t>tranží</w:t>
      </w:r>
      <w:proofErr w:type="spellEnd"/>
      <w:r>
        <w:t xml:space="preserve"> pomoci vo forme úľavy na dani z príjmu podľa § 2 ods. 1 písm. b) zákona o investičnej pomoci, sa uskutoční na základe diskontných sadzieb uplatniteľných vždy v tom čase, keď daňové zvýhodnenie nadobudne účinnosť. Toho času je hodnota GGE </w:t>
      </w:r>
      <w:r w:rsidR="00165D6B">
        <w:t>19,5</w:t>
      </w:r>
      <w:bookmarkStart w:id="0" w:name="_GoBack"/>
      <w:bookmarkEnd w:id="0"/>
      <w:r w:rsidR="00E27145">
        <w:t>4</w:t>
      </w:r>
      <w:r w:rsidRPr="0097703A">
        <w:t xml:space="preserve"> %</w:t>
      </w:r>
      <w:r>
        <w:t>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Prijímateľ vytvorí v priamej súvislosti s investičným zámerom minimálne </w:t>
      </w:r>
      <w:r>
        <w:t>1</w:t>
      </w:r>
      <w:r w:rsidR="00C0332A">
        <w:t xml:space="preserve"> </w:t>
      </w:r>
      <w:r>
        <w:t>238</w:t>
      </w:r>
      <w:r w:rsidRPr="002F7190">
        <w:t xml:space="preserve"> nových pracovných </w:t>
      </w:r>
      <w:r>
        <w:t>miest</w:t>
      </w:r>
      <w:r w:rsidR="00F854F9">
        <w:t xml:space="preserve"> do konca roka 2018</w:t>
      </w:r>
      <w:r>
        <w:t xml:space="preserve"> </w:t>
      </w:r>
      <w:r w:rsidRPr="002F7190">
        <w:t>v</w:t>
      </w:r>
      <w:r>
        <w:t xml:space="preserve"> </w:t>
      </w:r>
      <w:r w:rsidRPr="002F7190">
        <w:t>súlade s § 15 ods.</w:t>
      </w:r>
      <w:r>
        <w:t xml:space="preserve"> 3 a</w:t>
      </w:r>
      <w:r w:rsidRPr="002F7190">
        <w:t xml:space="preserve"> 5 </w:t>
      </w:r>
      <w:r>
        <w:t>z</w:t>
      </w:r>
      <w:r w:rsidRPr="002F7190">
        <w:t>ákona o</w:t>
      </w:r>
      <w:r>
        <w:t xml:space="preserve"> </w:t>
      </w:r>
      <w:r w:rsidRPr="002F7190">
        <w:t>investičnej pomoci.</w:t>
      </w:r>
    </w:p>
    <w:p w:rsidR="00DA6D93" w:rsidRPr="00B91A61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0B7012">
        <w:rPr>
          <w:bCs/>
        </w:rPr>
        <w:t>Dotácia na obstaraný dlhodobý hmotný majetok</w:t>
      </w:r>
      <w:r>
        <w:rPr>
          <w:bCs/>
        </w:rPr>
        <w:t xml:space="preserve"> a dlhodobý nehmotný majetok</w:t>
      </w:r>
      <w:r w:rsidRPr="000B7012">
        <w:rPr>
          <w:bCs/>
        </w:rPr>
        <w:t xml:space="preserve"> bude poskytnutá na základe samostatnej zmluvy s</w:t>
      </w:r>
      <w:r>
        <w:rPr>
          <w:bCs/>
        </w:rPr>
        <w:t xml:space="preserve"> </w:t>
      </w:r>
      <w:r w:rsidRPr="000B7012">
        <w:rPr>
          <w:bCs/>
        </w:rPr>
        <w:t>Ministerstvom hospodárstva Slovenskej republiky</w:t>
      </w:r>
      <w:r>
        <w:rPr>
          <w:bCs/>
        </w:rPr>
        <w:t xml:space="preserve"> v súlade s § 2 ods. 2 zákona o investičnej pomoci.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lastRenderedPageBreak/>
        <w:t xml:space="preserve">Prijímateľ investičnej pomoci bude realizovať investičný zámer tak, že </w:t>
      </w:r>
      <w:r w:rsidRPr="00622638">
        <w:t xml:space="preserve">najmenej </w:t>
      </w:r>
      <w:r>
        <w:t>65</w:t>
      </w:r>
      <w:r w:rsidRPr="00622638">
        <w:t xml:space="preserve"> %</w:t>
      </w:r>
      <w:r w:rsidRPr="002F7190">
        <w:t xml:space="preserve"> hodnoty oprávnených nákladov musí byť financovaných z vlastných zdrojov alebo prostredníctvom externého financovania, ktoré nezahŕňa štátnu pomoc.</w:t>
      </w:r>
    </w:p>
    <w:p w:rsidR="00DA6D93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  <w:tab w:val="num" w:pos="567"/>
        </w:tabs>
        <w:ind w:left="539" w:hanging="539"/>
      </w:pPr>
      <w:r>
        <w:t xml:space="preserve">Prijímateľ </w:t>
      </w:r>
      <w:r>
        <w:rPr>
          <w:bCs/>
        </w:rPr>
        <w:t>investičnej pomoci</w:t>
      </w:r>
      <w:r>
        <w:t xml:space="preserve"> ku dňu poskytnutia investičnej pomoci a počas celej doby poskytovania investičnej pomoci bude mať v zákonom stanovených lehotách splatnosti uhradené všetky daňové povinnosti, odvody poistného na verejné zdravotné poistenie, sociálne poistenie a príspevky na starobné dôchodkové sporenie.</w:t>
      </w:r>
    </w:p>
    <w:p w:rsidR="00DA6D93" w:rsidRPr="002F7190" w:rsidRDefault="00DA6D93" w:rsidP="00DA6D93">
      <w:pPr>
        <w:pStyle w:val="Podmienky-M"/>
        <w:numPr>
          <w:ilvl w:val="0"/>
          <w:numId w:val="21"/>
        </w:numPr>
        <w:tabs>
          <w:tab w:val="clear" w:pos="360"/>
          <w:tab w:val="clear" w:pos="540"/>
        </w:tabs>
        <w:ind w:left="539" w:hanging="539"/>
      </w:pPr>
      <w:r w:rsidRPr="002F7190">
        <w:t xml:space="preserve">Prijímateľ investičnej pomoci umožní kontrolným orgánom </w:t>
      </w:r>
      <w:r>
        <w:t>M</w:t>
      </w:r>
      <w:r w:rsidRPr="002F7190">
        <w:t>inisterstva</w:t>
      </w:r>
      <w:r>
        <w:t xml:space="preserve"> hospodárstva Slovenskej republiky</w:t>
      </w:r>
      <w:r w:rsidRPr="002F7190">
        <w:t>, Ministerstva financií Slovenskej republiky, Ministerstva práce</w:t>
      </w:r>
      <w:r>
        <w:t>,</w:t>
      </w:r>
      <w:r w:rsidRPr="002F7190">
        <w:t xml:space="preserve"> sociálnych vecí a</w:t>
      </w:r>
      <w:r>
        <w:t xml:space="preserve"> </w:t>
      </w:r>
      <w:r w:rsidRPr="002F7190">
        <w:t xml:space="preserve">rodiny </w:t>
      </w:r>
      <w:r>
        <w:t xml:space="preserve">Slovenskej republiky, </w:t>
      </w:r>
      <w:r w:rsidRPr="002F7190">
        <w:t xml:space="preserve">príslušnému daňovému úradu, Ústrediu práce, sociálnych vecí a rodiny, </w:t>
      </w:r>
      <w:r w:rsidR="00D517E3">
        <w:t>Protimonopolnému úradu Slovenskej republiky a</w:t>
      </w:r>
      <w:r w:rsidRPr="002F7190">
        <w:t>lebo iným príslušným štátnym orgánom (ďalej len „kontrolné orgány“) kontrolu plnenia podmienok, za ktorých sa investičná pomoc schválila. Ak kontrolné orgány zistia, že prijímateľ neplní podmienky, za ktorých sa</w:t>
      </w:r>
      <w:r>
        <w:t xml:space="preserve"> i</w:t>
      </w:r>
      <w:r w:rsidRPr="002F7190">
        <w:t xml:space="preserve">nvestičná pomoc schválila, ďalšie poskytovanie investičnej pomoci sa zastaví a prijímateľ investičnej pomoci musí </w:t>
      </w:r>
      <w:r>
        <w:t>vrátiť</w:t>
      </w:r>
      <w:r w:rsidRPr="002F7190">
        <w:t xml:space="preserve"> už poskytnutú neoprávnenú investičnú pomoc do štátneho rozpočtu vrátane úroku.</w:t>
      </w:r>
    </w:p>
    <w:p w:rsidR="00DA6D93" w:rsidRDefault="00DA6D93" w:rsidP="00171419">
      <w:pPr>
        <w:pStyle w:val="Podmienky-M"/>
        <w:numPr>
          <w:ilvl w:val="0"/>
          <w:numId w:val="21"/>
        </w:numPr>
        <w:tabs>
          <w:tab w:val="clear" w:pos="360"/>
          <w:tab w:val="clear" w:pos="540"/>
          <w:tab w:val="num" w:pos="567"/>
        </w:tabs>
        <w:ind w:left="539" w:hanging="539"/>
      </w:pPr>
      <w:r>
        <w:rPr>
          <w:bCs/>
        </w:rPr>
        <w:t xml:space="preserve">Prijímateľ investičnej pomoci je povinný </w:t>
      </w:r>
      <w:r>
        <w:t>dodržiavať podmienky a</w:t>
      </w:r>
      <w:r w:rsidR="00C0332A">
        <w:t xml:space="preserve"> </w:t>
      </w:r>
      <w:r>
        <w:t>plniť si povinnosti stanovené v</w:t>
      </w:r>
      <w:r w:rsidR="00C0332A">
        <w:t xml:space="preserve"> </w:t>
      </w:r>
      <w:r>
        <w:t>zákone o</w:t>
      </w:r>
      <w:r w:rsidR="00C0332A">
        <w:t xml:space="preserve"> </w:t>
      </w:r>
      <w:r>
        <w:t>investičnej pomoci,</w:t>
      </w:r>
      <w:r w:rsidR="00C0332A">
        <w:t xml:space="preserve"> </w:t>
      </w:r>
      <w:r>
        <w:t>dod</w:t>
      </w:r>
      <w:r w:rsidR="00171419">
        <w:t xml:space="preserve">ržiavať podmienky podľa § 30a </w:t>
      </w:r>
      <w:r>
        <w:t xml:space="preserve"> zákona </w:t>
      </w:r>
      <w:r w:rsidR="00171419">
        <w:br/>
      </w:r>
      <w:r>
        <w:t xml:space="preserve">č. 595/2003 Z. z. o dani z príjmov v znení neskorších </w:t>
      </w:r>
      <w:r w:rsidRPr="00613F13">
        <w:t xml:space="preserve">predpisov, </w:t>
      </w:r>
      <w:r>
        <w:t>ustanovenia Nariadenia Komisie (EÚ) č. 651/2014 o</w:t>
      </w:r>
      <w:r w:rsidR="00C0332A">
        <w:t xml:space="preserve"> </w:t>
      </w:r>
      <w:r>
        <w:t xml:space="preserve">vyhlásení určitých kategórií pomoci za zlučiteľné s vnútorným trhom podľa článkov 107 a 108 zmluvy, ako aj ostatné všeobecne záväzné predpisy. Prijímateľ investičnej pomoci je ďalej povinný plniť podmienky stanovené </w:t>
      </w:r>
      <w:r w:rsidR="002428F3">
        <w:t>r</w:t>
      </w:r>
      <w:r>
        <w:t>ozhodnutím</w:t>
      </w:r>
      <w:r w:rsidR="00592844">
        <w:t xml:space="preserve"> o schválení investičnej pomoci</w:t>
      </w:r>
      <w:r>
        <w:t xml:space="preserve">, ako aj podmienky stanovené </w:t>
      </w:r>
      <w:r w:rsidR="00B03894">
        <w:t>v zmluve</w:t>
      </w:r>
      <w:r>
        <w:t xml:space="preserve"> podľa § 2 ods. 2 zákona o investičnej pomoci.</w:t>
      </w:r>
    </w:p>
    <w:p w:rsidR="00B170CC" w:rsidRDefault="00B170CC"/>
    <w:sectPr w:rsidR="00B170CC" w:rsidSect="00D265A8"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5D" w:rsidRDefault="00CC585D" w:rsidP="00064F0D">
      <w:r>
        <w:separator/>
      </w:r>
    </w:p>
  </w:endnote>
  <w:endnote w:type="continuationSeparator" w:id="0">
    <w:p w:rsidR="00CC585D" w:rsidRDefault="00CC585D" w:rsidP="0006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11890"/>
      <w:docPartObj>
        <w:docPartGallery w:val="Page Numbers (Bottom of Page)"/>
        <w:docPartUnique/>
      </w:docPartObj>
    </w:sdtPr>
    <w:sdtEndPr/>
    <w:sdtContent>
      <w:p w:rsidR="00064F0D" w:rsidRDefault="00064F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6B">
          <w:rPr>
            <w:noProof/>
          </w:rPr>
          <w:t>12</w:t>
        </w:r>
        <w:r>
          <w:fldChar w:fldCharType="end"/>
        </w:r>
      </w:p>
    </w:sdtContent>
  </w:sdt>
  <w:p w:rsidR="00064F0D" w:rsidRDefault="00064F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5D" w:rsidRDefault="00CC585D" w:rsidP="00064F0D">
      <w:r>
        <w:separator/>
      </w:r>
    </w:p>
  </w:footnote>
  <w:footnote w:type="continuationSeparator" w:id="0">
    <w:p w:rsidR="00CC585D" w:rsidRDefault="00CC585D" w:rsidP="0006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ED1"/>
    <w:multiLevelType w:val="hybridMultilevel"/>
    <w:tmpl w:val="869C6FD6"/>
    <w:lvl w:ilvl="0" w:tplc="BE0429F6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A407B"/>
    <w:multiLevelType w:val="hybridMultilevel"/>
    <w:tmpl w:val="E52C7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23D47"/>
    <w:multiLevelType w:val="hybridMultilevel"/>
    <w:tmpl w:val="0262EB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5474"/>
    <w:multiLevelType w:val="hybridMultilevel"/>
    <w:tmpl w:val="E4425EF0"/>
    <w:lvl w:ilvl="0" w:tplc="F502FE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6DFE"/>
    <w:multiLevelType w:val="hybridMultilevel"/>
    <w:tmpl w:val="1412463C"/>
    <w:lvl w:ilvl="0" w:tplc="F0AA314E">
      <w:start w:val="30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E669BC"/>
    <w:multiLevelType w:val="hybridMultilevel"/>
    <w:tmpl w:val="ED1E3BFC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F1E0158"/>
    <w:multiLevelType w:val="hybridMultilevel"/>
    <w:tmpl w:val="28361698"/>
    <w:lvl w:ilvl="0" w:tplc="F0AA314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0AA314E">
      <w:start w:val="3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4613E"/>
    <w:multiLevelType w:val="hybridMultilevel"/>
    <w:tmpl w:val="8FE841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46A1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0F623C"/>
    <w:multiLevelType w:val="hybridMultilevel"/>
    <w:tmpl w:val="CEBA48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60D5D"/>
    <w:multiLevelType w:val="hybridMultilevel"/>
    <w:tmpl w:val="E5B045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55BE6"/>
    <w:multiLevelType w:val="hybridMultilevel"/>
    <w:tmpl w:val="2576A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B1DDF"/>
    <w:multiLevelType w:val="hybridMultilevel"/>
    <w:tmpl w:val="4C0278F6"/>
    <w:lvl w:ilvl="0" w:tplc="F0AA314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A6B2A"/>
    <w:multiLevelType w:val="hybridMultilevel"/>
    <w:tmpl w:val="08B6AD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12B35"/>
    <w:multiLevelType w:val="hybridMultilevel"/>
    <w:tmpl w:val="8BA8554A"/>
    <w:lvl w:ilvl="0" w:tplc="FFFFFFFF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C8482D"/>
    <w:multiLevelType w:val="hybridMultilevel"/>
    <w:tmpl w:val="60DEA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A7978"/>
    <w:multiLevelType w:val="hybridMultilevel"/>
    <w:tmpl w:val="71E03938"/>
    <w:lvl w:ilvl="0" w:tplc="2C4CE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E2C9F"/>
    <w:multiLevelType w:val="singleLevel"/>
    <w:tmpl w:val="1C4E2520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1065"/>
      </w:pPr>
    </w:lvl>
  </w:abstractNum>
  <w:abstractNum w:abstractNumId="19">
    <w:nsid w:val="676845CC"/>
    <w:multiLevelType w:val="hybridMultilevel"/>
    <w:tmpl w:val="C38C69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05136"/>
    <w:multiLevelType w:val="hybridMultilevel"/>
    <w:tmpl w:val="0A1AF916"/>
    <w:lvl w:ilvl="0" w:tplc="930EE7FA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45128"/>
    <w:multiLevelType w:val="hybridMultilevel"/>
    <w:tmpl w:val="4516C890"/>
    <w:lvl w:ilvl="0" w:tplc="F0AA314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80D40"/>
    <w:multiLevelType w:val="hybridMultilevel"/>
    <w:tmpl w:val="EBBEA0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143F59"/>
    <w:multiLevelType w:val="hybridMultilevel"/>
    <w:tmpl w:val="104CB1AC"/>
    <w:lvl w:ilvl="0" w:tplc="041B000F">
      <w:start w:val="1"/>
      <w:numFmt w:val="decimal"/>
      <w:lvlText w:val="%1."/>
      <w:lvlJc w:val="left"/>
      <w:pPr>
        <w:ind w:left="1320" w:hanging="360"/>
      </w:p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7FB47AFE"/>
    <w:multiLevelType w:val="hybridMultilevel"/>
    <w:tmpl w:val="EF8A2DC8"/>
    <w:lvl w:ilvl="0" w:tplc="EB12BE50">
      <w:start w:val="3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21"/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4"/>
  </w:num>
  <w:num w:numId="9">
    <w:abstractNumId w:val="11"/>
  </w:num>
  <w:num w:numId="10">
    <w:abstractNumId w:val="6"/>
  </w:num>
  <w:num w:numId="11">
    <w:abstractNumId w:val="4"/>
  </w:num>
  <w:num w:numId="12">
    <w:abstractNumId w:val="13"/>
  </w:num>
  <w:num w:numId="13">
    <w:abstractNumId w:val="5"/>
  </w:num>
  <w:num w:numId="14">
    <w:abstractNumId w:val="14"/>
  </w:num>
  <w:num w:numId="15">
    <w:abstractNumId w:val="7"/>
  </w:num>
  <w:num w:numId="16">
    <w:abstractNumId w:val="22"/>
  </w:num>
  <w:num w:numId="17">
    <w:abstractNumId w:val="16"/>
  </w:num>
  <w:num w:numId="18">
    <w:abstractNumId w:val="19"/>
  </w:num>
  <w:num w:numId="19">
    <w:abstractNumId w:val="8"/>
  </w:num>
  <w:num w:numId="20">
    <w:abstractNumId w:val="12"/>
  </w:num>
  <w:num w:numId="21">
    <w:abstractNumId w:val="17"/>
  </w:num>
  <w:num w:numId="22">
    <w:abstractNumId w:val="3"/>
  </w:num>
  <w:num w:numId="23">
    <w:abstractNumId w:val="1"/>
  </w:num>
  <w:num w:numId="24">
    <w:abstractNumId w:val="20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93"/>
    <w:rsid w:val="000347E9"/>
    <w:rsid w:val="00064F0D"/>
    <w:rsid w:val="0007214F"/>
    <w:rsid w:val="00090F98"/>
    <w:rsid w:val="000C385D"/>
    <w:rsid w:val="00164C0D"/>
    <w:rsid w:val="00165D6B"/>
    <w:rsid w:val="00171419"/>
    <w:rsid w:val="00191D27"/>
    <w:rsid w:val="001947FF"/>
    <w:rsid w:val="00242322"/>
    <w:rsid w:val="002428F3"/>
    <w:rsid w:val="0025455C"/>
    <w:rsid w:val="00275ED7"/>
    <w:rsid w:val="002D09EA"/>
    <w:rsid w:val="003266EB"/>
    <w:rsid w:val="00331B49"/>
    <w:rsid w:val="003B0A2D"/>
    <w:rsid w:val="003E61D5"/>
    <w:rsid w:val="003E6FCD"/>
    <w:rsid w:val="003E7041"/>
    <w:rsid w:val="0044248C"/>
    <w:rsid w:val="00452A4C"/>
    <w:rsid w:val="004F2A3E"/>
    <w:rsid w:val="00592844"/>
    <w:rsid w:val="005C20F7"/>
    <w:rsid w:val="005D0533"/>
    <w:rsid w:val="005F697C"/>
    <w:rsid w:val="00696C77"/>
    <w:rsid w:val="006E74F0"/>
    <w:rsid w:val="007609DA"/>
    <w:rsid w:val="007A7416"/>
    <w:rsid w:val="007B10B4"/>
    <w:rsid w:val="007B71CF"/>
    <w:rsid w:val="007F2FEA"/>
    <w:rsid w:val="008552B1"/>
    <w:rsid w:val="00865953"/>
    <w:rsid w:val="00927A3A"/>
    <w:rsid w:val="009404AC"/>
    <w:rsid w:val="0097703A"/>
    <w:rsid w:val="009A2AA3"/>
    <w:rsid w:val="00A20809"/>
    <w:rsid w:val="00A5743D"/>
    <w:rsid w:val="00A70CBB"/>
    <w:rsid w:val="00A97C33"/>
    <w:rsid w:val="00AA2A20"/>
    <w:rsid w:val="00AF01D8"/>
    <w:rsid w:val="00B03894"/>
    <w:rsid w:val="00B170CC"/>
    <w:rsid w:val="00B82098"/>
    <w:rsid w:val="00B85FA6"/>
    <w:rsid w:val="00BE506F"/>
    <w:rsid w:val="00BE6E15"/>
    <w:rsid w:val="00C0332A"/>
    <w:rsid w:val="00C16B00"/>
    <w:rsid w:val="00C22BE3"/>
    <w:rsid w:val="00CC585D"/>
    <w:rsid w:val="00D22163"/>
    <w:rsid w:val="00D265A8"/>
    <w:rsid w:val="00D517E3"/>
    <w:rsid w:val="00DA6D93"/>
    <w:rsid w:val="00DF01A0"/>
    <w:rsid w:val="00E26832"/>
    <w:rsid w:val="00E27145"/>
    <w:rsid w:val="00E538F8"/>
    <w:rsid w:val="00E53D04"/>
    <w:rsid w:val="00E55192"/>
    <w:rsid w:val="00E720F2"/>
    <w:rsid w:val="00E833F5"/>
    <w:rsid w:val="00EC1ADB"/>
    <w:rsid w:val="00ED17D0"/>
    <w:rsid w:val="00F8382F"/>
    <w:rsid w:val="00F854F9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6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A6D93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A6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6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A6D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DA6D93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Obsah3">
    <w:name w:val="toc 3"/>
    <w:basedOn w:val="Normlny"/>
    <w:next w:val="Normlny"/>
    <w:autoRedefine/>
    <w:unhideWhenUsed/>
    <w:rsid w:val="00DA6D93"/>
    <w:pPr>
      <w:ind w:firstLine="709"/>
      <w:jc w:val="both"/>
    </w:pPr>
    <w:rPr>
      <w:sz w:val="24"/>
      <w:szCs w:val="24"/>
    </w:rPr>
  </w:style>
  <w:style w:type="paragraph" w:styleId="Nzov">
    <w:name w:val="Title"/>
    <w:basedOn w:val="Normlny"/>
    <w:link w:val="NzovChar"/>
    <w:qFormat/>
    <w:rsid w:val="00DA6D93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DA6D9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A6D9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A6D9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DA6D93"/>
    <w:rPr>
      <w:sz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DA6D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a">
    <w:name w:val="ra"/>
    <w:basedOn w:val="Predvolenpsmoodseku"/>
    <w:rsid w:val="00DA6D93"/>
  </w:style>
  <w:style w:type="character" w:customStyle="1" w:styleId="FontStyle34">
    <w:name w:val="Font Style34"/>
    <w:uiPriority w:val="99"/>
    <w:rsid w:val="00DA6D93"/>
    <w:rPr>
      <w:rFonts w:ascii="Times New Roman" w:hAnsi="Times New Roman" w:cs="Times New Roman" w:hint="default"/>
      <w:sz w:val="16"/>
      <w:szCs w:val="16"/>
    </w:rPr>
  </w:style>
  <w:style w:type="paragraph" w:styleId="Odsekzoznamu">
    <w:name w:val="List Paragraph"/>
    <w:basedOn w:val="Normlny"/>
    <w:uiPriority w:val="34"/>
    <w:qFormat/>
    <w:rsid w:val="00DA6D93"/>
    <w:pPr>
      <w:ind w:left="708"/>
    </w:pPr>
    <w:rPr>
      <w:sz w:val="24"/>
      <w:szCs w:val="24"/>
    </w:rPr>
  </w:style>
  <w:style w:type="paragraph" w:customStyle="1" w:styleId="Odraky-M">
    <w:name w:val="Odražky-M"/>
    <w:basedOn w:val="Normlny"/>
    <w:qFormat/>
    <w:rsid w:val="00DA6D93"/>
    <w:pPr>
      <w:numPr>
        <w:numId w:val="15"/>
      </w:numPr>
      <w:jc w:val="both"/>
    </w:pPr>
    <w:rPr>
      <w:sz w:val="24"/>
      <w:szCs w:val="24"/>
    </w:rPr>
  </w:style>
  <w:style w:type="paragraph" w:customStyle="1" w:styleId="Text-M">
    <w:name w:val="Text-M"/>
    <w:basedOn w:val="Normlny"/>
    <w:qFormat/>
    <w:rsid w:val="00DA6D93"/>
    <w:pPr>
      <w:spacing w:before="120" w:after="120"/>
      <w:jc w:val="both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DA6D93"/>
  </w:style>
  <w:style w:type="paragraph" w:styleId="Textbubliny">
    <w:name w:val="Balloon Text"/>
    <w:basedOn w:val="Normlny"/>
    <w:link w:val="TextbublinyChar"/>
    <w:uiPriority w:val="99"/>
    <w:semiHidden/>
    <w:unhideWhenUsed/>
    <w:rsid w:val="00DA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D9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6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6D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ps">
    <w:name w:val="hps"/>
    <w:rsid w:val="00DA6D93"/>
  </w:style>
  <w:style w:type="paragraph" w:styleId="Normlnywebov">
    <w:name w:val="Normal (Web)"/>
    <w:basedOn w:val="Normlny"/>
    <w:uiPriority w:val="99"/>
    <w:rsid w:val="00DA6D93"/>
    <w:pPr>
      <w:spacing w:before="100" w:beforeAutospacing="1" w:after="100" w:afterAutospacing="1"/>
    </w:pPr>
    <w:rPr>
      <w:sz w:val="24"/>
      <w:szCs w:val="24"/>
    </w:rPr>
  </w:style>
  <w:style w:type="paragraph" w:customStyle="1" w:styleId="Nadpis-M">
    <w:name w:val="Nadpis-M"/>
    <w:basedOn w:val="Nadpis1"/>
    <w:next w:val="Normlny"/>
    <w:qFormat/>
    <w:rsid w:val="00DA6D93"/>
    <w:pPr>
      <w:keepLines w:val="0"/>
      <w:tabs>
        <w:tab w:val="left" w:pos="360"/>
        <w:tab w:val="left" w:pos="709"/>
        <w:tab w:val="num" w:pos="1065"/>
        <w:tab w:val="left" w:pos="2160"/>
        <w:tab w:val="left" w:pos="3060"/>
        <w:tab w:val="right" w:pos="7380"/>
      </w:tabs>
      <w:spacing w:after="240"/>
      <w:ind w:left="1065" w:hanging="1065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paragraph" w:customStyle="1" w:styleId="Podmienky-M">
    <w:name w:val="Podmienky-M"/>
    <w:basedOn w:val="Normlny"/>
    <w:qFormat/>
    <w:rsid w:val="00DA6D93"/>
    <w:pPr>
      <w:tabs>
        <w:tab w:val="left" w:pos="540"/>
        <w:tab w:val="num" w:pos="960"/>
      </w:tabs>
      <w:spacing w:after="120"/>
      <w:ind w:left="960" w:hanging="360"/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A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D9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D9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6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A6D93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A6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6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A6D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DA6D93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Obsah3">
    <w:name w:val="toc 3"/>
    <w:basedOn w:val="Normlny"/>
    <w:next w:val="Normlny"/>
    <w:autoRedefine/>
    <w:unhideWhenUsed/>
    <w:rsid w:val="00DA6D93"/>
    <w:pPr>
      <w:ind w:firstLine="709"/>
      <w:jc w:val="both"/>
    </w:pPr>
    <w:rPr>
      <w:sz w:val="24"/>
      <w:szCs w:val="24"/>
    </w:rPr>
  </w:style>
  <w:style w:type="paragraph" w:styleId="Nzov">
    <w:name w:val="Title"/>
    <w:basedOn w:val="Normlny"/>
    <w:link w:val="NzovChar"/>
    <w:qFormat/>
    <w:rsid w:val="00DA6D93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DA6D9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A6D9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A6D9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DA6D93"/>
    <w:rPr>
      <w:sz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DA6D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a">
    <w:name w:val="ra"/>
    <w:basedOn w:val="Predvolenpsmoodseku"/>
    <w:rsid w:val="00DA6D93"/>
  </w:style>
  <w:style w:type="character" w:customStyle="1" w:styleId="FontStyle34">
    <w:name w:val="Font Style34"/>
    <w:uiPriority w:val="99"/>
    <w:rsid w:val="00DA6D93"/>
    <w:rPr>
      <w:rFonts w:ascii="Times New Roman" w:hAnsi="Times New Roman" w:cs="Times New Roman" w:hint="default"/>
      <w:sz w:val="16"/>
      <w:szCs w:val="16"/>
    </w:rPr>
  </w:style>
  <w:style w:type="paragraph" w:styleId="Odsekzoznamu">
    <w:name w:val="List Paragraph"/>
    <w:basedOn w:val="Normlny"/>
    <w:uiPriority w:val="34"/>
    <w:qFormat/>
    <w:rsid w:val="00DA6D93"/>
    <w:pPr>
      <w:ind w:left="708"/>
    </w:pPr>
    <w:rPr>
      <w:sz w:val="24"/>
      <w:szCs w:val="24"/>
    </w:rPr>
  </w:style>
  <w:style w:type="paragraph" w:customStyle="1" w:styleId="Odraky-M">
    <w:name w:val="Odražky-M"/>
    <w:basedOn w:val="Normlny"/>
    <w:qFormat/>
    <w:rsid w:val="00DA6D93"/>
    <w:pPr>
      <w:numPr>
        <w:numId w:val="15"/>
      </w:numPr>
      <w:jc w:val="both"/>
    </w:pPr>
    <w:rPr>
      <w:sz w:val="24"/>
      <w:szCs w:val="24"/>
    </w:rPr>
  </w:style>
  <w:style w:type="paragraph" w:customStyle="1" w:styleId="Text-M">
    <w:name w:val="Text-M"/>
    <w:basedOn w:val="Normlny"/>
    <w:qFormat/>
    <w:rsid w:val="00DA6D93"/>
    <w:pPr>
      <w:spacing w:before="120" w:after="120"/>
      <w:jc w:val="both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DA6D93"/>
  </w:style>
  <w:style w:type="paragraph" w:styleId="Textbubliny">
    <w:name w:val="Balloon Text"/>
    <w:basedOn w:val="Normlny"/>
    <w:link w:val="TextbublinyChar"/>
    <w:uiPriority w:val="99"/>
    <w:semiHidden/>
    <w:unhideWhenUsed/>
    <w:rsid w:val="00DA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D9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6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6D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ps">
    <w:name w:val="hps"/>
    <w:rsid w:val="00DA6D93"/>
  </w:style>
  <w:style w:type="paragraph" w:styleId="Normlnywebov">
    <w:name w:val="Normal (Web)"/>
    <w:basedOn w:val="Normlny"/>
    <w:uiPriority w:val="99"/>
    <w:rsid w:val="00DA6D93"/>
    <w:pPr>
      <w:spacing w:before="100" w:beforeAutospacing="1" w:after="100" w:afterAutospacing="1"/>
    </w:pPr>
    <w:rPr>
      <w:sz w:val="24"/>
      <w:szCs w:val="24"/>
    </w:rPr>
  </w:style>
  <w:style w:type="paragraph" w:customStyle="1" w:styleId="Nadpis-M">
    <w:name w:val="Nadpis-M"/>
    <w:basedOn w:val="Nadpis1"/>
    <w:next w:val="Normlny"/>
    <w:qFormat/>
    <w:rsid w:val="00DA6D93"/>
    <w:pPr>
      <w:keepLines w:val="0"/>
      <w:tabs>
        <w:tab w:val="left" w:pos="360"/>
        <w:tab w:val="left" w:pos="709"/>
        <w:tab w:val="num" w:pos="1065"/>
        <w:tab w:val="left" w:pos="2160"/>
        <w:tab w:val="left" w:pos="3060"/>
        <w:tab w:val="right" w:pos="7380"/>
      </w:tabs>
      <w:spacing w:after="240"/>
      <w:ind w:left="1065" w:hanging="1065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paragraph" w:customStyle="1" w:styleId="Podmienky-M">
    <w:name w:val="Podmienky-M"/>
    <w:basedOn w:val="Normlny"/>
    <w:qFormat/>
    <w:rsid w:val="00DA6D93"/>
    <w:pPr>
      <w:tabs>
        <w:tab w:val="left" w:pos="540"/>
        <w:tab w:val="num" w:pos="960"/>
      </w:tabs>
      <w:spacing w:after="120"/>
      <w:ind w:left="960" w:hanging="360"/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A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D9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D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D9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WKX3UHSAJ2R6-2-437000</_dlc_DocId>
    <_dlc_DocIdUrl xmlns="e60a29af-d413-48d4-bd90-fe9d2a897e4b">
      <Url>https://ovdmasv601/sites/DMS/_layouts/15/DocIdRedir.aspx?ID=WKX3UHSAJ2R6-2-437000</Url>
      <Description>WKX3UHSAJ2R6-2-437000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55C1DF-E0E0-4F36-9C8B-F6D400E57CFB}"/>
</file>

<file path=customXml/itemProps2.xml><?xml version="1.0" encoding="utf-8"?>
<ds:datastoreItem xmlns:ds="http://schemas.openxmlformats.org/officeDocument/2006/customXml" ds:itemID="{CA11984E-5406-49A7-BD81-FA1C5642D12F}"/>
</file>

<file path=customXml/itemProps3.xml><?xml version="1.0" encoding="utf-8"?>
<ds:datastoreItem xmlns:ds="http://schemas.openxmlformats.org/officeDocument/2006/customXml" ds:itemID="{8869EF24-A15B-4303-844B-40B5740503F3}"/>
</file>

<file path=customXml/itemProps4.xml><?xml version="1.0" encoding="utf-8"?>
<ds:datastoreItem xmlns:ds="http://schemas.openxmlformats.org/officeDocument/2006/customXml" ds:itemID="{6D15A8FE-640F-45D5-96C1-1E087681D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 Katarina</dc:creator>
  <cp:lastModifiedBy>Radova Katarina</cp:lastModifiedBy>
  <cp:revision>3</cp:revision>
  <dcterms:created xsi:type="dcterms:W3CDTF">2016-03-01T08:38:00Z</dcterms:created>
  <dcterms:modified xsi:type="dcterms:W3CDTF">2016-03-01T08:43:00Z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bdcd26f3-b4b0-4184-ab7a-17201ff8659f</vt:lpwstr>
  </property>
</Properties>
</file>