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B62F07" w:rsidRDefault="00B62F07"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B62F07">
        <w:trPr>
          <w:divId w:val="1185941248"/>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1.  Základné údaje</w:t>
            </w:r>
          </w:p>
        </w:tc>
      </w:tr>
      <w:tr w:rsidR="00B62F07">
        <w:trPr>
          <w:divId w:val="1185941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Názov materiálu</w:t>
            </w:r>
          </w:p>
        </w:tc>
      </w:tr>
      <w:tr w:rsidR="00B62F07">
        <w:trPr>
          <w:divId w:val="1185941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Zákon, ktorým sa mení a dopĺňa zákon č. 140/2014 Z. z. o nadobúdaní vlastníctva poľnohospodárskeho pozemku a o zmene a doplnení niektorých zákonov v znení neskorších predpisov</w:t>
            </w:r>
          </w:p>
        </w:tc>
      </w:tr>
      <w:tr w:rsidR="00B62F07">
        <w:trPr>
          <w:divId w:val="1185941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Predkladateľ (a spolupredkladateľ)</w:t>
            </w:r>
          </w:p>
        </w:tc>
      </w:tr>
      <w:tr w:rsidR="00B62F07">
        <w:trPr>
          <w:divId w:val="1185941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Ministerstvo pôdohospodárstva a rozvoja vidieka Slovenskej republiky</w:t>
            </w:r>
          </w:p>
        </w:tc>
      </w:tr>
      <w:tr w:rsidR="00B62F07">
        <w:trPr>
          <w:divId w:val="1185941248"/>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B62F07">
        <w:trPr>
          <w:divId w:val="118594124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B62F07">
        <w:trPr>
          <w:divId w:val="118594124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B62F07" w:rsidTr="002A0CE6">
        <w:trPr>
          <w:divId w:val="1185941248"/>
          <w:trHeight w:val="6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p>
        </w:tc>
      </w:tr>
      <w:tr w:rsidR="00B62F07">
        <w:trPr>
          <w:divId w:val="118594124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B62F07">
        <w:trPr>
          <w:divId w:val="118594124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B62F07" w:rsidRDefault="00AC0B3D">
            <w:pPr>
              <w:rPr>
                <w:rFonts w:ascii="Times" w:hAnsi="Times" w:cs="Times"/>
                <w:sz w:val="20"/>
                <w:szCs w:val="20"/>
              </w:rPr>
            </w:pPr>
            <w:r>
              <w:rPr>
                <w:rFonts w:ascii="Times" w:hAnsi="Times" w:cs="Times"/>
                <w:sz w:val="20"/>
                <w:szCs w:val="20"/>
              </w:rPr>
              <w:t>---</w:t>
            </w:r>
          </w:p>
        </w:tc>
      </w:tr>
      <w:tr w:rsidR="00B62F07">
        <w:trPr>
          <w:divId w:val="1185941248"/>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B62F07" w:rsidRDefault="00AC0B3D">
            <w:pPr>
              <w:rPr>
                <w:rFonts w:ascii="Times" w:hAnsi="Times" w:cs="Times"/>
                <w:sz w:val="20"/>
                <w:szCs w:val="20"/>
              </w:rPr>
            </w:pPr>
            <w:r>
              <w:rPr>
                <w:rFonts w:ascii="Times" w:hAnsi="Times" w:cs="Times"/>
                <w:sz w:val="20"/>
                <w:szCs w:val="20"/>
              </w:rPr>
              <w:t>február</w:t>
            </w:r>
            <w:r w:rsidR="00B62F07">
              <w:rPr>
                <w:rFonts w:ascii="Times" w:hAnsi="Times" w:cs="Times"/>
                <w:sz w:val="20"/>
                <w:szCs w:val="20"/>
              </w:rPr>
              <w:t xml:space="preserve"> 201</w:t>
            </w:r>
            <w:r>
              <w:rPr>
                <w:rFonts w:ascii="Times" w:hAnsi="Times" w:cs="Times"/>
                <w:sz w:val="20"/>
                <w:szCs w:val="20"/>
              </w:rPr>
              <w:t>7</w:t>
            </w:r>
            <w:bookmarkStart w:id="0" w:name="_GoBack"/>
            <w:bookmarkEnd w:id="0"/>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2.  Definícia problému</w:t>
            </w:r>
          </w:p>
        </w:tc>
      </w:tr>
      <w:tr w:rsidR="00B62F07" w:rsidTr="002A0CE6">
        <w:trPr>
          <w:divId w:val="854616935"/>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 xml:space="preserve">1. Doplniť evidenciu aktívnych poľnohospodárov, ktorou sa uľahčí prístup týchto osôb k poľnohospodárskym pozemkom a znížiť tým administratívne zaťaženie ako poľnohospodárov tak aj orgánov štátnej správy na tomto úseku. </w:t>
            </w:r>
            <w:r>
              <w:rPr>
                <w:rFonts w:ascii="Times" w:hAnsi="Times" w:cs="Times"/>
                <w:sz w:val="20"/>
                <w:szCs w:val="20"/>
              </w:rPr>
              <w:br/>
              <w:t>2. Odstrániť nedostatky uvedené v odôvodnenom stanovisku orgánov Európskej únie.</w:t>
            </w:r>
            <w:r>
              <w:rPr>
                <w:rFonts w:ascii="Times" w:hAnsi="Times" w:cs="Times"/>
                <w:sz w:val="20"/>
                <w:szCs w:val="20"/>
              </w:rPr>
              <w:br/>
              <w:t>3. Odstrániť problematické ustanovenia z hľadiska aplikačnej praxe.</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3.  Ciele a výsledný stav</w:t>
            </w:r>
          </w:p>
        </w:tc>
      </w:tr>
      <w:tr w:rsidR="00B62F07" w:rsidTr="002A0CE6">
        <w:trPr>
          <w:divId w:val="854616935"/>
          <w:trHeight w:val="237"/>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Odstrániť nadmernú administratívnu záťaž poľnohospodárov a tiež štátnej správy na úseku pozemkovom.</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4.  Dotknuté subjekty</w:t>
            </w:r>
          </w:p>
        </w:tc>
      </w:tr>
      <w:tr w:rsidR="00B62F07" w:rsidTr="002A0CE6">
        <w:trPr>
          <w:divId w:val="854616935"/>
          <w:trHeight w:val="428"/>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2A0CE6">
            <w:pPr>
              <w:rPr>
                <w:rFonts w:ascii="Times" w:hAnsi="Times" w:cs="Times"/>
                <w:b/>
                <w:bCs/>
                <w:sz w:val="22"/>
                <w:szCs w:val="22"/>
              </w:rPr>
            </w:pPr>
            <w:r w:rsidRPr="002A0CE6">
              <w:rPr>
                <w:rFonts w:ascii="Times" w:hAnsi="Times" w:cs="Times"/>
                <w:sz w:val="20"/>
                <w:szCs w:val="20"/>
              </w:rPr>
              <w:t>V rámci podnikateľskej sféry sú to vlastníci poľnohospodárskych pozemkov a záujemcovia o poľnohospodárske pozemky</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5.  Alternatívne riešenia</w:t>
            </w:r>
          </w:p>
        </w:tc>
      </w:tr>
      <w:tr w:rsidR="00B62F07" w:rsidTr="002A0CE6">
        <w:trPr>
          <w:divId w:val="854616935"/>
          <w:trHeight w:val="255"/>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Nie</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6.  Vykonávacie predpisy</w:t>
            </w:r>
          </w:p>
        </w:tc>
      </w:tr>
      <w:tr w:rsidR="00B62F07" w:rsidTr="002A0CE6">
        <w:trPr>
          <w:divId w:val="854616935"/>
          <w:trHeight w:val="277"/>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xml:space="preserve">  7.  Transpozícia práva EÚ </w:t>
            </w:r>
          </w:p>
        </w:tc>
      </w:tr>
      <w:tr w:rsidR="00B62F07" w:rsidTr="002A0CE6">
        <w:trPr>
          <w:divId w:val="854616935"/>
          <w:trHeight w:val="257"/>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Nie</w:t>
            </w:r>
          </w:p>
        </w:tc>
      </w:tr>
      <w:tr w:rsidR="00B62F07" w:rsidTr="002A0CE6">
        <w:trPr>
          <w:divId w:val="85461693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8.  Preskúmanie účelnosti**</w:t>
            </w:r>
          </w:p>
        </w:tc>
      </w:tr>
      <w:tr w:rsidR="00B62F07" w:rsidTr="002A0CE6">
        <w:trPr>
          <w:divId w:val="854616935"/>
          <w:trHeight w:val="293"/>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sz w:val="20"/>
                <w:szCs w:val="20"/>
              </w:rPr>
            </w:pPr>
            <w:r>
              <w:rPr>
                <w:rFonts w:ascii="Times" w:hAnsi="Times" w:cs="Times"/>
                <w:sz w:val="20"/>
                <w:szCs w:val="20"/>
              </w:rPr>
              <w:t>Konzultácie na úrovni vedeckých organizácií a tiež organizácií zastupujúcich poľnohospodárov.</w:t>
            </w:r>
          </w:p>
        </w:tc>
      </w:tr>
    </w:tbl>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B62F07" w:rsidTr="002A0CE6">
        <w:trPr>
          <w:divId w:val="900213857"/>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0"/>
                <w:szCs w:val="20"/>
              </w:rPr>
            </w:pPr>
            <w:r>
              <w:rPr>
                <w:rFonts w:ascii="Times" w:hAnsi="Times" w:cs="Times"/>
                <w:b/>
                <w:bCs/>
                <w:sz w:val="20"/>
                <w:szCs w:val="20"/>
              </w:rPr>
              <w:t>  9.   Vplyvy navrhovaného materiálu</w:t>
            </w:r>
          </w:p>
        </w:tc>
      </w:tr>
      <w:tr w:rsidR="00B62F07">
        <w:trPr>
          <w:divId w:val="90021385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B62F07">
        <w:trPr>
          <w:divId w:val="900213857"/>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B62F07">
        <w:trPr>
          <w:divId w:val="90021385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62F07" w:rsidRDefault="00B62F07">
            <w:pPr>
              <w:rPr>
                <w:rFonts w:ascii="Times" w:hAnsi="Times" w:cs="Times"/>
                <w:sz w:val="20"/>
                <w:szCs w:val="20"/>
              </w:rPr>
            </w:pPr>
            <w:r>
              <w:rPr>
                <w:rFonts w:ascii="Times" w:hAnsi="Times" w:cs="Times"/>
                <w:b/>
                <w:bCs/>
                <w:sz w:val="20"/>
                <w:szCs w:val="20"/>
              </w:rPr>
              <w:lastRenderedPageBreak/>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B62F07">
        <w:trPr>
          <w:divId w:val="900213857"/>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62F07" w:rsidRDefault="00B62F07">
            <w:pPr>
              <w:rPr>
                <w:rFonts w:ascii="Times" w:hAnsi="Times" w:cs="Times"/>
                <w:sz w:val="20"/>
                <w:szCs w:val="20"/>
              </w:rPr>
            </w:pPr>
            <w:r>
              <w:rPr>
                <w:rFonts w:ascii="Times" w:hAnsi="Times" w:cs="Times"/>
                <w:sz w:val="20"/>
                <w:szCs w:val="20"/>
              </w:rPr>
              <w:t> </w:t>
            </w:r>
            <w:r w:rsidR="00AC633A">
              <w:rPr>
                <w:rFonts w:ascii="Times" w:hAnsi="Times" w:cs="Times"/>
                <w:sz w:val="20"/>
                <w:szCs w:val="20"/>
              </w:rPr>
              <w:t xml:space="preserve"> </w:t>
            </w:r>
            <w:r w:rsidR="00AC633A">
              <w:rPr>
                <w:rFonts w:ascii="Wingdings 2" w:hAnsi="Wingdings 2" w:cs="Times"/>
                <w:sz w:val="20"/>
                <w:szCs w:val="20"/>
              </w:rPr>
              <w:t></w:t>
            </w:r>
            <w:r>
              <w:rPr>
                <w:rFonts w:ascii="Times" w:hAnsi="Times" w:cs="Times"/>
                <w:sz w:val="20"/>
                <w:szCs w:val="20"/>
              </w:rPr>
              <w:t>  Negatívne</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B62F07" w:rsidTr="002A0CE6">
        <w:trPr>
          <w:divId w:val="1640451336"/>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10.  Poznámky</w:t>
            </w:r>
          </w:p>
        </w:tc>
      </w:tr>
      <w:tr w:rsidR="00B62F07" w:rsidRPr="002A0CE6" w:rsidTr="002A0CE6">
        <w:trPr>
          <w:divId w:val="1640451336"/>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150DA6">
            <w:pPr>
              <w:rPr>
                <w:sz w:val="20"/>
                <w:szCs w:val="20"/>
              </w:rPr>
            </w:pPr>
            <w:r w:rsidRPr="002A0CE6">
              <w:rPr>
                <w:sz w:val="20"/>
                <w:szCs w:val="20"/>
              </w:rPr>
              <w:t>Finančné prostriedky budú zabezpečené v rámci schválených výdavkov kapitoly MPRV SR zo zdroja 111, programu 090 0401 bez zvýšených požiadaviek na prostriedky štátneho rozpočtu.</w:t>
            </w:r>
          </w:p>
          <w:p w:rsidR="002A0CE6" w:rsidRPr="002A0CE6" w:rsidRDefault="002A0CE6" w:rsidP="002A0CE6">
            <w:pPr>
              <w:rPr>
                <w:rFonts w:ascii="Times" w:hAnsi="Times" w:cs="Times"/>
                <w:b/>
                <w:bCs/>
                <w:sz w:val="20"/>
                <w:szCs w:val="20"/>
              </w:rPr>
            </w:pPr>
            <w:r>
              <w:rPr>
                <w:sz w:val="20"/>
                <w:szCs w:val="20"/>
              </w:rPr>
              <w:t>Návrh bol predmetom konzultácií podľa bodu 5.8. JMPVV. Návrh bol prerokovaný v stálom poradnom orgáne Rade pre poľnohospodársku samosprávu dňa 1. júla 2016. Členovia rady vzniesli k návrhu pripomienky</w:t>
            </w:r>
            <w:r w:rsidR="00810D05">
              <w:rPr>
                <w:sz w:val="20"/>
                <w:szCs w:val="20"/>
              </w:rPr>
              <w:t xml:space="preserve"> týkajúce sa postavenie mladého poľnohospodára a prevodu spoluvlastníckeho podielu na pozemku</w:t>
            </w:r>
            <w:r>
              <w:rPr>
                <w:sz w:val="20"/>
                <w:szCs w:val="20"/>
              </w:rPr>
              <w:t xml:space="preserve">, ktoré boli po vysvetlení zapracované do </w:t>
            </w:r>
            <w:r w:rsidR="00810D05">
              <w:rPr>
                <w:sz w:val="20"/>
                <w:szCs w:val="20"/>
              </w:rPr>
              <w:t>čl. I bodu 1 § 4 ods. 9 a 12 návrhu.</w:t>
            </w:r>
          </w:p>
        </w:tc>
      </w:tr>
      <w:tr w:rsidR="00B62F07" w:rsidTr="002A0CE6">
        <w:trPr>
          <w:divId w:val="1640451336"/>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11.  Kontakt na spracovateľa</w:t>
            </w:r>
          </w:p>
        </w:tc>
      </w:tr>
      <w:tr w:rsidR="00B62F07" w:rsidTr="002A0CE6">
        <w:trPr>
          <w:divId w:val="1640451336"/>
          <w:trHeight w:val="95"/>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AC0B3D">
            <w:pPr>
              <w:rPr>
                <w:rFonts w:ascii="Times" w:hAnsi="Times" w:cs="Times"/>
                <w:sz w:val="20"/>
                <w:szCs w:val="20"/>
              </w:rPr>
            </w:pPr>
            <w:hyperlink r:id="rId7" w:history="1">
              <w:r w:rsidR="002A0CE6" w:rsidRPr="00D3279D">
                <w:rPr>
                  <w:rStyle w:val="Hypertextovprepojenie"/>
                  <w:rFonts w:ascii="Times" w:hAnsi="Times" w:cs="Times"/>
                  <w:sz w:val="20"/>
                  <w:szCs w:val="20"/>
                </w:rPr>
                <w:t>martin.illas@land.gov.sk</w:t>
              </w:r>
            </w:hyperlink>
            <w:r w:rsidR="002A0CE6">
              <w:rPr>
                <w:rFonts w:ascii="Times" w:hAnsi="Times" w:cs="Times"/>
                <w:sz w:val="20"/>
                <w:szCs w:val="20"/>
              </w:rPr>
              <w:t xml:space="preserve"> </w:t>
            </w:r>
          </w:p>
        </w:tc>
      </w:tr>
      <w:tr w:rsidR="00B62F07" w:rsidTr="002A0CE6">
        <w:trPr>
          <w:divId w:val="1640451336"/>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12.  Zdroje</w:t>
            </w:r>
          </w:p>
        </w:tc>
      </w:tr>
      <w:tr w:rsidR="00B62F07" w:rsidTr="002A0CE6">
        <w:trPr>
          <w:divId w:val="1640451336"/>
          <w:trHeight w:val="65"/>
          <w:jc w:val="center"/>
        </w:trPr>
        <w:tc>
          <w:tcPr>
            <w:tcW w:w="5000" w:type="pct"/>
            <w:tcBorders>
              <w:top w:val="outset" w:sz="6" w:space="0" w:color="000000"/>
              <w:left w:val="outset" w:sz="6" w:space="0" w:color="000000"/>
              <w:bottom w:val="outset" w:sz="6" w:space="0" w:color="000000"/>
              <w:right w:val="outset" w:sz="6" w:space="0" w:color="000000"/>
            </w:tcBorders>
            <w:hideMark/>
          </w:tcPr>
          <w:p w:rsidR="00B62F07" w:rsidRDefault="00B62F07">
            <w:pPr>
              <w:rPr>
                <w:rFonts w:ascii="Times" w:hAnsi="Times" w:cs="Times"/>
                <w:b/>
                <w:bCs/>
                <w:sz w:val="22"/>
                <w:szCs w:val="22"/>
              </w:rPr>
            </w:pPr>
          </w:p>
        </w:tc>
      </w:tr>
      <w:tr w:rsidR="00B62F07" w:rsidTr="002A0CE6">
        <w:trPr>
          <w:divId w:val="1640451336"/>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62F07" w:rsidRDefault="00B62F07">
            <w:pPr>
              <w:rPr>
                <w:rFonts w:ascii="Times" w:hAnsi="Times" w:cs="Times"/>
                <w:b/>
                <w:bCs/>
                <w:sz w:val="22"/>
                <w:szCs w:val="22"/>
              </w:rPr>
            </w:pPr>
            <w:r>
              <w:rPr>
                <w:rFonts w:ascii="Times" w:hAnsi="Times" w:cs="Times"/>
                <w:b/>
                <w:bCs/>
                <w:sz w:val="22"/>
                <w:szCs w:val="22"/>
              </w:rPr>
              <w:t>  13.  Stanovisko Komisie pre posudzovanie vybraných vplyvov z PPK</w:t>
            </w:r>
          </w:p>
        </w:tc>
      </w:tr>
      <w:tr w:rsidR="00B62F07" w:rsidRPr="003B3065" w:rsidTr="003B3065">
        <w:trPr>
          <w:divId w:val="1640451336"/>
          <w:trHeight w:val="532"/>
          <w:jc w:val="center"/>
        </w:trPr>
        <w:tc>
          <w:tcPr>
            <w:tcW w:w="5000" w:type="pct"/>
            <w:tcBorders>
              <w:top w:val="outset" w:sz="6" w:space="0" w:color="000000"/>
              <w:left w:val="outset" w:sz="6" w:space="0" w:color="000000"/>
              <w:bottom w:val="outset" w:sz="6" w:space="0" w:color="000000"/>
              <w:right w:val="outset" w:sz="6" w:space="0" w:color="000000"/>
            </w:tcBorders>
            <w:hideMark/>
          </w:tcPr>
          <w:p w:rsidR="003B3065" w:rsidRPr="003B3065" w:rsidRDefault="003B3065" w:rsidP="003B3065">
            <w:pPr>
              <w:tabs>
                <w:tab w:val="center" w:pos="6379"/>
              </w:tabs>
              <w:jc w:val="both"/>
              <w:rPr>
                <w:bCs/>
                <w:sz w:val="20"/>
                <w:szCs w:val="20"/>
              </w:rPr>
            </w:pPr>
            <w:r w:rsidRPr="003B3065">
              <w:rPr>
                <w:b/>
                <w:bCs/>
                <w:sz w:val="20"/>
                <w:szCs w:val="20"/>
              </w:rPr>
              <w:t xml:space="preserve">I. Úvod: </w:t>
            </w:r>
            <w:r w:rsidRPr="003B3065">
              <w:rPr>
                <w:bCs/>
                <w:sz w:val="20"/>
                <w:szCs w:val="20"/>
              </w:rPr>
              <w:t xml:space="preserve">Ministerstvo pôdohospodárstva a rozvoja vidieka </w:t>
            </w:r>
            <w:r w:rsidRPr="003B3065">
              <w:rPr>
                <w:sz w:val="20"/>
                <w:szCs w:val="20"/>
              </w:rPr>
              <w:t>Slovenskej republiky</w:t>
            </w:r>
            <w:r w:rsidRPr="003B3065">
              <w:rPr>
                <w:bCs/>
                <w:sz w:val="20"/>
                <w:szCs w:val="20"/>
              </w:rPr>
              <w:t xml:space="preserve"> dňa 18. júla 2016 predložilo Stálej pracovnej komisií na posudzovanie vybraných vplyvov (ďalej len „Komisia“) na predbežné pripomienkové konanie materiál: </w:t>
            </w:r>
            <w:r w:rsidRPr="003B3065">
              <w:rPr>
                <w:bCs/>
                <w:i/>
                <w:sz w:val="20"/>
                <w:szCs w:val="20"/>
              </w:rPr>
              <w:t>„Zákon, ktorým sa mení a dopĺňa zákon č. 140/2014 Z. z. o nadobúdaní vlastníctva poľnohospodárskeho pozemku a o zmene a doplnení niektorých zákonov v znení neskorších predpisov“</w:t>
            </w:r>
            <w:r w:rsidRPr="003B3065">
              <w:rPr>
                <w:bCs/>
                <w:sz w:val="20"/>
                <w:szCs w:val="20"/>
              </w:rPr>
              <w:t>. Materiál predpokladá negatívne vplyvy na rozpočet verejnej správy, ktoré sú rozpočtovo zabezpečené, pozitívne vplyvy na podnikateľské prostredie, vrátane pozitívnych vplyvov na malé a stredné podniky,  pozitívne sociálne vplyvy, pozitívne vplyvy na životné prostredie, pozitívne vplyvy na informatizáciu spoločnosti, pozitívne vplyvy služieb verejnej správy na občana a pozitívne vplyvy na procesy služieb vo verejnej správe.</w:t>
            </w:r>
          </w:p>
          <w:p w:rsidR="003B3065" w:rsidRPr="003B3065" w:rsidRDefault="003B3065" w:rsidP="003B3065">
            <w:pPr>
              <w:tabs>
                <w:tab w:val="center" w:pos="6379"/>
              </w:tabs>
              <w:jc w:val="both"/>
              <w:rPr>
                <w:b/>
                <w:bCs/>
                <w:sz w:val="20"/>
                <w:szCs w:val="20"/>
              </w:rPr>
            </w:pPr>
          </w:p>
          <w:p w:rsidR="003B3065" w:rsidRPr="003B3065" w:rsidRDefault="003B3065" w:rsidP="003B3065">
            <w:pPr>
              <w:tabs>
                <w:tab w:val="center" w:pos="6379"/>
              </w:tabs>
              <w:jc w:val="both"/>
              <w:rPr>
                <w:bCs/>
                <w:sz w:val="20"/>
                <w:szCs w:val="20"/>
              </w:rPr>
            </w:pPr>
            <w:r w:rsidRPr="003B3065">
              <w:rPr>
                <w:b/>
                <w:bCs/>
                <w:sz w:val="20"/>
                <w:szCs w:val="20"/>
              </w:rPr>
              <w:t>II. P</w:t>
            </w:r>
            <w:r w:rsidRPr="003B3065">
              <w:rPr>
                <w:b/>
                <w:sz w:val="20"/>
                <w:szCs w:val="20"/>
              </w:rPr>
              <w:t>r</w:t>
            </w:r>
            <w:r w:rsidRPr="003B3065">
              <w:rPr>
                <w:b/>
                <w:bCs/>
                <w:sz w:val="20"/>
                <w:szCs w:val="20"/>
              </w:rPr>
              <w:t>ipomienky a návrhy zm</w:t>
            </w:r>
            <w:r w:rsidRPr="003B3065">
              <w:rPr>
                <w:b/>
                <w:sz w:val="20"/>
                <w:szCs w:val="20"/>
              </w:rPr>
              <w:t>ie</w:t>
            </w:r>
            <w:r w:rsidRPr="003B3065">
              <w:rPr>
                <w:b/>
                <w:bCs/>
                <w:sz w:val="20"/>
                <w:szCs w:val="20"/>
              </w:rPr>
              <w:t xml:space="preserve">n: </w:t>
            </w:r>
            <w:r w:rsidRPr="003B3065">
              <w:rPr>
                <w:bCs/>
                <w:sz w:val="20"/>
                <w:szCs w:val="20"/>
              </w:rPr>
              <w:t>Komisia uplatňuje k materiálu nasledovné pripomienky a odporúčania.</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
                <w:bCs/>
                <w:sz w:val="20"/>
                <w:szCs w:val="20"/>
              </w:rPr>
            </w:pPr>
            <w:r w:rsidRPr="003B3065">
              <w:rPr>
                <w:b/>
                <w:bCs/>
                <w:sz w:val="20"/>
                <w:szCs w:val="20"/>
              </w:rPr>
              <w:t>K doložke vybraných vplyvov</w:t>
            </w:r>
          </w:p>
          <w:p w:rsidR="003B3065" w:rsidRPr="003B3065" w:rsidRDefault="003B3065" w:rsidP="003B3065">
            <w:pPr>
              <w:tabs>
                <w:tab w:val="center" w:pos="6379"/>
              </w:tabs>
              <w:jc w:val="both"/>
              <w:rPr>
                <w:bCs/>
                <w:sz w:val="20"/>
                <w:szCs w:val="20"/>
              </w:rPr>
            </w:pPr>
            <w:r w:rsidRPr="003B3065">
              <w:rPr>
                <w:bCs/>
                <w:sz w:val="20"/>
                <w:szCs w:val="20"/>
              </w:rPr>
              <w:t>Predkladateľ v doložke vyznačil pozitívny sociálny, avšak nevypracoval analýzu sociálnych vplyvov, ktorú mal vypracovať podľa bodu 4.5 Jednotnej metodiky na posudzovanie vybraných vplyvov. Podľa názoru Komisie predložený materiál nemá sociálny vplyv; pre fyzické osoby, ktorých sa zákon dotýka sa len zjednodušuje administratívna stránka procesu, čo má byť zhrnuté v analýze vplyvov na služby pre občana. V doložke vybraných vplyvov je preto potrebné vyznačiť žiadny sociálny vplyv. Pokiaľ chce predkladateľ informáciu o zjednodušení administratívneho procesu zdôrazniť, je možné tak urobiť v časti Poznámky v Doložke vybraných vplyvov.</w:t>
            </w:r>
          </w:p>
          <w:p w:rsidR="003B3065" w:rsidRPr="003B3065" w:rsidRDefault="003B3065" w:rsidP="003B3065">
            <w:pPr>
              <w:tabs>
                <w:tab w:val="center" w:pos="6379"/>
              </w:tabs>
              <w:jc w:val="both"/>
              <w:rPr>
                <w:b/>
                <w:bCs/>
                <w:sz w:val="20"/>
                <w:szCs w:val="20"/>
              </w:rPr>
            </w:pPr>
          </w:p>
          <w:p w:rsidR="003B3065" w:rsidRPr="003B3065" w:rsidRDefault="003B3065" w:rsidP="003B3065">
            <w:pPr>
              <w:tabs>
                <w:tab w:val="center" w:pos="6379"/>
              </w:tabs>
              <w:jc w:val="both"/>
              <w:rPr>
                <w:bCs/>
                <w:sz w:val="20"/>
                <w:szCs w:val="20"/>
              </w:rPr>
            </w:pPr>
            <w:r w:rsidRPr="003B3065">
              <w:rPr>
                <w:bCs/>
                <w:sz w:val="20"/>
                <w:szCs w:val="20"/>
              </w:rPr>
              <w:t>Vplyvy na životné prostredie vyplývajúce z obsahu materiálu sú veľmi nepriame a minimálne, a nie je možné určiť jednoznačne, že sa jedná len o pozitívne vplyvy. Komisia odporúča predkladateľovi označiť vplyvy na životné prostredie v Doložke vplyvov ako žiadne, aj vzhľadom na fakt, že predkladaná novela sleduje najmä zníženie administratívnej záťaže a iné náležitosti uvedené aj v Doložke vplyvov.</w:t>
            </w:r>
          </w:p>
          <w:p w:rsidR="003B3065" w:rsidRPr="003B3065" w:rsidRDefault="003B3065" w:rsidP="003B3065">
            <w:pPr>
              <w:tabs>
                <w:tab w:val="center" w:pos="6379"/>
              </w:tabs>
              <w:jc w:val="both"/>
              <w:rPr>
                <w:bCs/>
                <w:sz w:val="20"/>
                <w:szCs w:val="20"/>
              </w:rPr>
            </w:pPr>
            <w:r w:rsidRPr="003B3065">
              <w:rPr>
                <w:bCs/>
                <w:sz w:val="20"/>
                <w:szCs w:val="20"/>
              </w:rPr>
              <w:t>Zároveň Komisia žiada o zosúladenie znenia predkladacej správy s Doložkou vplyvov.</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
                <w:bCs/>
                <w:sz w:val="20"/>
                <w:szCs w:val="20"/>
              </w:rPr>
            </w:pPr>
            <w:r w:rsidRPr="003B3065">
              <w:rPr>
                <w:b/>
                <w:bCs/>
                <w:sz w:val="20"/>
                <w:szCs w:val="20"/>
              </w:rPr>
              <w:t>K analýze vplyvov na informatizáciu spoločnosti</w:t>
            </w:r>
          </w:p>
          <w:p w:rsidR="003B3065" w:rsidRPr="003B3065" w:rsidRDefault="003B3065" w:rsidP="003B3065">
            <w:pPr>
              <w:tabs>
                <w:tab w:val="center" w:pos="6379"/>
              </w:tabs>
              <w:jc w:val="both"/>
              <w:rPr>
                <w:bCs/>
                <w:sz w:val="20"/>
                <w:szCs w:val="20"/>
              </w:rPr>
            </w:pPr>
            <w:r w:rsidRPr="003B3065">
              <w:rPr>
                <w:bCs/>
                <w:sz w:val="20"/>
                <w:szCs w:val="20"/>
              </w:rPr>
              <w:t>Predkladateľ v rámci analýzy vplyvov na informatizáciu spoločnosti v</w:t>
            </w:r>
          </w:p>
          <w:p w:rsidR="003B3065" w:rsidRPr="003B3065" w:rsidRDefault="003B3065" w:rsidP="003B3065">
            <w:pPr>
              <w:tabs>
                <w:tab w:val="center" w:pos="6379"/>
              </w:tabs>
              <w:jc w:val="both"/>
              <w:rPr>
                <w:bCs/>
                <w:sz w:val="20"/>
                <w:szCs w:val="20"/>
              </w:rPr>
            </w:pPr>
            <w:r w:rsidRPr="003B3065">
              <w:rPr>
                <w:bCs/>
                <w:sz w:val="20"/>
                <w:szCs w:val="20"/>
              </w:rPr>
              <w:t>-          bode 6.1 neuviedol kód služby z MetaIS</w:t>
            </w:r>
          </w:p>
          <w:p w:rsidR="003B3065" w:rsidRPr="003B3065" w:rsidRDefault="003B3065" w:rsidP="003B3065">
            <w:pPr>
              <w:tabs>
                <w:tab w:val="center" w:pos="6379"/>
              </w:tabs>
              <w:jc w:val="both"/>
              <w:rPr>
                <w:bCs/>
                <w:sz w:val="20"/>
                <w:szCs w:val="20"/>
              </w:rPr>
            </w:pPr>
            <w:r w:rsidRPr="003B3065">
              <w:rPr>
                <w:bCs/>
                <w:sz w:val="20"/>
                <w:szCs w:val="20"/>
              </w:rPr>
              <w:t>-          bode 6.2 neuviedol kód ISVS.</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Cs/>
                <w:sz w:val="20"/>
                <w:szCs w:val="20"/>
              </w:rPr>
            </w:pPr>
            <w:r w:rsidRPr="003B3065">
              <w:rPr>
                <w:bCs/>
                <w:sz w:val="20"/>
                <w:szCs w:val="20"/>
              </w:rPr>
              <w:t>Pri overovaní súladu údajov „názov služby“ a „názov systému“, ktoré predkladateľ deklaroval v analýze, s údajmi o ISVS, spravovaných predkladateľom v MetaIS, bolo zistené, že ISVS (ani elektronická služba) s takýmto názvom nie je v MetaIS zapísaný.</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Cs/>
                <w:sz w:val="20"/>
                <w:szCs w:val="20"/>
              </w:rPr>
            </w:pPr>
            <w:r w:rsidRPr="003B3065">
              <w:rPr>
                <w:bCs/>
                <w:sz w:val="20"/>
                <w:szCs w:val="20"/>
              </w:rPr>
              <w:t>Komisia žiada predkladateľa, aby v bodoch 6.2 a 6.3 dopracoval analýzu a zároveň aktualizoval KRIS a predložil ju na záverečné posúdenie Komisie po ukončení MPK a vyhodnotení pripomienok z MPK.</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
                <w:bCs/>
                <w:sz w:val="20"/>
                <w:szCs w:val="20"/>
              </w:rPr>
            </w:pPr>
            <w:r w:rsidRPr="003B3065">
              <w:rPr>
                <w:b/>
                <w:bCs/>
                <w:sz w:val="20"/>
                <w:szCs w:val="20"/>
              </w:rPr>
              <w:t>K analýze vplyvov na služby verejnej správy pre občana</w:t>
            </w:r>
          </w:p>
          <w:p w:rsidR="003B3065" w:rsidRPr="003B3065" w:rsidRDefault="003B3065" w:rsidP="003B3065">
            <w:pPr>
              <w:tabs>
                <w:tab w:val="center" w:pos="6379"/>
              </w:tabs>
              <w:jc w:val="both"/>
              <w:rPr>
                <w:bCs/>
                <w:sz w:val="20"/>
                <w:szCs w:val="20"/>
              </w:rPr>
            </w:pPr>
            <w:r w:rsidRPr="003B3065">
              <w:rPr>
                <w:bCs/>
                <w:sz w:val="20"/>
                <w:szCs w:val="20"/>
              </w:rPr>
              <w:tab/>
              <w:t xml:space="preserve">V časti 7.2.2. Analýzy vplyvov na služby verejnej správy pre občana Komisia  odporúča neuvádzať žiadnu poznámku v rámci „Zníženia času na vybavenie požiadavky“, vzhľadom k tomu, že fakt, že sa žiadosť bude podávať prostredníctvom elektronického formulára Komisia vníma ako vplyv len na fyzickú osobu – podnikateľa alebo na právnickú osobu, tak ako vyplýva zo znenia § 6a, odsek 3. Analýza vplyvov na služby </w:t>
            </w:r>
            <w:r w:rsidRPr="003B3065">
              <w:rPr>
                <w:bCs/>
                <w:sz w:val="20"/>
                <w:szCs w:val="20"/>
              </w:rPr>
              <w:lastRenderedPageBreak/>
              <w:t xml:space="preserve">verejnej správy je orientovaná len na fyzickú osobu – nepodnikateľa. </w:t>
            </w:r>
          </w:p>
          <w:p w:rsidR="003B3065" w:rsidRPr="003B3065" w:rsidRDefault="003B3065" w:rsidP="003B3065">
            <w:pPr>
              <w:tabs>
                <w:tab w:val="center" w:pos="6379"/>
              </w:tabs>
              <w:jc w:val="both"/>
              <w:rPr>
                <w:bCs/>
                <w:sz w:val="20"/>
                <w:szCs w:val="20"/>
              </w:rPr>
            </w:pPr>
            <w:r w:rsidRPr="003B3065">
              <w:rPr>
                <w:bCs/>
                <w:sz w:val="20"/>
                <w:szCs w:val="20"/>
              </w:rPr>
              <w:tab/>
              <w:t>V časti 7.2.3. Analýzy vplyvov na služby verejnej správy pre občana Komisia navrhuje špecifikovať skupinu občanov, ktorá bude návrhom ovplyvnená ako vlastníkov poľnohospodárskeho pozemku (keďže na tomto úseku evidencie aktívnych poľnohospodárov sa možnosť nahliadať do uvedenej evidencie a tým získať informácie o subjektoch, ktorým je možné previesť poľnohospodársky pozemok, týka aj fyzických osôb – nepodnikateľov)</w:t>
            </w:r>
          </w:p>
          <w:p w:rsidR="003B3065" w:rsidRPr="003B3065" w:rsidRDefault="003B3065" w:rsidP="003B3065">
            <w:pPr>
              <w:tabs>
                <w:tab w:val="center" w:pos="6379"/>
              </w:tabs>
              <w:jc w:val="both"/>
              <w:rPr>
                <w:bCs/>
                <w:sz w:val="20"/>
                <w:szCs w:val="20"/>
              </w:rPr>
            </w:pPr>
            <w:r w:rsidRPr="003B3065">
              <w:rPr>
                <w:bCs/>
                <w:sz w:val="20"/>
                <w:szCs w:val="20"/>
              </w:rPr>
              <w:tab/>
              <w:t>V časti 7.3.1 Analýzy vplyvov na služby verejnej správy pre občana Komisia navrhuje v rámci „Nových povinností“ pre orgán verejnej správy spresniť, že sa jedná nielen o povinnosť okresného úradu zaradiť žiadateľa do evidencie aktívnych poľnohospodárov, ale aj o povinnosť okresného úradu vyradiť aktívneho poľnohospodára z tejto evidencie.</w:t>
            </w:r>
          </w:p>
          <w:p w:rsidR="003B3065" w:rsidRPr="003B3065" w:rsidRDefault="003B3065" w:rsidP="003B3065">
            <w:pPr>
              <w:tabs>
                <w:tab w:val="center" w:pos="6379"/>
              </w:tabs>
              <w:jc w:val="both"/>
              <w:rPr>
                <w:bCs/>
                <w:sz w:val="20"/>
                <w:szCs w:val="20"/>
              </w:rPr>
            </w:pPr>
            <w:r w:rsidRPr="003B3065">
              <w:rPr>
                <w:bCs/>
                <w:sz w:val="20"/>
                <w:szCs w:val="20"/>
              </w:rPr>
              <w:t xml:space="preserve">V rámci „Zanikajúcich povinností“ pre orgán verejnej správy Komisia rozumie zo znenia zákona, že sa jedná o nasledovné: Aktívny poľnohospodár, ktorý sa zaeviduje do systému bude môcť nadobúdať poľnohospodársky pozemok v príslušnej obci bez žiadania o osvedčenie, ktoré v súčasnej dobe vydáva podľa § 6 okresný úrad. </w:t>
            </w:r>
          </w:p>
          <w:p w:rsidR="003B3065" w:rsidRPr="003B3065" w:rsidRDefault="003B3065" w:rsidP="003B3065">
            <w:pPr>
              <w:tabs>
                <w:tab w:val="center" w:pos="6379"/>
              </w:tabs>
              <w:jc w:val="both"/>
              <w:rPr>
                <w:bCs/>
                <w:sz w:val="20"/>
                <w:szCs w:val="20"/>
              </w:rPr>
            </w:pPr>
            <w:r w:rsidRPr="003B3065">
              <w:rPr>
                <w:bCs/>
                <w:sz w:val="20"/>
                <w:szCs w:val="20"/>
              </w:rPr>
              <w:t xml:space="preserve">A naopak, ak okresný úrad zaeviduje aktívneho poľnohospodára do evidencie, nebude mu musieť v každom jednotlivom prípade vydávať osvedčenie oprávňujúce na nadobúdanie poľnohospodárskych pozemkov v príslušnej obci. </w:t>
            </w:r>
          </w:p>
          <w:p w:rsidR="003B3065" w:rsidRPr="003B3065" w:rsidRDefault="003B3065" w:rsidP="003B3065">
            <w:pPr>
              <w:tabs>
                <w:tab w:val="center" w:pos="6379"/>
              </w:tabs>
              <w:jc w:val="both"/>
              <w:rPr>
                <w:bCs/>
                <w:sz w:val="20"/>
                <w:szCs w:val="20"/>
              </w:rPr>
            </w:pPr>
            <w:r w:rsidRPr="003B3065">
              <w:rPr>
                <w:bCs/>
                <w:sz w:val="20"/>
                <w:szCs w:val="20"/>
              </w:rPr>
              <w:t>V Doložke vybraných vplyvov na základe vyššie uvedeného Komisia odporúča v časti vplyvov na služby verejnej správy na občana označiť ako pozitívne a v časti vplyvov na procesy služieb vo verejnej správe označiť pozitívne (vzhľadom k tomu, že okresnému úradu zanikajú určité povinnosti oproti súčasnému stavu), ale označiť aj negatívne (keďže okresnému úradu aj vznikajú nové povinnosti najmä v súvislosti s novou evidenciou aktívnych poľnohospodárov).</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bCs/>
                <w:sz w:val="20"/>
                <w:szCs w:val="20"/>
              </w:rPr>
            </w:pPr>
            <w:r w:rsidRPr="003B3065">
              <w:rPr>
                <w:b/>
                <w:bCs/>
                <w:sz w:val="20"/>
                <w:szCs w:val="20"/>
              </w:rPr>
              <w:t xml:space="preserve">III. Záver: </w:t>
            </w:r>
            <w:r w:rsidRPr="003B3065">
              <w:rPr>
                <w:bCs/>
                <w:sz w:val="20"/>
                <w:szCs w:val="20"/>
              </w:rPr>
              <w:t xml:space="preserve">Stála pracovná komisia na posudzovanie vybraných vplyvov vyjadruje </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center"/>
              <w:rPr>
                <w:rFonts w:eastAsia="Calibri"/>
                <w:b/>
                <w:bCs/>
                <w:sz w:val="20"/>
                <w:szCs w:val="20"/>
                <w:lang w:eastAsia="en-US"/>
              </w:rPr>
            </w:pPr>
            <w:r w:rsidRPr="003B3065">
              <w:rPr>
                <w:rFonts w:eastAsia="Calibri"/>
                <w:b/>
                <w:bCs/>
                <w:sz w:val="20"/>
                <w:szCs w:val="20"/>
                <w:lang w:eastAsia="en-US"/>
              </w:rPr>
              <w:t>nesúhlasné stanovisko</w:t>
            </w:r>
          </w:p>
          <w:p w:rsidR="003B3065" w:rsidRPr="003B3065" w:rsidRDefault="003B3065" w:rsidP="003B3065">
            <w:pPr>
              <w:tabs>
                <w:tab w:val="center" w:pos="6379"/>
              </w:tabs>
              <w:jc w:val="both"/>
              <w:rPr>
                <w:bCs/>
                <w:sz w:val="20"/>
                <w:szCs w:val="20"/>
              </w:rPr>
            </w:pPr>
          </w:p>
          <w:p w:rsidR="003B3065" w:rsidRPr="003B3065" w:rsidRDefault="003B3065" w:rsidP="003B3065">
            <w:pPr>
              <w:tabs>
                <w:tab w:val="center" w:pos="6379"/>
              </w:tabs>
              <w:jc w:val="both"/>
              <w:rPr>
                <w:rFonts w:eastAsia="Calibri"/>
                <w:bCs/>
                <w:sz w:val="20"/>
                <w:szCs w:val="20"/>
                <w:lang w:eastAsia="en-US"/>
              </w:rPr>
            </w:pPr>
            <w:r w:rsidRPr="003B3065">
              <w:rPr>
                <w:bCs/>
                <w:sz w:val="20"/>
                <w:szCs w:val="20"/>
              </w:rPr>
              <w:t xml:space="preserve">s materiálom predloženým na predbežné pripomienkové konanie s odporúčaním na jeho dopracovanie podľa pripomienok v bode II. </w:t>
            </w:r>
            <w:r w:rsidRPr="003B3065">
              <w:rPr>
                <w:rFonts w:eastAsia="Calibri"/>
                <w:bCs/>
                <w:sz w:val="20"/>
                <w:szCs w:val="20"/>
                <w:lang w:eastAsia="en-US"/>
              </w:rPr>
              <w:t xml:space="preserve"> </w:t>
            </w:r>
          </w:p>
          <w:p w:rsidR="003B3065" w:rsidRPr="003B3065" w:rsidRDefault="003B3065" w:rsidP="003B3065">
            <w:pPr>
              <w:tabs>
                <w:tab w:val="center" w:pos="6379"/>
              </w:tabs>
              <w:jc w:val="both"/>
              <w:rPr>
                <w:rFonts w:eastAsia="Calibri"/>
                <w:b/>
                <w:bCs/>
                <w:sz w:val="20"/>
                <w:szCs w:val="20"/>
                <w:lang w:eastAsia="en-US"/>
              </w:rPr>
            </w:pPr>
          </w:p>
          <w:p w:rsidR="003B3065" w:rsidRPr="003B3065" w:rsidRDefault="003B3065" w:rsidP="003B3065">
            <w:pPr>
              <w:tabs>
                <w:tab w:val="center" w:pos="6379"/>
              </w:tabs>
              <w:jc w:val="both"/>
              <w:rPr>
                <w:rFonts w:eastAsia="Calibri"/>
                <w:bCs/>
                <w:sz w:val="20"/>
                <w:szCs w:val="20"/>
                <w:lang w:eastAsia="en-US"/>
              </w:rPr>
            </w:pPr>
            <w:r w:rsidRPr="003B3065">
              <w:rPr>
                <w:rFonts w:eastAsia="Calibri"/>
                <w:b/>
                <w:bCs/>
                <w:sz w:val="20"/>
                <w:szCs w:val="20"/>
                <w:lang w:eastAsia="en-US"/>
              </w:rPr>
              <w:t xml:space="preserve">IV. Poznámka: </w:t>
            </w:r>
            <w:r w:rsidRPr="003B3065">
              <w:rPr>
                <w:rFonts w:eastAsia="Calibri"/>
                <w:bCs/>
                <w:sz w:val="20"/>
                <w:szCs w:val="20"/>
                <w:lang w:eastAsia="en-US"/>
              </w:rPr>
              <w:t>Predkladateľ zapracuje pripomienky a odporúčania na úpravu uvedené v bode II a uvedie stanovisko Komisie do Doložky vybraných vplyvov spolu s vyhodnotením pripomienok.</w:t>
            </w:r>
          </w:p>
          <w:p w:rsidR="003B3065" w:rsidRPr="003B3065" w:rsidRDefault="003B3065" w:rsidP="003B3065">
            <w:pPr>
              <w:tabs>
                <w:tab w:val="center" w:pos="6379"/>
              </w:tabs>
              <w:jc w:val="both"/>
              <w:rPr>
                <w:rFonts w:eastAsia="Calibri"/>
                <w:bCs/>
                <w:sz w:val="20"/>
                <w:szCs w:val="20"/>
                <w:lang w:eastAsia="en-US"/>
              </w:rPr>
            </w:pPr>
          </w:p>
          <w:p w:rsidR="00B62F07" w:rsidRPr="003B3065" w:rsidRDefault="003B3065" w:rsidP="003B3065">
            <w:pPr>
              <w:tabs>
                <w:tab w:val="center" w:pos="6379"/>
              </w:tabs>
              <w:jc w:val="both"/>
              <w:rPr>
                <w:bCs/>
                <w:sz w:val="20"/>
                <w:szCs w:val="20"/>
              </w:rPr>
            </w:pPr>
            <w:r w:rsidRPr="003B3065">
              <w:rPr>
                <w:rFonts w:eastAsia="Calibri"/>
                <w:bCs/>
                <w:sz w:val="20"/>
                <w:szCs w:val="20"/>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6931EC" w:rsidRPr="00543B8E" w:rsidRDefault="006931EC" w:rsidP="00543B8E">
      <w:pPr>
        <w:pStyle w:val="Normlnywebov"/>
        <w:spacing w:before="0" w:beforeAutospacing="0" w:after="0" w:afterAutospacing="0"/>
        <w:rPr>
          <w:bCs/>
          <w:sz w:val="20"/>
          <w:szCs w:val="20"/>
        </w:rPr>
      </w:pPr>
    </w:p>
    <w:sectPr w:rsidR="006931EC" w:rsidRPr="00543B8E" w:rsidSect="00947102">
      <w:footerReference w:type="default" r:id="rId8"/>
      <w:pgSz w:w="11906" w:h="16838"/>
      <w:pgMar w:top="1417" w:right="1417" w:bottom="1417" w:left="1417"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4B" w:rsidRDefault="00420D4B">
      <w:r>
        <w:separator/>
      </w:r>
    </w:p>
  </w:endnote>
  <w:endnote w:type="continuationSeparator" w:id="0">
    <w:p w:rsidR="00420D4B" w:rsidRDefault="004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155063"/>
      <w:docPartObj>
        <w:docPartGallery w:val="Page Numbers (Bottom of Page)"/>
        <w:docPartUnique/>
      </w:docPartObj>
    </w:sdtPr>
    <w:sdtEndPr/>
    <w:sdtContent>
      <w:p w:rsidR="000F6A3B" w:rsidRDefault="000F6A3B" w:rsidP="000F6A3B">
        <w:pPr>
          <w:pStyle w:val="Pta"/>
          <w:jc w:val="center"/>
        </w:pPr>
        <w:r>
          <w:fldChar w:fldCharType="begin"/>
        </w:r>
        <w:r>
          <w:instrText>PAGE   \* MERGEFORMAT</w:instrText>
        </w:r>
        <w:r>
          <w:fldChar w:fldCharType="separate"/>
        </w:r>
        <w:r w:rsidR="00AC0B3D">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4B" w:rsidRDefault="00420D4B">
      <w:r>
        <w:separator/>
      </w:r>
    </w:p>
  </w:footnote>
  <w:footnote w:type="continuationSeparator" w:id="0">
    <w:p w:rsidR="00420D4B" w:rsidRDefault="0042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0F6A3B"/>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0DA6"/>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0CE6"/>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065"/>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5D92"/>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42C1"/>
    <w:rsid w:val="0080605E"/>
    <w:rsid w:val="0080656D"/>
    <w:rsid w:val="00806983"/>
    <w:rsid w:val="0081099A"/>
    <w:rsid w:val="00810D05"/>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47102"/>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3D"/>
    <w:rsid w:val="00AC0B91"/>
    <w:rsid w:val="00AC1D35"/>
    <w:rsid w:val="00AC323E"/>
    <w:rsid w:val="00AC40E0"/>
    <w:rsid w:val="00AC5D0D"/>
    <w:rsid w:val="00AC633A"/>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2F07"/>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5EA48290-00C4-44CB-AAA3-E91246C8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basedOn w:val="Predvolenpsmoodseku"/>
    <w:uiPriority w:val="99"/>
    <w:unhideWhenUsed/>
    <w:rsid w:val="008042C1"/>
    <w:rPr>
      <w:color w:val="0000FF" w:themeColor="hyperlink"/>
      <w:u w:val="single"/>
    </w:rPr>
  </w:style>
  <w:style w:type="paragraph" w:styleId="Textbubliny">
    <w:name w:val="Balloon Text"/>
    <w:basedOn w:val="Normlny"/>
    <w:link w:val="TextbublinyChar"/>
    <w:uiPriority w:val="99"/>
    <w:semiHidden/>
    <w:unhideWhenUsed/>
    <w:rsid w:val="000F6A3B"/>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6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16935">
      <w:bodyDiv w:val="1"/>
      <w:marLeft w:val="0"/>
      <w:marRight w:val="0"/>
      <w:marTop w:val="0"/>
      <w:marBottom w:val="0"/>
      <w:divBdr>
        <w:top w:val="none" w:sz="0" w:space="0" w:color="auto"/>
        <w:left w:val="none" w:sz="0" w:space="0" w:color="auto"/>
        <w:bottom w:val="none" w:sz="0" w:space="0" w:color="auto"/>
        <w:right w:val="none" w:sz="0" w:space="0" w:color="auto"/>
      </w:divBdr>
    </w:div>
    <w:div w:id="900213857">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185941248">
      <w:bodyDiv w:val="1"/>
      <w:marLeft w:val="0"/>
      <w:marRight w:val="0"/>
      <w:marTop w:val="0"/>
      <w:marBottom w:val="0"/>
      <w:divBdr>
        <w:top w:val="none" w:sz="0" w:space="0" w:color="auto"/>
        <w:left w:val="none" w:sz="0" w:space="0" w:color="auto"/>
        <w:bottom w:val="none" w:sz="0" w:space="0" w:color="auto"/>
        <w:right w:val="none" w:sz="0" w:space="0" w:color="auto"/>
      </w:divBdr>
    </w:div>
    <w:div w:id="16404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artin.illas@land.gov.s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5.7.2016 7:15:42"/>
    <f:field ref="objchangedby" par="" text="Administrator, System"/>
    <f:field ref="objmodifiedat" par="" text="15.7.2016 7:15:48"/>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https://ovdmasv601/sites/DMS/_layouts/15/DocIdRedir.aspx?ID=WKX3UHSAJ2R6-2-767787</Url>
      <Description>WKX3UHSAJ2R6-2-767787</Description>
    </_dlc_DocIdUrl>
    <_dlc_DocId xmlns="e60a29af-d413-48d4-bd90-fe9d2a897e4b">WKX3UHSAJ2R6-2-767787</_dlc_DocId>
  </documentManagement>
</p:properties>
</file>

<file path=customXml/itemProps1.xml><?xml version="1.0" encoding="utf-8"?>
<ds:datastoreItem xmlns:ds="http://schemas.openxmlformats.org/officeDocument/2006/customXml" ds:itemID="{D98E3CB2-88A0-462E-BC88-6B73CCE7CB7C}"/>
</file>

<file path=customXml/itemProps2.xml><?xml version="1.0" encoding="utf-8"?>
<ds:datastoreItem xmlns:ds="http://schemas.openxmlformats.org/officeDocument/2006/customXml" ds:itemID="{58161017-E549-40A0-8E71-31598CDBF24F}"/>
</file>

<file path=customXml/itemProps3.xml><?xml version="1.0" encoding="utf-8"?>
<ds:datastoreItem xmlns:ds="http://schemas.openxmlformats.org/officeDocument/2006/customXml" ds:itemID="{819E977E-0760-4ACB-A758-3C9B84D2F951}"/>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A1FFE273-ECD8-458E-8D5F-AE5F17C1F903}"/>
</file>

<file path=docProps/app.xml><?xml version="1.0" encoding="utf-8"?>
<Properties xmlns="http://schemas.openxmlformats.org/officeDocument/2006/extended-properties" xmlns:vt="http://schemas.openxmlformats.org/officeDocument/2006/docPropsVTypes">
  <Template>Normal</Template>
  <TotalTime>18</TotalTime>
  <Pages>3</Pages>
  <Words>1382</Words>
  <Characters>7878</Characters>
  <Application>Microsoft Office Word</Application>
  <DocSecurity>0</DocSecurity>
  <Lines>65</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Illáš Martin</cp:lastModifiedBy>
  <cp:revision>10</cp:revision>
  <cp:lastPrinted>2016-07-15T05:52:00Z</cp:lastPrinted>
  <dcterms:created xsi:type="dcterms:W3CDTF">2016-07-15T05:16:00Z</dcterms:created>
  <dcterms:modified xsi:type="dcterms:W3CDTF">2017-02-24T09:43:00Z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Poľnohospodárstvo a potravinárstvo_x000d_
Vlastnícke práva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Pavol Ňuňuk</vt:lpwstr>
  </property>
  <property fmtid="{D5CDD505-2E9C-101B-9397-08002B2CF9AE}" pid="9" name="FSC#SKEDITIONSLOVLEX@103.510:zodppredkladatel">
    <vt:lpwstr>Gabriela Matečná</vt:lpwstr>
  </property>
  <property fmtid="{D5CDD505-2E9C-101B-9397-08002B2CF9AE}" pid="10" name="FSC#SKEDITIONSLOVLEX@103.510:nazovpredpis">
    <vt:lpwstr>, ktorým sa mení a dopĺňa zákon č. 140/2014 Z. z. o nadobúdaní vlastníctva poľnohospodárskeho pozemku a o zmene a doplnení niektorých zákonov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pôdohospodárstva a rozvoja vidieka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2016</vt:lpwstr>
  </property>
  <property fmtid="{D5CDD505-2E9C-101B-9397-08002B2CF9AE}" pid="16" name="FSC#SKEDITIONSLOVLEX@103.510:plnynazovpredpis">
    <vt:lpwstr> Zákon, ktorým sa mení a dopĺňa zákon č. 140/2014 Z. z. o nadobúdaní vlastníctva poľnohospodárskeho pozemku a o zmene a doplnení niektorých zákonov v znení neskorších predpisov</vt:lpwstr>
  </property>
  <property fmtid="{D5CDD505-2E9C-101B-9397-08002B2CF9AE}" pid="17" name="FSC#SKEDITIONSLOVLEX@103.510:rezortcislopredpis">
    <vt:lpwstr>2177/2016-410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LP/2016/539</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pôdohospodárstva a rozvoja vidieka Slovenskej republiky</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
  </property>
  <property fmtid="{D5CDD505-2E9C-101B-9397-08002B2CF9AE}" pid="56" name="FSC#SKEDITIONSLOVLEX@103.510:AttrStrListDocPropAltRiesenia">
    <vt:lpwstr>Nie</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2016 prerokovala a schválila návrh zákona, ktorým sa mení a dopĺňa zákon č. 140/2014 Z. z. o nadobúdaní vlastníctva poľnohospodárskeho pozemku a o zmene a doplnení niektorých zákono</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ministerka pôdohospodárstva a rozvoja vidieka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&lt;p&gt;Ministerstvo pôdohospodárstva a&amp;nbsp;rozvoja vidieka Slovenskej republiky predkladá návrh zákona, ktorým sa mení a&amp;nbsp;dopĺňa zákon č. 140/2014 Z. z. o nadobúdaní vlastníctva poľnohospodárskeho pozemku a o zmene a doplnení niektorých zákonov v znení z</vt:lpwstr>
  </property>
  <property fmtid="{D5CDD505-2E9C-101B-9397-08002B2CF9AE}" pid="130" name="FSC#COOSYSTEM@1.1:Container">
    <vt:lpwstr>COO.2145.1000.3.1509778</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hlavný štátny radca</vt:lpwstr>
  </property>
  <property fmtid="{D5CDD505-2E9C-101B-9397-08002B2CF9AE}" pid="142" name="FSC#SKEDITIONSLOVLEX@103.510:funkciaPredAkuzativ">
    <vt:lpwstr>hlavného štátneho radcu</vt:lpwstr>
  </property>
  <property fmtid="{D5CDD505-2E9C-101B-9397-08002B2CF9AE}" pid="143" name="FSC#SKEDITIONSLOVLEX@103.510:funkciaPredDativ">
    <vt:lpwstr>hlavnému štátnemu radcovi</vt:lpwstr>
  </property>
  <property fmtid="{D5CDD505-2E9C-101B-9397-08002B2CF9AE}" pid="144" name="FSC#SKEDITIONSLOVLEX@103.510:funkciaZodpPred">
    <vt:lpwstr>ministerka pôdohospodárstva a rozvoja vidieka Slovenskej republiky</vt:lpwstr>
  </property>
  <property fmtid="{D5CDD505-2E9C-101B-9397-08002B2CF9AE}" pid="145" name="FSC#SKEDITIONSLOVLEX@103.510:funkciaZodpPredAkuzativ">
    <vt:lpwstr>ministerka pôdohospodárstva a rozvoja vidieka Slovenskej republiky</vt:lpwstr>
  </property>
  <property fmtid="{D5CDD505-2E9C-101B-9397-08002B2CF9AE}" pid="146" name="FSC#SKEDITIONSLOVLEX@103.510:funkciaZodpPredDativ">
    <vt:lpwstr>ministerka pôdohospodárstva a rozvoja vidieka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Gabriela Matečná_x000d_
ministerka pôdohospodárstva a rozvoja vidieka Slovenskej republiky</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aa6b3531-4983-4985-bc87-98d95756bfc7</vt:lpwstr>
  </property>
</Properties>
</file>