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118" w:rsidRPr="000032C8" w:rsidRDefault="00927118" w:rsidP="00927118">
      <w:pPr>
        <w:adjustRightInd w:val="0"/>
        <w:spacing w:after="0" w:line="240" w:lineRule="auto"/>
        <w:jc w:val="center"/>
        <w:rPr>
          <w:rFonts w:ascii="Times New Roman" w:eastAsia="Times New Roman" w:hAnsi="Times New Roman" w:cs="Calibri"/>
          <w:b/>
          <w:caps/>
          <w:sz w:val="28"/>
          <w:szCs w:val="28"/>
        </w:rPr>
      </w:pPr>
      <w:r w:rsidRPr="000032C8">
        <w:rPr>
          <w:rFonts w:ascii="Times New Roman" w:eastAsia="Times New Roman" w:hAnsi="Times New Roman" w:cs="Calibri"/>
          <w:b/>
          <w:caps/>
          <w:sz w:val="28"/>
          <w:szCs w:val="28"/>
        </w:rPr>
        <w:t>Vyhodnotenie medzirezortného pripomienkového konania</w:t>
      </w:r>
    </w:p>
    <w:p w:rsidR="00927118" w:rsidRPr="00024402" w:rsidRDefault="00927118" w:rsidP="00927118">
      <w:pPr>
        <w:jc w:val="center"/>
      </w:pPr>
    </w:p>
    <w:p w:rsidR="00ED1022" w:rsidRDefault="00ED1022">
      <w:pPr>
        <w:jc w:val="center"/>
        <w:divId w:val="1347057682"/>
        <w:rPr>
          <w:rFonts w:ascii="Times" w:hAnsi="Times" w:cs="Times"/>
          <w:sz w:val="25"/>
          <w:szCs w:val="25"/>
        </w:rPr>
      </w:pPr>
      <w:r>
        <w:rPr>
          <w:rFonts w:ascii="Times" w:hAnsi="Times" w:cs="Times"/>
          <w:sz w:val="25"/>
          <w:szCs w:val="25"/>
        </w:rPr>
        <w:t>Návrh na podpis Opčného protokolu k Dohovoru OSN proti mučeniu a inému krutému, neľudskému alebo ponižujúcemu zaobchádzaniu alebo trestaniu (OP-CAT) Slovenskou republikou s výhradou ratifikácie</w:t>
      </w:r>
    </w:p>
    <w:p w:rsidR="00927118" w:rsidRPr="00024402" w:rsidRDefault="00927118" w:rsidP="00CE47A6"/>
    <w:tbl>
      <w:tblPr>
        <w:tblW w:w="15598" w:type="dxa"/>
        <w:tblCellMar>
          <w:left w:w="0" w:type="dxa"/>
          <w:right w:w="0" w:type="dxa"/>
        </w:tblCellMar>
        <w:tblLook w:val="0000" w:firstRow="0" w:lastRow="0" w:firstColumn="0" w:lastColumn="0" w:noHBand="0" w:noVBand="0"/>
      </w:tblPr>
      <w:tblGrid>
        <w:gridCol w:w="7797"/>
        <w:gridCol w:w="7801"/>
      </w:tblGrid>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Spôsob pripomienkového konania</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r w:rsidRPr="00024402">
              <w:rPr>
                <w:rFonts w:ascii="Times New Roman" w:hAnsi="Times New Roman" w:cs="Calibri"/>
                <w:sz w:val="20"/>
                <w:szCs w:val="20"/>
              </w:rPr>
              <w:t> </w:t>
            </w:r>
          </w:p>
        </w:tc>
      </w:tr>
      <w:tr w:rsidR="00A251BF" w:rsidRPr="00024402" w:rsidTr="00B76589">
        <w:tc>
          <w:tcPr>
            <w:tcW w:w="7797" w:type="dxa"/>
            <w:tcBorders>
              <w:top w:val="nil"/>
              <w:left w:val="nil"/>
              <w:bottom w:val="nil"/>
              <w:right w:val="nil"/>
            </w:tcBorders>
          </w:tcPr>
          <w:p w:rsidR="00A251BF" w:rsidRPr="000032C8" w:rsidRDefault="00A251BF"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vznesených pripomienok, z toho zásadných</w:t>
            </w:r>
          </w:p>
        </w:tc>
        <w:tc>
          <w:tcPr>
            <w:tcW w:w="7801" w:type="dxa"/>
            <w:tcBorders>
              <w:top w:val="nil"/>
              <w:left w:val="nil"/>
              <w:bottom w:val="nil"/>
              <w:right w:val="nil"/>
            </w:tcBorders>
          </w:tcPr>
          <w:p w:rsidR="00A251BF" w:rsidRPr="00024402" w:rsidRDefault="00ED1022" w:rsidP="00ED1022">
            <w:pPr>
              <w:spacing w:after="0" w:line="240" w:lineRule="auto"/>
              <w:rPr>
                <w:rFonts w:ascii="Times New Roman" w:hAnsi="Times New Roman" w:cs="Calibri"/>
                <w:sz w:val="20"/>
                <w:szCs w:val="20"/>
              </w:rPr>
            </w:pPr>
            <w:r>
              <w:rPr>
                <w:rFonts w:ascii="Times" w:hAnsi="Times" w:cs="Times"/>
                <w:sz w:val="25"/>
                <w:szCs w:val="25"/>
              </w:rPr>
              <w:t>15 /4</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vyhodnotených pripomienok</w:t>
            </w:r>
          </w:p>
        </w:tc>
        <w:tc>
          <w:tcPr>
            <w:tcW w:w="7801" w:type="dxa"/>
            <w:tcBorders>
              <w:top w:val="nil"/>
              <w:left w:val="nil"/>
              <w:bottom w:val="nil"/>
              <w:right w:val="nil"/>
            </w:tcBorders>
          </w:tcPr>
          <w:p w:rsidR="00927118" w:rsidRPr="00024402" w:rsidRDefault="00ED1022" w:rsidP="00ED1022">
            <w:pPr>
              <w:spacing w:after="0" w:line="240" w:lineRule="auto"/>
              <w:rPr>
                <w:rFonts w:ascii="Times New Roman" w:hAnsi="Times New Roman" w:cs="Calibri"/>
                <w:sz w:val="20"/>
                <w:szCs w:val="20"/>
              </w:rPr>
            </w:pPr>
            <w:r>
              <w:rPr>
                <w:rFonts w:ascii="Times" w:hAnsi="Times" w:cs="Times"/>
                <w:sz w:val="25"/>
                <w:szCs w:val="25"/>
              </w:rPr>
              <w:t>15</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akceptovaných pripomienok, z toho zásadných</w:t>
            </w:r>
          </w:p>
        </w:tc>
        <w:tc>
          <w:tcPr>
            <w:tcW w:w="7801" w:type="dxa"/>
            <w:tcBorders>
              <w:top w:val="nil"/>
              <w:left w:val="nil"/>
              <w:bottom w:val="nil"/>
              <w:right w:val="nil"/>
            </w:tcBorders>
          </w:tcPr>
          <w:p w:rsidR="00927118" w:rsidRPr="00024402" w:rsidRDefault="00ED1022" w:rsidP="00ED1022">
            <w:pPr>
              <w:spacing w:after="0" w:line="240" w:lineRule="auto"/>
              <w:rPr>
                <w:rFonts w:ascii="Times New Roman" w:hAnsi="Times New Roman" w:cs="Calibri"/>
                <w:sz w:val="20"/>
                <w:szCs w:val="20"/>
              </w:rPr>
            </w:pPr>
            <w:r>
              <w:rPr>
                <w:rFonts w:ascii="Times" w:hAnsi="Times" w:cs="Times"/>
                <w:sz w:val="25"/>
                <w:szCs w:val="25"/>
              </w:rPr>
              <w:t>10 /1</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čiastočne akceptovaných pripomienok, z toho zásadných</w:t>
            </w:r>
          </w:p>
        </w:tc>
        <w:tc>
          <w:tcPr>
            <w:tcW w:w="7801" w:type="dxa"/>
            <w:tcBorders>
              <w:top w:val="nil"/>
              <w:left w:val="nil"/>
              <w:bottom w:val="nil"/>
              <w:right w:val="nil"/>
            </w:tcBorders>
          </w:tcPr>
          <w:p w:rsidR="00927118" w:rsidRPr="00024402" w:rsidRDefault="00ED1022" w:rsidP="00ED1022">
            <w:pPr>
              <w:spacing w:after="0" w:line="240" w:lineRule="auto"/>
              <w:rPr>
                <w:rFonts w:ascii="Times New Roman" w:hAnsi="Times New Roman" w:cs="Calibri"/>
                <w:sz w:val="20"/>
                <w:szCs w:val="20"/>
              </w:rPr>
            </w:pPr>
            <w:r>
              <w:rPr>
                <w:rFonts w:ascii="Times" w:hAnsi="Times" w:cs="Times"/>
                <w:sz w:val="25"/>
                <w:szCs w:val="25"/>
              </w:rPr>
              <w:t>1 /0</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neakceptovaných pripomienok, z toho zásadných</w:t>
            </w:r>
          </w:p>
        </w:tc>
        <w:tc>
          <w:tcPr>
            <w:tcW w:w="7801" w:type="dxa"/>
            <w:tcBorders>
              <w:top w:val="nil"/>
              <w:left w:val="nil"/>
              <w:bottom w:val="nil"/>
              <w:right w:val="nil"/>
            </w:tcBorders>
          </w:tcPr>
          <w:p w:rsidR="00927118" w:rsidRPr="00024402" w:rsidRDefault="00ED1022" w:rsidP="00ED1022">
            <w:pPr>
              <w:spacing w:after="0" w:line="240" w:lineRule="auto"/>
              <w:rPr>
                <w:rFonts w:ascii="Times New Roman" w:hAnsi="Times New Roman" w:cs="Calibri"/>
                <w:sz w:val="20"/>
                <w:szCs w:val="20"/>
              </w:rPr>
            </w:pPr>
            <w:r>
              <w:rPr>
                <w:rFonts w:ascii="Times" w:hAnsi="Times" w:cs="Times"/>
                <w:sz w:val="25"/>
                <w:szCs w:val="25"/>
              </w:rPr>
              <w:t>4 /3</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FC52B4" w:rsidRDefault="00927118" w:rsidP="00E165A9">
            <w:pPr>
              <w:spacing w:after="0" w:line="240" w:lineRule="auto"/>
              <w:rPr>
                <w:rFonts w:ascii="Times New Roman" w:hAnsi="Times New Roman" w:cs="Calibri"/>
                <w:sz w:val="25"/>
                <w:szCs w:val="25"/>
              </w:rPr>
            </w:pPr>
            <w:r w:rsidRPr="00FC52B4">
              <w:rPr>
                <w:rFonts w:ascii="Times New Roman" w:hAnsi="Times New Roman" w:cs="Calibri"/>
                <w:bCs/>
                <w:sz w:val="25"/>
                <w:szCs w:val="25"/>
              </w:rPr>
              <w:t>Rozporové konanie (s kým, kedy, s akým výsledkom)</w:t>
            </w:r>
          </w:p>
        </w:tc>
        <w:tc>
          <w:tcPr>
            <w:tcW w:w="7801" w:type="dxa"/>
            <w:tcBorders>
              <w:top w:val="nil"/>
              <w:left w:val="nil"/>
              <w:bottom w:val="nil"/>
              <w:right w:val="nil"/>
            </w:tcBorders>
          </w:tcPr>
          <w:p w:rsidR="00927118" w:rsidRDefault="00FC52B4" w:rsidP="00E165A9">
            <w:pPr>
              <w:spacing w:after="0" w:line="240" w:lineRule="auto"/>
              <w:rPr>
                <w:rFonts w:ascii="Times New Roman" w:hAnsi="Times New Roman" w:cs="Calibri"/>
                <w:sz w:val="25"/>
                <w:szCs w:val="25"/>
              </w:rPr>
            </w:pPr>
            <w:r w:rsidRPr="00FC52B4">
              <w:rPr>
                <w:rFonts w:ascii="Times New Roman" w:hAnsi="Times New Roman" w:cs="Calibri"/>
                <w:sz w:val="25"/>
                <w:szCs w:val="25"/>
              </w:rPr>
              <w:t>VOP/SNSĽP, 21.06.2018, Rozpor odstránený</w:t>
            </w:r>
          </w:p>
          <w:p w:rsidR="00FC52B4" w:rsidRDefault="00FC52B4" w:rsidP="00E165A9">
            <w:pPr>
              <w:spacing w:after="0" w:line="240" w:lineRule="auto"/>
              <w:rPr>
                <w:rFonts w:ascii="Times New Roman" w:hAnsi="Times New Roman" w:cs="Calibri"/>
                <w:sz w:val="25"/>
                <w:szCs w:val="25"/>
              </w:rPr>
            </w:pPr>
            <w:r>
              <w:rPr>
                <w:rFonts w:ascii="Times New Roman" w:hAnsi="Times New Roman" w:cs="Calibri"/>
                <w:sz w:val="25"/>
                <w:szCs w:val="25"/>
              </w:rPr>
              <w:t>MPSVaR, 21.06.2018, Rozpor bol odstránený</w:t>
            </w:r>
          </w:p>
          <w:p w:rsidR="00FC52B4" w:rsidRPr="00FC52B4" w:rsidRDefault="00FC52B4" w:rsidP="00E165A9">
            <w:pPr>
              <w:spacing w:after="0" w:line="240" w:lineRule="auto"/>
              <w:rPr>
                <w:rFonts w:ascii="Times New Roman" w:hAnsi="Times New Roman" w:cs="Calibri"/>
                <w:sz w:val="25"/>
                <w:szCs w:val="25"/>
              </w:rPr>
            </w:pPr>
            <w:r>
              <w:rPr>
                <w:rFonts w:ascii="Times New Roman" w:hAnsi="Times New Roman" w:cs="Calibri"/>
                <w:sz w:val="25"/>
                <w:szCs w:val="25"/>
              </w:rPr>
              <w:t>MF SR, 22.06.2018, Rozpor bol odstránený</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r w:rsidRPr="000032C8">
              <w:rPr>
                <w:rFonts w:ascii="Times New Roman" w:hAnsi="Times New Roman" w:cs="Calibri"/>
                <w:bCs/>
                <w:sz w:val="25"/>
                <w:szCs w:val="25"/>
              </w:rPr>
              <w:t>Počet odstránených pripomienok</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r w:rsidRPr="000032C8">
              <w:rPr>
                <w:rFonts w:ascii="Times New Roman" w:hAnsi="Times New Roman" w:cs="Calibri"/>
                <w:bCs/>
                <w:sz w:val="25"/>
                <w:szCs w:val="25"/>
              </w:rPr>
              <w:t>Počet neodstránených pripomienok</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bl>
    <w:p w:rsidR="00927118" w:rsidRPr="00024402" w:rsidRDefault="00927118" w:rsidP="00927118">
      <w:pPr>
        <w:spacing w:after="0" w:line="240" w:lineRule="auto"/>
        <w:rPr>
          <w:rFonts w:ascii="Times New Roman" w:hAnsi="Times New Roman" w:cs="Calibri"/>
          <w:b/>
          <w:sz w:val="20"/>
          <w:szCs w:val="20"/>
        </w:rPr>
      </w:pPr>
    </w:p>
    <w:p w:rsidR="00927118" w:rsidRPr="000032C8" w:rsidRDefault="00927118" w:rsidP="00927118">
      <w:pPr>
        <w:spacing w:after="0" w:line="240" w:lineRule="auto"/>
        <w:rPr>
          <w:sz w:val="25"/>
          <w:szCs w:val="25"/>
        </w:rPr>
      </w:pPr>
      <w:r w:rsidRPr="000032C8">
        <w:rPr>
          <w:rFonts w:ascii="Times New Roman" w:hAnsi="Times New Roman" w:cs="Calibri"/>
          <w:sz w:val="25"/>
          <w:szCs w:val="25"/>
        </w:rPr>
        <w:t>Sumarizácia vznesených pripomienok podľa subjektov</w:t>
      </w:r>
    </w:p>
    <w:p w:rsidR="00ED1022" w:rsidRDefault="00ED1022" w:rsidP="00841FA6"/>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328"/>
        <w:gridCol w:w="7712"/>
        <w:gridCol w:w="1404"/>
        <w:gridCol w:w="1404"/>
        <w:gridCol w:w="1391"/>
        <w:gridCol w:w="1034"/>
      </w:tblGrid>
      <w:tr w:rsidR="00ED1022">
        <w:trPr>
          <w:divId w:val="1019236263"/>
          <w:jc w:val="center"/>
        </w:trPr>
        <w:tc>
          <w:tcPr>
            <w:tcW w:w="1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b/>
                <w:bCs/>
                <w:sz w:val="25"/>
                <w:szCs w:val="25"/>
              </w:rPr>
            </w:pPr>
            <w:r>
              <w:rPr>
                <w:rFonts w:ascii="Times" w:hAnsi="Times" w:cs="Times"/>
                <w:b/>
                <w:bCs/>
                <w:sz w:val="25"/>
                <w:szCs w:val="25"/>
              </w:rPr>
              <w:t>Č.</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b/>
                <w:bCs/>
                <w:sz w:val="25"/>
                <w:szCs w:val="25"/>
              </w:rPr>
            </w:pPr>
            <w:r>
              <w:rPr>
                <w:rFonts w:ascii="Times" w:hAnsi="Times" w:cs="Times"/>
                <w:b/>
                <w:bCs/>
                <w:sz w:val="25"/>
                <w:szCs w:val="25"/>
              </w:rPr>
              <w:t>Subjekt</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b/>
                <w:bCs/>
                <w:sz w:val="25"/>
                <w:szCs w:val="25"/>
              </w:rPr>
            </w:pPr>
            <w:r>
              <w:rPr>
                <w:rFonts w:ascii="Times" w:hAnsi="Times" w:cs="Times"/>
                <w:b/>
                <w:bCs/>
                <w:sz w:val="25"/>
                <w:szCs w:val="25"/>
              </w:rPr>
              <w:t>Pripomienky do termínu</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b/>
                <w:bCs/>
                <w:sz w:val="25"/>
                <w:szCs w:val="25"/>
              </w:rPr>
            </w:pPr>
            <w:r>
              <w:rPr>
                <w:rFonts w:ascii="Times" w:hAnsi="Times" w:cs="Times"/>
                <w:b/>
                <w:bCs/>
                <w:sz w:val="25"/>
                <w:szCs w:val="25"/>
              </w:rPr>
              <w:t>Pripomienky po termíne</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b/>
                <w:bCs/>
                <w:sz w:val="25"/>
                <w:szCs w:val="25"/>
              </w:rPr>
            </w:pPr>
            <w:r>
              <w:rPr>
                <w:rFonts w:ascii="Times" w:hAnsi="Times" w:cs="Times"/>
                <w:b/>
                <w:bCs/>
                <w:sz w:val="25"/>
                <w:szCs w:val="25"/>
              </w:rPr>
              <w:t>Nemali pripomienky</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b/>
                <w:bCs/>
                <w:sz w:val="25"/>
                <w:szCs w:val="25"/>
              </w:rPr>
            </w:pPr>
            <w:r>
              <w:rPr>
                <w:rFonts w:ascii="Times" w:hAnsi="Times" w:cs="Times"/>
                <w:b/>
                <w:bCs/>
                <w:sz w:val="25"/>
                <w:szCs w:val="25"/>
              </w:rPr>
              <w:t>Vôbec nezaslali</w:t>
            </w: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1.</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Asociácia zamestnávatelských zväzov a združení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sz w:val="20"/>
                <w:szCs w:val="20"/>
              </w:rPr>
            </w:pP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2.</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Generálna prokuratúra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sz w:val="20"/>
                <w:szCs w:val="20"/>
              </w:rPr>
            </w:pP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lastRenderedPageBreak/>
              <w:t>3.</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Kancelária verejného ochrancu práv</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1 (0o,1z)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sz w:val="20"/>
                <w:szCs w:val="20"/>
              </w:rPr>
            </w:pP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4.</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Ministerstvo dopravy a výstavby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sz w:val="20"/>
                <w:szCs w:val="20"/>
              </w:rPr>
            </w:pP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5.</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Ministerstvo financií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1 (0o,1z)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sz w:val="20"/>
                <w:szCs w:val="20"/>
              </w:rPr>
            </w:pP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6.</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Ministerstvo kultúry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sz w:val="20"/>
                <w:szCs w:val="20"/>
              </w:rPr>
            </w:pP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7.</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Ministerstvo pôdohospodárstva a rozvoja vidieka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sz w:val="20"/>
                <w:szCs w:val="20"/>
              </w:rPr>
            </w:pP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8.</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Ministerstvo práce, sociálnych vecí a rodiny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2 (1o,1z)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sz w:val="20"/>
                <w:szCs w:val="20"/>
              </w:rPr>
            </w:pP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9.</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Ministerstvo školstva, vedy, výskumu a športu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sz w:val="20"/>
                <w:szCs w:val="20"/>
              </w:rPr>
            </w:pP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10.</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Ministerstvo vnútra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sz w:val="20"/>
                <w:szCs w:val="20"/>
              </w:rPr>
            </w:pP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11.</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Ministerstvo zdravotníctva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sz w:val="20"/>
                <w:szCs w:val="20"/>
              </w:rPr>
            </w:pP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12.</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Ministerstvo zahraničných vecí a európskych záležitostí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sz w:val="20"/>
                <w:szCs w:val="20"/>
              </w:rPr>
            </w:pP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13.</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Národná banka Slovenska</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sz w:val="20"/>
                <w:szCs w:val="20"/>
              </w:rPr>
            </w:pP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14.</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Slovenské národné stredisko pre ľudské práva</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1 (0o,1z)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sz w:val="20"/>
                <w:szCs w:val="20"/>
              </w:rPr>
            </w:pP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15.</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Úrad jadrového dozoru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16.</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Úrad priemyselného vlastníctva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17.</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Úrad pre verejné obstarávanie</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18.</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Národný bezpečnostný úrad</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lastRenderedPageBreak/>
              <w:t>19.</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Splnomocnenec vlády Slovenskej republiky pre rómske komunity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20.</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Štatistický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21.</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Ministerstvo obrany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22.</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Úrad podpredsedu vlády Slovenskej republiky pre investície a informatizáciu</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23.</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Ministerstvo životného prostredia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24.</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Protimonopolný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25.</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Úrad pre normalizáciu, metrológiu a skúšobníctvo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26.</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Ministerstvo spravodlivosti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27.</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Ministerstvo hospodárstva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28.</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Úrad vlády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29.</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Úrad geodézie, kartografie a katastra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30.</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Správa štátnych hmotných rezerv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31.</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Najvyšší kontrolný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32.</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Najvyšší súd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33.</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Národná rada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34.</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Kancelária Ústavného súdu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lastRenderedPageBreak/>
              <w:t>35.</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Odbor aproximácie práva sekcie vládnej legislatívy Úradu vlády SR</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36.</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Slovenská poľnohospodárska a potravinárska komora</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37.</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Združenie miest a obcí Slovenska</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38.</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Konfederácia odborových zväzov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39.</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Republiková únia zamestnávateľov</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40.</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Úrad pre dohľad nad zdravotnou starostlivosťou</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41.</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Konferencia biskupov Slovenska</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x</w:t>
            </w:r>
          </w:p>
        </w:tc>
      </w:tr>
      <w:tr w:rsidR="00ED1022">
        <w:trPr>
          <w:divId w:val="1019236263"/>
          <w:jc w:val="center"/>
        </w:trPr>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rPr>
                <w:rFonts w:ascii="Times" w:hAnsi="Times" w:cs="Times"/>
                <w:sz w:val="25"/>
                <w:szCs w:val="25"/>
              </w:rPr>
            </w:pPr>
            <w:r>
              <w:rPr>
                <w:rFonts w:ascii="Times" w:hAnsi="Times" w:cs="Times"/>
                <w:sz w:val="25"/>
                <w:szCs w:val="25"/>
              </w:rPr>
              <w:t>Spolu</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15 (11o,4z)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D1022" w:rsidRDefault="00ED1022">
            <w:pPr>
              <w:jc w:val="center"/>
              <w:rPr>
                <w:sz w:val="20"/>
                <w:szCs w:val="20"/>
              </w:rPr>
            </w:pPr>
          </w:p>
        </w:tc>
      </w:tr>
    </w:tbl>
    <w:p w:rsidR="00BF7CE0" w:rsidRPr="00BF7CE0" w:rsidRDefault="00BF7CE0" w:rsidP="00841FA6">
      <w:pPr>
        <w:rPr>
          <w:b/>
          <w:bCs/>
          <w:color w:val="000000"/>
          <w:sz w:val="20"/>
          <w:szCs w:val="20"/>
        </w:rPr>
      </w:pPr>
      <w:r w:rsidRPr="009F7218">
        <w:rPr>
          <w:rFonts w:ascii="Times New Roman" w:eastAsia="Times New Roman" w:hAnsi="Times New Roman" w:cs="Times New Roman"/>
          <w:bCs/>
          <w:color w:val="000000"/>
          <w:sz w:val="25"/>
          <w:szCs w:val="25"/>
          <w:lang w:eastAsia="sk-SK"/>
        </w:rPr>
        <w:t>Vyhodnotenie vecných pripomienok je uvedené v tabuľkovej časti.</w:t>
      </w:r>
    </w:p>
    <w:p w:rsidR="00BF7CE0" w:rsidRPr="00BF7CE0" w:rsidRDefault="00BF7CE0" w:rsidP="00BF7CE0">
      <w:pPr>
        <w:pStyle w:val="Zkladntext"/>
        <w:widowControl/>
        <w:jc w:val="both"/>
        <w:rPr>
          <w:b w:val="0"/>
          <w:bCs w:val="0"/>
          <w:color w:val="000000"/>
          <w:sz w:val="20"/>
          <w:szCs w:val="20"/>
        </w:rPr>
      </w:pPr>
    </w:p>
    <w:tbl>
      <w:tblPr>
        <w:tblW w:w="0" w:type="auto"/>
        <w:tblLook w:val="0000" w:firstRow="0" w:lastRow="0" w:firstColumn="0" w:lastColumn="0" w:noHBand="0" w:noVBand="0"/>
      </w:tblPr>
      <w:tblGrid>
        <w:gridCol w:w="1809"/>
        <w:gridCol w:w="3119"/>
      </w:tblGrid>
      <w:tr w:rsidR="00BF7CE0" w:rsidRPr="00BF7CE0" w:rsidTr="00943EB2">
        <w:trPr>
          <w:cantSplit/>
        </w:trPr>
        <w:tc>
          <w:tcPr>
            <w:tcW w:w="4928" w:type="dxa"/>
            <w:gridSpan w:val="2"/>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Vysvetlivky  k použitým skratkám v tabuľke:</w:t>
            </w:r>
          </w:p>
        </w:tc>
      </w:tr>
      <w:tr w:rsidR="00BF7CE0" w:rsidRPr="00BF7CE0"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O – obyčajná</w:t>
            </w: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A – akceptovaná</w:t>
            </w:r>
          </w:p>
        </w:tc>
      </w:tr>
      <w:tr w:rsidR="00BF7CE0" w:rsidRPr="00BF7CE0"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Z – zásadná</w:t>
            </w: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N – neakceptovaná</w:t>
            </w:r>
          </w:p>
        </w:tc>
      </w:tr>
      <w:tr w:rsidR="00BF7CE0" w:rsidRPr="00856FFA"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ČA – čiastočne akceptovaná</w:t>
            </w:r>
          </w:p>
        </w:tc>
      </w:tr>
    </w:tbl>
    <w:p w:rsidR="00E85710" w:rsidRDefault="00E85710">
      <w:r>
        <w:br w:type="page"/>
      </w:r>
    </w:p>
    <w:p w:rsidR="00ED1022" w:rsidRDefault="00ED1022" w:rsidP="00CE47A6">
      <w:pPr>
        <w:rPr>
          <w:rFonts w:ascii="Consolas" w:hAnsi="Consolas" w:cs="Consolas"/>
          <w:sz w:val="20"/>
          <w:szCs w:val="20"/>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377"/>
        <w:gridCol w:w="6624"/>
        <w:gridCol w:w="651"/>
        <w:gridCol w:w="651"/>
        <w:gridCol w:w="3970"/>
      </w:tblGrid>
      <w:tr w:rsidR="00ED1022">
        <w:trPr>
          <w:divId w:val="3631430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b/>
                <w:bCs/>
                <w:sz w:val="25"/>
                <w:szCs w:val="25"/>
              </w:rPr>
            </w:pPr>
            <w:r>
              <w:rPr>
                <w:rFonts w:ascii="Times" w:hAnsi="Times" w:cs="Times"/>
                <w:b/>
                <w:bCs/>
                <w:sz w:val="25"/>
                <w:szCs w:val="25"/>
              </w:rPr>
              <w:t>Subjekt</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b/>
                <w:bCs/>
                <w:sz w:val="25"/>
                <w:szCs w:val="25"/>
              </w:rPr>
            </w:pPr>
            <w:r>
              <w:rPr>
                <w:rFonts w:ascii="Times" w:hAnsi="Times" w:cs="Times"/>
                <w:b/>
                <w:bCs/>
                <w:sz w:val="25"/>
                <w:szCs w:val="25"/>
              </w:rPr>
              <w:t>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b/>
                <w:bCs/>
                <w:sz w:val="25"/>
                <w:szCs w:val="25"/>
              </w:rPr>
            </w:pPr>
            <w:r>
              <w:rPr>
                <w:rFonts w:ascii="Times" w:hAnsi="Times" w:cs="Times"/>
                <w:b/>
                <w:bCs/>
                <w:sz w:val="25"/>
                <w:szCs w:val="25"/>
              </w:rPr>
              <w:t>Typ</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b/>
                <w:bCs/>
                <w:sz w:val="25"/>
                <w:szCs w:val="25"/>
              </w:rPr>
            </w:pPr>
            <w:r>
              <w:rPr>
                <w:rFonts w:ascii="Times" w:hAnsi="Times" w:cs="Times"/>
                <w:b/>
                <w:bCs/>
                <w:sz w:val="25"/>
                <w:szCs w:val="25"/>
              </w:rPr>
              <w:t>Vyh.</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b/>
                <w:bCs/>
                <w:sz w:val="25"/>
                <w:szCs w:val="25"/>
              </w:rPr>
            </w:pPr>
            <w:r>
              <w:rPr>
                <w:rFonts w:ascii="Times" w:hAnsi="Times" w:cs="Times"/>
                <w:b/>
                <w:bCs/>
                <w:sz w:val="25"/>
                <w:szCs w:val="25"/>
              </w:rPr>
              <w:t>Spôsob vyhodnotenia</w:t>
            </w:r>
          </w:p>
        </w:tc>
      </w:tr>
      <w:tr w:rsidR="00ED1022">
        <w:trPr>
          <w:divId w:val="3631430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b/>
                <w:bCs/>
                <w:sz w:val="25"/>
                <w:szCs w:val="25"/>
              </w:rPr>
            </w:pPr>
            <w:r>
              <w:rPr>
                <w:rFonts w:ascii="Times" w:hAnsi="Times" w:cs="Times"/>
                <w:b/>
                <w:bCs/>
                <w:sz w:val="25"/>
                <w:szCs w:val="25"/>
              </w:rPr>
              <w:t>AZZZ 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rPr>
                <w:rFonts w:ascii="Times" w:hAnsi="Times" w:cs="Times"/>
                <w:sz w:val="25"/>
                <w:szCs w:val="25"/>
              </w:rPr>
            </w:pPr>
            <w:r>
              <w:rPr>
                <w:rFonts w:ascii="Times" w:hAnsi="Times" w:cs="Times"/>
                <w:sz w:val="25"/>
                <w:szCs w:val="25"/>
              </w:rPr>
              <w:br/>
              <w:t>k predloženému návrhu 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p>
        </w:tc>
      </w:tr>
      <w:tr w:rsidR="00ED1022">
        <w:trPr>
          <w:divId w:val="3631430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p>
        </w:tc>
      </w:tr>
      <w:tr w:rsidR="00ED1022">
        <w:trPr>
          <w:divId w:val="3631430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b/>
                <w:bCs/>
                <w:sz w:val="25"/>
                <w:szCs w:val="25"/>
              </w:rPr>
            </w:pPr>
            <w:r>
              <w:rPr>
                <w:rFonts w:ascii="Times" w:hAnsi="Times" w:cs="Times"/>
                <w:b/>
                <w:bCs/>
                <w:sz w:val="25"/>
                <w:szCs w:val="25"/>
              </w:rPr>
              <w:t>KVOP</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rPr>
                <w:rFonts w:ascii="Times" w:hAnsi="Times" w:cs="Times"/>
                <w:sz w:val="25"/>
                <w:szCs w:val="25"/>
              </w:rPr>
            </w:pPr>
            <w:r>
              <w:rPr>
                <w:rFonts w:ascii="Times" w:hAnsi="Times" w:cs="Times"/>
                <w:sz w:val="25"/>
                <w:szCs w:val="25"/>
              </w:rPr>
              <w:br/>
              <w:t xml:space="preserve">Cieľom navrhovanej novely zákona je zabezpečenie vytvorenia Národného preventívneho mechanizmu (ďalej len „NPM“), ktorého primárnou úlohou je vykonávať preventívne systematické návštevy miest, kde sa nachádzajú alebo sa môžu nachádzať osoby zbavené osobnej slobody alebo obmedzené na osobnej slobode s cieľom posilniť ochranu týchto osôb, zlepšiť zaobchádzanie s nimi a podmienky, v ktorých tieto osoby žijú. Povinnosť pre Slovenskú republiku zriadiť NPM vyplýva z Opčného protokolu k Dohovoru OSN proti mučeniu a inému krutému, neľudskému alebo ponižujúcemu zaobchádzaniu alebo trestaniu (OP-CAT). Uvedený návrh predpokladá, že NPM by sa mal stať verejný ochranca práv. Personálne zabezpečenie Kancelárie verejného ochrancu práv si podľa medzinárodnej praxe vyžaduje zvýšenie počtu zamestnancov rozpočtovej organizácie o 15 osôb. Počet zariadení, ktoré pravidelne raz za tri roky navštívia pracovníci NPM je v SR 655. Pri určovaní počtu zamestnancov NPM okrem samotného počtu zariadení bolo potrebné zohľadniť aj počet osôb v jednotlivých zariadeniach, </w:t>
            </w:r>
            <w:r>
              <w:rPr>
                <w:rFonts w:ascii="Times" w:hAnsi="Times" w:cs="Times"/>
                <w:sz w:val="25"/>
                <w:szCs w:val="25"/>
              </w:rPr>
              <w:lastRenderedPageBreak/>
              <w:t xml:space="preserve">vzdialenosti medzi zariadeniami, ako aj všetky typy zariadení (ústavy na výkon trestu a väzby, cely policajného zaistenia, domovy sociálnych služieb, zariadenia pre seniorov, detské domovy a krízové strediská, resocializačné strediská, špeciálne výchovné zariadenia, atď.). Ďalej navrhované riešenie predpokladá negatívny dopad na štátny rozpočet a tak v zmysle doložky vplyvov na rozpočet, ktorý je súčasťou legislatívneho materiálu, je navrhované navýšenie rozpočtu Kancelárie verejného ochrancu práv. V zmysle stanoviska Komisie pre posudzovanie vybraných vplyvov z PPK Ministerstvo financií SR nesúhlasí s rozpočtovo nekrytým vplyvom vyčísleným na rozpočet verejnej správy na roky 2019 až 2021 a žiada predmetné vplyvy zabezpečiť v rámci limitov výdavkov, ako aj limitov počtu zamestnancov dotknutej kapitoly na príslušný rozpočtový rok, bez dodatočných požiadaviek na štátny rozpočet. Túto pripomienku predkladáme z dôvodu, že v prípade, ak stanovisko ministerstva financií bude akceptované a výkon NPM bude zverený Kancelárii verejného ochrancu práv v rámci súčasných limitov výdavkov, realizácia tohto medzinárodného záväzku sa stane iluzórna bez možnosti ju aj reálne dosiahnuť. Už v súčasnosti má verejný ochranca práv prístup do takých zariadení, kde dochádza k obmedzeniu na osobnej slobode. V týchto zariadeniach môže vykonávať prieskumy, týkajúce sa porušovania základných ľudských práv na individuálnej, ale aj systémovej úrovni. Je potrebné povedať, že ak by po ratifikácii OP-CAT bola agenda NPM zverená verejnému ochrancovi práv, nedošlo by k zásadnej zmene jeho oprávnení oproti súčasnému stavu. Čo je potrebné zmeniť, je objem prostriedkov, ktoré na </w:t>
            </w:r>
            <w:r>
              <w:rPr>
                <w:rFonts w:ascii="Times" w:hAnsi="Times" w:cs="Times"/>
                <w:sz w:val="25"/>
                <w:szCs w:val="25"/>
              </w:rPr>
              <w:lastRenderedPageBreak/>
              <w:t xml:space="preserve">tento účel vyčlení štát. Za oveľa dôležitejšiu časť realizácie tohto medzinárodného záväzku totiž (oproti formálnej ratifikácii a formálnom určení orgánu pre výkon NPM) považujeme vytvorenie materiálnych podmienok pre reálny výkon tejto agendy. Táto pripomienka je zásadná.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lastRenderedPageBreak/>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rPr>
                <w:rFonts w:ascii="Times" w:hAnsi="Times" w:cs="Times"/>
                <w:sz w:val="25"/>
                <w:szCs w:val="25"/>
              </w:rPr>
            </w:pPr>
            <w:r>
              <w:rPr>
                <w:rFonts w:ascii="Times" w:hAnsi="Times" w:cs="Times"/>
                <w:sz w:val="25"/>
                <w:szCs w:val="25"/>
              </w:rPr>
              <w:t>KVOP na rozporovom konaní dňa 21.06.2018 vzala späť zásadnú pripomienku s tým, že problematika financovania zriadenia NPM, a teda zvýšených nárokov na rozpočet verejnej správy, bude predmetom posudzovania pri prijímaní zmien relevantnej právnej úpravy. Rozpor bol odstránený.</w:t>
            </w:r>
          </w:p>
        </w:tc>
      </w:tr>
      <w:tr w:rsidR="00ED1022">
        <w:trPr>
          <w:divId w:val="3631430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b/>
                <w:bCs/>
                <w:sz w:val="25"/>
                <w:szCs w:val="25"/>
              </w:rPr>
            </w:pPr>
            <w:r>
              <w:rPr>
                <w:rFonts w:ascii="Times" w:hAnsi="Times" w:cs="Times"/>
                <w:b/>
                <w:bCs/>
                <w:sz w:val="25"/>
                <w:szCs w:val="25"/>
              </w:rPr>
              <w:lastRenderedPageBreak/>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rPr>
                <w:rFonts w:ascii="Times" w:hAnsi="Times" w:cs="Times"/>
                <w:sz w:val="25"/>
                <w:szCs w:val="25"/>
              </w:rPr>
            </w:pPr>
            <w:r>
              <w:rPr>
                <w:rFonts w:ascii="Times" w:hAnsi="Times" w:cs="Times"/>
                <w:sz w:val="25"/>
                <w:szCs w:val="25"/>
              </w:rPr>
              <w:br/>
              <w:t>K predkladacej správe: V prvom riadku je potrebné opraviť "predbežné pripomienkové konanie" na "medzirezortné pripomienkové konanie". V súlade so smernicou na predkladanie materiálov na rokovanie vlády prvú vetu v deviatom odseku navrhujeme ukončiť slovami "vplyv na životné prostredie, vplyv na informatizáciu spoločnosti a vplyv na služby verejnej správy pre občana.". V predposlednom odseku je potrebné opraviť názov Ministerstva zahraničných vecí a európskych záležitostí Slovenskej republiky.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p>
        </w:tc>
      </w:tr>
      <w:tr w:rsidR="00ED1022">
        <w:trPr>
          <w:divId w:val="3631430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b/>
                <w:bCs/>
                <w:sz w:val="25"/>
                <w:szCs w:val="25"/>
              </w:rPr>
            </w:pPr>
            <w:r>
              <w:rPr>
                <w:rFonts w:ascii="Times" w:hAnsi="Times" w:cs="Times"/>
                <w:b/>
                <w:bCs/>
                <w:sz w:val="25"/>
                <w:szCs w:val="25"/>
              </w:rPr>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rPr>
                <w:rFonts w:ascii="Times" w:hAnsi="Times" w:cs="Times"/>
                <w:sz w:val="25"/>
                <w:szCs w:val="25"/>
              </w:rPr>
            </w:pPr>
            <w:r>
              <w:rPr>
                <w:rFonts w:ascii="Times" w:hAnsi="Times" w:cs="Times"/>
                <w:sz w:val="25"/>
                <w:szCs w:val="25"/>
              </w:rPr>
              <w:br/>
              <w:t>V analýze vplyvov na rozpočet verejnej správy je vyčíslený negatívny vplyv na rozpočet verejnej správy na roky 2019 až 2021, vrátane vplyvu na počet zamestnancov a s tým súvisiacich osobných výdavkov, pričom tento vplyv nie je rozpočtovo krytý. S týmto rozpočtovo nekrytým vplyvom nesúhlasím. Zároveň upozorňujem, že v pripravovanom návrhu rozpočtu kapitoly Všeobecná pokladničná správa na roky 2019 až 2021 nie sú rozpočtované finančné prostriedky na tento účel. V nadväznosti na uvedené žiadam predmetný vplyv zabezpečiť v rámci limitov rozpočtovej organizácie Kancelária verejného ochrancu práv.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rPr>
                <w:rFonts w:ascii="Times" w:hAnsi="Times" w:cs="Times"/>
                <w:sz w:val="25"/>
                <w:szCs w:val="25"/>
              </w:rPr>
            </w:pPr>
            <w:r>
              <w:rPr>
                <w:rFonts w:ascii="Times" w:hAnsi="Times" w:cs="Times"/>
                <w:sz w:val="25"/>
                <w:szCs w:val="25"/>
              </w:rPr>
              <w:t>MF SR vzalo späť zásadnú pripomienku na rozporovom konaní dňa 22.06.2018, s tým, že budúce negatívne vplyvy na rozpočet verejnej správy, vyplývajúce z implementácie opčného protokolu, budú riešené pri zmene relevantnej právnej úpravy, ktorou sa zriadi NPM. Rozpor bol odstránený.</w:t>
            </w:r>
          </w:p>
        </w:tc>
      </w:tr>
      <w:tr w:rsidR="00ED1022">
        <w:trPr>
          <w:divId w:val="3631430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b/>
                <w:bCs/>
                <w:sz w:val="25"/>
                <w:szCs w:val="25"/>
              </w:rPr>
            </w:pPr>
            <w:r>
              <w:rPr>
                <w:rFonts w:ascii="Times" w:hAnsi="Times" w:cs="Times"/>
                <w:b/>
                <w:bCs/>
                <w:sz w:val="25"/>
                <w:szCs w:val="25"/>
              </w:rPr>
              <w:lastRenderedPageBreak/>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rPr>
                <w:rFonts w:ascii="Times" w:hAnsi="Times" w:cs="Times"/>
                <w:sz w:val="25"/>
                <w:szCs w:val="25"/>
              </w:rPr>
            </w:pPr>
            <w:r>
              <w:rPr>
                <w:rFonts w:ascii="Times" w:hAnsi="Times" w:cs="Times"/>
                <w:sz w:val="25"/>
                <w:szCs w:val="25"/>
              </w:rPr>
              <w:br/>
              <w:t>K celému materiálu. 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p>
        </w:tc>
      </w:tr>
      <w:tr w:rsidR="00ED1022">
        <w:trPr>
          <w:divId w:val="3631430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b/>
                <w:bCs/>
                <w:sz w:val="25"/>
                <w:szCs w:val="25"/>
              </w:rPr>
            </w:pPr>
            <w:r>
              <w:rPr>
                <w:rFonts w:ascii="Times" w:hAnsi="Times" w:cs="Times"/>
                <w:b/>
                <w:bCs/>
                <w:sz w:val="25"/>
                <w:szCs w:val="25"/>
              </w:rPr>
              <w:t>MPRVSR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p>
        </w:tc>
      </w:tr>
      <w:tr w:rsidR="00ED1022">
        <w:trPr>
          <w:divId w:val="3631430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b/>
                <w:bCs/>
                <w:sz w:val="25"/>
                <w:szCs w:val="25"/>
              </w:rPr>
            </w:pPr>
            <w:r>
              <w:rPr>
                <w:rFonts w:ascii="Times" w:hAnsi="Times" w:cs="Times"/>
                <w:b/>
                <w:bCs/>
                <w:sz w:val="25"/>
                <w:szCs w:val="25"/>
              </w:rPr>
              <w:t>MPSVRSR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rPr>
                <w:rFonts w:ascii="Times" w:hAnsi="Times" w:cs="Times"/>
                <w:sz w:val="25"/>
                <w:szCs w:val="25"/>
              </w:rPr>
            </w:pPr>
            <w:r>
              <w:rPr>
                <w:rFonts w:ascii="Times" w:hAnsi="Times" w:cs="Times"/>
                <w:sz w:val="25"/>
                <w:szCs w:val="25"/>
              </w:rPr>
              <w:br/>
              <w:t xml:space="preserve">K doložke vybraných vplyvov, časť Analýza vplyvov na rozpočet verejnej správy: Na str. 4 žiadame odstrániť z textu : „detské domovy, krízové strediská, resocializačné strediská“. Odôvodnenie: Tieto zariadenia dočasne nahrádzajú osobnú starostlivosť rodičov o maloleté dieťa v prípadoch, ak ju rodičia nezabezpečujú alebo nemôžu zabezpečiť, teda dočasne nahrádzajú dieťaťu jeho prirodzené rodinné prostredie. Navyše sa v týchto zariadeniach vykonávajú programy na ochranu dieťaťa (napríklad aj programy pre obete mučenia, násilia a pod.). Okrem toho sa starostlivosť vo vyššie uvedených zariadeniach vykonáva najmä v profesionálnych rodinách, kde zabezpečujú starostlivosť o deti napr. manželia, vo vlastnom obydlí alebo v samostatných skupinách, skupinách, ktoré sú zväčša lokalizované v rodinných domoch, aby čo najvernejšie pripomínali rodinné prostredie. Tieto zariadenia poskytujú starostlivosť v „otvorenom prostredí“, deti chodia do bežných škôl, zdravotná starostlivosť a iné oblasti starostlivosti sú im poskytované rovnako ako deťom v biologických rodinách. Zastávame preto názor, že pod zariadeniami, kde má byť obmedzená sloboda, sa nemysleli zariadenia, ktoré simulujú rodinu a kde za žiadnych okolností nemôže byť obmedzená sloboda pohybu detí.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rPr>
                <w:rFonts w:ascii="Times" w:hAnsi="Times" w:cs="Times"/>
                <w:sz w:val="25"/>
                <w:szCs w:val="25"/>
              </w:rPr>
            </w:pPr>
            <w:r>
              <w:rPr>
                <w:rFonts w:ascii="Times" w:hAnsi="Times" w:cs="Times"/>
                <w:sz w:val="25"/>
                <w:szCs w:val="25"/>
              </w:rPr>
              <w:t xml:space="preserve">Po dohode na rozporovom konaní 21.06.2018 bol rozpor odstránený. Pôvodné namietané znenie prvej vety na str. 4 Analýzy vplyvov na rozpočet verejnej správy bolo zmenené nasledovne: „Pri určovaní počtu zamestnancov NPM je okrem samotného počtu zariadení potrebné zohľadniť aj počet osôb v jednotlivých zariadeniach, vzdialenosti medzi zariadeniami, ako aj všetky typy zariadení, a to tak zariadení, v ktorých sú ľudia pozbavení ich slobody (ústavy na výkon trestu a väzby, cely policajného zaistenia, špeciálne výchovné zariadenia, psychiatrické liečebne, atď.), ako aj zariadenia, v ktorých sú umiestnené deti na základe rozhodnutia súdu (detské domovy a krízové strediská, resocializačné strediská, atď.), a ďalšie typy zariadení, v ktorých je potrebné posilňovať ochranu osôb proti mučeniu </w:t>
            </w:r>
            <w:r>
              <w:rPr>
                <w:rFonts w:ascii="Times" w:hAnsi="Times" w:cs="Times"/>
                <w:sz w:val="25"/>
                <w:szCs w:val="25"/>
              </w:rPr>
              <w:lastRenderedPageBreak/>
              <w:t xml:space="preserve">a inému krutému, neľudskému alebo ponižujúcemu zaobchádzaniu alebo trestaniu (domovy sociálnych služieb, zariadenia pre seniorov, atď.).“ </w:t>
            </w:r>
          </w:p>
        </w:tc>
      </w:tr>
      <w:tr w:rsidR="00ED1022">
        <w:trPr>
          <w:divId w:val="3631430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b/>
                <w:bCs/>
                <w:sz w:val="25"/>
                <w:szCs w:val="25"/>
              </w:rPr>
            </w:pPr>
            <w:r>
              <w:rPr>
                <w:rFonts w:ascii="Times" w:hAnsi="Times" w:cs="Times"/>
                <w:b/>
                <w:bCs/>
                <w:sz w:val="25"/>
                <w:szCs w:val="25"/>
              </w:rPr>
              <w:lastRenderedPageBreak/>
              <w:t>MPSVRSR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rPr>
                <w:rFonts w:ascii="Times" w:hAnsi="Times" w:cs="Times"/>
                <w:sz w:val="25"/>
                <w:szCs w:val="25"/>
              </w:rPr>
            </w:pPr>
            <w:r>
              <w:rPr>
                <w:rFonts w:ascii="Times" w:hAnsi="Times" w:cs="Times"/>
                <w:sz w:val="25"/>
                <w:szCs w:val="25"/>
              </w:rPr>
              <w:br/>
              <w:t xml:space="preserve">K materiálu všeobecne: Odporúčame dôsledne revidovať preklad slovenskej verzie Protokolu, nakoľko by nepresný preklad mohol viesť k nesprávnej interpretácii. Odôvodnenie: napr. v preklade čl. 4 ods. 2 slovná konštrukcia „the placement of a person in a public or private custodial setting which that person is not permitted to leave at will by order of any judicial, administrative or other authority” je preložená ako “umiestnenia osoby vo verejnom alebo súkromnom opatrovníckom zariadení, na základe príkazu ktoréhokoľvek súdneho, správneho alebo iného orgánu,“, čo povedie k nesprávnej interpretácii, napr. ako zariadenia sociálnych služieb.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rPr>
                <w:rFonts w:ascii="Times" w:hAnsi="Times" w:cs="Times"/>
                <w:sz w:val="25"/>
                <w:szCs w:val="25"/>
              </w:rPr>
            </w:pPr>
            <w:r>
              <w:rPr>
                <w:rFonts w:ascii="Times" w:hAnsi="Times" w:cs="Times"/>
                <w:sz w:val="25"/>
                <w:szCs w:val="25"/>
              </w:rPr>
              <w:t>Predkladateľ revidoval preklad uvedeného ustanovenia. Avšak uvedené ustanovenie má zahŕňať aj zariadenia sociálnych služieb.</w:t>
            </w:r>
          </w:p>
        </w:tc>
      </w:tr>
      <w:tr w:rsidR="00ED1022">
        <w:trPr>
          <w:divId w:val="3631430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b/>
                <w:bCs/>
                <w:sz w:val="25"/>
                <w:szCs w:val="25"/>
              </w:rPr>
            </w:pPr>
            <w:r>
              <w:rPr>
                <w:rFonts w:ascii="Times" w:hAnsi="Times" w:cs="Times"/>
                <w:b/>
                <w:bCs/>
                <w:sz w:val="25"/>
                <w:szCs w:val="25"/>
              </w:rPr>
              <w:t>MŠVVaŠSR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rPr>
                <w:rFonts w:ascii="Times" w:hAnsi="Times" w:cs="Times"/>
                <w:sz w:val="25"/>
                <w:szCs w:val="25"/>
              </w:rPr>
            </w:pPr>
            <w:r>
              <w:rPr>
                <w:rFonts w:ascii="Times" w:hAnsi="Times" w:cs="Times"/>
                <w:sz w:val="25"/>
                <w:szCs w:val="25"/>
              </w:rPr>
              <w:br/>
              <w:t xml:space="preserve">Neodporúčame predložiť vláde návrh na súhlas s podpisom Opčného protokolu k Dohovoru OSN proti mučeniu a inému krutému, neľudskému alebo ponižujúcemu zaobchádzaniu alebo trestaniu (OP-CAT) Slovenskou republikou s výhradou ratifikácie z dôvodu duplicity mechanizmu, ktorý sa opčným protokolom zavádza. Obdobné opatrenia na zabránenie zlému zaobchádzaniu, vo forme systematických návštev zariadení, kde sa nachádzajú alebo môžu nachádzať osoby obmedzené na slobode, ktoré sú ustanovené týmto opčným protokolom (Subkomisia na predchádzanie mučeniu a inému krutému, </w:t>
            </w:r>
            <w:r>
              <w:rPr>
                <w:rFonts w:ascii="Times" w:hAnsi="Times" w:cs="Times"/>
                <w:sz w:val="25"/>
                <w:szCs w:val="25"/>
              </w:rPr>
              <w:lastRenderedPageBreak/>
              <w:t xml:space="preserve">neľudskému alebo ponižujúcemu zaobchádzaniu alebo trestaniu (SPT)) sú pre členské štáty Rady Európy už zabezpečené zriadením a výkonom Európskeho výboru na zabránenie mučenia a neľudského či ponižujúceho zaobchádzania alebo trestania (CPT). Čo sa týka národnej úrovne, domnievame sa, že funkciu ochrany a podpory ľudských práv máme inštitucionálne dobre pokrytú v úradoch ombudsmana, komisára pre deti, komisára pre osoby so zdravotným postihnutím a Slovenského národného strediska pre ľudské práva.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p>
        </w:tc>
      </w:tr>
      <w:tr w:rsidR="00ED1022">
        <w:trPr>
          <w:divId w:val="3631430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rPr>
                <w:rFonts w:ascii="Times" w:hAnsi="Times" w:cs="Times"/>
                <w:sz w:val="25"/>
                <w:szCs w:val="25"/>
              </w:rPr>
            </w:pPr>
            <w:r>
              <w:rPr>
                <w:rFonts w:ascii="Times" w:hAnsi="Times" w:cs="Times"/>
                <w:sz w:val="25"/>
                <w:szCs w:val="25"/>
              </w:rPr>
              <w:br/>
              <w:t xml:space="preserve">Bez pripomienok.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p>
        </w:tc>
      </w:tr>
      <w:tr w:rsidR="00ED1022">
        <w:trPr>
          <w:divId w:val="3631430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rPr>
                <w:rFonts w:ascii="Times" w:hAnsi="Times" w:cs="Times"/>
                <w:sz w:val="25"/>
                <w:szCs w:val="25"/>
              </w:rPr>
            </w:pPr>
            <w:r>
              <w:rPr>
                <w:rFonts w:ascii="Times" w:hAnsi="Times" w:cs="Times"/>
                <w:sz w:val="25"/>
                <w:szCs w:val="25"/>
              </w:rPr>
              <w:br/>
              <w:t xml:space="preserve">K analýze vplyvov na rozpočet verejnej správy... - strana 2, bod 2.2.1., druhý odsek prvý riadok upraviť: „keďže ide o ústavný orgán“, ďalej posledná veta, slová „Zároveň sa ide o model“ nahradiť slovami „Zároveň ide o model“; - strana 4, bod 2.2.4., prvá veta, tretí riadok, doplniť do typov zariadení (do zátvoriek) aj „psychiatrické liečebne“. Odôvodnenie: Pri určovaní počtu zamestnancov NPM odporúčame zohľadniť aj počet osôb v psychiatrických liečebniach, kde sa okrem dobrovoľných pacientov nachádzajú aj nedobrovoľne hospitalizované osoby, ktoré sa na základe občianskoprávneho konania majú podrobiť psychiatrickej liečbe, taktiež osoby, ktoré sú umiestnené do psychiatrického zariadenia na základe rozhodnutia prijatého v trestnom konaní.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p>
        </w:tc>
      </w:tr>
      <w:tr w:rsidR="00ED1022">
        <w:trPr>
          <w:divId w:val="3631430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b/>
                <w:bCs/>
                <w:sz w:val="25"/>
                <w:szCs w:val="25"/>
              </w:rPr>
            </w:pPr>
            <w:r>
              <w:rPr>
                <w:rFonts w:ascii="Times" w:hAnsi="Times" w:cs="Times"/>
                <w:b/>
                <w:bCs/>
                <w:sz w:val="25"/>
                <w:szCs w:val="25"/>
              </w:rPr>
              <w:lastRenderedPageBreak/>
              <w:t>MZVaEZSR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rPr>
                <w:rFonts w:ascii="Times" w:hAnsi="Times" w:cs="Times"/>
                <w:sz w:val="25"/>
                <w:szCs w:val="25"/>
              </w:rPr>
            </w:pPr>
            <w:r>
              <w:rPr>
                <w:rFonts w:ascii="Times" w:hAnsi="Times" w:cs="Times"/>
                <w:sz w:val="25"/>
                <w:szCs w:val="25"/>
              </w:rPr>
              <w:br/>
              <w:t>K obalu materiálu, k návrhu uznesenia a k návrhu komuniké: - na obale materiálu, v návrhu uznesenia a v návrhu komuniké navrhujeme uvádzať zjednotený názov materiálu, v ktorom bude vypustený výraz „Slovenskou republikou“; - na obale materiálu je potrebné pod výrazom „minister spravodlivosti Slovenskej republiky“ doplniť výraz „Spolupodpisuje: Miroslav Lajčák, minister zahraničných vecí a európskych záležitostí Slovenskej republiky “. K návrhu uznesenia vlády: - v návrhu uznesenia vlády v časti „Vykonajú:“ navrhujeme doplniť výraz „minister zahraničných vecí a európskych záležitostí Slovenskej republiky“. K predkladacej správe: - v prvej vete predkladacej správy navrhujeme slovo „predbežné“ vypustiť; - v piatej vete tretieho odseku predkladacej správy navrhujeme výraz „Na pristúpenie“ nahradiť výrazom „Na ratifikáciu“; - poslednú vetu siedmeho odsek predkladacej správy navrhujeme v nasledujúcom znení: „Pre každý štát, ktorý ratifikuje opčný protokol, tento nadobudne platnosť tridsiatym dňom odo dňa uloženia tejto ratifikačnej listiny u depozitára.“. K doložke vybraných vplyvov: - v bode 4. doložky vybraných vplyvov navrhujeme vypustiť „Ministerstvo zahraničných vecí a európskych záležitostí SR“, ktoré nie je dotknutým subjektom.</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p>
        </w:tc>
      </w:tr>
      <w:tr w:rsidR="00ED1022">
        <w:trPr>
          <w:divId w:val="3631430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b/>
                <w:bCs/>
                <w:sz w:val="25"/>
                <w:szCs w:val="25"/>
              </w:rPr>
            </w:pPr>
            <w:r>
              <w:rPr>
                <w:rFonts w:ascii="Times" w:hAnsi="Times" w:cs="Times"/>
                <w:b/>
                <w:bCs/>
                <w:sz w:val="25"/>
                <w:szCs w:val="25"/>
              </w:rPr>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p>
        </w:tc>
      </w:tr>
      <w:tr w:rsidR="00ED1022">
        <w:trPr>
          <w:divId w:val="3631430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b/>
                <w:bCs/>
                <w:sz w:val="25"/>
                <w:szCs w:val="25"/>
              </w:rPr>
            </w:pPr>
            <w:r>
              <w:rPr>
                <w:rFonts w:ascii="Times" w:hAnsi="Times" w:cs="Times"/>
                <w:b/>
                <w:bCs/>
                <w:sz w:val="25"/>
                <w:szCs w:val="25"/>
              </w:rPr>
              <w:t>SNSLP</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rPr>
                <w:rFonts w:ascii="Times" w:hAnsi="Times" w:cs="Times"/>
                <w:sz w:val="25"/>
                <w:szCs w:val="25"/>
              </w:rPr>
            </w:pPr>
            <w:r>
              <w:rPr>
                <w:rFonts w:ascii="Times" w:hAnsi="Times" w:cs="Times"/>
                <w:sz w:val="25"/>
                <w:szCs w:val="25"/>
              </w:rPr>
              <w:br/>
              <w:t xml:space="preserve">Pripomienka k: celému materiálu Text pripomienky: Slovenské národné stredisko pre ľudské práva (Stredisko) víta Návrh na </w:t>
            </w:r>
            <w:r>
              <w:rPr>
                <w:rFonts w:ascii="Times" w:hAnsi="Times" w:cs="Times"/>
                <w:sz w:val="25"/>
                <w:szCs w:val="25"/>
              </w:rPr>
              <w:lastRenderedPageBreak/>
              <w:t xml:space="preserve">podpis Opčného protokolu k Dohovoru OSN proti mučeniu a inému krutému, neľudskému alebo ponižujúcemu zaobchádzaniu alebo trestaniu (OP-CAT) Slovenskou republikou. Odporúčania ratifikovať OP-CAT sú Slovenskej republike dlhodobo adresované zo strany zmluvných orgánov OSN, ako aj prostredníctvom Univerzálneho periodického hodnotenia. Podpis OP-CATu predstavuje prvý predpoklad pre následnú ratifikáciu a implementáciu opčného protokolu. Veríme, že ratifikácia opčného protokolu posilní ochranu ľudských práv a základných slobôd na Slovensku, ako aj inštitucionálne zabezpečenie tejto ochrany. Navrhovaný materiál predpokladá splnenie základného záväzku vyplývajúceho z OP-CATu, t.j. vytvorenie Národného preventívneho mechanizmu (NPM), ktorého primárnou úlohou je vykonávať preventívne systematické návštevy miest, kde sa nachádzajú alebo sa môžu nachádzať osoby zbavené osobnej slobody alebo obmedzené na osobnej slobode s cieľom posilniť ochranu týchto osôb, zlepšiť zaobchádzanie s nimi a podmienky, v ktorých tieto osoby žijú. Úlohu NPM má podľa návrhu plniť Verejný ochranca práv, s čím vyjadrujeme plnú podporu. V súlade s potrebou účinnej ochrany ľudských práv a základných slobôd jednotlivcov a v súlade s potrebou efektívneho plnenia medzinárodných záväzkov Slovenskej republiky v tejto oblasti považuje Stredisko za kľúčové, aby boli vytvorené dostatočné materiálne, technické a personálne podmienky na to, aby NPM, t.j. Verejný ochranca práv, mohol tento mandát riadne vykonávať.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lastRenderedPageBreak/>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D1022" w:rsidRDefault="00ED1022">
            <w:pPr>
              <w:rPr>
                <w:rFonts w:ascii="Times" w:hAnsi="Times" w:cs="Times"/>
                <w:sz w:val="25"/>
                <w:szCs w:val="25"/>
              </w:rPr>
            </w:pPr>
            <w:r>
              <w:rPr>
                <w:rFonts w:ascii="Times" w:hAnsi="Times" w:cs="Times"/>
                <w:sz w:val="25"/>
                <w:szCs w:val="25"/>
              </w:rPr>
              <w:t xml:space="preserve">SNSĽP na rozporovom konaní dňa 21.06.2018 vzalo späť zásadnú pripomienku s tým, že problematika </w:t>
            </w:r>
            <w:r>
              <w:rPr>
                <w:rFonts w:ascii="Times" w:hAnsi="Times" w:cs="Times"/>
                <w:sz w:val="25"/>
                <w:szCs w:val="25"/>
              </w:rPr>
              <w:lastRenderedPageBreak/>
              <w:t xml:space="preserve">financovania zriadenia NPM, a teda zvýšených nárokov na rozpočet verejnej správy, bude predmetom posudzovania pri prijímaní zmien relevantnej právnej úpravy. Rozpor bol odstránený. </w:t>
            </w:r>
          </w:p>
        </w:tc>
      </w:tr>
    </w:tbl>
    <w:p w:rsidR="00154A91" w:rsidRPr="00024402" w:rsidRDefault="00154A91" w:rsidP="00CE47A6">
      <w:bookmarkStart w:id="0" w:name="_GoBack"/>
      <w:bookmarkEnd w:id="0"/>
    </w:p>
    <w:sectPr w:rsidR="00154A91" w:rsidRPr="00024402" w:rsidSect="004075B2">
      <w:pgSz w:w="15840" w:h="12240"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3314" w:rsidRDefault="00A53314" w:rsidP="000A67D5">
      <w:pPr>
        <w:spacing w:after="0" w:line="240" w:lineRule="auto"/>
      </w:pPr>
      <w:r>
        <w:separator/>
      </w:r>
    </w:p>
  </w:endnote>
  <w:endnote w:type="continuationSeparator" w:id="0">
    <w:p w:rsidR="00A53314" w:rsidRDefault="00A53314" w:rsidP="000A6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43" w:usb2="00000009" w:usb3="00000000" w:csb0="000001FF" w:csb1="00000000"/>
  </w:font>
  <w:font w:name="Consolas">
    <w:panose1 w:val="020B0609020204030204"/>
    <w:charset w:val="EE"/>
    <w:family w:val="modern"/>
    <w:pitch w:val="fixed"/>
    <w:sig w:usb0="E10002FF" w:usb1="4000F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3314" w:rsidRDefault="00A53314" w:rsidP="000A67D5">
      <w:pPr>
        <w:spacing w:after="0" w:line="240" w:lineRule="auto"/>
      </w:pPr>
      <w:r>
        <w:separator/>
      </w:r>
    </w:p>
  </w:footnote>
  <w:footnote w:type="continuationSeparator" w:id="0">
    <w:p w:rsidR="00A53314" w:rsidRDefault="00A53314" w:rsidP="000A67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844"/>
    <w:rsid w:val="000032C8"/>
    <w:rsid w:val="00024402"/>
    <w:rsid w:val="000324A3"/>
    <w:rsid w:val="0006543E"/>
    <w:rsid w:val="000A67D5"/>
    <w:rsid w:val="000E25CA"/>
    <w:rsid w:val="000F7A42"/>
    <w:rsid w:val="00146547"/>
    <w:rsid w:val="00146B48"/>
    <w:rsid w:val="00150388"/>
    <w:rsid w:val="00154A91"/>
    <w:rsid w:val="002109B0"/>
    <w:rsid w:val="0021228E"/>
    <w:rsid w:val="00230F3C"/>
    <w:rsid w:val="002654AA"/>
    <w:rsid w:val="002827B4"/>
    <w:rsid w:val="002A5577"/>
    <w:rsid w:val="002D7471"/>
    <w:rsid w:val="00310A55"/>
    <w:rsid w:val="00322014"/>
    <w:rsid w:val="0039526D"/>
    <w:rsid w:val="003B435B"/>
    <w:rsid w:val="003D101C"/>
    <w:rsid w:val="003D5E45"/>
    <w:rsid w:val="003E4226"/>
    <w:rsid w:val="004075B2"/>
    <w:rsid w:val="00436C44"/>
    <w:rsid w:val="00474A9D"/>
    <w:rsid w:val="00532574"/>
    <w:rsid w:val="0059081C"/>
    <w:rsid w:val="005E7C53"/>
    <w:rsid w:val="00642FB8"/>
    <w:rsid w:val="006A3681"/>
    <w:rsid w:val="007156F5"/>
    <w:rsid w:val="007A1010"/>
    <w:rsid w:val="007B7F1A"/>
    <w:rsid w:val="007D7AE6"/>
    <w:rsid w:val="007E4294"/>
    <w:rsid w:val="00841FA6"/>
    <w:rsid w:val="008A1964"/>
    <w:rsid w:val="008D42E9"/>
    <w:rsid w:val="008E2844"/>
    <w:rsid w:val="0090100E"/>
    <w:rsid w:val="009239D9"/>
    <w:rsid w:val="00927118"/>
    <w:rsid w:val="00943EB2"/>
    <w:rsid w:val="0099665B"/>
    <w:rsid w:val="009C6C5C"/>
    <w:rsid w:val="009F2F17"/>
    <w:rsid w:val="009F7218"/>
    <w:rsid w:val="00A251BF"/>
    <w:rsid w:val="00A53314"/>
    <w:rsid w:val="00A54A16"/>
    <w:rsid w:val="00B721A5"/>
    <w:rsid w:val="00B76589"/>
    <w:rsid w:val="00B8767E"/>
    <w:rsid w:val="00BD1FAB"/>
    <w:rsid w:val="00BE7302"/>
    <w:rsid w:val="00BF7CE0"/>
    <w:rsid w:val="00CA44D2"/>
    <w:rsid w:val="00CE47A6"/>
    <w:rsid w:val="00CF3D59"/>
    <w:rsid w:val="00D261C9"/>
    <w:rsid w:val="00D85172"/>
    <w:rsid w:val="00D969AC"/>
    <w:rsid w:val="00DF7085"/>
    <w:rsid w:val="00E85710"/>
    <w:rsid w:val="00EB772A"/>
    <w:rsid w:val="00ED1022"/>
    <w:rsid w:val="00EF1425"/>
    <w:rsid w:val="00F26A4A"/>
    <w:rsid w:val="00F727F0"/>
    <w:rsid w:val="00F8562E"/>
    <w:rsid w:val="00FC5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32574"/>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3D5E45"/>
    <w:rPr>
      <w:color w:val="808080"/>
    </w:rPr>
  </w:style>
  <w:style w:type="paragraph" w:styleId="Textbubliny">
    <w:name w:val="Balloon Text"/>
    <w:basedOn w:val="Normlny"/>
    <w:link w:val="TextbublinyChar"/>
    <w:uiPriority w:val="99"/>
    <w:semiHidden/>
    <w:unhideWhenUsed/>
    <w:rsid w:val="003D5E4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D5E45"/>
    <w:rPr>
      <w:rFonts w:ascii="Tahoma" w:hAnsi="Tahoma" w:cs="Tahoma"/>
      <w:sz w:val="16"/>
      <w:szCs w:val="16"/>
    </w:rPr>
  </w:style>
  <w:style w:type="paragraph" w:styleId="Hlavika">
    <w:name w:val="header"/>
    <w:basedOn w:val="Normlny"/>
    <w:link w:val="HlavikaChar"/>
    <w:uiPriority w:val="99"/>
    <w:unhideWhenUsed/>
    <w:rsid w:val="000A67D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A67D5"/>
  </w:style>
  <w:style w:type="paragraph" w:styleId="Pta">
    <w:name w:val="footer"/>
    <w:basedOn w:val="Normlny"/>
    <w:link w:val="PtaChar"/>
    <w:uiPriority w:val="99"/>
    <w:unhideWhenUsed/>
    <w:rsid w:val="000A67D5"/>
    <w:pPr>
      <w:tabs>
        <w:tab w:val="center" w:pos="4536"/>
        <w:tab w:val="right" w:pos="9072"/>
      </w:tabs>
      <w:spacing w:after="0" w:line="240" w:lineRule="auto"/>
    </w:pPr>
  </w:style>
  <w:style w:type="character" w:customStyle="1" w:styleId="PtaChar">
    <w:name w:val="Päta Char"/>
    <w:basedOn w:val="Predvolenpsmoodseku"/>
    <w:link w:val="Pta"/>
    <w:uiPriority w:val="99"/>
    <w:rsid w:val="000A67D5"/>
  </w:style>
  <w:style w:type="character" w:styleId="Odkaznakomentr">
    <w:name w:val="annotation reference"/>
    <w:basedOn w:val="Predvolenpsmoodseku"/>
    <w:uiPriority w:val="99"/>
    <w:semiHidden/>
    <w:unhideWhenUsed/>
    <w:rsid w:val="00927118"/>
    <w:rPr>
      <w:sz w:val="16"/>
      <w:szCs w:val="16"/>
    </w:rPr>
  </w:style>
  <w:style w:type="paragraph" w:styleId="Textkomentra">
    <w:name w:val="annotation text"/>
    <w:basedOn w:val="Normlny"/>
    <w:link w:val="TextkomentraChar"/>
    <w:uiPriority w:val="99"/>
    <w:semiHidden/>
    <w:unhideWhenUsed/>
    <w:rsid w:val="00927118"/>
    <w:pPr>
      <w:widowControl w:val="0"/>
      <w:adjustRightInd w:val="0"/>
      <w:spacing w:line="240" w:lineRule="auto"/>
    </w:pPr>
    <w:rPr>
      <w:rFonts w:ascii="Calibri" w:eastAsia="Times New Roman" w:hAnsi="Calibri" w:cs="Times New Roman"/>
      <w:sz w:val="20"/>
      <w:szCs w:val="20"/>
    </w:rPr>
  </w:style>
  <w:style w:type="character" w:customStyle="1" w:styleId="TextkomentraChar">
    <w:name w:val="Text komentára Char"/>
    <w:basedOn w:val="Predvolenpsmoodseku"/>
    <w:link w:val="Textkomentra"/>
    <w:uiPriority w:val="99"/>
    <w:semiHidden/>
    <w:rsid w:val="00927118"/>
    <w:rPr>
      <w:rFonts w:ascii="Calibri" w:eastAsia="Times New Roman" w:hAnsi="Calibri" w:cs="Times New Roman"/>
      <w:sz w:val="20"/>
      <w:szCs w:val="20"/>
    </w:rPr>
  </w:style>
  <w:style w:type="paragraph" w:styleId="Zkladntext">
    <w:name w:val="Body Text"/>
    <w:basedOn w:val="Normlny"/>
    <w:link w:val="ZkladntextChar"/>
    <w:uiPriority w:val="99"/>
    <w:semiHidden/>
    <w:rsid w:val="00BF7CE0"/>
    <w:pPr>
      <w:widowControl w:val="0"/>
      <w:adjustRightInd w:val="0"/>
      <w:spacing w:after="0" w:line="240" w:lineRule="auto"/>
      <w:jc w:val="center"/>
    </w:pPr>
    <w:rPr>
      <w:rFonts w:ascii="Times New Roman" w:eastAsia="Times New Roman" w:hAnsi="Times New Roman" w:cs="Times New Roman"/>
      <w:b/>
      <w:bCs/>
      <w:sz w:val="28"/>
      <w:szCs w:val="28"/>
      <w:lang w:eastAsia="sk-SK"/>
    </w:rPr>
  </w:style>
  <w:style w:type="character" w:customStyle="1" w:styleId="ZkladntextChar">
    <w:name w:val="Základný text Char"/>
    <w:basedOn w:val="Predvolenpsmoodseku"/>
    <w:link w:val="Zkladntext"/>
    <w:uiPriority w:val="99"/>
    <w:semiHidden/>
    <w:rsid w:val="00BF7CE0"/>
    <w:rPr>
      <w:rFonts w:ascii="Times New Roman" w:eastAsia="Times New Roman" w:hAnsi="Times New Roman" w:cs="Times New Roman"/>
      <w:b/>
      <w:bCs/>
      <w:sz w:val="28"/>
      <w:szCs w:val="28"/>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322306">
      <w:bodyDiv w:val="1"/>
      <w:marLeft w:val="0"/>
      <w:marRight w:val="0"/>
      <w:marTop w:val="0"/>
      <w:marBottom w:val="0"/>
      <w:divBdr>
        <w:top w:val="none" w:sz="0" w:space="0" w:color="auto"/>
        <w:left w:val="none" w:sz="0" w:space="0" w:color="auto"/>
        <w:bottom w:val="none" w:sz="0" w:space="0" w:color="auto"/>
        <w:right w:val="none" w:sz="0" w:space="0" w:color="auto"/>
      </w:divBdr>
    </w:div>
    <w:div w:id="363143076">
      <w:bodyDiv w:val="1"/>
      <w:marLeft w:val="0"/>
      <w:marRight w:val="0"/>
      <w:marTop w:val="0"/>
      <w:marBottom w:val="0"/>
      <w:divBdr>
        <w:top w:val="none" w:sz="0" w:space="0" w:color="auto"/>
        <w:left w:val="none" w:sz="0" w:space="0" w:color="auto"/>
        <w:bottom w:val="none" w:sz="0" w:space="0" w:color="auto"/>
        <w:right w:val="none" w:sz="0" w:space="0" w:color="auto"/>
      </w:divBdr>
    </w:div>
    <w:div w:id="487134743">
      <w:bodyDiv w:val="1"/>
      <w:marLeft w:val="0"/>
      <w:marRight w:val="0"/>
      <w:marTop w:val="0"/>
      <w:marBottom w:val="0"/>
      <w:divBdr>
        <w:top w:val="none" w:sz="0" w:space="0" w:color="auto"/>
        <w:left w:val="none" w:sz="0" w:space="0" w:color="auto"/>
        <w:bottom w:val="none" w:sz="0" w:space="0" w:color="auto"/>
        <w:right w:val="none" w:sz="0" w:space="0" w:color="auto"/>
      </w:divBdr>
    </w:div>
    <w:div w:id="894118977">
      <w:bodyDiv w:val="1"/>
      <w:marLeft w:val="0"/>
      <w:marRight w:val="0"/>
      <w:marTop w:val="0"/>
      <w:marBottom w:val="0"/>
      <w:divBdr>
        <w:top w:val="none" w:sz="0" w:space="0" w:color="auto"/>
        <w:left w:val="none" w:sz="0" w:space="0" w:color="auto"/>
        <w:bottom w:val="none" w:sz="0" w:space="0" w:color="auto"/>
        <w:right w:val="none" w:sz="0" w:space="0" w:color="auto"/>
      </w:divBdr>
    </w:div>
    <w:div w:id="1019236263">
      <w:bodyDiv w:val="1"/>
      <w:marLeft w:val="0"/>
      <w:marRight w:val="0"/>
      <w:marTop w:val="0"/>
      <w:marBottom w:val="0"/>
      <w:divBdr>
        <w:top w:val="none" w:sz="0" w:space="0" w:color="auto"/>
        <w:left w:val="none" w:sz="0" w:space="0" w:color="auto"/>
        <w:bottom w:val="none" w:sz="0" w:space="0" w:color="auto"/>
        <w:right w:val="none" w:sz="0" w:space="0" w:color="auto"/>
      </w:divBdr>
    </w:div>
    <w:div w:id="1347057682">
      <w:bodyDiv w:val="1"/>
      <w:marLeft w:val="0"/>
      <w:marRight w:val="0"/>
      <w:marTop w:val="0"/>
      <w:marBottom w:val="0"/>
      <w:divBdr>
        <w:top w:val="none" w:sz="0" w:space="0" w:color="auto"/>
        <w:left w:val="none" w:sz="0" w:space="0" w:color="auto"/>
        <w:bottom w:val="none" w:sz="0" w:space="0" w:color="auto"/>
        <w:right w:val="none" w:sz="0" w:space="0" w:color="auto"/>
      </w:divBdr>
    </w:div>
    <w:div w:id="1827235112">
      <w:bodyDiv w:val="1"/>
      <w:marLeft w:val="0"/>
      <w:marRight w:val="0"/>
      <w:marTop w:val="0"/>
      <w:marBottom w:val="0"/>
      <w:divBdr>
        <w:top w:val="none" w:sz="0" w:space="0" w:color="auto"/>
        <w:left w:val="none" w:sz="0" w:space="0" w:color="auto"/>
        <w:bottom w:val="none" w:sz="0" w:space="0" w:color="auto"/>
        <w:right w:val="none" w:sz="0" w:space="0" w:color="auto"/>
      </w:divBdr>
    </w:div>
    <w:div w:id="2007635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5.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f:record ref="">
    <f:field ref="objname" par="" edit="true" text="Vyhodnotenie medzirezortného pripomienkového konania"/>
    <f:field ref="objsubject" par="" edit="true" text="Vyhodnotenie medzirezortného pripomienkového konania"/>
    <f:field ref="objcreatedby" par="" text="Administrator, System"/>
    <f:field ref="objcreatedat" par="" text="11.7.2018 10:23:32"/>
    <f:field ref="objchangedby" par="" text="Administrator, System"/>
    <f:field ref="objmodifiedat" par="" text="11.7.2018 10:23:36"/>
    <f:field ref="doc_FSCFOLIO_1_1001_FieldDocumentNumber" par="" text=""/>
    <f:field ref="doc_FSCFOLIO_1_1001_FieldSubject" par="" edit="true" text="Vyhodnotenie medzirezortného pripomienkového konania"/>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https://ovdmasv601/sites/DMS/_layouts/15/DocIdRedir.aspx?ID=WKX3UHSAJ2R6-2-858773</Url>
      <Description>WKX3UHSAJ2R6-2-858773</Description>
    </_dlc_DocIdUrl>
    <_dlc_DocId xmlns="e60a29af-d413-48d4-bd90-fe9d2a897e4b">WKX3UHSAJ2R6-2-858773</_dlc_DocId>
  </documentManagement>
</p:properties>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F4F0A81D-4A55-4A54-A974-33E66CB6E475}"/>
</file>

<file path=customXml/itemProps3.xml><?xml version="1.0" encoding="utf-8"?>
<ds:datastoreItem xmlns:ds="http://schemas.openxmlformats.org/officeDocument/2006/customXml" ds:itemID="{ECE250AF-83E2-47F2-A65E-F5DDC89D2007}"/>
</file>

<file path=customXml/itemProps4.xml><?xml version="1.0" encoding="utf-8"?>
<ds:datastoreItem xmlns:ds="http://schemas.openxmlformats.org/officeDocument/2006/customXml" ds:itemID="{874C71EF-8357-4741-96A4-53884FBA4A9A}"/>
</file>

<file path=customXml/itemProps5.xml><?xml version="1.0" encoding="utf-8"?>
<ds:datastoreItem xmlns:ds="http://schemas.openxmlformats.org/officeDocument/2006/customXml" ds:itemID="{D27CF64C-0C25-4D46-AF2E-149C5C5CBE19}"/>
</file>

<file path=docProps/app.xml><?xml version="1.0" encoding="utf-8"?>
<Properties xmlns="http://schemas.openxmlformats.org/officeDocument/2006/extended-properties" xmlns:vt="http://schemas.openxmlformats.org/officeDocument/2006/docPropsVTypes">
  <Template>Normal</Template>
  <TotalTime>0</TotalTime>
  <Pages>1</Pages>
  <Words>2571</Words>
  <Characters>14655</Characters>
  <Application>Microsoft Office Word</Application>
  <DocSecurity>0</DocSecurity>
  <Lines>122</Lines>
  <Paragraphs>34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2018-07-11T08:31:00Z</dcterms:created>
  <dcterms:modified xsi:type="dcterms:W3CDTF">2018-08-15T06:15:00Z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cisloparlamenttlac">
    <vt:lpwstr/>
  </property>
  <property fmtid="{D5CDD505-2E9C-101B-9397-08002B2CF9AE}" pid="5" name="FSC#SKEDITIONSLOVLEX@103.510:stavpredpis">
    <vt:lpwstr>Vyhodnotenie medzirezortného pripomienkového konania</vt:lpwstr>
  </property>
  <property fmtid="{D5CDD505-2E9C-101B-9397-08002B2CF9AE}" pid="6" name="FSC#SKEDITIONSLOVLEX@103.510:povodpredpis">
    <vt:lpwstr>Slovlex (eLeg)</vt:lpwstr>
  </property>
  <property fmtid="{D5CDD505-2E9C-101B-9397-08002B2CF9AE}" pid="7" name="FSC#SKEDITIONSLOVLEX@103.510:legoblast">
    <vt:lpwstr>Medzinárodné právo_x000d_
Medzinárodné zmluvy, dohody, dohovory</vt:lpwstr>
  </property>
  <property fmtid="{D5CDD505-2E9C-101B-9397-08002B2CF9AE}" pid="8" name="FSC#SKEDITIONSLOVLEX@103.510:uzemplat">
    <vt:lpwstr/>
  </property>
  <property fmtid="{D5CDD505-2E9C-101B-9397-08002B2CF9AE}" pid="9" name="FSC#SKEDITIONSLOVLEX@103.510:vztahypredpis">
    <vt:lpwstr/>
  </property>
  <property fmtid="{D5CDD505-2E9C-101B-9397-08002B2CF9AE}" pid="10" name="FSC#SKEDITIONSLOVLEX@103.510:predkladatel">
    <vt:lpwstr>Mgr. Zuzana Široká</vt:lpwstr>
  </property>
  <property fmtid="{D5CDD505-2E9C-101B-9397-08002B2CF9AE}" pid="11" name="FSC#SKEDITIONSLOVLEX@103.510:zodppredkladatel">
    <vt:lpwstr>Gábor Gál</vt:lpwstr>
  </property>
  <property fmtid="{D5CDD505-2E9C-101B-9397-08002B2CF9AE}" pid="12" name="FSC#SKEDITIONSLOVLEX@103.510:dalsipredkladatel">
    <vt:lpwstr/>
  </property>
  <property fmtid="{D5CDD505-2E9C-101B-9397-08002B2CF9AE}" pid="13" name="FSC#SKEDITIONSLOVLEX@103.510:nazovpredpis">
    <vt:lpwstr> Návrh na podpis Opčného protokolu k Dohovoru OSN proti mučeniu a inému krutému, neľudskému alebo ponižujúcemu zaobchádzaniu alebo trestaniu (OP-CAT) Slovenskou republikou s výhradou ratifikácie</vt:lpwstr>
  </property>
  <property fmtid="{D5CDD505-2E9C-101B-9397-08002B2CF9AE}" pid="14" name="FSC#SKEDITIONSLOVLEX@103.510:nazovpredpis1">
    <vt:lpwstr/>
  </property>
  <property fmtid="{D5CDD505-2E9C-101B-9397-08002B2CF9AE}" pid="15" name="FSC#SKEDITIONSLOVLEX@103.510:nazovpredpis2">
    <vt:lpwstr/>
  </property>
  <property fmtid="{D5CDD505-2E9C-101B-9397-08002B2CF9AE}" pid="16" name="FSC#SKEDITIONSLOVLEX@103.510:nazovpredpis3">
    <vt:lpwstr/>
  </property>
  <property fmtid="{D5CDD505-2E9C-101B-9397-08002B2CF9AE}" pid="17" name="FSC#SKEDITIONSLOVLEX@103.510:cislopredpis">
    <vt:lpwstr/>
  </property>
  <property fmtid="{D5CDD505-2E9C-101B-9397-08002B2CF9AE}" pid="18" name="FSC#SKEDITIONSLOVLEX@103.510:zodpinstitucia">
    <vt:lpwstr>Ministerstvo spravodlivosti Slovenskej republiky</vt:lpwstr>
  </property>
  <property fmtid="{D5CDD505-2E9C-101B-9397-08002B2CF9AE}" pid="19" name="FSC#SKEDITIONSLOVLEX@103.510:pripomienkovatelia">
    <vt:lpwstr/>
  </property>
  <property fmtid="{D5CDD505-2E9C-101B-9397-08002B2CF9AE}" pid="20" name="FSC#SKEDITIONSLOVLEX@103.510:autorpredpis">
    <vt:lpwstr/>
  </property>
  <property fmtid="{D5CDD505-2E9C-101B-9397-08002B2CF9AE}" pid="21" name="FSC#SKEDITIONSLOVLEX@103.510:podnetpredpis">
    <vt:lpwstr>Iniciatívny materiál</vt:lpwstr>
  </property>
  <property fmtid="{D5CDD505-2E9C-101B-9397-08002B2CF9AE}" pid="22" name="FSC#SKEDITIONSLOVLEX@103.510:plnynazovpredpis">
    <vt:lpwstr> Návrh na podpis Opčného protokolu k Dohovoru OSN proti mučeniu a inému krutému, neľudskému alebo ponižujúcemu zaobchádzaniu alebo trestaniu (OP-CAT) Slovenskou republikou s výhradou ratifikácie</vt:lpwstr>
  </property>
  <property fmtid="{D5CDD505-2E9C-101B-9397-08002B2CF9AE}" pid="23" name="FSC#SKEDITIONSLOVLEX@103.510:plnynazovpredpis1">
    <vt:lpwstr/>
  </property>
  <property fmtid="{D5CDD505-2E9C-101B-9397-08002B2CF9AE}" pid="24" name="FSC#SKEDITIONSLOVLEX@103.510:plnynazovpredpis2">
    <vt:lpwstr/>
  </property>
  <property fmtid="{D5CDD505-2E9C-101B-9397-08002B2CF9AE}" pid="25" name="FSC#SKEDITIONSLOVLEX@103.510:plnynazovpredpis3">
    <vt:lpwstr/>
  </property>
  <property fmtid="{D5CDD505-2E9C-101B-9397-08002B2CF9AE}" pid="26" name="FSC#SKEDITIONSLOVLEX@103.510:rezortcislopredpis">
    <vt:lpwstr>00303/2018/13</vt:lpwstr>
  </property>
  <property fmtid="{D5CDD505-2E9C-101B-9397-08002B2CF9AE}" pid="27" name="FSC#SKEDITIONSLOVLEX@103.510:citaciapredpis">
    <vt:lpwstr/>
  </property>
  <property fmtid="{D5CDD505-2E9C-101B-9397-08002B2CF9AE}" pid="28" name="FSC#SKEDITIONSLOVLEX@103.510:spiscislouv">
    <vt:lpwstr/>
  </property>
  <property fmtid="{D5CDD505-2E9C-101B-9397-08002B2CF9AE}" pid="29" name="FSC#SKEDITIONSLOVLEX@103.510:datumschvalpredpis">
    <vt:lpwstr/>
  </property>
  <property fmtid="{D5CDD505-2E9C-101B-9397-08002B2CF9AE}" pid="30" name="FSC#SKEDITIONSLOVLEX@103.510:platneod">
    <vt:lpwstr/>
  </property>
  <property fmtid="{D5CDD505-2E9C-101B-9397-08002B2CF9AE}" pid="31" name="FSC#SKEDITIONSLOVLEX@103.510:platnedo">
    <vt:lpwstr/>
  </property>
  <property fmtid="{D5CDD505-2E9C-101B-9397-08002B2CF9AE}" pid="32" name="FSC#SKEDITIONSLOVLEX@103.510:ucinnostod">
    <vt:lpwstr/>
  </property>
  <property fmtid="{D5CDD505-2E9C-101B-9397-08002B2CF9AE}" pid="33" name="FSC#SKEDITIONSLOVLEX@103.510:ucinnostdo">
    <vt:lpwstr/>
  </property>
  <property fmtid="{D5CDD505-2E9C-101B-9397-08002B2CF9AE}" pid="34" name="FSC#SKEDITIONSLOVLEX@103.510:datumplatnosti">
    <vt:lpwstr/>
  </property>
  <property fmtid="{D5CDD505-2E9C-101B-9397-08002B2CF9AE}" pid="35" name="FSC#SKEDITIONSLOVLEX@103.510:cislolp">
    <vt:lpwstr>LP/2018/299</vt:lpwstr>
  </property>
  <property fmtid="{D5CDD505-2E9C-101B-9397-08002B2CF9AE}" pid="36" name="FSC#SKEDITIONSLOVLEX@103.510:typsprievdok">
    <vt:lpwstr>Vyhodnotenie medzirezortného pripomienkového konania</vt:lpwstr>
  </property>
  <property fmtid="{D5CDD505-2E9C-101B-9397-08002B2CF9AE}" pid="37" name="FSC#SKEDITIONSLOVLEX@103.510:cislopartlac">
    <vt:lpwstr/>
  </property>
  <property fmtid="{D5CDD505-2E9C-101B-9397-08002B2CF9AE}" pid="38" name="FSC#SKEDITIONSLOVLEX@103.510:AttrStrListDocPropUcelPredmetZmluvy">
    <vt:lpwstr/>
  </property>
  <property fmtid="{D5CDD505-2E9C-101B-9397-08002B2CF9AE}" pid="39" name="FSC#SKEDITIONSLOVLEX@103.510:AttrStrListDocPropUpravaPravFOPRO">
    <vt:lpwstr/>
  </property>
  <property fmtid="{D5CDD505-2E9C-101B-9397-08002B2CF9AE}" pid="40" name="FSC#SKEDITIONSLOVLEX@103.510:AttrStrListDocPropUpravaPredmetuZmluvy">
    <vt:lpwstr/>
  </property>
  <property fmtid="{D5CDD505-2E9C-101B-9397-08002B2CF9AE}" pid="41" name="FSC#SKEDITIONSLOVLEX@103.510:AttrStrListDocPropKategoriaZmluvy74">
    <vt:lpwstr/>
  </property>
  <property fmtid="{D5CDD505-2E9C-101B-9397-08002B2CF9AE}" pid="42" name="FSC#SKEDITIONSLOVLEX@103.510:AttrStrListDocPropKategoriaZmluvy75">
    <vt:lpwstr/>
  </property>
  <property fmtid="{D5CDD505-2E9C-101B-9397-08002B2CF9AE}" pid="43" name="FSC#SKEDITIONSLOVLEX@103.510:AttrStrListDocPropDopadyPrijatiaZmluvy">
    <vt:lpwstr/>
  </property>
  <property fmtid="{D5CDD505-2E9C-101B-9397-08002B2CF9AE}" pid="44" name="FSC#SKEDITIONSLOVLEX@103.510:AttrStrListDocPropProblematikaPPa">
    <vt:lpwstr/>
  </property>
  <property fmtid="{D5CDD505-2E9C-101B-9397-08002B2CF9AE}" pid="45" name="FSC#SKEDITIONSLOVLEX@103.510:AttrStrListDocPropPrimarnePravoEU">
    <vt:lpwstr/>
  </property>
  <property fmtid="{D5CDD505-2E9C-101B-9397-08002B2CF9AE}" pid="46" name="FSC#SKEDITIONSLOVLEX@103.510:AttrStrListDocPropSekundarneLegPravoPO">
    <vt:lpwstr/>
  </property>
  <property fmtid="{D5CDD505-2E9C-101B-9397-08002B2CF9AE}" pid="47" name="FSC#SKEDITIONSLOVLEX@103.510:AttrStrListDocPropSekundarneNelegPravoPO">
    <vt:lpwstr/>
  </property>
  <property fmtid="{D5CDD505-2E9C-101B-9397-08002B2CF9AE}" pid="48" name="FSC#SKEDITIONSLOVLEX@103.510:AttrStrListDocPropSekundarneLegPravoDO">
    <vt:lpwstr/>
  </property>
  <property fmtid="{D5CDD505-2E9C-101B-9397-08002B2CF9AE}" pid="49" name="FSC#SKEDITIONSLOVLEX@103.510:AttrStrListDocPropProblematikaPPb">
    <vt:lpwstr/>
  </property>
  <property fmtid="{D5CDD505-2E9C-101B-9397-08002B2CF9AE}" pid="50" name="FSC#SKEDITIONSLOVLEX@103.510:AttrStrListDocPropNazovPredpisuEU">
    <vt:lpwstr/>
  </property>
  <property fmtid="{D5CDD505-2E9C-101B-9397-08002B2CF9AE}" pid="51" name="FSC#SKEDITIONSLOVLEX@103.510:AttrStrListDocPropLehotaPrebratieSmernice">
    <vt:lpwstr/>
  </property>
  <property fmtid="{D5CDD505-2E9C-101B-9397-08002B2CF9AE}" pid="52" name="FSC#SKEDITIONSLOVLEX@103.510:AttrStrListDocPropLehotaNaPredlozenie">
    <vt:lpwstr/>
  </property>
  <property fmtid="{D5CDD505-2E9C-101B-9397-08002B2CF9AE}" pid="53" name="FSC#SKEDITIONSLOVLEX@103.510:AttrStrListDocPropInfoZaciatokKonania">
    <vt:lpwstr/>
  </property>
  <property fmtid="{D5CDD505-2E9C-101B-9397-08002B2CF9AE}" pid="54" name="FSC#SKEDITIONSLOVLEX@103.510:AttrStrListDocPropInfoUzPreberanePP">
    <vt:lpwstr/>
  </property>
  <property fmtid="{D5CDD505-2E9C-101B-9397-08002B2CF9AE}" pid="55" name="FSC#SKEDITIONSLOVLEX@103.510:AttrStrListDocPropStupenZlucitelnostiPP">
    <vt:lpwstr/>
  </property>
  <property fmtid="{D5CDD505-2E9C-101B-9397-08002B2CF9AE}" pid="56" name="FSC#SKEDITIONSLOVLEX@103.510:AttrStrListDocPropGestorSpolupRezorty">
    <vt:lpwstr/>
  </property>
  <property fmtid="{D5CDD505-2E9C-101B-9397-08002B2CF9AE}" pid="57" name="FSC#SKEDITIONSLOVLEX@103.510:AttrDateDocPropZaciatokPKK">
    <vt:lpwstr>17. 4. 2018</vt:lpwstr>
  </property>
  <property fmtid="{D5CDD505-2E9C-101B-9397-08002B2CF9AE}" pid="58" name="FSC#SKEDITIONSLOVLEX@103.510:AttrDateDocPropUkonceniePKK">
    <vt:lpwstr>30. 4. 2018</vt:lpwstr>
  </property>
  <property fmtid="{D5CDD505-2E9C-101B-9397-08002B2CF9AE}" pid="59" name="FSC#SKEDITIONSLOVLEX@103.510:AttrStrDocPropVplyvRozpocetVS">
    <vt:lpwstr>Negatívne</vt:lpwstr>
  </property>
  <property fmtid="{D5CDD505-2E9C-101B-9397-08002B2CF9AE}" pid="60" name="FSC#SKEDITIONSLOVLEX@103.510:AttrStrDocPropVplyvPodnikatelskeProstr">
    <vt:lpwstr>Žiadne</vt:lpwstr>
  </property>
  <property fmtid="{D5CDD505-2E9C-101B-9397-08002B2CF9AE}" pid="61" name="FSC#SKEDITIONSLOVLEX@103.510:AttrStrDocPropVplyvSocialny">
    <vt:lpwstr>Žiadne</vt:lpwstr>
  </property>
  <property fmtid="{D5CDD505-2E9C-101B-9397-08002B2CF9AE}" pid="62" name="FSC#SKEDITIONSLOVLEX@103.510:AttrStrDocPropVplyvNaZivotProstr">
    <vt:lpwstr>Žiadne</vt:lpwstr>
  </property>
  <property fmtid="{D5CDD505-2E9C-101B-9397-08002B2CF9AE}" pid="63" name="FSC#SKEDITIONSLOVLEX@103.510:AttrStrDocPropVplyvNaInformatizaciu">
    <vt:lpwstr>Žiadne</vt:lpwstr>
  </property>
  <property fmtid="{D5CDD505-2E9C-101B-9397-08002B2CF9AE}" pid="64" name="FSC#SKEDITIONSLOVLEX@103.510:AttrStrListDocPropPoznamkaVplyv">
    <vt:lpwstr>Pri posúdení vplyvov na rozpočet verejnej správy predkladateľ vychádzal zo štandardnej praxe v iných krajinách, v ktorých funkciu tzv. národného preventívneho mechanizmu plní úrad ombudsmana.</vt:lpwstr>
  </property>
  <property fmtid="{D5CDD505-2E9C-101B-9397-08002B2CF9AE}" pid="65" name="FSC#SKEDITIONSLOVLEX@103.510:AttrStrListDocPropAltRiesenia">
    <vt:lpwstr>Slovenská republika v súčasnosti (tzv. nulový variant) je spolu s Lotyšskom poslednou krajinou Európskej únie, ktorá nie je signatárom opčného protokolu, pričom podpis a následnú ratifikáciu odporúčajú Slovenskej republike opakovane výbory OSN, ako aj ďal</vt:lpwstr>
  </property>
  <property fmtid="{D5CDD505-2E9C-101B-9397-08002B2CF9AE}" pid="66" name="FSC#SKEDITIONSLOVLEX@103.510:AttrStrListDocPropStanoviskoGest">
    <vt:lpwstr>Stála pracovná komisia na posudzovanie vybraných vplyvov vyjadrila nesúhlasné stanovisko. Ministerstvo financií SR nesúhlasí s rozpočtovo nekrytým vplyvom vyčísleným na rozpočet verejnej správy na roky 2019 až 2021, vrátane vplyvu na počet zamestnancov a </vt:lpwstr>
  </property>
  <property fmtid="{D5CDD505-2E9C-101B-9397-08002B2CF9AE}" pid="67" name="FSC#SKEDITIONSLOVLEX@103.510:AttrStrListDocPropTextKomunike">
    <vt:lpwstr>Vláda Slovenskej republiky na svojom rokovaní dňa ....................... prerokovala a schválila materiál Návrh na podpis Opčného protokolu k Dohovoru OSN proti mučeniu a inému krutému, neľudskému alebo ponižujúcemu zaobchádzaniu alebo trestaniu (OP-CAT)</vt:lpwstr>
  </property>
  <property fmtid="{D5CDD505-2E9C-101B-9397-08002B2CF9AE}" pid="68" name="FSC#SKEDITIONSLOVLEX@103.510:AttrStrListDocPropUznesenieCastA">
    <vt:lpwstr/>
  </property>
  <property fmtid="{D5CDD505-2E9C-101B-9397-08002B2CF9AE}" pid="69" name="FSC#SKEDITIONSLOVLEX@103.510:AttrStrListDocPropUznesenieZodpovednyA1">
    <vt:lpwstr/>
  </property>
  <property fmtid="{D5CDD505-2E9C-101B-9397-08002B2CF9AE}" pid="70" name="FSC#SKEDITIONSLOVLEX@103.510:AttrStrListDocPropUznesenieTextA1">
    <vt:lpwstr/>
  </property>
  <property fmtid="{D5CDD505-2E9C-101B-9397-08002B2CF9AE}" pid="71" name="FSC#SKEDITIONSLOVLEX@103.510:AttrStrListDocPropUznesenieTerminA1">
    <vt:lpwstr/>
  </property>
  <property fmtid="{D5CDD505-2E9C-101B-9397-08002B2CF9AE}" pid="72" name="FSC#SKEDITIONSLOVLEX@103.510:AttrStrListDocPropUznesenieBODA1">
    <vt:lpwstr/>
  </property>
  <property fmtid="{D5CDD505-2E9C-101B-9397-08002B2CF9AE}" pid="73" name="FSC#SKEDITIONSLOVLEX@103.510:AttrStrListDocPropUznesenieZodpovednyA2">
    <vt:lpwstr/>
  </property>
  <property fmtid="{D5CDD505-2E9C-101B-9397-08002B2CF9AE}" pid="74" name="FSC#SKEDITIONSLOVLEX@103.510:AttrStrListDocPropUznesenieTextA2">
    <vt:lpwstr/>
  </property>
  <property fmtid="{D5CDD505-2E9C-101B-9397-08002B2CF9AE}" pid="75" name="FSC#SKEDITIONSLOVLEX@103.510:AttrStrListDocPropUznesenieTerminA2">
    <vt:lpwstr/>
  </property>
  <property fmtid="{D5CDD505-2E9C-101B-9397-08002B2CF9AE}" pid="76" name="FSC#SKEDITIONSLOVLEX@103.510:AttrStrListDocPropUznesenieBODA3">
    <vt:lpwstr/>
  </property>
  <property fmtid="{D5CDD505-2E9C-101B-9397-08002B2CF9AE}" pid="77" name="FSC#SKEDITIONSLOVLEX@103.510:AttrStrListDocPropUznesenieZodpovednyA3">
    <vt:lpwstr/>
  </property>
  <property fmtid="{D5CDD505-2E9C-101B-9397-08002B2CF9AE}" pid="78" name="FSC#SKEDITIONSLOVLEX@103.510:AttrStrListDocPropUznesenieTextA3">
    <vt:lpwstr/>
  </property>
  <property fmtid="{D5CDD505-2E9C-101B-9397-08002B2CF9AE}" pid="79" name="FSC#SKEDITIONSLOVLEX@103.510:AttrStrListDocPropUznesenieTerminA3">
    <vt:lpwstr/>
  </property>
  <property fmtid="{D5CDD505-2E9C-101B-9397-08002B2CF9AE}" pid="80" name="FSC#SKEDITIONSLOVLEX@103.510:AttrStrListDocPropUznesenieBODA4">
    <vt:lpwstr/>
  </property>
  <property fmtid="{D5CDD505-2E9C-101B-9397-08002B2CF9AE}" pid="81" name="FSC#SKEDITIONSLOVLEX@103.510:AttrStrListDocPropUznesenieZodpovednyA4">
    <vt:lpwstr/>
  </property>
  <property fmtid="{D5CDD505-2E9C-101B-9397-08002B2CF9AE}" pid="82" name="FSC#SKEDITIONSLOVLEX@103.510:AttrStrListDocPropUznesenieTextA4">
    <vt:lpwstr/>
  </property>
  <property fmtid="{D5CDD505-2E9C-101B-9397-08002B2CF9AE}" pid="83" name="FSC#SKEDITIONSLOVLEX@103.510:AttrStrListDocPropUznesenieTerminA4">
    <vt:lpwstr/>
  </property>
  <property fmtid="{D5CDD505-2E9C-101B-9397-08002B2CF9AE}" pid="84" name="FSC#SKEDITIONSLOVLEX@103.510:AttrStrListDocPropUznesenieCastB">
    <vt:lpwstr/>
  </property>
  <property fmtid="{D5CDD505-2E9C-101B-9397-08002B2CF9AE}" pid="85" name="FSC#SKEDITIONSLOVLEX@103.510:AttrStrListDocPropUznesenieBODB1">
    <vt:lpwstr/>
  </property>
  <property fmtid="{D5CDD505-2E9C-101B-9397-08002B2CF9AE}" pid="86" name="FSC#SKEDITIONSLOVLEX@103.510:AttrStrListDocPropUznesenieZodpovednyB1">
    <vt:lpwstr/>
  </property>
  <property fmtid="{D5CDD505-2E9C-101B-9397-08002B2CF9AE}" pid="87" name="FSC#SKEDITIONSLOVLEX@103.510:AttrStrListDocPropUznesenieTextB1">
    <vt:lpwstr/>
  </property>
  <property fmtid="{D5CDD505-2E9C-101B-9397-08002B2CF9AE}" pid="88" name="FSC#SKEDITIONSLOVLEX@103.510:AttrStrListDocPropUznesenieTerminB1">
    <vt:lpwstr/>
  </property>
  <property fmtid="{D5CDD505-2E9C-101B-9397-08002B2CF9AE}" pid="89" name="FSC#SKEDITIONSLOVLEX@103.510:AttrStrListDocPropUznesenieBODB2">
    <vt:lpwstr/>
  </property>
  <property fmtid="{D5CDD505-2E9C-101B-9397-08002B2CF9AE}" pid="90" name="FSC#SKEDITIONSLOVLEX@103.510:AttrStrListDocPropUznesenieZodpovednyB2">
    <vt:lpwstr/>
  </property>
  <property fmtid="{D5CDD505-2E9C-101B-9397-08002B2CF9AE}" pid="91" name="FSC#SKEDITIONSLOVLEX@103.510:AttrStrListDocPropUznesenieTextB2">
    <vt:lpwstr/>
  </property>
  <property fmtid="{D5CDD505-2E9C-101B-9397-08002B2CF9AE}" pid="92" name="FSC#SKEDITIONSLOVLEX@103.510:AttrStrListDocPropUznesenieTerminB2">
    <vt:lpwstr/>
  </property>
  <property fmtid="{D5CDD505-2E9C-101B-9397-08002B2CF9AE}" pid="93" name="FSC#SKEDITIONSLOVLEX@103.510:AttrStrListDocPropUznesenieBODB3">
    <vt:lpwstr/>
  </property>
  <property fmtid="{D5CDD505-2E9C-101B-9397-08002B2CF9AE}" pid="94" name="FSC#SKEDITIONSLOVLEX@103.510:AttrStrListDocPropUznesenieZodpovednyB3">
    <vt:lpwstr/>
  </property>
  <property fmtid="{D5CDD505-2E9C-101B-9397-08002B2CF9AE}" pid="95" name="FSC#SKEDITIONSLOVLEX@103.510:AttrStrListDocPropUznesenieTextB3">
    <vt:lpwstr/>
  </property>
  <property fmtid="{D5CDD505-2E9C-101B-9397-08002B2CF9AE}" pid="96" name="FSC#SKEDITIONSLOVLEX@103.510:AttrStrListDocPropUznesenieTerminB3">
    <vt:lpwstr/>
  </property>
  <property fmtid="{D5CDD505-2E9C-101B-9397-08002B2CF9AE}" pid="97" name="FSC#SKEDITIONSLOVLEX@103.510:AttrStrListDocPropUznesenieBODB4">
    <vt:lpwstr/>
  </property>
  <property fmtid="{D5CDD505-2E9C-101B-9397-08002B2CF9AE}" pid="98" name="FSC#SKEDITIONSLOVLEX@103.510:AttrStrListDocPropUznesenieZodpovednyB4">
    <vt:lpwstr/>
  </property>
  <property fmtid="{D5CDD505-2E9C-101B-9397-08002B2CF9AE}" pid="99" name="FSC#SKEDITIONSLOVLEX@103.510:AttrStrListDocPropUznesenieTextB4">
    <vt:lpwstr/>
  </property>
  <property fmtid="{D5CDD505-2E9C-101B-9397-08002B2CF9AE}" pid="100" name="FSC#SKEDITIONSLOVLEX@103.510:AttrStrListDocPropUznesenieTerminB4">
    <vt:lpwstr/>
  </property>
  <property fmtid="{D5CDD505-2E9C-101B-9397-08002B2CF9AE}" pid="101" name="FSC#SKEDITIONSLOVLEX@103.510:AttrStrListDocPropUznesenieCastC">
    <vt:lpwstr/>
  </property>
  <property fmtid="{D5CDD505-2E9C-101B-9397-08002B2CF9AE}" pid="102" name="FSC#SKEDITIONSLOVLEX@103.510:AttrStrListDocPropUznesenieBODC1">
    <vt:lpwstr/>
  </property>
  <property fmtid="{D5CDD505-2E9C-101B-9397-08002B2CF9AE}" pid="103" name="FSC#SKEDITIONSLOVLEX@103.510:AttrStrListDocPropUznesenieZodpovednyC1">
    <vt:lpwstr/>
  </property>
  <property fmtid="{D5CDD505-2E9C-101B-9397-08002B2CF9AE}" pid="104" name="FSC#SKEDITIONSLOVLEX@103.510:AttrStrListDocPropUznesenieTextC1">
    <vt:lpwstr/>
  </property>
  <property fmtid="{D5CDD505-2E9C-101B-9397-08002B2CF9AE}" pid="105" name="FSC#SKEDITIONSLOVLEX@103.510:AttrStrListDocPropUznesenieTerminC1">
    <vt:lpwstr/>
  </property>
  <property fmtid="{D5CDD505-2E9C-101B-9397-08002B2CF9AE}" pid="106" name="FSC#SKEDITIONSLOVLEX@103.510:AttrStrListDocPropUznesenieBODC2">
    <vt:lpwstr/>
  </property>
  <property fmtid="{D5CDD505-2E9C-101B-9397-08002B2CF9AE}" pid="107" name="FSC#SKEDITIONSLOVLEX@103.510:AttrStrListDocPropUznesenieZodpovednyC2">
    <vt:lpwstr/>
  </property>
  <property fmtid="{D5CDD505-2E9C-101B-9397-08002B2CF9AE}" pid="108" name="FSC#SKEDITIONSLOVLEX@103.510:AttrStrListDocPropUznesenieTextC2">
    <vt:lpwstr/>
  </property>
  <property fmtid="{D5CDD505-2E9C-101B-9397-08002B2CF9AE}" pid="109" name="FSC#SKEDITIONSLOVLEX@103.510:AttrStrListDocPropUznesenieTerminC2">
    <vt:lpwstr/>
  </property>
  <property fmtid="{D5CDD505-2E9C-101B-9397-08002B2CF9AE}" pid="110" name="FSC#SKEDITIONSLOVLEX@103.510:AttrStrListDocPropUznesenieBODC3">
    <vt:lpwstr/>
  </property>
  <property fmtid="{D5CDD505-2E9C-101B-9397-08002B2CF9AE}" pid="111" name="FSC#SKEDITIONSLOVLEX@103.510:AttrStrListDocPropUznesenieZodpovednyC3">
    <vt:lpwstr/>
  </property>
  <property fmtid="{D5CDD505-2E9C-101B-9397-08002B2CF9AE}" pid="112" name="FSC#SKEDITIONSLOVLEX@103.510:AttrStrListDocPropUznesenieTextC3">
    <vt:lpwstr/>
  </property>
  <property fmtid="{D5CDD505-2E9C-101B-9397-08002B2CF9AE}" pid="113" name="FSC#SKEDITIONSLOVLEX@103.510:AttrStrListDocPropUznesenieTerminC3">
    <vt:lpwstr/>
  </property>
  <property fmtid="{D5CDD505-2E9C-101B-9397-08002B2CF9AE}" pid="114" name="FSC#SKEDITIONSLOVLEX@103.510:AttrStrListDocPropUznesenieBODC4">
    <vt:lpwstr/>
  </property>
  <property fmtid="{D5CDD505-2E9C-101B-9397-08002B2CF9AE}" pid="115" name="FSC#SKEDITIONSLOVLEX@103.510:AttrStrListDocPropUznesenieZodpovednyC4">
    <vt:lpwstr/>
  </property>
  <property fmtid="{D5CDD505-2E9C-101B-9397-08002B2CF9AE}" pid="116" name="FSC#SKEDITIONSLOVLEX@103.510:AttrStrListDocPropUznesenieTextC4">
    <vt:lpwstr/>
  </property>
  <property fmtid="{D5CDD505-2E9C-101B-9397-08002B2CF9AE}" pid="117" name="FSC#SKEDITIONSLOVLEX@103.510:AttrStrListDocPropUznesenieTerminC4">
    <vt:lpwstr/>
  </property>
  <property fmtid="{D5CDD505-2E9C-101B-9397-08002B2CF9AE}" pid="118" name="FSC#SKEDITIONSLOVLEX@103.510:AttrStrListDocPropUznesenieCastD">
    <vt:lpwstr/>
  </property>
  <property fmtid="{D5CDD505-2E9C-101B-9397-08002B2CF9AE}" pid="119" name="FSC#SKEDITIONSLOVLEX@103.510:AttrStrListDocPropUznesenieBODD1">
    <vt:lpwstr/>
  </property>
  <property fmtid="{D5CDD505-2E9C-101B-9397-08002B2CF9AE}" pid="120" name="FSC#SKEDITIONSLOVLEX@103.510:AttrStrListDocPropUznesenieZodpovednyD1">
    <vt:lpwstr/>
  </property>
  <property fmtid="{D5CDD505-2E9C-101B-9397-08002B2CF9AE}" pid="121" name="FSC#SKEDITIONSLOVLEX@103.510:AttrStrListDocPropUznesenieTextD1">
    <vt:lpwstr/>
  </property>
  <property fmtid="{D5CDD505-2E9C-101B-9397-08002B2CF9AE}" pid="122" name="FSC#SKEDITIONSLOVLEX@103.510:AttrStrListDocPropUznesenieTerminD1">
    <vt:lpwstr/>
  </property>
  <property fmtid="{D5CDD505-2E9C-101B-9397-08002B2CF9AE}" pid="123" name="FSC#SKEDITIONSLOVLEX@103.510:AttrStrListDocPropUznesenieBODD2">
    <vt:lpwstr/>
  </property>
  <property fmtid="{D5CDD505-2E9C-101B-9397-08002B2CF9AE}" pid="124" name="FSC#SKEDITIONSLOVLEX@103.510:AttrStrListDocPropUznesenieZodpovednyD2">
    <vt:lpwstr/>
  </property>
  <property fmtid="{D5CDD505-2E9C-101B-9397-08002B2CF9AE}" pid="125" name="FSC#SKEDITIONSLOVLEX@103.510:AttrStrListDocPropUznesenieTextD2">
    <vt:lpwstr/>
  </property>
  <property fmtid="{D5CDD505-2E9C-101B-9397-08002B2CF9AE}" pid="126" name="FSC#SKEDITIONSLOVLEX@103.510:AttrStrListDocPropUznesenieTerminD2">
    <vt:lpwstr/>
  </property>
  <property fmtid="{D5CDD505-2E9C-101B-9397-08002B2CF9AE}" pid="127" name="FSC#SKEDITIONSLOVLEX@103.510:AttrStrListDocPropUznesenieBODD3">
    <vt:lpwstr/>
  </property>
  <property fmtid="{D5CDD505-2E9C-101B-9397-08002B2CF9AE}" pid="128" name="FSC#SKEDITIONSLOVLEX@103.510:AttrStrListDocPropUznesenieZodpovednyD3">
    <vt:lpwstr/>
  </property>
  <property fmtid="{D5CDD505-2E9C-101B-9397-08002B2CF9AE}" pid="129" name="FSC#SKEDITIONSLOVLEX@103.510:AttrStrListDocPropUznesenieTextD3">
    <vt:lpwstr/>
  </property>
  <property fmtid="{D5CDD505-2E9C-101B-9397-08002B2CF9AE}" pid="130" name="FSC#SKEDITIONSLOVLEX@103.510:AttrStrListDocPropUznesenieTerminD3">
    <vt:lpwstr/>
  </property>
  <property fmtid="{D5CDD505-2E9C-101B-9397-08002B2CF9AE}" pid="131" name="FSC#SKEDITIONSLOVLEX@103.510:AttrStrListDocPropUznesenieBODD4">
    <vt:lpwstr/>
  </property>
  <property fmtid="{D5CDD505-2E9C-101B-9397-08002B2CF9AE}" pid="132" name="FSC#SKEDITIONSLOVLEX@103.510:AttrStrListDocPropUznesenieZodpovednyD4">
    <vt:lpwstr/>
  </property>
  <property fmtid="{D5CDD505-2E9C-101B-9397-08002B2CF9AE}" pid="133" name="FSC#SKEDITIONSLOVLEX@103.510:AttrStrListDocPropUznesenieTextD4">
    <vt:lpwstr/>
  </property>
  <property fmtid="{D5CDD505-2E9C-101B-9397-08002B2CF9AE}" pid="134" name="FSC#SKEDITIONSLOVLEX@103.510:AttrStrListDocPropUznesenieTerminD4">
    <vt:lpwstr/>
  </property>
  <property fmtid="{D5CDD505-2E9C-101B-9397-08002B2CF9AE}" pid="135" name="FSC#SKEDITIONSLOVLEX@103.510:AttrStrListDocPropUznesenieVykonaju">
    <vt:lpwstr>minister spravodlivosti SR</vt:lpwstr>
  </property>
  <property fmtid="{D5CDD505-2E9C-101B-9397-08002B2CF9AE}" pid="136" name="FSC#SKEDITIONSLOVLEX@103.510:AttrStrListDocPropUznesenieNaVedomie">
    <vt:lpwstr>prezident SR_x000d_
predseda Národnej rady SR_x000d_
generálny prokurátor SR</vt:lpwstr>
  </property>
  <property fmtid="{D5CDD505-2E9C-101B-9397-08002B2CF9AE}" pid="137" name="FSC#SKEDITIONSLOVLEX@103.510:funkciaPred">
    <vt:lpwstr>referent</vt:lpwstr>
  </property>
  <property fmtid="{D5CDD505-2E9C-101B-9397-08002B2CF9AE}" pid="138" name="FSC#SKEDITIONSLOVLEX@103.510:funkciaPredAkuzativ">
    <vt:lpwstr>referenta</vt:lpwstr>
  </property>
  <property fmtid="{D5CDD505-2E9C-101B-9397-08002B2CF9AE}" pid="139" name="FSC#SKEDITIONSLOVLEX@103.510:funkciaPredDativ">
    <vt:lpwstr>referentovi</vt:lpwstr>
  </property>
  <property fmtid="{D5CDD505-2E9C-101B-9397-08002B2CF9AE}" pid="140" name="FSC#SKEDITIONSLOVLEX@103.510:funkciaZodpPred">
    <vt:lpwstr>minister spravodlivosti Slovenskej republiky</vt:lpwstr>
  </property>
  <property fmtid="{D5CDD505-2E9C-101B-9397-08002B2CF9AE}" pid="141" name="FSC#SKEDITIONSLOVLEX@103.510:funkciaZodpPredAkuzativ">
    <vt:lpwstr>ministra spravodlivosti Slovenskej republiky</vt:lpwstr>
  </property>
  <property fmtid="{D5CDD505-2E9C-101B-9397-08002B2CF9AE}" pid="142" name="FSC#SKEDITIONSLOVLEX@103.510:funkciaZodpPredDativ">
    <vt:lpwstr>ministrovi spravodlivosti Slovenskej republiky</vt:lpwstr>
  </property>
  <property fmtid="{D5CDD505-2E9C-101B-9397-08002B2CF9AE}" pid="143" name="FSC#SKEDITIONSLOVLEX@103.510:funkciaDalsiPred">
    <vt:lpwstr/>
  </property>
  <property fmtid="{D5CDD505-2E9C-101B-9397-08002B2CF9AE}" pid="144" name="FSC#SKEDITIONSLOVLEX@103.510:funkciaDalsiPredAkuzativ">
    <vt:lpwstr/>
  </property>
  <property fmtid="{D5CDD505-2E9C-101B-9397-08002B2CF9AE}" pid="145" name="FSC#SKEDITIONSLOVLEX@103.510:funkciaDalsiPredDativ">
    <vt:lpwstr/>
  </property>
  <property fmtid="{D5CDD505-2E9C-101B-9397-08002B2CF9AE}" pid="146" name="FSC#SKEDITIONSLOVLEX@103.510:predkladateliaObalSD">
    <vt:lpwstr>Gábor Gál_x000d_
minister spravodlivosti Slovenskej republiky</vt:lpwstr>
  </property>
  <property fmtid="{D5CDD505-2E9C-101B-9397-08002B2CF9AE}" pid="147" name="FSC#SKEDITIONSLOVLEX@103.510:AttrStrListDocPropTextVseobPrilohy">
    <vt:lpwstr/>
  </property>
  <property fmtid="{D5CDD505-2E9C-101B-9397-08002B2CF9AE}" pid="148" name="FSC#SKEDITIONSLOVLEX@103.510:AttrStrListDocPropTextPredklSpravy">
    <vt:lpwstr>&lt;p style="text-align: justify;"&gt;&lt;span style="text-align: justify;"&gt;Ministerstvo spravodlivosti predkladá na predbežné pripomienkové konanie Návrh na podpis Opčného protokolu k Dohovoru OSN proti mučeniu a&amp;nbsp;inému krutému, neľudskému alebo ponižujúcemu </vt:lpwstr>
  </property>
  <property fmtid="{D5CDD505-2E9C-101B-9397-08002B2CF9AE}" pid="149" name="FSC#COOSYSTEM@1.1:Container">
    <vt:lpwstr>COO.2145.1000.3.2831322</vt:lpwstr>
  </property>
  <property fmtid="{D5CDD505-2E9C-101B-9397-08002B2CF9AE}" pid="150" name="FSC#FSCFOLIO@1.1001:docpropproject">
    <vt:lpwstr/>
  </property>
  <property fmtid="{D5CDD505-2E9C-101B-9397-08002B2CF9AE}" pid="151" name="FSC#SKEDITIONSLOVLEX@103.510:aktualnyrok">
    <vt:lpwstr>2018</vt:lpwstr>
  </property>
  <property fmtid="{D5CDD505-2E9C-101B-9397-08002B2CF9AE}" pid="152" name="FSC#SKEDITIONSLOVLEX@103.510:vytvorenedna">
    <vt:lpwstr>11. 7. 2018</vt:lpwstr>
  </property>
  <property fmtid="{D5CDD505-2E9C-101B-9397-08002B2CF9AE}" pid="153" name="ContentTypeId">
    <vt:lpwstr>0x0101006C0C8C3C1E3DCC44BECE3792677AD011</vt:lpwstr>
  </property>
  <property fmtid="{D5CDD505-2E9C-101B-9397-08002B2CF9AE}" pid="154" name="_dlc_DocIdItemGuid">
    <vt:lpwstr>bcaf9325-8c51-4935-9c9b-6bfdc8fd70c3</vt:lpwstr>
  </property>
</Properties>
</file>