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C41AD" w14:textId="30B3A179" w:rsidR="00AC1EC0" w:rsidRPr="00AC1EC0" w:rsidRDefault="00AC1EC0" w:rsidP="00AC1EC0">
      <w:pPr>
        <w:keepNext/>
        <w:keepLines/>
        <w:spacing w:before="360" w:after="80" w:line="259" w:lineRule="auto"/>
        <w:outlineLvl w:val="0"/>
        <w:rPr>
          <w:rFonts w:ascii="Times New Roman" w:eastAsia="Yu Gothic Light" w:hAnsi="Times New Roman" w:cs="Times New Roman"/>
          <w:b/>
          <w:sz w:val="28"/>
          <w:szCs w:val="44"/>
          <w:lang w:eastAsia="cs-CZ"/>
        </w:rPr>
      </w:pPr>
      <w:r w:rsidRPr="00AC1EC0">
        <w:rPr>
          <w:rFonts w:ascii="Times New Roman" w:eastAsia="Yu Gothic Light" w:hAnsi="Times New Roman" w:cs="Times New Roman"/>
          <w:b/>
          <w:szCs w:val="40"/>
          <w:lang w:eastAsia="cs-CZ"/>
        </w:rPr>
        <w:t>Dôvodová správa</w:t>
      </w:r>
    </w:p>
    <w:p w14:paraId="76505227" w14:textId="77777777" w:rsidR="00AC1EC0" w:rsidRPr="00AC1EC0" w:rsidRDefault="00AC1EC0" w:rsidP="00AC1EC0">
      <w:pPr>
        <w:keepNext/>
        <w:keepLines/>
        <w:spacing w:before="360" w:after="80" w:line="259" w:lineRule="auto"/>
        <w:outlineLvl w:val="0"/>
        <w:rPr>
          <w:rFonts w:ascii="Times New Roman" w:eastAsia="Yu Gothic Light" w:hAnsi="Times New Roman" w:cs="Times New Roman"/>
          <w:b/>
          <w:lang w:eastAsia="cs-CZ"/>
        </w:rPr>
      </w:pPr>
      <w:r w:rsidRPr="00AC1EC0">
        <w:rPr>
          <w:rFonts w:ascii="Times New Roman" w:eastAsia="Yu Gothic Light" w:hAnsi="Times New Roman" w:cs="Times New Roman"/>
          <w:b/>
          <w:lang w:eastAsia="cs-CZ"/>
        </w:rPr>
        <w:t>A. Všeobecná časť</w:t>
      </w:r>
    </w:p>
    <w:p w14:paraId="026C86E0" w14:textId="34877768" w:rsidR="00AC1EC0" w:rsidRPr="00AC1EC0" w:rsidRDefault="00CF7972" w:rsidP="006E417C">
      <w:pPr>
        <w:spacing w:line="259" w:lineRule="auto"/>
        <w:ind w:firstLine="708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r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N</w:t>
      </w:r>
      <w:r w:rsidR="007266F4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ávrh zákona, ktorým sa mení </w:t>
      </w:r>
      <w:r w:rsidR="00B92A33" w:rsidRPr="00B92A33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a dopĺňa zákon č. 251/2012 Z. z. o energetike a o zmene a doplnení niektorých zákonov v znení neskorších predpisov a ktorým sa menia a dopĺňajú niektoré zákony </w:t>
      </w:r>
      <w:r w:rsidR="0020179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(ďalej len ,,návrh zákona“) </w:t>
      </w:r>
      <w:r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sa predkladá z dôvodu</w:t>
      </w:r>
      <w:r w:rsidRPr="00AC1EC0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 transpozíci</w:t>
      </w:r>
      <w:r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e</w:t>
      </w:r>
      <w:r w:rsidRPr="00AC1EC0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 </w:t>
      </w:r>
      <w:r w:rsidR="00AC1EC0" w:rsidRPr="00AC1EC0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európskej legislatívy revidujúcej súčasné nastavenie vnútorného trhu s obnoviteľným plynom, so zemným plynom a s vodíkom v Európskej únii (ďalej len „EÚ“). Európsky parlament dňa 13. júna 2024 schválil finálne znenie reformy nastavenia trhu s obnoviteľným plynom, so zemným plynom </w:t>
      </w:r>
      <w:r w:rsidR="00AC0963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br/>
      </w:r>
      <w:r w:rsidR="00AC1EC0" w:rsidRPr="00AC1EC0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a s vodíkom. </w:t>
      </w:r>
    </w:p>
    <w:p w14:paraId="187EF7A6" w14:textId="77777777" w:rsidR="00AC1EC0" w:rsidRPr="00AC1EC0" w:rsidRDefault="00AC1EC0" w:rsidP="006E417C">
      <w:pPr>
        <w:spacing w:line="259" w:lineRule="auto"/>
        <w:ind w:firstLine="708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r w:rsidRPr="00AC1EC0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Reforma obsahuje:</w:t>
      </w:r>
    </w:p>
    <w:p w14:paraId="59EF5E97" w14:textId="7618913B" w:rsidR="00AC1EC0" w:rsidRPr="00AC0963" w:rsidRDefault="00AC1EC0" w:rsidP="00AC1EC0">
      <w:pPr>
        <w:spacing w:line="259" w:lineRule="auto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r w:rsidRPr="00CF7972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- </w:t>
      </w:r>
      <w:r w:rsidR="00A0269A" w:rsidRPr="00AC0963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smernicu Európskeho parlamentu a Rady (EÚ) 2024/1788 z 13. júna 2024 o spoločných pravidlách pre vnútorné trhy s obnoviteľným plynom, so zemným plynom a s vodíkom, ktorou sa mení smernica (EÚ) 2023/1791 a zrušuje smernica 2009/73/ES (prepracované znenie) (Ú. v. EÚ L, 2024/1788, 15.7.2024)</w:t>
      </w:r>
      <w:r w:rsidR="00A0269A" w:rsidRPr="00AC0963">
        <w:t xml:space="preserve"> </w:t>
      </w:r>
      <w:r w:rsidR="00A0269A" w:rsidRPr="00AC0963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(ďalej len „smernica (EÚ) 2024/1788“)</w:t>
      </w:r>
      <w:r w:rsidRPr="00AC0963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, a</w:t>
      </w:r>
    </w:p>
    <w:p w14:paraId="4F0CBC0B" w14:textId="175CB735" w:rsidR="00AC1EC0" w:rsidRPr="00AC1EC0" w:rsidRDefault="00AC1EC0" w:rsidP="00AC1EC0">
      <w:pPr>
        <w:spacing w:line="259" w:lineRule="auto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r w:rsidRPr="00AC0963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- </w:t>
      </w:r>
      <w:r w:rsidR="00A0269A" w:rsidRPr="00AC0963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nariadenie  Európskeho parlamentu a Rady (EÚ) 2024/1789 z 13. júna 2024 o vnútornom trhu s obnoviteľným plynom, zemným plynom a vodíkom, ktorým sa menia nariadenia (EÚ) </w:t>
      </w:r>
      <w:r w:rsidR="0006043F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br/>
      </w:r>
      <w:r w:rsidR="00A0269A" w:rsidRPr="00AC0963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č. 1227/2011, (EÚ) 2017/1938, (EÚ) 2019/942 a (EÚ) 2022/869 a rozhodnutie (EÚ) 2017/684 a ktorým sa zrušuje nariadenie (ES) č. 715/2009 (prepracované znenie) (Ú. v. EÚ L, 2024/1789, 15.7.2024)</w:t>
      </w:r>
      <w:r w:rsidRPr="00AC0963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.</w:t>
      </w:r>
    </w:p>
    <w:p w14:paraId="3696CF22" w14:textId="77777777" w:rsidR="00AC1EC0" w:rsidRPr="00AC1EC0" w:rsidRDefault="00AC1EC0" w:rsidP="006E417C">
      <w:pPr>
        <w:spacing w:line="259" w:lineRule="auto"/>
        <w:ind w:firstLine="708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r w:rsidRPr="00AC1EC0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Cieľom reformy nastavenia trhu s obnoviteľným plynom, so zemným plynom a s vodíkom je predovšetkým podporiť dosiahnutie uhlíkovej neutrality a dosiahnutie významného zníženia emisií skleníkových plynov v sektore energetiky a dopravy, podporiť rozvoj vodíkového hospodárstva, zabezpečenie energetickej bezpečnosti a dostupnosti cien energií. </w:t>
      </w:r>
    </w:p>
    <w:p w14:paraId="52951CB9" w14:textId="5AED1CFA" w:rsidR="00AC1EC0" w:rsidRPr="00AC1EC0" w:rsidRDefault="00AC1EC0" w:rsidP="006E417C">
      <w:pPr>
        <w:spacing w:line="259" w:lineRule="auto"/>
        <w:ind w:firstLine="708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r w:rsidRPr="00AC1EC0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Európska komisia v nadväznosti na vypuknutie vojenskej agresie Ruska proti Ukrajine prijala 8. marca 2022 oznámenie s názvom </w:t>
      </w:r>
      <w:proofErr w:type="spellStart"/>
      <w:r w:rsidRPr="00AC1EC0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REPowerEU</w:t>
      </w:r>
      <w:proofErr w:type="spellEnd"/>
      <w:r w:rsidRPr="00AC1EC0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 - spoločné európske pravidlá </w:t>
      </w:r>
      <w:r w:rsidR="0006043F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br/>
      </w:r>
      <w:r w:rsidRPr="00AC1EC0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pre cenovo dostupnejšiu, bezpečnejšiu a udržateľnejšiu energiu, ktoré zdôraznilo význam diverzifikácie dodávok plynu v záujme postupného ukončenia závislosti Únie od ruských energií. Z tohto dôvodu Komisia kladie dôraz na posilňovanie úlohy a rozširovanie využívania udržateľného </w:t>
      </w:r>
      <w:proofErr w:type="spellStart"/>
      <w:r w:rsidRPr="00AC1EC0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biometánu</w:t>
      </w:r>
      <w:proofErr w:type="spellEnd"/>
      <w:r w:rsidRPr="00AC1EC0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 a zavádzanie obnoviteľného vodíka. Cieľom uvedenej európskej legislatívy tak je uľahčiť prenikanie obnoviteľných plynov, </w:t>
      </w:r>
      <w:proofErr w:type="spellStart"/>
      <w:r w:rsidRPr="00AC1EC0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nízkouhlíkových</w:t>
      </w:r>
      <w:proofErr w:type="spellEnd"/>
      <w:r w:rsidRPr="00AC1EC0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 plynov a vodíka do energetického systému, čím sa umožní odklon od fosílneho plynu a podporí dosahovanie klimatických cieľov Únie do roku 2030 a klimatickej neutrality do roku 2050. </w:t>
      </w:r>
    </w:p>
    <w:p w14:paraId="3D7BC916" w14:textId="74C87A43" w:rsidR="00AC1EC0" w:rsidRPr="00AC1EC0" w:rsidRDefault="0020179C" w:rsidP="006E417C">
      <w:pPr>
        <w:spacing w:line="259" w:lineRule="auto"/>
        <w:ind w:firstLine="708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r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Zákon o energetike (ďalej len ,,</w:t>
      </w:r>
      <w:proofErr w:type="spellStart"/>
      <w:r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ZoE</w:t>
      </w:r>
      <w:proofErr w:type="spellEnd"/>
      <w:r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“)</w:t>
      </w:r>
      <w:r w:rsidRPr="00AC1EC0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 </w:t>
      </w:r>
      <w:r w:rsidR="00AC1EC0" w:rsidRPr="00AC1EC0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v súčasnosti vytvára právny rámec pre podnikanie v energetických odvetviach, stanovuje práva a povinnosti jednotlivých účastníkov trhu</w:t>
      </w:r>
      <w:r w:rsidR="0006043F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br/>
      </w:r>
      <w:r w:rsidR="00AC1EC0" w:rsidRPr="00AC1EC0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 s elektrinou a plynom a pravidlá pre výkon štátnej správy v energetike. Cenovú a vecnú reguláciu v odvetví elektroenergetiky a plynárenstva upravuje </w:t>
      </w:r>
      <w:r w:rsidR="00AC4790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zákon o reguláci</w:t>
      </w:r>
      <w:r w:rsidR="00071E4D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i</w:t>
      </w:r>
      <w:r w:rsidR="00AC4790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 </w:t>
      </w:r>
      <w:r w:rsidR="00FF5FC2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v </w:t>
      </w:r>
      <w:r w:rsidR="00AC4790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sieťových odvetv</w:t>
      </w:r>
      <w:r w:rsidR="00FF5FC2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iach </w:t>
      </w:r>
      <w:r w:rsidR="00AC4790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(ďalej len ,,</w:t>
      </w:r>
      <w:proofErr w:type="spellStart"/>
      <w:r w:rsidR="00AC4790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ZoR</w:t>
      </w:r>
      <w:proofErr w:type="spellEnd"/>
      <w:r w:rsidR="00AC4790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“)</w:t>
      </w:r>
      <w:r w:rsidR="00AC1EC0" w:rsidRPr="00AC1EC0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, ktorý ďalej vymedzuje postavenie a pôsobnosť Úradu </w:t>
      </w:r>
      <w:r w:rsidR="0006043F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br/>
      </w:r>
      <w:r w:rsidR="00AC1EC0" w:rsidRPr="00AC1EC0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pre reguláciu sieťových odvetví (ďalej len „ÚRSO“) ako jediného a samostatného regulátora pre sieťové odvetvia a povinnosti regulovaných subjektov. Zákon o podpore </w:t>
      </w:r>
      <w:r w:rsidR="00B243D0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obnoviteľných zdrojov energie a vysoko účinnej kombinovanej výroby </w:t>
      </w:r>
      <w:r w:rsidR="0052511D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(ďalej len ,,zákon o podpore OZE“)</w:t>
      </w:r>
      <w:r w:rsidR="00B243D0" w:rsidRPr="00AC1EC0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 </w:t>
      </w:r>
      <w:r w:rsidR="00AC1EC0" w:rsidRPr="00AC1EC0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lastRenderedPageBreak/>
        <w:t>ustanovuje spôsob a podmienky podpory OZE, práva a povinnosti výrobcov energie z</w:t>
      </w:r>
      <w:r w:rsidR="0006043F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 </w:t>
      </w:r>
      <w:r w:rsidR="00AC1EC0" w:rsidRPr="00AC1EC0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OZE</w:t>
      </w:r>
      <w:r w:rsidR="0006043F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br/>
      </w:r>
      <w:r w:rsidR="00AC1EC0" w:rsidRPr="00AC1EC0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 a ďalších účastníkov trhu s elektrinou a plynom.</w:t>
      </w:r>
    </w:p>
    <w:p w14:paraId="1D26F284" w14:textId="4F022910" w:rsidR="00097DF7" w:rsidRDefault="00AC1EC0" w:rsidP="006E417C">
      <w:pPr>
        <w:spacing w:line="259" w:lineRule="auto"/>
        <w:ind w:firstLine="708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r w:rsidRPr="00AC1EC0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Základné princípy, z ktorých súčasná zákonná úprava vychádza, sú aj naďalej platné</w:t>
      </w:r>
      <w:r w:rsidR="0006043F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br/>
      </w:r>
      <w:r w:rsidRPr="00AC1EC0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 v rámci členských štátov EÚ. Aktuálnymi zmenami dochádza však k rozšíreniu niektorých </w:t>
      </w:r>
      <w:r w:rsidR="0006043F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br/>
      </w:r>
      <w:r w:rsidRPr="00AC1EC0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z nich, k doplneniu už zavedených nových princípov a rovnako doplneniu právomocí </w:t>
      </w:r>
      <w:r w:rsidR="0006043F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br/>
      </w:r>
      <w:r w:rsidRPr="00AC1EC0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a povinností nových účastníkov trhu s vodíkom v záujme podpory jednotného trhu s plynom </w:t>
      </w:r>
      <w:r w:rsidR="0006043F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br/>
      </w:r>
      <w:r w:rsidRPr="00AC1EC0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a vodíkom, stability a bezpečnosti trhu a zaistenia ochrany jednotlivých subjektov, najmä koncových odberateľov plynu a vodíka. </w:t>
      </w:r>
    </w:p>
    <w:p w14:paraId="50DE2FB3" w14:textId="0F63E3A3" w:rsidR="00AC1EC0" w:rsidRPr="00AC1EC0" w:rsidRDefault="00097DF7" w:rsidP="006E417C">
      <w:pPr>
        <w:spacing w:line="259" w:lineRule="auto"/>
        <w:ind w:firstLine="708"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r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Súčasne sa v jednotlivých novelizovaných zákonoch </w:t>
      </w:r>
      <w:r w:rsidR="00855C2A" w:rsidRPr="00855C2A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menia ďalšie ustanovenia v reakcii na požiadavky aplikačnej praxe.</w:t>
      </w:r>
    </w:p>
    <w:p w14:paraId="76D8D6A4" w14:textId="6599BF57" w:rsidR="00AC1EC0" w:rsidRPr="00AC1EC0" w:rsidRDefault="00AC1EC0" w:rsidP="00AC1EC0">
      <w:pPr>
        <w:spacing w:line="259" w:lineRule="auto"/>
        <w:jc w:val="both"/>
        <w:rPr>
          <w:rFonts w:ascii="Times New Roman" w:eastAsia="Calibri" w:hAnsi="Times New Roman" w:cs="Times New Roman"/>
          <w:b/>
          <w:bCs/>
          <w:kern w:val="0"/>
          <w:shd w:val="clear" w:color="auto" w:fill="FFFFFF"/>
          <w14:ligatures w14:val="none"/>
        </w:rPr>
      </w:pPr>
      <w:r w:rsidRPr="00AC1EC0">
        <w:rPr>
          <w:rFonts w:ascii="Times New Roman" w:eastAsia="Calibri" w:hAnsi="Times New Roman" w:cs="Times New Roman"/>
          <w:b/>
          <w:bCs/>
          <w:kern w:val="0"/>
          <w:shd w:val="clear" w:color="auto" w:fill="FFFFFF"/>
          <w14:ligatures w14:val="none"/>
        </w:rPr>
        <w:t xml:space="preserve">Návrh </w:t>
      </w:r>
      <w:r w:rsidR="0052511D">
        <w:rPr>
          <w:rFonts w:ascii="Times New Roman" w:eastAsia="Calibri" w:hAnsi="Times New Roman" w:cs="Times New Roman"/>
          <w:b/>
          <w:bCs/>
          <w:kern w:val="0"/>
          <w:shd w:val="clear" w:color="auto" w:fill="FFFFFF"/>
          <w14:ligatures w14:val="none"/>
        </w:rPr>
        <w:t>zákona</w:t>
      </w:r>
      <w:r w:rsidR="0052511D" w:rsidRPr="00AC1EC0">
        <w:rPr>
          <w:rFonts w:ascii="Times New Roman" w:eastAsia="Calibri" w:hAnsi="Times New Roman" w:cs="Times New Roman"/>
          <w:b/>
          <w:bCs/>
          <w:kern w:val="0"/>
          <w:shd w:val="clear" w:color="auto" w:fill="FFFFFF"/>
          <w14:ligatures w14:val="none"/>
        </w:rPr>
        <w:t xml:space="preserve"> </w:t>
      </w:r>
      <w:proofErr w:type="spellStart"/>
      <w:r w:rsidRPr="00AC1EC0">
        <w:rPr>
          <w:rFonts w:ascii="Times New Roman" w:eastAsia="Calibri" w:hAnsi="Times New Roman" w:cs="Times New Roman"/>
          <w:b/>
          <w:bCs/>
          <w:kern w:val="0"/>
          <w:shd w:val="clear" w:color="auto" w:fill="FFFFFF"/>
          <w14:ligatures w14:val="none"/>
        </w:rPr>
        <w:t>ZoE</w:t>
      </w:r>
      <w:proofErr w:type="spellEnd"/>
      <w:r w:rsidRPr="00AC1EC0">
        <w:rPr>
          <w:rFonts w:ascii="Times New Roman" w:eastAsia="Calibri" w:hAnsi="Times New Roman" w:cs="Times New Roman"/>
          <w:b/>
          <w:bCs/>
          <w:kern w:val="0"/>
          <w:shd w:val="clear" w:color="auto" w:fill="FFFFFF"/>
          <w14:ligatures w14:val="none"/>
        </w:rPr>
        <w:t xml:space="preserve"> prináša najmä tieto zmeny:</w:t>
      </w:r>
    </w:p>
    <w:p w14:paraId="77AF5201" w14:textId="77777777" w:rsidR="00AC1EC0" w:rsidRPr="00AC1EC0" w:rsidRDefault="00AC1EC0" w:rsidP="00AC1EC0">
      <w:pPr>
        <w:numPr>
          <w:ilvl w:val="0"/>
          <w:numId w:val="1"/>
        </w:numPr>
        <w:spacing w:line="259" w:lineRule="auto"/>
        <w:contextualSpacing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r w:rsidRPr="00AC1EC0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zavedenie a komplexnú právnu úpravu v oblasti trhu s vodíkom na podporu rozvoja vodíkového hospodárstva, </w:t>
      </w:r>
    </w:p>
    <w:p w14:paraId="1BE9D718" w14:textId="77777777" w:rsidR="00AC1EC0" w:rsidRPr="00AC1EC0" w:rsidRDefault="00AC1EC0" w:rsidP="00AC1EC0">
      <w:pPr>
        <w:numPr>
          <w:ilvl w:val="0"/>
          <w:numId w:val="1"/>
        </w:numPr>
        <w:spacing w:line="259" w:lineRule="auto"/>
        <w:contextualSpacing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r w:rsidRPr="00AC1EC0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doplnenie nových účastníkov trhu s vodíkom, konkrétne prevádzkovateľ zásobníka vodíka,  výrobca vodíka, prevádzkovateľ vodíkového terminálu, dodávateľ vodíka, koncový odberateľ vodíka, </w:t>
      </w:r>
    </w:p>
    <w:p w14:paraId="74ED6864" w14:textId="47E6CF1F" w:rsidR="00AC1EC0" w:rsidRPr="00AC1EC0" w:rsidRDefault="00AC1EC0" w:rsidP="00AC1EC0">
      <w:pPr>
        <w:numPr>
          <w:ilvl w:val="0"/>
          <w:numId w:val="1"/>
        </w:numPr>
        <w:spacing w:line="259" w:lineRule="auto"/>
        <w:contextualSpacing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r w:rsidRPr="00AC1EC0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rozšírenie ustanovení o ochrane odberateľov aj na koncových odberateľov vodíka</w:t>
      </w:r>
      <w:r w:rsidR="00C347F2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,</w:t>
      </w:r>
    </w:p>
    <w:p w14:paraId="52CAB8C4" w14:textId="564E5A13" w:rsidR="00AC1EC0" w:rsidRPr="00AC1EC0" w:rsidRDefault="00C347F2" w:rsidP="00AC1EC0">
      <w:pPr>
        <w:numPr>
          <w:ilvl w:val="0"/>
          <w:numId w:val="1"/>
        </w:numPr>
        <w:spacing w:line="259" w:lineRule="auto"/>
        <w:contextualSpacing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r w:rsidRPr="00AC1EC0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úprav</w:t>
      </w:r>
      <w:r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u</w:t>
      </w:r>
      <w:r w:rsidRPr="00AC1EC0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 </w:t>
      </w:r>
      <w:r w:rsidR="00AC1EC0" w:rsidRPr="00AC1EC0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aktívneho odberateľa  v plyne, </w:t>
      </w:r>
    </w:p>
    <w:p w14:paraId="461F1B88" w14:textId="77777777" w:rsidR="00AC1EC0" w:rsidRPr="00AC1EC0" w:rsidRDefault="00AC1EC0" w:rsidP="00AC1EC0">
      <w:pPr>
        <w:numPr>
          <w:ilvl w:val="0"/>
          <w:numId w:val="1"/>
        </w:numPr>
        <w:spacing w:line="259" w:lineRule="auto"/>
        <w:contextualSpacing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r w:rsidRPr="00AC1EC0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úpravu inteligentných meracích systémov v oblasti plynárenstva a vodíka, </w:t>
      </w:r>
    </w:p>
    <w:p w14:paraId="32701290" w14:textId="0620923A" w:rsidR="00AC1EC0" w:rsidRDefault="00AC1EC0" w:rsidP="00AC1EC0">
      <w:pPr>
        <w:numPr>
          <w:ilvl w:val="0"/>
          <w:numId w:val="1"/>
        </w:numPr>
        <w:spacing w:line="259" w:lineRule="auto"/>
        <w:contextualSpacing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r w:rsidRPr="00AC1EC0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správu a prístup k údajom koncových odberateľov plynu</w:t>
      </w:r>
      <w:r w:rsidR="00097DF7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,</w:t>
      </w:r>
      <w:r w:rsidRPr="00AC1EC0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 </w:t>
      </w:r>
    </w:p>
    <w:p w14:paraId="635707CB" w14:textId="20EE2F98" w:rsidR="00097DF7" w:rsidRDefault="00097DF7" w:rsidP="00AC1EC0">
      <w:pPr>
        <w:numPr>
          <w:ilvl w:val="0"/>
          <w:numId w:val="1"/>
        </w:numPr>
        <w:spacing w:line="259" w:lineRule="auto"/>
        <w:contextualSpacing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r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doplnenie ú</w:t>
      </w:r>
      <w:r w:rsidR="00855C2A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prav</w:t>
      </w:r>
      <w:r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y</w:t>
      </w:r>
      <w:r w:rsidR="00855C2A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 týkajúc</w:t>
      </w:r>
      <w:r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ej</w:t>
      </w:r>
      <w:r w:rsidR="00855C2A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 sa </w:t>
      </w:r>
      <w:r w:rsidR="00855C2A" w:rsidRPr="00855C2A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inteligentných meracích systémov, ktorá vyplýva </w:t>
      </w:r>
      <w:r w:rsidR="0006043F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br/>
      </w:r>
      <w:r w:rsidR="00855C2A" w:rsidRPr="00855C2A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z technologického vývoja dátových sietí a zastarania starších dátových sieti, ktoré môžu byť trvale vypnuté ešte pre uplynutím technickej doby životnosti inteligentných meracích systémov</w:t>
      </w:r>
      <w:r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,</w:t>
      </w:r>
    </w:p>
    <w:p w14:paraId="66FC78A6" w14:textId="5AB04823" w:rsidR="00855C2A" w:rsidRPr="00AC1EC0" w:rsidRDefault="00097DF7" w:rsidP="00AC1EC0">
      <w:pPr>
        <w:numPr>
          <w:ilvl w:val="0"/>
          <w:numId w:val="1"/>
        </w:numPr>
        <w:spacing w:line="259" w:lineRule="auto"/>
        <w:contextualSpacing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r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úpravy </w:t>
      </w:r>
      <w:r w:rsidRPr="00855C2A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ďalš</w:t>
      </w:r>
      <w:r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ích</w:t>
      </w:r>
      <w:r w:rsidRPr="00855C2A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 ustanoven</w:t>
      </w:r>
      <w:r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í</w:t>
      </w:r>
      <w:r w:rsidRPr="00855C2A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 v reakcii na požiadavky aplikačnej praxe</w:t>
      </w:r>
      <w:r w:rsidR="00855C2A" w:rsidRPr="00855C2A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.</w:t>
      </w:r>
    </w:p>
    <w:p w14:paraId="1084F635" w14:textId="77777777" w:rsidR="00AC1EC0" w:rsidRPr="00AC1EC0" w:rsidRDefault="00AC1EC0" w:rsidP="00AC1EC0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</w:p>
    <w:p w14:paraId="57E60533" w14:textId="16E27335" w:rsidR="00AC1EC0" w:rsidRPr="00AC1EC0" w:rsidRDefault="00AC1EC0" w:rsidP="00AC1EC0">
      <w:pPr>
        <w:spacing w:line="259" w:lineRule="auto"/>
        <w:jc w:val="both"/>
        <w:rPr>
          <w:rFonts w:ascii="Times New Roman" w:eastAsia="Aptos" w:hAnsi="Times New Roman" w:cs="Arial"/>
          <w:b/>
          <w:kern w:val="0"/>
          <w:shd w:val="clear" w:color="auto" w:fill="FFFFFF"/>
          <w14:ligatures w14:val="none"/>
        </w:rPr>
      </w:pPr>
      <w:r w:rsidRPr="00AC1EC0">
        <w:rPr>
          <w:rFonts w:ascii="Times New Roman" w:eastAsia="Aptos" w:hAnsi="Times New Roman" w:cs="Arial"/>
          <w:b/>
          <w:kern w:val="0"/>
          <w:shd w:val="clear" w:color="auto" w:fill="FFFFFF"/>
          <w14:ligatures w14:val="none"/>
        </w:rPr>
        <w:t>Návrh zákona o podpore OZE prináša najmä tieto zmeny:</w:t>
      </w:r>
    </w:p>
    <w:p w14:paraId="2E626D57" w14:textId="77777777" w:rsidR="00AC1EC0" w:rsidRPr="00AC1EC0" w:rsidRDefault="00AC1EC0" w:rsidP="00AC1EC0">
      <w:pPr>
        <w:numPr>
          <w:ilvl w:val="0"/>
          <w:numId w:val="2"/>
        </w:numPr>
        <w:spacing w:line="259" w:lineRule="auto"/>
        <w:contextualSpacing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proofErr w:type="spellStart"/>
      <w:r w:rsidRPr="00AC1EC0">
        <w:rPr>
          <w:rFonts w:ascii="Times New Roman" w:eastAsia="Calibri" w:hAnsi="Times New Roman" w:cs="Times New Roman"/>
          <w:kern w:val="0"/>
          <w:shd w:val="clear" w:color="auto" w:fill="FFFFFF"/>
          <w:lang w:val="en-US"/>
          <w14:ligatures w14:val="none"/>
        </w:rPr>
        <w:t>definíciu</w:t>
      </w:r>
      <w:proofErr w:type="spellEnd"/>
      <w:r w:rsidRPr="00AC1EC0">
        <w:rPr>
          <w:rFonts w:ascii="Times New Roman" w:eastAsia="Calibri" w:hAnsi="Times New Roman" w:cs="Times New Roman"/>
          <w:kern w:val="0"/>
          <w:shd w:val="clear" w:color="auto" w:fill="FFFFFF"/>
          <w:lang w:val="en-US"/>
          <w14:ligatures w14:val="none"/>
        </w:rPr>
        <w:t xml:space="preserve"> </w:t>
      </w:r>
      <w:proofErr w:type="spellStart"/>
      <w:r w:rsidRPr="00AC1EC0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nízkouhlíkových</w:t>
      </w:r>
      <w:proofErr w:type="spellEnd"/>
      <w:r w:rsidRPr="00AC1EC0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 plynov, </w:t>
      </w:r>
      <w:proofErr w:type="spellStart"/>
      <w:r w:rsidRPr="00AC1EC0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nízkouhlíkových</w:t>
      </w:r>
      <w:proofErr w:type="spellEnd"/>
      <w:r w:rsidRPr="00AC1EC0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 palív a </w:t>
      </w:r>
      <w:proofErr w:type="spellStart"/>
      <w:r w:rsidRPr="00AC1EC0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nízkouhlíkového</w:t>
      </w:r>
      <w:proofErr w:type="spellEnd"/>
      <w:r w:rsidRPr="00AC1EC0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 vodíka v súlade s požiadavkami smernice (EÚ) 2024/1788, </w:t>
      </w:r>
    </w:p>
    <w:p w14:paraId="11096718" w14:textId="77777777" w:rsidR="00AC1EC0" w:rsidRPr="00AC1EC0" w:rsidRDefault="00AC1EC0" w:rsidP="00AC1EC0">
      <w:pPr>
        <w:numPr>
          <w:ilvl w:val="0"/>
          <w:numId w:val="2"/>
        </w:numPr>
        <w:spacing w:line="259" w:lineRule="auto"/>
        <w:contextualSpacing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r w:rsidRPr="00AC1EC0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zavedenie práv a povinností výrobcu </w:t>
      </w:r>
      <w:proofErr w:type="spellStart"/>
      <w:r w:rsidRPr="00AC1EC0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nízkouhlíkových</w:t>
      </w:r>
      <w:proofErr w:type="spellEnd"/>
      <w:r w:rsidRPr="00AC1EC0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 plynov, </w:t>
      </w:r>
    </w:p>
    <w:p w14:paraId="30C4B7F2" w14:textId="6CA49975" w:rsidR="00AC1EC0" w:rsidRPr="00AC1EC0" w:rsidRDefault="00AC1EC0" w:rsidP="00AC1EC0">
      <w:pPr>
        <w:numPr>
          <w:ilvl w:val="0"/>
          <w:numId w:val="2"/>
        </w:numPr>
        <w:spacing w:line="259" w:lineRule="auto"/>
        <w:contextualSpacing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r w:rsidRPr="00AC1EC0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úpravu v oblasti registra obnoviteľných plynov, ktorý sa rozširuje </w:t>
      </w:r>
      <w:r w:rsidR="0006043F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br/>
      </w:r>
      <w:r w:rsidRPr="00AC1EC0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o register </w:t>
      </w:r>
      <w:proofErr w:type="spellStart"/>
      <w:r w:rsidRPr="00AC1EC0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nízkouhlíkových</w:t>
      </w:r>
      <w:proofErr w:type="spellEnd"/>
      <w:r w:rsidRPr="00AC1EC0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 </w:t>
      </w:r>
      <w:r w:rsidR="00C347F2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plynov </w:t>
      </w:r>
      <w:r w:rsidRPr="00AC1EC0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v súlade s požiadavkami smernice (EÚ) 2024/1788, </w:t>
      </w:r>
    </w:p>
    <w:p w14:paraId="05D1898C" w14:textId="01A00309" w:rsidR="00AC1EC0" w:rsidRPr="00AC1EC0" w:rsidRDefault="00AC1EC0" w:rsidP="00AC1EC0">
      <w:pPr>
        <w:numPr>
          <w:ilvl w:val="0"/>
          <w:numId w:val="2"/>
        </w:numPr>
        <w:spacing w:line="259" w:lineRule="auto"/>
        <w:contextualSpacing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r w:rsidRPr="00AC1EC0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v súvislosti s úpravou registra obnoviteľných plynov a </w:t>
      </w:r>
      <w:proofErr w:type="spellStart"/>
      <w:r w:rsidRPr="00AC1EC0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nízkouhlíkových</w:t>
      </w:r>
      <w:proofErr w:type="spellEnd"/>
      <w:r w:rsidRPr="00AC1EC0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 </w:t>
      </w:r>
      <w:r w:rsidR="00C347F2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plynov</w:t>
      </w:r>
      <w:r w:rsidR="00C347F2" w:rsidRPr="00AC1EC0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 </w:t>
      </w:r>
      <w:r w:rsidR="0006043F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br/>
      </w:r>
      <w:r w:rsidRPr="00AC1EC0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sa dopĺňa a rozširuje aj úprava v oblasti záruk pôvodu </w:t>
      </w:r>
      <w:proofErr w:type="spellStart"/>
      <w:r w:rsidRPr="00AC1EC0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nízkouhlíkových</w:t>
      </w:r>
      <w:proofErr w:type="spellEnd"/>
      <w:r w:rsidRPr="00AC1EC0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 plynov o záruky pôvodu </w:t>
      </w:r>
      <w:proofErr w:type="spellStart"/>
      <w:r w:rsidRPr="00AC1EC0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nízkouhlíkových</w:t>
      </w:r>
      <w:proofErr w:type="spellEnd"/>
      <w:r w:rsidRPr="00AC1EC0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 </w:t>
      </w:r>
      <w:r w:rsidR="00AC547F" w:rsidRPr="00AC1EC0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p</w:t>
      </w:r>
      <w:r w:rsidR="00AC547F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lynov</w:t>
      </w:r>
      <w:r w:rsidRPr="00AC1EC0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, </w:t>
      </w:r>
    </w:p>
    <w:p w14:paraId="6CCE72F2" w14:textId="65588E88" w:rsidR="00097DF7" w:rsidRPr="00AC1EC0" w:rsidRDefault="00D004AC" w:rsidP="00097DF7">
      <w:pPr>
        <w:spacing w:line="259" w:lineRule="auto"/>
        <w:ind w:left="720"/>
        <w:contextualSpacing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r w:rsidRPr="00D004A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spresňuje </w:t>
      </w:r>
      <w:r w:rsidR="001E3E15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s</w:t>
      </w:r>
      <w:r w:rsidRPr="00D004A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a </w:t>
      </w:r>
      <w:r w:rsidR="001E3E15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a </w:t>
      </w:r>
      <w:r w:rsidRPr="00D004A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rozširuje vecný rozsah metodickej usmerňovacej pôsobnosti ministerstva pri uvádzaní pohonných látok na trh</w:t>
      </w:r>
      <w:r w:rsidRPr="00D004AC" w:rsidDel="00D004A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 </w:t>
      </w:r>
    </w:p>
    <w:p w14:paraId="082B6636" w14:textId="07756D27" w:rsidR="00AC1EC0" w:rsidRDefault="00AC1EC0" w:rsidP="00AC1EC0">
      <w:pPr>
        <w:spacing w:line="259" w:lineRule="auto"/>
        <w:contextualSpacing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r w:rsidRPr="00AC1EC0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Navrhované úpravy majú za cieľ podporiť energetickú transformáciu v súlade s cieľmi Únie v oblasti klímy a prispieť súčasne k urýchleniu zníženia emisií existujúcich palív a podporiť prechod odberateľov v ťažko </w:t>
      </w:r>
      <w:proofErr w:type="spellStart"/>
      <w:r w:rsidRPr="00AC1EC0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dekarbonizovateľných</w:t>
      </w:r>
      <w:proofErr w:type="spellEnd"/>
      <w:r w:rsidRPr="00AC1EC0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 odvetviach, kde neexist</w:t>
      </w:r>
      <w:r w:rsidRPr="001E3E15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ujú ďalšie energeticky alebo nákladovo efektívne možnosti. Úprava súvisí aj s tým, že </w:t>
      </w:r>
      <w:r w:rsidRPr="00AC0963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smernica </w:t>
      </w:r>
      <w:r w:rsidR="00A0269A" w:rsidRPr="00AC0963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Európskeho parlamentu a Rady (EÚ) 2018/2001 z 11. decembra 2018 o podpore využívania energie z obnoviteľných zdrojov (prepracované znenie) (Ú. v. EÚ L 328, 21.12.2018) v platnom znení</w:t>
      </w:r>
      <w:r w:rsidRPr="00AC1EC0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 neupravovala oblasť </w:t>
      </w:r>
      <w:proofErr w:type="spellStart"/>
      <w:r w:rsidRPr="00AC1EC0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nízkouhlíkových</w:t>
      </w:r>
      <w:proofErr w:type="spellEnd"/>
      <w:r w:rsidRPr="00AC1EC0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 palív a </w:t>
      </w:r>
      <w:proofErr w:type="spellStart"/>
      <w:r w:rsidRPr="00AC1EC0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nízkouhlíkového</w:t>
      </w:r>
      <w:proofErr w:type="spellEnd"/>
      <w:r w:rsidRPr="00AC1EC0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 vodíka, nakoľko</w:t>
      </w:r>
      <w:r w:rsidR="000216E5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br/>
      </w:r>
      <w:r w:rsidRPr="00AC1EC0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lastRenderedPageBreak/>
        <w:t xml:space="preserve"> sa nejedná o obnoviteľné palivá. Tým ale vznikla medzera v legislatívnom nastavení, ktorá bola vyplnená práve vďaka úprave týchto oblastí smernicou (EÚ) 2024/1788.</w:t>
      </w:r>
    </w:p>
    <w:p w14:paraId="03FCE370" w14:textId="77777777" w:rsidR="00AC1EC0" w:rsidRDefault="00AC1EC0" w:rsidP="00AC1EC0">
      <w:pPr>
        <w:spacing w:line="259" w:lineRule="auto"/>
        <w:contextualSpacing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</w:p>
    <w:p w14:paraId="17ADED8C" w14:textId="3077BD35" w:rsidR="00AC1EC0" w:rsidRPr="00AC1EC0" w:rsidRDefault="00AC1EC0" w:rsidP="00AC1EC0">
      <w:pPr>
        <w:spacing w:line="259" w:lineRule="auto"/>
        <w:jc w:val="both"/>
        <w:rPr>
          <w:rFonts w:ascii="Times New Roman" w:eastAsia="Aptos" w:hAnsi="Times New Roman" w:cs="Arial"/>
          <w:b/>
          <w:kern w:val="0"/>
          <w:shd w:val="clear" w:color="auto" w:fill="FFFFFF"/>
          <w14:ligatures w14:val="none"/>
        </w:rPr>
      </w:pPr>
      <w:r w:rsidRPr="00AC1EC0">
        <w:rPr>
          <w:rFonts w:ascii="Times New Roman" w:eastAsia="Aptos" w:hAnsi="Times New Roman" w:cs="Arial"/>
          <w:b/>
          <w:kern w:val="0"/>
          <w:shd w:val="clear" w:color="auto" w:fill="FFFFFF"/>
          <w14:ligatures w14:val="none"/>
        </w:rPr>
        <w:t xml:space="preserve">Návrh </w:t>
      </w:r>
      <w:r w:rsidR="008C0119">
        <w:rPr>
          <w:rFonts w:ascii="Times New Roman" w:eastAsia="Aptos" w:hAnsi="Times New Roman" w:cs="Arial"/>
          <w:b/>
          <w:kern w:val="0"/>
          <w:shd w:val="clear" w:color="auto" w:fill="FFFFFF"/>
          <w14:ligatures w14:val="none"/>
        </w:rPr>
        <w:t>zákona</w:t>
      </w:r>
      <w:r w:rsidR="008C0119" w:rsidRPr="00AC1EC0">
        <w:rPr>
          <w:rFonts w:ascii="Times New Roman" w:eastAsia="Aptos" w:hAnsi="Times New Roman" w:cs="Arial"/>
          <w:b/>
          <w:kern w:val="0"/>
          <w:shd w:val="clear" w:color="auto" w:fill="FFFFFF"/>
          <w14:ligatures w14:val="none"/>
        </w:rPr>
        <w:t xml:space="preserve"> </w:t>
      </w:r>
      <w:proofErr w:type="spellStart"/>
      <w:r w:rsidRPr="00AC1EC0">
        <w:rPr>
          <w:rFonts w:ascii="Times New Roman" w:eastAsia="Aptos" w:hAnsi="Times New Roman" w:cs="Arial"/>
          <w:b/>
          <w:kern w:val="0"/>
          <w:shd w:val="clear" w:color="auto" w:fill="FFFFFF"/>
          <w14:ligatures w14:val="none"/>
        </w:rPr>
        <w:t>ZoR</w:t>
      </w:r>
      <w:proofErr w:type="spellEnd"/>
      <w:r w:rsidRPr="00AC1EC0">
        <w:rPr>
          <w:rFonts w:ascii="Times New Roman" w:eastAsia="Aptos" w:hAnsi="Times New Roman" w:cs="Arial"/>
          <w:b/>
          <w:kern w:val="0"/>
          <w:shd w:val="clear" w:color="auto" w:fill="FFFFFF"/>
          <w14:ligatures w14:val="none"/>
        </w:rPr>
        <w:t xml:space="preserve"> prináša najmä tieto zmeny:</w:t>
      </w:r>
    </w:p>
    <w:p w14:paraId="067ECDA2" w14:textId="77777777" w:rsidR="00AC1EC0" w:rsidRPr="00AC1EC0" w:rsidRDefault="00AC1EC0" w:rsidP="00AC1EC0">
      <w:pPr>
        <w:numPr>
          <w:ilvl w:val="0"/>
          <w:numId w:val="2"/>
        </w:numPr>
        <w:spacing w:line="259" w:lineRule="auto"/>
        <w:contextualSpacing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r w:rsidRPr="00AC1EC0">
        <w:rPr>
          <w:rFonts w:ascii="Times New Roman" w:eastAsia="Aptos" w:hAnsi="Times New Roman" w:cs="Arial"/>
          <w:kern w:val="0"/>
          <w:shd w:val="clear" w:color="auto" w:fill="FFFFFF"/>
          <w14:ligatures w14:val="none"/>
        </w:rPr>
        <w:t>rozšírenie doterajších právomocí ÚRSO v súvislosti s vyššie uvedenými zmenami v </w:t>
      </w:r>
      <w:proofErr w:type="spellStart"/>
      <w:r w:rsidRPr="00AC1EC0">
        <w:rPr>
          <w:rFonts w:ascii="Times New Roman" w:eastAsia="Aptos" w:hAnsi="Times New Roman" w:cs="Arial"/>
          <w:kern w:val="0"/>
          <w:shd w:val="clear" w:color="auto" w:fill="FFFFFF"/>
          <w14:ligatures w14:val="none"/>
        </w:rPr>
        <w:t>ZoE</w:t>
      </w:r>
      <w:proofErr w:type="spellEnd"/>
      <w:r w:rsidRPr="00AC1EC0">
        <w:rPr>
          <w:rFonts w:ascii="Times New Roman" w:eastAsia="Aptos" w:hAnsi="Times New Roman" w:cs="Arial"/>
          <w:kern w:val="0"/>
          <w:shd w:val="clear" w:color="auto" w:fill="FFFFFF"/>
          <w14:ligatures w14:val="none"/>
        </w:rPr>
        <w:t xml:space="preserve"> a požiadavkami smernice (EÚ) 2024/1788</w:t>
      </w:r>
    </w:p>
    <w:p w14:paraId="49A3750D" w14:textId="77777777" w:rsidR="00AC1EC0" w:rsidRPr="00097DF7" w:rsidRDefault="00AC1EC0" w:rsidP="00AC1EC0">
      <w:pPr>
        <w:numPr>
          <w:ilvl w:val="0"/>
          <w:numId w:val="2"/>
        </w:numPr>
        <w:spacing w:line="259" w:lineRule="auto"/>
        <w:contextualSpacing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r w:rsidRPr="00AC1EC0">
        <w:rPr>
          <w:rFonts w:ascii="Times New Roman" w:eastAsia="Aptos" w:hAnsi="Times New Roman" w:cs="Arial"/>
          <w:kern w:val="0"/>
          <w:shd w:val="clear" w:color="auto" w:fill="FFFFFF"/>
          <w14:ligatures w14:val="none"/>
        </w:rPr>
        <w:t xml:space="preserve">rozšírenie doterajšieho rozsahu vecnej a cenovej regulácie v kontexte vodíkového hospodárstva, najmä v kontextu následného prechodu na režim regulovaného prístupu k vodíkovým sieťam od 1. januára 2033. </w:t>
      </w:r>
    </w:p>
    <w:p w14:paraId="5E101D65" w14:textId="41F2F9D3" w:rsidR="00097DF7" w:rsidRPr="00097DF7" w:rsidRDefault="00097DF7" w:rsidP="00097DF7">
      <w:pPr>
        <w:numPr>
          <w:ilvl w:val="0"/>
          <w:numId w:val="2"/>
        </w:numPr>
        <w:spacing w:line="259" w:lineRule="auto"/>
        <w:contextualSpacing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  <w:r w:rsidRPr="00097DF7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úpravy ďalších ustanovení v reakcii na požiadavky aplikačnej praxe.</w:t>
      </w:r>
    </w:p>
    <w:p w14:paraId="3D01050B" w14:textId="77777777" w:rsidR="00097DF7" w:rsidRPr="00AC1EC0" w:rsidRDefault="00097DF7" w:rsidP="00097DF7">
      <w:pPr>
        <w:spacing w:line="259" w:lineRule="auto"/>
        <w:ind w:left="720"/>
        <w:contextualSpacing/>
        <w:jc w:val="both"/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</w:pPr>
    </w:p>
    <w:p w14:paraId="6B4EA14F" w14:textId="3EE92877" w:rsidR="00AC1EC0" w:rsidRDefault="00F00BB5" w:rsidP="00AC1EC0">
      <w:pPr>
        <w:tabs>
          <w:tab w:val="left" w:pos="720"/>
        </w:tabs>
        <w:spacing w:line="259" w:lineRule="auto"/>
        <w:jc w:val="both"/>
        <w:rPr>
          <w:rFonts w:ascii="Times New Roman" w:eastAsia="Aptos" w:hAnsi="Times New Roman" w:cs="Arial"/>
          <w:kern w:val="0"/>
          <w14:ligatures w14:val="none"/>
        </w:rPr>
      </w:pPr>
      <w:r>
        <w:rPr>
          <w:rFonts w:ascii="Times New Roman" w:eastAsia="Aptos" w:hAnsi="Times New Roman" w:cs="Arial"/>
          <w:kern w:val="0"/>
          <w14:ligatures w14:val="none"/>
        </w:rPr>
        <w:tab/>
      </w:r>
      <w:r w:rsidR="00AC1EC0" w:rsidRPr="00AC1EC0">
        <w:rPr>
          <w:rFonts w:ascii="Times New Roman" w:eastAsia="Aptos" w:hAnsi="Times New Roman" w:cs="Arial"/>
          <w:kern w:val="0"/>
          <w14:ligatures w14:val="none"/>
        </w:rPr>
        <w:t>Návrh zákona je v súlade s Ústavou Slovenskej republiky, ústavnými zákonmi a nálezmi Ústavného súdu Slovenskej republiky, so zákonmi a ostatnými všeobecne záväznými právnymi predpismi, medzinárodnými zmluvami, ktorými je Slovenská republika viazaná, ako aj</w:t>
      </w:r>
      <w:r w:rsidR="000216E5">
        <w:rPr>
          <w:rFonts w:ascii="Times New Roman" w:eastAsia="Aptos" w:hAnsi="Times New Roman" w:cs="Arial"/>
          <w:kern w:val="0"/>
          <w14:ligatures w14:val="none"/>
        </w:rPr>
        <w:br/>
      </w:r>
      <w:r w:rsidR="00AC1EC0" w:rsidRPr="00AC1EC0">
        <w:rPr>
          <w:rFonts w:ascii="Times New Roman" w:eastAsia="Aptos" w:hAnsi="Times New Roman" w:cs="Arial"/>
          <w:kern w:val="0"/>
          <w14:ligatures w14:val="none"/>
        </w:rPr>
        <w:t xml:space="preserve"> s právom EÚ.</w:t>
      </w:r>
    </w:p>
    <w:p w14:paraId="68D7B33E" w14:textId="77777777" w:rsidR="00E00BDC" w:rsidRPr="009D3151" w:rsidRDefault="00E00BDC" w:rsidP="00E00B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9D3151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Návrh zákona predpokladá pozitívny dopad novej legislatívy z pohľadu sociálnych vplyvov najmä na zamestnanosť a trh práce, nakoľko predkladaný návrh</w:t>
      </w:r>
      <w:r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zákona</w:t>
      </w:r>
      <w:r w:rsidRPr="009D3151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umožňuje širší rozvoj nových vodíkových technológií. Sektor vodíka sa stáva novým zdrojom zamestnanosti, ktorý prepája výrobu, distribúciu, výskum a aplikácie v priemysle a doprave.</w:t>
      </w:r>
    </w:p>
    <w:p w14:paraId="36043481" w14:textId="77777777" w:rsidR="00E00BDC" w:rsidRPr="009D3151" w:rsidRDefault="00E00BDC" w:rsidP="00E00BD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5A5F10AE" w14:textId="61988DDE" w:rsidR="00E00BDC" w:rsidRPr="009D3151" w:rsidRDefault="00E00BDC" w:rsidP="00E00B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9D3151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Očakáva sa pozitívny vplyv navrhovaných opatrení na podnikateľské prostredie celkovo, najmä vzhľadom na </w:t>
      </w:r>
      <w:r w:rsidRPr="009D3151">
        <w:rPr>
          <w:rFonts w:ascii="Times New Roman" w:eastAsia="Calibri" w:hAnsi="Times New Roman" w:cs="Times New Roman"/>
          <w:kern w:val="0"/>
          <w:lang w:eastAsia="sk-SK"/>
          <w14:ligatures w14:val="none"/>
        </w:rPr>
        <w:t>zavedenie nových účastníkov trhu (prevádzkovateľ vodíkovej distribučnej siete, prevádzkovateľ zásobníka vodíka, výrobca vodíka, prevádzkovateľ vodíkového terminálu, dodávateľ vodíka, koncový odberateľ vodíka)</w:t>
      </w:r>
      <w:r>
        <w:rPr>
          <w:rFonts w:ascii="Times New Roman" w:eastAsia="Calibri" w:hAnsi="Times New Roman" w:cs="Times New Roman"/>
          <w:kern w:val="0"/>
          <w:lang w:eastAsia="sk-SK"/>
          <w14:ligatures w14:val="none"/>
        </w:rPr>
        <w:t>,</w:t>
      </w:r>
      <w:r w:rsidRPr="009D3151">
        <w:rPr>
          <w:rFonts w:ascii="Times New Roman" w:eastAsia="Calibri" w:hAnsi="Times New Roman" w:cs="Times New Roman"/>
          <w:kern w:val="0"/>
          <w:lang w:eastAsia="sk-SK"/>
          <w14:ligatures w14:val="none"/>
        </w:rPr>
        <w:t xml:space="preserve"> čo zvyšuje podnikateľské príležitosti a podporuje vstup nových subjektov na trh s vodíkom</w:t>
      </w:r>
      <w:r w:rsidRPr="009D3151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. </w:t>
      </w:r>
      <w:r w:rsidR="00B02A33" w:rsidRPr="009D3151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N</w:t>
      </w:r>
      <w:r w:rsidR="00B02A33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avrhovaná</w:t>
      </w:r>
      <w:r w:rsidR="00B02A33" w:rsidRPr="009D3151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</w:t>
      </w:r>
      <w:r w:rsidRPr="009D3151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právna úprava zavedie </w:t>
      </w:r>
      <w:r w:rsidRPr="009D3151">
        <w:rPr>
          <w:rFonts w:ascii="Times New Roman" w:eastAsia="Calibri" w:hAnsi="Times New Roman" w:cs="Times New Roman"/>
          <w:kern w:val="0"/>
          <w:lang w:eastAsia="sk-SK"/>
          <w14:ligatures w14:val="none"/>
        </w:rPr>
        <w:t>nové trendy a inovácie, ktorými sa energetika celosvetovo uberá, najmä v oblasti dekarbonizácie, vodíka a plynu zavedením nových činností na trhu s vodíkom, čím sa posilní postavenie odberateľov, ktorí majú záujem o využívanie energie z obnoviteľných zdrojov</w:t>
      </w:r>
      <w:r w:rsidRPr="009D3151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.</w:t>
      </w:r>
    </w:p>
    <w:p w14:paraId="0C0FB88F" w14:textId="77777777" w:rsidR="00E00BDC" w:rsidRPr="009D3151" w:rsidRDefault="00E00BDC" w:rsidP="00E00BD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5227F527" w14:textId="77777777" w:rsidR="00E00BDC" w:rsidRPr="009D3151" w:rsidRDefault="00E00BDC" w:rsidP="00E00B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9D3151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Očakáva sa pozitívny vplyv návrhu zákona na životné prostredie, najmä na zlepšenie životných podmienok obyvateľstva a kvalitu životného prostredia a kvalitu ovzdušia znížením priamych emisií z dopravy, najmä v mestskom prostredí. Taktiež sa očakávajú pozitívne vplyvy na zmenu klímy najmä znižovaním závislosti na fosílnych palivách v sektore energetiky, dopravy ako aj budov. Očakávajú sa však aj negatívne vplyv</w:t>
      </w:r>
      <w:r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y</w:t>
      </w:r>
      <w:r w:rsidRPr="009D3151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na životné prostredie a to najmä pokiaľ ide o spotrebu vody, výrob</w:t>
      </w:r>
      <w:r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y</w:t>
      </w:r>
      <w:r w:rsidRPr="009D3151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vodíka pomocou elektrolýzy. </w:t>
      </w:r>
      <w:r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Očakávajú sa tiež pozitívne vplyvy služieb verejnej správy na občana a aj pozitívne a negatívne vplyvy na procesy služieb vo verejnej správe. </w:t>
      </w:r>
    </w:p>
    <w:p w14:paraId="61F4C3A4" w14:textId="77777777" w:rsidR="00E00BDC" w:rsidRPr="009D3151" w:rsidRDefault="00E00BDC" w:rsidP="00E00BD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060248B1" w14:textId="77777777" w:rsidR="00E00BDC" w:rsidRPr="009D3151" w:rsidRDefault="00E00BDC" w:rsidP="00E00B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9D3151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Návrh zákona nepredpokladá vplyv na rozpočet verejnej správy, informatizáciu spoločnosti, ani vplyv na manželstvo, rodičovstvo a rodinu.</w:t>
      </w:r>
    </w:p>
    <w:p w14:paraId="20AB672C" w14:textId="77777777" w:rsidR="00E00BDC" w:rsidRPr="009D3151" w:rsidRDefault="00E00BDC" w:rsidP="00E00B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2EC4BCDC" w14:textId="23744525" w:rsidR="00331E20" w:rsidRPr="00AC1EC0" w:rsidRDefault="00F338C9" w:rsidP="00AC1EC0">
      <w:pPr>
        <w:tabs>
          <w:tab w:val="left" w:pos="720"/>
        </w:tabs>
        <w:spacing w:line="259" w:lineRule="auto"/>
        <w:jc w:val="both"/>
        <w:rPr>
          <w:rFonts w:ascii="Times New Roman" w:eastAsia="Aptos" w:hAnsi="Times New Roman" w:cs="Arial"/>
          <w:kern w:val="0"/>
          <w14:ligatures w14:val="none"/>
        </w:rPr>
      </w:pPr>
      <w:r>
        <w:rPr>
          <w:rFonts w:ascii="Times New Roman" w:eastAsia="Aptos" w:hAnsi="Times New Roman" w:cs="Arial"/>
          <w:kern w:val="0"/>
          <w14:ligatures w14:val="none"/>
        </w:rPr>
        <w:tab/>
      </w:r>
      <w:r w:rsidR="00E00BDC">
        <w:rPr>
          <w:rFonts w:ascii="Times New Roman" w:eastAsia="Aptos" w:hAnsi="Times New Roman" w:cs="Arial"/>
          <w:kern w:val="0"/>
          <w14:ligatures w14:val="none"/>
        </w:rPr>
        <w:t xml:space="preserve">Návrh zákona nebude predmetom </w:t>
      </w:r>
      <w:proofErr w:type="spellStart"/>
      <w:r w:rsidR="00E00BDC">
        <w:rPr>
          <w:rFonts w:ascii="Times New Roman" w:eastAsia="Aptos" w:hAnsi="Times New Roman" w:cs="Arial"/>
          <w:kern w:val="0"/>
          <w14:ligatures w14:val="none"/>
        </w:rPr>
        <w:t>vnútrokomunitárneho</w:t>
      </w:r>
      <w:proofErr w:type="spellEnd"/>
      <w:r w:rsidR="00E00BDC">
        <w:rPr>
          <w:rFonts w:ascii="Times New Roman" w:eastAsia="Aptos" w:hAnsi="Times New Roman" w:cs="Arial"/>
          <w:kern w:val="0"/>
          <w14:ligatures w14:val="none"/>
        </w:rPr>
        <w:t xml:space="preserve"> </w:t>
      </w:r>
      <w:r>
        <w:rPr>
          <w:rFonts w:ascii="Times New Roman" w:eastAsia="Aptos" w:hAnsi="Times New Roman" w:cs="Arial"/>
          <w:kern w:val="0"/>
          <w14:ligatures w14:val="none"/>
        </w:rPr>
        <w:t>pripomienkového konania.</w:t>
      </w:r>
    </w:p>
    <w:p w14:paraId="6D7493ED" w14:textId="53190602" w:rsidR="00257302" w:rsidRDefault="00CF0C72" w:rsidP="00AC1EC0">
      <w:pPr>
        <w:tabs>
          <w:tab w:val="left" w:pos="720"/>
        </w:tabs>
        <w:spacing w:line="259" w:lineRule="auto"/>
        <w:jc w:val="both"/>
      </w:pPr>
      <w:r>
        <w:rPr>
          <w:rFonts w:ascii="Times New Roman" w:eastAsia="Aptos" w:hAnsi="Times New Roman" w:cs="Arial"/>
          <w:kern w:val="0"/>
          <w14:ligatures w14:val="none"/>
        </w:rPr>
        <w:tab/>
      </w:r>
      <w:r w:rsidR="00AC1EC0" w:rsidRPr="00AC1EC0">
        <w:rPr>
          <w:rFonts w:ascii="Times New Roman" w:eastAsia="Aptos" w:hAnsi="Times New Roman" w:cs="Arial"/>
          <w:kern w:val="0"/>
          <w14:ligatures w14:val="none"/>
        </w:rPr>
        <w:t xml:space="preserve">V návrhu zákona sa v žiadnej jeho časti nenavrhuje </w:t>
      </w:r>
      <w:proofErr w:type="spellStart"/>
      <w:r w:rsidR="00AC1EC0" w:rsidRPr="00AC1EC0">
        <w:rPr>
          <w:rFonts w:ascii="Times New Roman" w:eastAsia="Aptos" w:hAnsi="Times New Roman" w:cs="Arial"/>
          <w:kern w:val="0"/>
          <w14:ligatures w14:val="none"/>
        </w:rPr>
        <w:t>goldplating</w:t>
      </w:r>
      <w:proofErr w:type="spellEnd"/>
      <w:r w:rsidR="00AC1EC0" w:rsidRPr="00AC1EC0">
        <w:rPr>
          <w:rFonts w:ascii="Times New Roman" w:eastAsia="Aptos" w:hAnsi="Times New Roman" w:cs="Arial"/>
          <w:kern w:val="0"/>
          <w14:ligatures w14:val="none"/>
        </w:rPr>
        <w:t xml:space="preserve"> ani iné výrazné odlíšenie od predpisov Európskej Únie, ktoré sú ním prijímané do národnej právnej úpravy.</w:t>
      </w:r>
    </w:p>
    <w:sectPr w:rsidR="002573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0583A"/>
    <w:multiLevelType w:val="hybridMultilevel"/>
    <w:tmpl w:val="E544130E"/>
    <w:lvl w:ilvl="0" w:tplc="AE7E8C6E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E8653F"/>
    <w:multiLevelType w:val="hybridMultilevel"/>
    <w:tmpl w:val="9C4C98D8"/>
    <w:lvl w:ilvl="0" w:tplc="0A0E0CE8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7330960">
    <w:abstractNumId w:val="1"/>
  </w:num>
  <w:num w:numId="2" w16cid:durableId="14227511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EC0"/>
    <w:rsid w:val="000216E5"/>
    <w:rsid w:val="0006043F"/>
    <w:rsid w:val="00070A63"/>
    <w:rsid w:val="00071E4D"/>
    <w:rsid w:val="00097DF7"/>
    <w:rsid w:val="001C5544"/>
    <w:rsid w:val="001E3E15"/>
    <w:rsid w:val="0020179C"/>
    <w:rsid w:val="0022401F"/>
    <w:rsid w:val="00257302"/>
    <w:rsid w:val="002D270E"/>
    <w:rsid w:val="002D426F"/>
    <w:rsid w:val="002D5499"/>
    <w:rsid w:val="00322AD0"/>
    <w:rsid w:val="00331E20"/>
    <w:rsid w:val="00352210"/>
    <w:rsid w:val="003F0FA0"/>
    <w:rsid w:val="003F65C4"/>
    <w:rsid w:val="00412642"/>
    <w:rsid w:val="0045207D"/>
    <w:rsid w:val="004A49EC"/>
    <w:rsid w:val="004B6F99"/>
    <w:rsid w:val="004F4ACC"/>
    <w:rsid w:val="00501B88"/>
    <w:rsid w:val="00512BD6"/>
    <w:rsid w:val="0052511D"/>
    <w:rsid w:val="005F42C0"/>
    <w:rsid w:val="00616025"/>
    <w:rsid w:val="006E417C"/>
    <w:rsid w:val="006F1AD7"/>
    <w:rsid w:val="00707F3A"/>
    <w:rsid w:val="007266F4"/>
    <w:rsid w:val="00776963"/>
    <w:rsid w:val="007C41CC"/>
    <w:rsid w:val="00817234"/>
    <w:rsid w:val="00826AA2"/>
    <w:rsid w:val="00855C2A"/>
    <w:rsid w:val="008C0119"/>
    <w:rsid w:val="00947042"/>
    <w:rsid w:val="0096008C"/>
    <w:rsid w:val="0096010B"/>
    <w:rsid w:val="0096317E"/>
    <w:rsid w:val="00972331"/>
    <w:rsid w:val="00A0269A"/>
    <w:rsid w:val="00A14E28"/>
    <w:rsid w:val="00AC0963"/>
    <w:rsid w:val="00AC1EC0"/>
    <w:rsid w:val="00AC4790"/>
    <w:rsid w:val="00AC547F"/>
    <w:rsid w:val="00AD7A38"/>
    <w:rsid w:val="00B012B6"/>
    <w:rsid w:val="00B02A33"/>
    <w:rsid w:val="00B243D0"/>
    <w:rsid w:val="00B92A33"/>
    <w:rsid w:val="00BD4431"/>
    <w:rsid w:val="00C0023A"/>
    <w:rsid w:val="00C347F2"/>
    <w:rsid w:val="00C90E7E"/>
    <w:rsid w:val="00CA06AF"/>
    <w:rsid w:val="00CF0C72"/>
    <w:rsid w:val="00CF7972"/>
    <w:rsid w:val="00D004AC"/>
    <w:rsid w:val="00D72C13"/>
    <w:rsid w:val="00DC0700"/>
    <w:rsid w:val="00DE1852"/>
    <w:rsid w:val="00E00BDC"/>
    <w:rsid w:val="00E05713"/>
    <w:rsid w:val="00E151E4"/>
    <w:rsid w:val="00EA66B1"/>
    <w:rsid w:val="00EB4385"/>
    <w:rsid w:val="00EE1966"/>
    <w:rsid w:val="00F00BB5"/>
    <w:rsid w:val="00F338C9"/>
    <w:rsid w:val="00F91BFE"/>
    <w:rsid w:val="00FF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7AD07"/>
  <w15:chartTrackingRefBased/>
  <w15:docId w15:val="{644011F3-7A27-45EF-8E03-CD20B9646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AC1E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C1E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C1E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C1E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C1E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C1E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C1E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C1E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C1E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C1E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C1E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C1E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C1EC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C1EC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C1EC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C1EC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C1EC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C1EC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C1E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C1E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C1E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C1E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C1E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C1EC0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C1EC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C1EC0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C1E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C1EC0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C1EC0"/>
    <w:rPr>
      <w:b/>
      <w:bCs/>
      <w:smallCaps/>
      <w:color w:val="0F4761" w:themeColor="accent1" w:themeShade="BF"/>
      <w:spacing w:val="5"/>
    </w:rPr>
  </w:style>
  <w:style w:type="paragraph" w:styleId="Revzia">
    <w:name w:val="Revision"/>
    <w:hidden/>
    <w:uiPriority w:val="99"/>
    <w:semiHidden/>
    <w:rsid w:val="00855C2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1349</Words>
  <Characters>7695</Characters>
  <Application>Microsoft Office Word</Application>
  <DocSecurity>0</DocSecurity>
  <Lines>64</Lines>
  <Paragraphs>18</Paragraphs>
  <ScaleCrop>false</ScaleCrop>
  <Company/>
  <LinksUpToDate>false</LinksUpToDate>
  <CharactersWithSpaces>9026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Dukova Nikol</dc:creator>
  <cp:keywords/>
  <dc:description/>
  <cp:lastModifiedBy>Smazakova Janette</cp:lastModifiedBy>
  <cp:revision>4</cp:revision>
  <cp:lastPrinted>2026-06-04T13:59:00Z</cp:lastPrinted>
  <dcterms:created xsi:type="dcterms:W3CDTF">2026-08-13T06:42:00Z</dcterms:created>
  <dcterms:modified xsi:type="dcterms:W3CDTF">2026-08-13T07:40:00Z</dcterms:modified>
</cp:coreProperties>
</file>