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2B7" w:rsidRDefault="00B34E23" w:rsidP="00C579E9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579E9">
        <w:rPr>
          <w:b/>
          <w:bCs/>
          <w:sz w:val="28"/>
          <w:szCs w:val="28"/>
        </w:rPr>
        <w:t>D</w:t>
      </w:r>
      <w:r w:rsidR="00C579E9" w:rsidRPr="00C579E9">
        <w:rPr>
          <w:b/>
          <w:bCs/>
          <w:sz w:val="28"/>
          <w:szCs w:val="28"/>
        </w:rPr>
        <w:t xml:space="preserve">oložka </w:t>
      </w:r>
      <w:r w:rsidRPr="00C579E9">
        <w:rPr>
          <w:b/>
          <w:bCs/>
          <w:sz w:val="28"/>
          <w:szCs w:val="28"/>
        </w:rPr>
        <w:t>vybraných vplyvov</w:t>
      </w:r>
    </w:p>
    <w:p w:rsidR="00960BE3" w:rsidRDefault="00960BE3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4"/>
        <w:gridCol w:w="3622"/>
      </w:tblGrid>
      <w:tr w:rsidR="00960BE3">
        <w:trPr>
          <w:divId w:val="1102184843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1.  Základné údaje</w:t>
            </w:r>
          </w:p>
        </w:tc>
      </w:tr>
      <w:tr w:rsidR="00960BE3">
        <w:trPr>
          <w:divId w:val="1102184843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Názov materiálu</w:t>
            </w:r>
          </w:p>
        </w:tc>
      </w:tr>
      <w:tr w:rsidR="00960BE3">
        <w:trPr>
          <w:divId w:val="1102184843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Návrh na ratifikáciu Minamatského dohovoru o ortuti</w:t>
            </w:r>
          </w:p>
        </w:tc>
      </w:tr>
      <w:tr w:rsidR="00960BE3">
        <w:trPr>
          <w:divId w:val="1102184843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Predkladateľ (a spolupredkladateľ)</w:t>
            </w:r>
          </w:p>
        </w:tc>
      </w:tr>
      <w:tr w:rsidR="00960BE3">
        <w:trPr>
          <w:divId w:val="1102184843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Ministerstvo životného prostredia Slovenskej republiky</w:t>
            </w:r>
          </w:p>
        </w:tc>
      </w:tr>
      <w:tr w:rsidR="00960BE3">
        <w:trPr>
          <w:divId w:val="1102184843"/>
          <w:trHeight w:val="255"/>
          <w:jc w:val="center"/>
        </w:trPr>
        <w:tc>
          <w:tcPr>
            <w:tcW w:w="2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960BE3" w:rsidRDefault="00960BE3">
            <w:pPr>
              <w:jc w:val="center"/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Charakter predkladaného materiálu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>  Materiál nelegislatívnej povahy</w:t>
            </w:r>
          </w:p>
        </w:tc>
      </w:tr>
      <w:tr w:rsidR="00960BE3">
        <w:trPr>
          <w:divId w:val="1102184843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  Materiál legislatívnej povahy </w:t>
            </w:r>
          </w:p>
        </w:tc>
      </w:tr>
      <w:tr w:rsidR="00960BE3">
        <w:trPr>
          <w:divId w:val="1102184843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Transpozícia práva EÚ </w:t>
            </w:r>
          </w:p>
        </w:tc>
      </w:tr>
      <w:tr w:rsidR="00960BE3">
        <w:trPr>
          <w:divId w:val="1102184843"/>
          <w:trHeight w:val="675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960BE3">
        <w:trPr>
          <w:divId w:val="1102184843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Termín začiatku a ukončenia PPK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Začiatok:    ..</w:t>
            </w:r>
            <w:r>
              <w:rPr>
                <w:rFonts w:ascii="Times" w:hAnsi="Times" w:cs="Times"/>
                <w:sz w:val="20"/>
                <w:szCs w:val="20"/>
              </w:rPr>
              <w:br/>
              <w:t>Ukončenie: ..</w:t>
            </w:r>
          </w:p>
        </w:tc>
      </w:tr>
      <w:tr w:rsidR="00960BE3">
        <w:trPr>
          <w:divId w:val="1102184843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MPK*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10.03. 2017</w:t>
            </w:r>
          </w:p>
        </w:tc>
      </w:tr>
      <w:tr w:rsidR="00960BE3">
        <w:trPr>
          <w:divId w:val="1102184843"/>
          <w:trHeight w:val="60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Rokovanie vlády</w:t>
            </w:r>
            <w:r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  SR*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23.03. 2017</w:t>
            </w: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960BE3" w:rsidRDefault="00960BE3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960BE3">
        <w:trPr>
          <w:divId w:val="5148058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2.  Definícia problému</w:t>
            </w:r>
          </w:p>
        </w:tc>
      </w:tr>
      <w:tr w:rsidR="00960BE3">
        <w:trPr>
          <w:divId w:val="5148058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Povinnosť ratifikácie Minamatského dohovoru o ortuti prijatého na diplomatickej konferencii v Kumamoto v Japonsku, 10. októbra 2013.</w:t>
            </w:r>
          </w:p>
        </w:tc>
      </w:tr>
      <w:tr w:rsidR="00960BE3">
        <w:trPr>
          <w:divId w:val="5148058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3.  Ciele a výsledný stav</w:t>
            </w:r>
          </w:p>
        </w:tc>
      </w:tr>
      <w:tr w:rsidR="00960BE3">
        <w:trPr>
          <w:divId w:val="5148058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Potreba ratifikácie predmetného dohovoru, aby mohol nadobudnúť platnosť pre Slovenskú republiku. Nadobudnutím platnosti dohovoru sa Slovenská republika stane jeho zmluvnou stranou a prevezme na seba záväzky z neho vyplývajúce so zámerom podieľať sa na plnení jeho cieľov.</w:t>
            </w:r>
          </w:p>
        </w:tc>
      </w:tr>
      <w:tr w:rsidR="00960BE3">
        <w:trPr>
          <w:divId w:val="5148058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4.  Dotknuté subjekty</w:t>
            </w:r>
          </w:p>
        </w:tc>
      </w:tr>
      <w:tr w:rsidR="00960BE3">
        <w:trPr>
          <w:divId w:val="5148058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Vláda Slovenskej republiky</w:t>
            </w:r>
            <w:r>
              <w:rPr>
                <w:rFonts w:ascii="Times" w:hAnsi="Times" w:cs="Times"/>
                <w:sz w:val="20"/>
                <w:szCs w:val="20"/>
              </w:rPr>
              <w:br/>
              <w:t>Prezident Slovenskej republiky</w:t>
            </w:r>
            <w:r>
              <w:rPr>
                <w:rFonts w:ascii="Times" w:hAnsi="Times" w:cs="Times"/>
                <w:sz w:val="20"/>
                <w:szCs w:val="20"/>
              </w:rPr>
              <w:br/>
              <w:t>Národná rada Slovenskej republiky</w:t>
            </w:r>
            <w:r>
              <w:rPr>
                <w:rFonts w:ascii="Times" w:hAnsi="Times" w:cs="Times"/>
                <w:sz w:val="20"/>
                <w:szCs w:val="20"/>
              </w:rPr>
              <w:br/>
              <w:t>Minister životného prostredia Slovenskej republiky</w:t>
            </w:r>
            <w:r>
              <w:rPr>
                <w:rFonts w:ascii="Times" w:hAnsi="Times" w:cs="Times"/>
                <w:sz w:val="20"/>
                <w:szCs w:val="20"/>
              </w:rPr>
              <w:br/>
              <w:t>Minister zahraničných vecí a európskych záležitostí Slovenskej republiky</w:t>
            </w:r>
            <w:r>
              <w:rPr>
                <w:rFonts w:ascii="Times" w:hAnsi="Times" w:cs="Times"/>
                <w:sz w:val="20"/>
                <w:szCs w:val="20"/>
              </w:rPr>
              <w:br/>
              <w:t>Minister hospodárstva Slovenskej republiky</w:t>
            </w:r>
            <w:r>
              <w:rPr>
                <w:rFonts w:ascii="Times" w:hAnsi="Times" w:cs="Times"/>
                <w:sz w:val="20"/>
                <w:szCs w:val="20"/>
              </w:rPr>
              <w:br/>
              <w:t>Minister zdravotníctva Slovenskej republiky</w:t>
            </w:r>
          </w:p>
        </w:tc>
      </w:tr>
      <w:tr w:rsidR="00960BE3">
        <w:trPr>
          <w:divId w:val="5148058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5.  Alternatívne riešenia</w:t>
            </w:r>
          </w:p>
        </w:tc>
      </w:tr>
      <w:tr w:rsidR="00960BE3">
        <w:trPr>
          <w:divId w:val="5148058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Alternatívne riešenia sa nenavrhujú.</w:t>
            </w:r>
          </w:p>
        </w:tc>
      </w:tr>
      <w:tr w:rsidR="00960BE3">
        <w:trPr>
          <w:divId w:val="5148058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6.  Vykonávacie predpisy</w:t>
            </w:r>
          </w:p>
        </w:tc>
      </w:tr>
      <w:tr w:rsidR="00960BE3">
        <w:trPr>
          <w:divId w:val="5148058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Predpokladá sa prijatie/zmena vykonávacích predpisov?                         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Áno           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>  Nie</w:t>
            </w:r>
            <w:r>
              <w:rPr>
                <w:rFonts w:ascii="Times" w:hAnsi="Times" w:cs="Times"/>
                <w:sz w:val="20"/>
                <w:szCs w:val="20"/>
              </w:rPr>
              <w:br/>
              <w:t xml:space="preserve">Očakáva sa, že v prvom polroku 2017 vstúpi do platnosti nové nariadenie Európskeho parlamentu a Rady o ortuti a o zrušení nariadenia (ES) č. 1102/2008, ktorým bude EÚ vykonávať Minamatský dohovor o ortuti. V nadväznosti na to sa predpokladajú zmeny v legislatíve odpadového hospodárstva (ukladanie odpadovej ortuti) a v legislatíve v pôsobnosti Ministerstva zdravotníctva SR (problematika používania zubného amalgámu). V tejto fáze zatiaľ nie je definitívne rozhodnuté, konkrétne v ktorých predpisoch z rezortu zdravotníctva a akým spôsobom sa vykonajú zmeny (pravdepodobne v predpisoch upravujúcich minimálne personálne a materiálno-technické vybavenie jednotlivých druhov zdravotníckych zariadení, v zákone č. 578/2004 Z. z.). Z uvedených dôvodov nie je možné bližšie konkretizovať dopady novej legislatívy, ktorou sa bude vykonávať dohovor. </w:t>
            </w:r>
          </w:p>
        </w:tc>
      </w:tr>
      <w:tr w:rsidR="00960BE3">
        <w:trPr>
          <w:divId w:val="5148058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 7.  Transpozícia práva EÚ </w:t>
            </w:r>
          </w:p>
        </w:tc>
      </w:tr>
      <w:tr w:rsidR="00960BE3">
        <w:trPr>
          <w:divId w:val="5148058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960BE3">
        <w:trPr>
          <w:divId w:val="514805875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8.  Preskúmanie účelnosti**</w:t>
            </w:r>
          </w:p>
        </w:tc>
      </w:tr>
      <w:tr w:rsidR="00960BE3">
        <w:trPr>
          <w:divId w:val="514805875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543B8E" w:rsidRPr="00543B8E" w:rsidRDefault="00543B8E" w:rsidP="00543B8E">
      <w:pPr>
        <w:ind w:left="142" w:hanging="142"/>
        <w:rPr>
          <w:sz w:val="20"/>
          <w:szCs w:val="20"/>
        </w:rPr>
      </w:pPr>
      <w:r w:rsidRPr="00543B8E">
        <w:rPr>
          <w:sz w:val="20"/>
          <w:szCs w:val="20"/>
        </w:rPr>
        <w:t xml:space="preserve">* vyplniť iba v prípade, ak materiál nie je zahrnutý do Plánu práce vlády Slovenskej republiky alebo Plánu        legislatívnych úloh vlády Slovenskej republiky. </w:t>
      </w:r>
    </w:p>
    <w:p w:rsidR="00543B8E" w:rsidRDefault="00543B8E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  <w:r w:rsidRPr="00543B8E">
        <w:rPr>
          <w:sz w:val="20"/>
          <w:szCs w:val="20"/>
        </w:rPr>
        <w:t>** nepovinné</w:t>
      </w:r>
    </w:p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960BE3" w:rsidRDefault="00960BE3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3"/>
        <w:gridCol w:w="1811"/>
        <w:gridCol w:w="1811"/>
        <w:gridCol w:w="1811"/>
      </w:tblGrid>
      <w:tr w:rsidR="00960BE3">
        <w:trPr>
          <w:divId w:val="479079828"/>
          <w:trHeight w:val="450"/>
          <w:jc w:val="center"/>
        </w:trPr>
        <w:tc>
          <w:tcPr>
            <w:tcW w:w="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9.   Vplyvy navrhovaného materiálu</w:t>
            </w:r>
          </w:p>
        </w:tc>
      </w:tr>
      <w:tr w:rsidR="00960BE3">
        <w:trPr>
          <w:divId w:val="479079828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rozpočet verejnej správy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rozpočtovo zabezpečené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960BE3">
        <w:trPr>
          <w:divId w:val="479079828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Áno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Nie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Čiastočne</w:t>
            </w:r>
          </w:p>
        </w:tc>
      </w:tr>
      <w:tr w:rsidR="00960BE3">
        <w:trPr>
          <w:divId w:val="479079828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podnikateľské prostredie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vplyvy na MSP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960BE3">
        <w:trPr>
          <w:divId w:val="479079828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960BE3">
        <w:trPr>
          <w:divId w:val="479079828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Sociálne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960BE3">
        <w:trPr>
          <w:divId w:val="479079828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životné prostredie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960BE3">
        <w:trPr>
          <w:divId w:val="479079828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informatizáciu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960BE3">
        <w:trPr>
          <w:divId w:val="479079828"/>
          <w:trHeight w:val="675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služby pre občana z toho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služieb verejnej správy na občana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na procesy služieb vo verejnej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správe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960BE3">
        <w:trPr>
          <w:divId w:val="479079828"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</w:tbl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960BE3" w:rsidRDefault="00960BE3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960BE3">
        <w:trPr>
          <w:divId w:val="1834292843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10.  Poznámky</w:t>
            </w:r>
          </w:p>
        </w:tc>
      </w:tr>
      <w:tr w:rsidR="00960BE3">
        <w:trPr>
          <w:divId w:val="1834292843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960BE3">
        <w:trPr>
          <w:divId w:val="1834292843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11.  Kontakt na spracovateľa</w:t>
            </w:r>
          </w:p>
        </w:tc>
      </w:tr>
      <w:tr w:rsidR="00960BE3">
        <w:trPr>
          <w:divId w:val="1834292843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Ing. Henrieta Čajková, e-mail: henrieta.cajkova@enviro.gov.sk, tel. č.: 02/5956 2400</w:t>
            </w:r>
          </w:p>
        </w:tc>
      </w:tr>
      <w:tr w:rsidR="00960BE3">
        <w:trPr>
          <w:divId w:val="1834292843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12.  Zdroje</w:t>
            </w:r>
          </w:p>
        </w:tc>
      </w:tr>
      <w:tr w:rsidR="00960BE3">
        <w:trPr>
          <w:divId w:val="1834292843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</w:p>
        </w:tc>
      </w:tr>
      <w:tr w:rsidR="00960BE3">
        <w:trPr>
          <w:divId w:val="1834292843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960BE3" w:rsidRDefault="00960BE3">
            <w:pPr>
              <w:rPr>
                <w:rFonts w:ascii="Times" w:hAnsi="Times" w:cs="Times"/>
                <w:b/>
                <w:bCs/>
                <w:sz w:val="22"/>
                <w:szCs w:val="22"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13.  Stanovisko Komisie pre posudzovanie vybraných vplyvov z PPK</w:t>
            </w:r>
          </w:p>
        </w:tc>
      </w:tr>
      <w:tr w:rsidR="00960BE3">
        <w:trPr>
          <w:divId w:val="1834292843"/>
          <w:trHeight w:val="12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60BE3" w:rsidRDefault="00960BE3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Návrh na ratifikáciu Minamatského dohovoru o ortuti nemá vplyvy na rozpočet verejnej správy, na podnikateľské prostredie, na sociálne vplyvy, vplyvy na životné prostredie, vplyvy na informatizáciu, preto nie je predmetom PPK.</w:t>
            </w:r>
          </w:p>
        </w:tc>
      </w:tr>
    </w:tbl>
    <w:p w:rsidR="006931EC" w:rsidRPr="00543B8E" w:rsidRDefault="006931EC" w:rsidP="00543B8E">
      <w:pPr>
        <w:pStyle w:val="Normlnywebov"/>
        <w:spacing w:before="0" w:beforeAutospacing="0" w:after="0" w:afterAutospacing="0"/>
        <w:rPr>
          <w:bCs/>
          <w:sz w:val="20"/>
          <w:szCs w:val="20"/>
        </w:rPr>
      </w:pPr>
    </w:p>
    <w:sectPr w:rsidR="006931EC" w:rsidRPr="00543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D4B" w:rsidRDefault="00420D4B">
      <w:r>
        <w:separator/>
      </w:r>
    </w:p>
  </w:endnote>
  <w:endnote w:type="continuationSeparator" w:id="0">
    <w:p w:rsidR="00420D4B" w:rsidRDefault="0042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D4B" w:rsidRDefault="00420D4B">
      <w:r>
        <w:separator/>
      </w:r>
    </w:p>
  </w:footnote>
  <w:footnote w:type="continuationSeparator" w:id="0">
    <w:p w:rsidR="00420D4B" w:rsidRDefault="00420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updateFields w:val="true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8BA"/>
    <w:rsid w:val="000016CD"/>
    <w:rsid w:val="00001877"/>
    <w:rsid w:val="000065A9"/>
    <w:rsid w:val="00007944"/>
    <w:rsid w:val="00012287"/>
    <w:rsid w:val="00021860"/>
    <w:rsid w:val="00031343"/>
    <w:rsid w:val="00032327"/>
    <w:rsid w:val="00036B8A"/>
    <w:rsid w:val="00037C3F"/>
    <w:rsid w:val="00041DE9"/>
    <w:rsid w:val="00042608"/>
    <w:rsid w:val="000457DA"/>
    <w:rsid w:val="00052109"/>
    <w:rsid w:val="0005425E"/>
    <w:rsid w:val="00062B7D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196"/>
    <w:rsid w:val="000D70C9"/>
    <w:rsid w:val="000D7A6C"/>
    <w:rsid w:val="000E00FA"/>
    <w:rsid w:val="000E4B19"/>
    <w:rsid w:val="000E56A7"/>
    <w:rsid w:val="000E619D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65B8"/>
    <w:rsid w:val="00137343"/>
    <w:rsid w:val="001443A8"/>
    <w:rsid w:val="001447DA"/>
    <w:rsid w:val="0015103A"/>
    <w:rsid w:val="001514A3"/>
    <w:rsid w:val="0015186E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9C4"/>
    <w:rsid w:val="001B0F66"/>
    <w:rsid w:val="001B1812"/>
    <w:rsid w:val="001B57EC"/>
    <w:rsid w:val="001C2890"/>
    <w:rsid w:val="001C4CD7"/>
    <w:rsid w:val="001C561A"/>
    <w:rsid w:val="001D0486"/>
    <w:rsid w:val="001D16F9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11B26"/>
    <w:rsid w:val="0021684F"/>
    <w:rsid w:val="00217E9E"/>
    <w:rsid w:val="0022225F"/>
    <w:rsid w:val="00222D3B"/>
    <w:rsid w:val="00225014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74A3"/>
    <w:rsid w:val="002607E8"/>
    <w:rsid w:val="0027146B"/>
    <w:rsid w:val="00282E6B"/>
    <w:rsid w:val="00282F9E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31BC"/>
    <w:rsid w:val="0030643D"/>
    <w:rsid w:val="003105A1"/>
    <w:rsid w:val="00311519"/>
    <w:rsid w:val="003126AA"/>
    <w:rsid w:val="00312C27"/>
    <w:rsid w:val="00313EE9"/>
    <w:rsid w:val="00314FA4"/>
    <w:rsid w:val="003150F6"/>
    <w:rsid w:val="00315F1C"/>
    <w:rsid w:val="00317384"/>
    <w:rsid w:val="003203E5"/>
    <w:rsid w:val="00322386"/>
    <w:rsid w:val="00323C98"/>
    <w:rsid w:val="00325440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D78"/>
    <w:rsid w:val="003B3E43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2B82"/>
    <w:rsid w:val="003E3BC1"/>
    <w:rsid w:val="003E45C4"/>
    <w:rsid w:val="003E497C"/>
    <w:rsid w:val="003F1ADC"/>
    <w:rsid w:val="003F23E3"/>
    <w:rsid w:val="003F36F3"/>
    <w:rsid w:val="003F429C"/>
    <w:rsid w:val="003F64F2"/>
    <w:rsid w:val="0040002F"/>
    <w:rsid w:val="00400686"/>
    <w:rsid w:val="00402377"/>
    <w:rsid w:val="00402F4C"/>
    <w:rsid w:val="00405601"/>
    <w:rsid w:val="00411217"/>
    <w:rsid w:val="00412989"/>
    <w:rsid w:val="00412C4F"/>
    <w:rsid w:val="00413805"/>
    <w:rsid w:val="00414253"/>
    <w:rsid w:val="00420D4B"/>
    <w:rsid w:val="00422ED4"/>
    <w:rsid w:val="00430749"/>
    <w:rsid w:val="00432A7E"/>
    <w:rsid w:val="0043509F"/>
    <w:rsid w:val="00436035"/>
    <w:rsid w:val="00437EE9"/>
    <w:rsid w:val="004444B0"/>
    <w:rsid w:val="00444FBF"/>
    <w:rsid w:val="00445D2F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8027D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3564"/>
    <w:rsid w:val="004A3CB2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37A3"/>
    <w:rsid w:val="004C453D"/>
    <w:rsid w:val="004C789B"/>
    <w:rsid w:val="004D1916"/>
    <w:rsid w:val="004D5A7E"/>
    <w:rsid w:val="004E05FA"/>
    <w:rsid w:val="004F7808"/>
    <w:rsid w:val="005000B4"/>
    <w:rsid w:val="00500C00"/>
    <w:rsid w:val="00501139"/>
    <w:rsid w:val="005061D4"/>
    <w:rsid w:val="0050640D"/>
    <w:rsid w:val="00506849"/>
    <w:rsid w:val="00510909"/>
    <w:rsid w:val="00511ED1"/>
    <w:rsid w:val="00512358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A79"/>
    <w:rsid w:val="00535BD1"/>
    <w:rsid w:val="00536881"/>
    <w:rsid w:val="005375AC"/>
    <w:rsid w:val="00537925"/>
    <w:rsid w:val="00540576"/>
    <w:rsid w:val="005414EA"/>
    <w:rsid w:val="00543B8E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2622"/>
    <w:rsid w:val="005B2876"/>
    <w:rsid w:val="005B35B5"/>
    <w:rsid w:val="005B4619"/>
    <w:rsid w:val="005C0018"/>
    <w:rsid w:val="005C55C9"/>
    <w:rsid w:val="005C5A15"/>
    <w:rsid w:val="005C6855"/>
    <w:rsid w:val="005D0441"/>
    <w:rsid w:val="005D170A"/>
    <w:rsid w:val="005D1DD7"/>
    <w:rsid w:val="005D3593"/>
    <w:rsid w:val="005D555A"/>
    <w:rsid w:val="005D6F85"/>
    <w:rsid w:val="005E20EA"/>
    <w:rsid w:val="005E3070"/>
    <w:rsid w:val="005E5741"/>
    <w:rsid w:val="005E6925"/>
    <w:rsid w:val="005E7189"/>
    <w:rsid w:val="005F1A92"/>
    <w:rsid w:val="005F3DF8"/>
    <w:rsid w:val="005F664A"/>
    <w:rsid w:val="006031C2"/>
    <w:rsid w:val="00605BA4"/>
    <w:rsid w:val="00605C59"/>
    <w:rsid w:val="006220BB"/>
    <w:rsid w:val="006228E8"/>
    <w:rsid w:val="00623418"/>
    <w:rsid w:val="00625F21"/>
    <w:rsid w:val="00626827"/>
    <w:rsid w:val="00626E9A"/>
    <w:rsid w:val="00627B86"/>
    <w:rsid w:val="006314A5"/>
    <w:rsid w:val="006330CB"/>
    <w:rsid w:val="006346F5"/>
    <w:rsid w:val="006411E7"/>
    <w:rsid w:val="00644B1D"/>
    <w:rsid w:val="006507F3"/>
    <w:rsid w:val="006512E3"/>
    <w:rsid w:val="006516F7"/>
    <w:rsid w:val="00656031"/>
    <w:rsid w:val="00664475"/>
    <w:rsid w:val="00664B75"/>
    <w:rsid w:val="00665BFA"/>
    <w:rsid w:val="00667256"/>
    <w:rsid w:val="00672384"/>
    <w:rsid w:val="00675DAD"/>
    <w:rsid w:val="00680B4D"/>
    <w:rsid w:val="00685D81"/>
    <w:rsid w:val="006865CC"/>
    <w:rsid w:val="00691AFB"/>
    <w:rsid w:val="006931EC"/>
    <w:rsid w:val="006964CA"/>
    <w:rsid w:val="006A1ECF"/>
    <w:rsid w:val="006A2626"/>
    <w:rsid w:val="006A5861"/>
    <w:rsid w:val="006B073B"/>
    <w:rsid w:val="006B63E0"/>
    <w:rsid w:val="006C20D2"/>
    <w:rsid w:val="006C3494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276A8"/>
    <w:rsid w:val="00730143"/>
    <w:rsid w:val="00732026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724B"/>
    <w:rsid w:val="0076767E"/>
    <w:rsid w:val="00770399"/>
    <w:rsid w:val="007722FA"/>
    <w:rsid w:val="00774741"/>
    <w:rsid w:val="00775F98"/>
    <w:rsid w:val="0077671B"/>
    <w:rsid w:val="0077799E"/>
    <w:rsid w:val="00782411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184"/>
    <w:rsid w:val="007B3B5F"/>
    <w:rsid w:val="007B4920"/>
    <w:rsid w:val="007B4A7D"/>
    <w:rsid w:val="007B6815"/>
    <w:rsid w:val="007C17DA"/>
    <w:rsid w:val="007C1E6F"/>
    <w:rsid w:val="007C357A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21C9"/>
    <w:rsid w:val="00844AEB"/>
    <w:rsid w:val="008459F9"/>
    <w:rsid w:val="0084740D"/>
    <w:rsid w:val="00850A55"/>
    <w:rsid w:val="00851B98"/>
    <w:rsid w:val="008557C5"/>
    <w:rsid w:val="0086170F"/>
    <w:rsid w:val="00862850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1C05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3E3A"/>
    <w:rsid w:val="008F58DB"/>
    <w:rsid w:val="008F5EDC"/>
    <w:rsid w:val="00906A48"/>
    <w:rsid w:val="0090789B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59A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60BE3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5F62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591A"/>
    <w:rsid w:val="009D0434"/>
    <w:rsid w:val="009D0E1B"/>
    <w:rsid w:val="009D53DB"/>
    <w:rsid w:val="009D6278"/>
    <w:rsid w:val="009D6AE1"/>
    <w:rsid w:val="009E5A06"/>
    <w:rsid w:val="009E5E68"/>
    <w:rsid w:val="009E71D7"/>
    <w:rsid w:val="009F02B7"/>
    <w:rsid w:val="009F1786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10B8"/>
    <w:rsid w:val="00A4397D"/>
    <w:rsid w:val="00A43B44"/>
    <w:rsid w:val="00A43C14"/>
    <w:rsid w:val="00A4575A"/>
    <w:rsid w:val="00A47FC6"/>
    <w:rsid w:val="00A5149F"/>
    <w:rsid w:val="00A52335"/>
    <w:rsid w:val="00A5243B"/>
    <w:rsid w:val="00A53EA2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B787B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25234"/>
    <w:rsid w:val="00B33194"/>
    <w:rsid w:val="00B344BF"/>
    <w:rsid w:val="00B34C8F"/>
    <w:rsid w:val="00B34E23"/>
    <w:rsid w:val="00B40AC5"/>
    <w:rsid w:val="00B46137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9C6"/>
    <w:rsid w:val="00B76CA7"/>
    <w:rsid w:val="00B8197E"/>
    <w:rsid w:val="00B82E6F"/>
    <w:rsid w:val="00B83568"/>
    <w:rsid w:val="00B84DE0"/>
    <w:rsid w:val="00B946F4"/>
    <w:rsid w:val="00B97824"/>
    <w:rsid w:val="00BA0A86"/>
    <w:rsid w:val="00BA30E9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0718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579E9"/>
    <w:rsid w:val="00C618B2"/>
    <w:rsid w:val="00C62E34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07E9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57CB2"/>
    <w:rsid w:val="00D7000E"/>
    <w:rsid w:val="00D72553"/>
    <w:rsid w:val="00D743B0"/>
    <w:rsid w:val="00D750E6"/>
    <w:rsid w:val="00D8181E"/>
    <w:rsid w:val="00D82A34"/>
    <w:rsid w:val="00D84191"/>
    <w:rsid w:val="00D86DEF"/>
    <w:rsid w:val="00D874CB"/>
    <w:rsid w:val="00D87A4A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217D"/>
    <w:rsid w:val="00DC45DB"/>
    <w:rsid w:val="00DC472D"/>
    <w:rsid w:val="00DC5649"/>
    <w:rsid w:val="00DC694C"/>
    <w:rsid w:val="00DD0998"/>
    <w:rsid w:val="00DD0D34"/>
    <w:rsid w:val="00DD245D"/>
    <w:rsid w:val="00DD2661"/>
    <w:rsid w:val="00DD268C"/>
    <w:rsid w:val="00DD7C88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3221"/>
    <w:rsid w:val="00E13930"/>
    <w:rsid w:val="00E15121"/>
    <w:rsid w:val="00E1525B"/>
    <w:rsid w:val="00E15C10"/>
    <w:rsid w:val="00E16B52"/>
    <w:rsid w:val="00E240A1"/>
    <w:rsid w:val="00E26472"/>
    <w:rsid w:val="00E3062D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83979"/>
    <w:rsid w:val="00E87224"/>
    <w:rsid w:val="00E87FDF"/>
    <w:rsid w:val="00E905E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A28BA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6DFB"/>
    <w:rsid w:val="00EF7342"/>
    <w:rsid w:val="00EF7E83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013B"/>
    <w:rsid w:val="00F40744"/>
    <w:rsid w:val="00F43E15"/>
    <w:rsid w:val="00F46C4E"/>
    <w:rsid w:val="00F507D7"/>
    <w:rsid w:val="00F5213E"/>
    <w:rsid w:val="00F530E4"/>
    <w:rsid w:val="00F57467"/>
    <w:rsid w:val="00F61282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1719"/>
    <w:rsid w:val="00FC496D"/>
    <w:rsid w:val="00FD04BD"/>
    <w:rsid w:val="00FD2978"/>
    <w:rsid w:val="00FD36F3"/>
    <w:rsid w:val="00FD5AAF"/>
    <w:rsid w:val="00FE0A9B"/>
    <w:rsid w:val="00FE0D3F"/>
    <w:rsid w:val="00FE2869"/>
    <w:rsid w:val="00FE2D30"/>
    <w:rsid w:val="00FE4F26"/>
    <w:rsid w:val="00FE5728"/>
    <w:rsid w:val="00FE591D"/>
    <w:rsid w:val="00FF3820"/>
    <w:rsid w:val="00FF3F95"/>
    <w:rsid w:val="00FF4748"/>
    <w:rsid w:val="00FF5E57"/>
    <w:rsid w:val="00FF62B2"/>
    <w:rsid w:val="00FF6B8F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FE629541-4F0B-42FF-A759-E028039DF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B8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 ref="">
    <f:field ref="objname" par="" edit="true" text="Doložka vplyvov"/>
    <f:field ref="objsubject" par="" edit="true" text="Doložka vplyvov"/>
    <f:field ref="objcreatedby" par="" text="Administrator, System"/>
    <f:field ref="objcreatedat" par="" text="27.3.2017 12:04:46"/>
    <f:field ref="objchangedby" par="" text="Administrator, System"/>
    <f:field ref="objmodifiedat" par="" text="27.3.2017 12:04:51"/>
    <f:field ref="doc_FSCFOLIO_1_1001_FieldDocumentNumber" par="" text=""/>
    <f:field ref="doc_FSCFOLIO_1_1001_FieldSubject" par="" edit="true" text="Doložka vplyvov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https://ovdmasv601/sites/DMS/_layouts/15/DocIdRedir.aspx?ID=WKX3UHSAJ2R6-2-771796</Url>
      <Description>WKX3UHSAJ2R6-2-771796</Description>
    </_dlc_DocIdUrl>
    <_dlc_DocId xmlns="e60a29af-d413-48d4-bd90-fe9d2a897e4b">WKX3UHSAJ2R6-2-771796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/>
</file>

<file path=customXml/itemProps2.xml><?xml version="1.0" encoding="utf-8"?>
<ds:datastoreItem xmlns:ds="http://schemas.openxmlformats.org/officeDocument/2006/customXml" ds:itemID="{088D6D26-F875-4EBD-9E02-8216B6437D94}"/>
</file>

<file path=customXml/itemProps3.xml><?xml version="1.0" encoding="utf-8"?>
<ds:datastoreItem xmlns:ds="http://schemas.openxmlformats.org/officeDocument/2006/customXml" ds:itemID="{57891CE2-AFA7-4680-9D0B-57B60009BD52}"/>
</file>

<file path=customXml/itemProps4.xml><?xml version="1.0" encoding="utf-8"?>
<ds:datastoreItem xmlns:ds="http://schemas.openxmlformats.org/officeDocument/2006/customXml" ds:itemID="{7F6F1439-7CEE-489E-99DF-34A056AA9889}"/>
</file>

<file path=customXml/itemProps5.xml><?xml version="1.0" encoding="utf-8"?>
<ds:datastoreItem xmlns:ds="http://schemas.openxmlformats.org/officeDocument/2006/customXml" ds:itemID="{659E6C46-8D9D-4AE5-8499-D85CAE55054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584</Words>
  <Characters>3334</Characters>
  <Application>Microsoft Office Word</Application>
  <DocSecurity>4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Doložka vybraných vplyvov</vt:lpstr>
      <vt:lpstr>Doložka vybraných vplyvov</vt:lpstr>
    </vt:vector>
  </TitlesOfParts>
  <Company>UVSR</Company>
  <LinksUpToDate>false</LinksUpToDate>
  <CharactersWithSpaces>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creator>grosjarova</dc:creator>
  <cp:lastModifiedBy>ms.slx.P.fscsrv</cp:lastModifiedBy>
  <cp:revision>2</cp:revision>
  <dcterms:created xsi:type="dcterms:W3CDTF">2017-03-27T10:04:00Z</dcterms:created>
  <dcterms:modified xsi:type="dcterms:W3CDTF">2017-03-27T10:04:00Z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Akt medzinárodného práva</vt:lpwstr>
  </property>
  <property fmtid="{D5CDD505-2E9C-101B-9397-08002B2CF9AE}" pid="3" name="FSC#SKEDITIONSLOVLEX@103.510:stavpredpis">
    <vt:lpwstr>Pred rokovaním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Medzinárodné zmluvy, dohody, dohovory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Ing. Jana Mičáková</vt:lpwstr>
  </property>
  <property fmtid="{D5CDD505-2E9C-101B-9397-08002B2CF9AE}" pid="9" name="FSC#SKEDITIONSLOVLEX@103.510:zodppredkladatel">
    <vt:lpwstr>László Sólymos</vt:lpwstr>
  </property>
  <property fmtid="{D5CDD505-2E9C-101B-9397-08002B2CF9AE}" pid="10" name="FSC#SKEDITIONSLOVLEX@103.510:nazovpredpis">
    <vt:lpwstr> Návrh na ratifikáciu Minamatského dohovoru o ortuti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životného prostredia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bod A.4. uznesenia vlády Slovenskej republiky č. 522 zo dňa 4. septembra 2013</vt:lpwstr>
  </property>
  <property fmtid="{D5CDD505-2E9C-101B-9397-08002B2CF9AE}" pid="16" name="FSC#SKEDITIONSLOVLEX@103.510:plnynazovpredpis">
    <vt:lpwstr> Návrh na ratifikáciu Minamatského dohovoru o ortuti</vt:lpwstr>
  </property>
  <property fmtid="{D5CDD505-2E9C-101B-9397-08002B2CF9AE}" pid="17" name="FSC#SKEDITIONSLOVLEX@103.510:rezortcislopredpis">
    <vt:lpwstr>4504/2017-min.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LP/2017/156</vt:lpwstr>
  </property>
  <property fmtid="{D5CDD505-2E9C-101B-9397-08002B2CF9AE}" pid="27" name="FSC#SKEDITIONSLOVLEX@103.510:typsprievdok">
    <vt:lpwstr>Doložka vplyvov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Alternatívne riešenia sa nenavrhujú.</vt:lpwstr>
  </property>
  <property fmtid="{D5CDD505-2E9C-101B-9397-08002B2CF9AE}" pid="57" name="FSC#SKEDITIONSLOVLEX@103.510:AttrStrListDocPropStanoviskoGest">
    <vt:lpwstr>Návrh na ratifikáciu Minamatského dohovoru o ortuti nemá vplyvy na rozpočet verejnej správy, na podnikateľské prostredie, na sociálne vplyvy, vplyvy na životné prostredie, vplyvy na informatizáciu, preto nie je predmetom PPK.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ratifikáciu Minamatského dohovoru o ortuti.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vlády_x000d_
minister životného prostredia _x000d_
minister zahraničných vecí a európskych záležitostí _x000d_
minister hospodárstva_x000d_
minister zdravotníctva </vt:lpwstr>
  </property>
  <property fmtid="{D5CDD505-2E9C-101B-9397-08002B2CF9AE}" pid="127" name="FSC#SKEDITIONSLOVLEX@103.510:AttrStrListDocPropUznesenieNaVedomie">
    <vt:lpwstr>prezident SR_x000d_
predseda Národnej rady SR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justify;"&gt;Materiál &lt;em&gt;„Návrh na ratifikáciu Minamatského dohovoru o&amp;nbsp;ortuti“&lt;/em&gt; sa predkladá v&amp;nbsp;súlade s&amp;nbsp;bodom A.4. uznesenia vlády Slovenskej republiky č. 522 zo dňa 4. septembra 2013 &amp;nbsp;k&amp;nbsp;materiálu „Návrh na účasť delegácie SR na diplomatickej konferencii Minamatského dohovoru o&amp;nbsp;ortuti, Japonsko, 7. -11. október 2013 a&amp;nbsp;návrh na podpis Minamatského dohovoru o ortuti“, na základe ktorého vláda Slovenskej republiky súhlasila s&amp;nbsp;tým, že jej Minamatský dohovor o&amp;nbsp;ortuti bude po podpise za účelom jeho ratifikácie znovu predložený.&lt;/p&gt;&lt;p style="text-align: justify;"&gt;Minamatský dohovor o&amp;nbsp;ortuti (ďalej len „Minamatský dohovor“) bol dojednaný pod záštitou&amp;nbsp; Programu OSN pre životné prostredie (UNEP) v Ženeve 19. januára 2013. Európska únia spolu s&amp;nbsp;najvyššími predstaviteľmi členských štátov, vrátane Slovenskej republiky, podpísali Minamatský dohovor na slávnostnej ceremónii, ktorá sa konala v&amp;nbsp;rámci diplomatickej konferencie v&amp;nbsp;Kumamoto v októbri 2013. Doteraz podpísalo Minamatský dohovor 128 krajín a&amp;nbsp;bolo uložených 38 ratifikačných listín.&lt;/p&gt;&lt;p style="text-align: justify;"&gt;Minamatský dohovor predstavuje hlavný medzinárodný právny rámec na ochranu ľudského zdravia a životného prostredia na celosvetovej úrovni pred emisiami ortuti pochádzajúcich z&amp;nbsp;antropogénnych činností do životného prostredia. Ortuť sa považuje za globálnu hrozbu&lt;br /&gt;pre ľudské zdravie a životné prostredie. Človeku môže vystavenie vysokým hladinám ortuti, kam patrí aj konzumácia kontaminovaných rýb a morských plodov, spôsobiť poškodenie mozgu, pľúc, obličiek a imunitného systému. Pre ortuť je charakteristické, že pôsobí&lt;br /&gt;bez ohľadu na hranice, keďže emisie sa z miesta pôvodu dokážu prostredníctvom vzduchu&lt;br /&gt;a vody šíriť tisícky kilometrov. Odhaduje sa, že 40 % až 80 % celkovej depozície ortuti v&amp;nbsp;Európskej únii pochádza z tretích krajín mimo Únie.&lt;/p&gt;&lt;p style="text-align: justify;"&gt;Cieľom Minamatského dohovoru je zabezpečiť postupné znižovanie a&amp;nbsp;v&amp;nbsp;dlhodobom horizonte elimináciu emisií ortuti, pričom sa Minamatský dohovor zaoberá celým životným cyklom ortuti. S&amp;nbsp;ohľadom na tento cieľ, Minamatský dohovor pokrýva všetky významné oblasti použitia ortuti, od ťažby surovín cez výrobu ortuti, jej dovoz a&amp;nbsp;vývoz, technologické procesy používajúce a&amp;nbsp;emitujúce ortuť a&amp;nbsp;jej zlúčeniny, až po výrobky obsahujúce ortuť a&amp;nbsp;rieši&lt;br /&gt;aj problémy dočasného a&amp;nbsp;dlhodobého uskladňovania odpadovej ortuti a&amp;nbsp;jej zlúčenín.&lt;br /&gt;Pri tvorbe Minamatského dohovoru v oblasti výrobkov s obsahom ortuti sa prijala filozofia, že všade tam, kde je možné plnohodnotne nahradiť výrobky s obsahom ortuti inými výrobkami bez obsahu ortuti, sa v strednodobom horizonte tieto výrobky nahradia a výroba výrobkov s obsahom ortuti sa ukončí. Jedná sa o vybrané výrobky, ako sú napríklad niektoré teplomery, tlakomery a zariadenia na meranie krvného tlaku a podobne. Pri iných výrobkoch, ako sú napr. gombíkové batérie, fluorescenčné žiarivky, sa v strednodobom horizonte zavádzajú znížené maximálne limity obsahu ortuti vo výrobkoch. A v neposlednom rade, Minamatský dohovor zavádza aj výnimky pre niektoré výrobky, ktoré budú vyrábané&lt;br /&gt;i naďalej, pretože ich v súčasnosti nie je možné alebo je veľmi problematické nahradiť adekvátnymi výrobkami bez obsahu ortuti, ako napríklad liečivá pre humánnu a veterinárnu medicínu, výrobky s obsahom ortuti používané v&amp;nbsp;oblasti civilnej ochrany a&amp;nbsp;vo vojenských zariadeniach, výrobky pre vedu a výskum a výrobky používané ako referenčné štandardy.&lt;/p&gt;&lt;p style="text-align: justify;"&gt;Popri vecnej problematike, Minamatský dohovor rieši aj problematiku spojenú s finančnými zdrojmi a finančnými mechanizmami orientovanými na pomoc pre rozvojové štáty, technickú asistenciu a transfer technológií, zdravotné aspekty ortuti a jej zlúčenín, výmenu informácii, vzdelávanie, vedu, výskum a potrebu monitorovania dosiahnutých výsledkov.&lt;/p&gt;&lt;p style="text-align: justify;"&gt;Minamatský dohovor nadobudne platnosť v&amp;nbsp;90. deň po dni, keď najmenej 50 zmluvných strán Minamatského dohovoru uloží svoje listiny o&amp;nbsp;ratifikácii, prijatí, schválení alebo pristúpení u&amp;nbsp;depozitára. Prioritou medzinárodného spoločenstva je, aby Minamatský dohovor nadobudol platnosť v&amp;nbsp;prvom polroku 2017 tak, aby sa mohla v&amp;nbsp;septembri 2017 konať prvá Konferencia zmluvných strán Minamatského dohovoru.&lt;/p&gt;&lt;p style="text-align: justify;"&gt;Medzi kľúčové subjekty, ktoré by mali ratifikovať Minamatský dohovor v&amp;nbsp;tomto termíne, patrí aj Európska únia a&amp;nbsp;jej členské štáty. Európska únia dosiahla za posledných desať rokov významný pokrok pri riešení problematiky ortuti v rámci Únie v nadväznosti na prijatie stratégie Spoločenstva, týkajúcej sa ortuti v roku 2005,&amp;nbsp; ktorú podporili Rada Európskej únie&amp;nbsp; a Európsky parlament.&lt;/p&gt;&lt;p style="text-align: justify;"&gt;Dňa 4. februára 2016 Európska komisia predložila „Návrh rozhodnutia Rady o&amp;nbsp;uzavretí Minamatského dohovoru o&amp;nbsp;ortuti“ (ďalej len „návrh rozhodnutia“). Uloženie listín&lt;br /&gt;o ratifikácii, prijatí alebo schválení Minamatského dohovoru Európskou úniou a jej členskými štátmi by sa malo vykonať spoločne a koordinovaným spôsobom tak, aby sa zabezpečilo, pokiaľ to bude možné, že Minamatský dohovor nadobudne platnosť pre Európsku úniu a jej členské štáty v rovnakom čase. Ak by sa prvá Konferencia zmluvných strán Minamatského dohovoru konala predtým, ako ho Európska únia ratifikuje, nebude sa môcť podieľať&lt;br /&gt;na rozhodovaní o&amp;nbsp;dôležitých otázkach súvisiacich s&amp;nbsp;implementáciou, nehovoriac o&amp;nbsp;negatívnom signáli, ktorý by týmto Únia vyslala. Preto patrí skorá ratifikácia Minamatského dohovoru Európskou úniou a&amp;nbsp;jej členskými štátmi medzi priority Únie. Návrh rozhodnutia&lt;br /&gt;je v&amp;nbsp;súčasnosti prerokovávaný v&amp;nbsp;pracovných skupinách Rady EÚ a na schválenie bude potrebná dohoda v&amp;nbsp;Rade ako aj súhlas Európskeho parlamentu.&lt;/p&gt;&lt;p style="text-align: justify;"&gt;Minamatský dohovor sa bude implementovať prostredníctvom už platnej ale aj novej legislatívy. Veľkú časť Minamatského dohovoru už právne predpisy Únie pokrývajú.&lt;br /&gt;Ako základ, a doteraz jediný právny akt Únie venovaný problematike ortuti, slúži nariadenie Európskeho parlamentu a Rady (ES) č. 1102/2008 o zákaze vývozu kovovej ortuti&lt;br /&gt;a niektorých zlúčenín a zmesí ortuti a o bezpečnom uskladnení kovovej ortuti.&amp;nbsp; Posúdením acquis Únie sa zistilo, že existuje istý obmedzený počet regulačných medzier, ktoré&lt;br /&gt;je potrebné vyplniť na úplné zosúladenie právnych predpisov Únie s&amp;nbsp;Minamatským dohovorom. Z tohto dôvodu Európska komisia predložila 2. februára 2016 „Návrh Nariadenia Európskeho parlamentu a Rady o ortuti a o zrušení nariadenia (ES) č. 1102/2008“ &amp;nbsp;&lt;br /&gt;(č. 2016/0023 (COD) zo dňa 2. februára 2016, ďalej len „návrh nariadenia o ortuti“).&lt;br /&gt;Novým nariadením o ortuti, ktoré by malo nadobudnúť účinnosť 1. januára 2018,&lt;br /&gt;sa zabezpečí úplná implementácia Minamatského dohovoru v podmienkach Únie&lt;br /&gt;a jej členských štátov. Jeho cieľom je riešiť nedostatky, ktoré sa týkajú dovozu ortuti, vývozu určitých výrobkov s prídavkom ortuti, používania ortuti v určitých výrobných procesoch, nových metód použitia ortuti vo výrobkoch a výrobných procesoch, používania ortuti&lt;br /&gt;v remeselnej a drobnej ťažbe zlata a používania ortuti v zubnom amalgáme.&lt;/p&gt;&lt;p style="text-align: justify;"&gt;Keďže návrh nariadenia o ortuti zachádza v&amp;nbsp;určitých oblastiach (zubný amalgám, priemyselná výroba) nad rámec Minamatského dohovoru, rokovania v&amp;nbsp;pracovnej skupine Rady EÚ&lt;br /&gt;pre životné prostredie, ako aj s&amp;nbsp;Európskym parlamentom, ktorý mal snahu byť ešte viac ambicióznejší, ako bol pôvodný návrh Komisie, boli náročné. Napriek tomu, počas slovenského predsedníctva v&amp;nbsp;Rade EÚ sa v&amp;nbsp;decembri 2016 podarilo dosiahnuť k&amp;nbsp;návrhu nariadenia medziinštitucionálnu dohodu medzi Radou EÚ a&amp;nbsp;Európskym parlamentom. Schválenie návrhu nariadenia o&amp;nbsp;ortuti oboma inštitúciami sa očakáva v&amp;nbsp;priebehu mesiacov marec - máj 2017.&lt;/p&gt;&lt;p style="text-align: justify;"&gt;V&amp;nbsp;nadväznosti na tento proces, bude v&amp;nbsp;Slovenskej republike potrebné vykonať legislatívne opatrenia, ktoré zabezpečia vykonávanie nariadenia o&amp;nbsp;ortuti v&amp;nbsp;praxi (výkon štátneho dozoru, sankcie a&amp;nbsp;pod.). Predpokladajú sa legislatívne úpravy predovšetkým v&amp;nbsp;oblasti používania zubného amalgámu, keďže sa nariadením o&amp;nbsp;ortuti zavádzajú požiadavky, ktoré doteraz nebolo povinné uplatňovať &amp;nbsp;(napr. povinné vybavenie zubných ambulancií odlučovačmi na zachytávanie častíc amalgámu, používanie pred-dávkovaných amalgámových kapsúl, obmedzené použitie amalgámových výplní pre zraniteľné skupiny) a&amp;nbsp;v&amp;nbsp;oblasti odpadového hospodárstva (dočasné a&amp;nbsp;trvalé ukladanie odpadovej ortuti). &amp;nbsp;&lt;/p&gt;&lt;p style="text-align: justify;"&gt;V&amp;nbsp;súvislosti s&amp;nbsp;implementáciou nového nariadenia o&amp;nbsp;ortuti predpokladáme pozitívne&lt;br /&gt;aj negatívne dopady na verejnú správu, podnikateľské prostredie, životné prostredie, informatizáciu a sociálne vplyvy. Tieto bude ale možné &amp;nbsp;kvantifikovať a&amp;nbsp;konkretizovať&lt;br /&gt;až pri implementácii nariadenia v&amp;nbsp;našom právnom poriadku. Najväčšie negatívne dopady v&amp;nbsp;súvislosti s&amp;nbsp;prijatím nariadenia o&amp;nbsp;ortuti sa očakávajú pri opatreniach týkajúcich&lt;br /&gt;sa priemyselnej výroby (výroba vinylchloridu, výroba chlóru a&amp;nbsp;alkalických hydroxidov) &amp;nbsp;a&amp;nbsp;v&amp;nbsp;oblasti zubného amalgámu.&amp;nbsp; &amp;nbsp;&amp;nbsp;&amp;nbsp;&lt;/p&gt;&lt;p style="text-align: justify;"&gt;Ako je vyššie uvedené, Minamatský dohovor sa bude implementovať už aj existujúcim právnym rámcom – nariadenie Európskeho parlamentu a&amp;nbsp;Rady (EÚ) zo 4. júla 2012&lt;br /&gt;č. 649/2012 o vývoze a dovoze nebezpečných chemikálií, nariadenie Európskeho parlamentu a Rady (ES) č. 1907/2006 z 18. decembra 2006 o registrácii, hodnotení, autorizácii&lt;br /&gt;a obmedzovaní chemikálií (REACH) a o zriadení Európskej chemickej agentúry, o zmene&lt;br /&gt;a doplnení smernice 1999/45/ES a o zrušení nariadenia Rady (EHS) č. 793/93 a nariadenia Komisie (ES) č. 1488/94, smernice Rady 76/769/EHS a smerníc Komisie 91/155/EHS, 93/67/EHS, 93/105/ES a 2000/21/ES, smernica Európskeho parlamentu a Rady 2010/75/EÚ&lt;br /&gt;z&amp;nbsp; 24. novembra 2010 o priemyselných emisiách (integrovaná prevencia a kontrola znečisťovania životného prostredia), smernica Európskeho parlamentu a&amp;nbsp;Rady z&amp;nbsp;19. novembra 2008 č. 2008/98/ES o&amp;nbsp;odpade a&amp;nbsp;o&amp;nbsp;zrušení určitých smerníc, smernica Rady 1999/31/ES&lt;br /&gt;z 26. apríla 1999 o skládkach odpadov, smernica Európskeho parlamentu a Rady 2012/18/EÚ zo 4. júla 2012 o kontrole nebezpečenstiev závažných havárií s prítomnosťou nebezpečných látok, ktorou sa mení a dopĺňa a následne zrušuje smernica Rady 96/82/ES a&amp;nbsp;ďalšie súvisiace predpisy týkajúce sa výrobkov s&amp;nbsp;prídavkom ortuti (baterky, lampy, kozmetika, pesticídy, biocídy, neelektronické zariadenia a&amp;nbsp;pod.). Všetky tieto právne predpisy sú v&amp;nbsp;legislatíve Slovenskej republiky transponované a&amp;nbsp;implementované (napr. zákon č. 67/2010 Z. z.&lt;br /&gt;o podmienkach uvedenia chemických látok a chemických zmesí na trh a o zmene a doplnení niektorých zákonov (chemický zákon) v&amp;nbsp;znení neskorších predpisov, zákon č. 39/2013 Z. z.&lt;br /&gt;o integrovanej prevencii a kontrole znečisťovania životného prostredia a o zmene a&amp;nbsp;doplnení niektorých zákonov v&amp;nbsp;znení neskorších predpisov, zákon č. 79/2015 Z. z. o odpadoch&lt;br /&gt;a o zmene a doplnení niektorých zákonov v&amp;nbsp;znení neskorších predpisov, zákon č. 346/2013&lt;br /&gt;Z. z. o obmedzení používania určitých nebezpečných látok v elektrických zariadeniach&lt;br /&gt;a elektronických zariadeniach a ktorým sa mení zákon č. 223/2001 Z. z. o odpadoch&lt;br /&gt;a o zmene a doplnení niektorých zákonov v znení neskorších predpisov, zákon č. 128/2015&lt;br /&gt;Z. z. o&amp;nbsp;prevencii závažných priemyselných havárií a&amp;nbsp;o&amp;nbsp;zmene a&amp;nbsp;doplnení niektorých zákonov v&amp;nbsp;znení neskorších predpisov, zákon č. 319/2013 Z. z. o pôsobnosti orgánov štátnej správy pre sprístupňovanie biocídnych výrobkov na trh a ich používanie a o zmene a doplnení niektorých zákonov, nariadenie vlády Slovenskej republiky č. 658/2005 Z. z., ktorým sa ustanovujú požiadavky na kozmetické výrobky v znení neskorších predpisov). &amp;nbsp;&lt;/p&gt;&lt;p style="text-align: justify;"&gt;Ratifikáciou Minamatského dohovoru nebude dotknuté vykonávanie medzinárodných zmlúv, ktorými je Slovenská republika viazaná v rámci prepravy nebezpečného tovaru po železnici, na cestách a vnútrozemských vodných cestách.&lt;/p&gt;&lt;p style="text-align: justify;"&gt;Vykonávanie Minamatského dohovoru bude mať v&amp;nbsp;Európskej únii značný prínos pre životné prostredie a ľudské zdravie, najmä vzhľadom na očakávané zníženie emisií ortuti s pôvodom v iných častiach sveta.&lt;/p&gt;&lt;p style="text-align: justify;"&gt;Z vyššie uvedeného vyplýva, že Slovenská republika má vytvorené podmienky na plnenie záväzkov vyplývajúcich z&amp;nbsp;Minamatského dohovoru a Slovenská republika je pripravená&lt;br /&gt;na jeho ratifikáciu.&lt;/p&gt;&lt;p style="text-align: justify;"&gt;Samotná ratifikácia Minamatského dohovoru nebude mať vplyv na rozpočet verejnej správy, podnikateľské prostredie, životné prostredie, informatizáciu a&amp;nbsp;nebude mať sociálne vplyvy.&lt;/p&gt;&lt;p style="text-align: justify;"&gt;Minamatský dohovor nie je zmluvou o&amp;nbsp;ľudských právach a&amp;nbsp;základných slobodách, medzinárodnou zmluvou, na ktorej vykonanie nie je potrebný zákon a&amp;nbsp;ani medzinárodnou zmluvou, ktorá priamo zakladá práva alebo povinnosti fyzických osôb alebo právnických osôb. Minamatský dohovor tak nemá prednosť pred zákonmi.&lt;/p&gt;&lt;p style="text-align: justify;"&gt;Minamatský dohovor je podľa článku 7 ods. 4 Ústavy Slovenskej republiky medzinárodnou zmluvou, na ktorej vykonanie je potrebný zákon, a preto v súlade s článkom 86 písm. d) Ústavy Slovenskej republiky podlieha vysloveniu súhlasu Národnej rady Slovenskej republiky a následnej ratifikácii prezidentom Slovenskej republiky.&lt;/p&gt;&lt;p style="text-align: justify;"&gt;Minamatský dohovor je v&amp;nbsp;súlade s&amp;nbsp;Ústavou Slovenskej republiky, s ústavnými zákonmi, zákonmi,&amp;nbsp;s ostatnými všeobecne záväznými predpismi a&amp;nbsp;medzinárodnými zmluvami, ktorými je Slovenská republika viazaná.&lt;/p&gt;&lt;p style="text-align: justify;"&gt;&amp;nbsp;&lt;/p&gt;&lt;p style="text-align: justify;"&gt;Súčasťou predkladaného materiálu je slovenský a&amp;nbsp;anglický text Minamatského dohovoru.&amp;nbsp;&lt;/p&gt;</vt:lpwstr>
  </property>
  <property fmtid="{D5CDD505-2E9C-101B-9397-08002B2CF9AE}" pid="130" name="FSC#COOSYSTEM@1.1:Container">
    <vt:lpwstr>COO.2145.1000.3.1892758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>Miroslav Lajčák</vt:lpwstr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minister životného prostredia Slovenskej republiky</vt:lpwstr>
  </property>
  <property fmtid="{D5CDD505-2E9C-101B-9397-08002B2CF9AE}" pid="145" name="FSC#SKEDITIONSLOVLEX@103.510:funkciaZodpPredAkuzativ">
    <vt:lpwstr>ministerovi životného prostredia Slovenskej republiky</vt:lpwstr>
  </property>
  <property fmtid="{D5CDD505-2E9C-101B-9397-08002B2CF9AE}" pid="146" name="FSC#SKEDITIONSLOVLEX@103.510:funkciaZodpPredDativ">
    <vt:lpwstr>ministera životného prostredia Slovenskej republiky</vt:lpwstr>
  </property>
  <property fmtid="{D5CDD505-2E9C-101B-9397-08002B2CF9AE}" pid="147" name="FSC#SKEDITIONSLOVLEX@103.510:funkciaDalsiPred">
    <vt:lpwstr>minister zahraničných vecí a európskych záležitostí Slovenskej republiky, </vt:lpwstr>
  </property>
  <property fmtid="{D5CDD505-2E9C-101B-9397-08002B2CF9AE}" pid="148" name="FSC#SKEDITIONSLOVLEX@103.510:funkciaDalsiPredAkuzativ">
    <vt:lpwstr>ministrovi zahraničných vecí a európskych záležitostí Slovenskej republiky, </vt:lpwstr>
  </property>
  <property fmtid="{D5CDD505-2E9C-101B-9397-08002B2CF9AE}" pid="149" name="FSC#SKEDITIONSLOVLEX@103.510:funkciaDalsiPredDativ">
    <vt:lpwstr>ministra zahraničných vecí a európskych záležitostí Slovenskej republiky, </vt:lpwstr>
  </property>
  <property fmtid="{D5CDD505-2E9C-101B-9397-08002B2CF9AE}" pid="150" name="FSC#SKEDITIONSLOVLEX@103.510:predkladateliaObalSD">
    <vt:lpwstr>László Sólymos_x000d_
minister životného prostredia Slovenskej republiky_x000d_
Miroslav Lajčák_x000d_
minister zahraničných vecí a európskych záležitostí Slovenskej republiky</vt:lpwstr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77aec202-fde9-4d6b-a003-d6efa9fec71a</vt:lpwstr>
  </property>
</Properties>
</file>