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06AB5D2C" w:rsidR="0081708C" w:rsidRPr="00CA6E29" w:rsidRDefault="00C0662A" w:rsidP="004E04F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1137A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 zrušenie úlohy </w:t>
                  </w:r>
                  <w:r w:rsidR="008E038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137A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č. 2 v mesiaci apríl z Plánu práce vlády Slovenskej republiky na rok 2021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95FD384" w:rsidR="0081708C" w:rsidRPr="00ED412E" w:rsidRDefault="00C20232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35566D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C2023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312FD49" w14:textId="68D76C8B" w:rsidR="001137A2" w:rsidRDefault="001137A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137A2" w14:paraId="3ED9007C" w14:textId="77777777">
        <w:trPr>
          <w:divId w:val="15914297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7F709" w14:textId="77777777" w:rsidR="001137A2" w:rsidRDefault="001137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8CCE74" w14:textId="77777777" w:rsidR="001137A2" w:rsidRDefault="001137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1137A2" w14:paraId="3616BDE7" w14:textId="77777777">
        <w:trPr>
          <w:divId w:val="15914297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46A0E" w14:textId="77777777" w:rsidR="001137A2" w:rsidRDefault="001137A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6484" w14:textId="77777777" w:rsidR="001137A2" w:rsidRDefault="001137A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DF617" w14:textId="319D4F7D" w:rsidR="001137A2" w:rsidRDefault="004E04FD" w:rsidP="008E038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úlohu</w:t>
            </w:r>
            <w:r w:rsidR="001137A2">
              <w:rPr>
                <w:rFonts w:ascii="Times" w:hAnsi="Times" w:cs="Times"/>
                <w:sz w:val="25"/>
                <w:szCs w:val="25"/>
              </w:rPr>
              <w:t xml:space="preserve"> č. 2 v mesiaci apríl </w:t>
            </w:r>
            <w:r>
              <w:rPr>
                <w:rFonts w:ascii="Times" w:hAnsi="Times" w:cs="Times"/>
                <w:sz w:val="25"/>
                <w:szCs w:val="25"/>
              </w:rPr>
              <w:t xml:space="preserve">2021 </w:t>
            </w:r>
            <w:r w:rsidR="001137A2">
              <w:rPr>
                <w:rFonts w:ascii="Times" w:hAnsi="Times" w:cs="Times"/>
                <w:sz w:val="25"/>
                <w:szCs w:val="25"/>
              </w:rPr>
              <w:t>z Plánu prá</w:t>
            </w:r>
            <w:r>
              <w:rPr>
                <w:rFonts w:ascii="Times" w:hAnsi="Times" w:cs="Times"/>
                <w:sz w:val="25"/>
                <w:szCs w:val="25"/>
              </w:rPr>
              <w:t>ce vlády Slovenskej republiky na rok 2021 – Zmena</w:t>
            </w:r>
            <w:r w:rsidR="001137A2">
              <w:rPr>
                <w:rFonts w:ascii="Times" w:hAnsi="Times" w:cs="Times"/>
                <w:sz w:val="25"/>
                <w:szCs w:val="25"/>
              </w:rPr>
              <w:t xml:space="preserve"> garanta zákona č. 346/2013 Z. z. o obmedzení používania určitých nebezpečných látok v elektrických a elektronických zariadeniach a ktorým sa mení zákon č. 223/2001 Z. z. o odpadoch a o zmene a doplnení niektorých zákonov v znení neskorších predpisov. </w:t>
            </w:r>
          </w:p>
        </w:tc>
      </w:tr>
      <w:tr w:rsidR="001137A2" w14:paraId="4C6541F8" w14:textId="77777777">
        <w:trPr>
          <w:divId w:val="159142970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800FFA" w14:textId="77777777" w:rsidR="001137A2" w:rsidRDefault="001137A2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1A11E" w14:textId="77777777" w:rsidR="001137A2" w:rsidRDefault="001137A2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D7AF" w14:textId="1DC0AEDA" w:rsidR="001137A2" w:rsidRDefault="001137A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137A2" w14:paraId="256A3591" w14:textId="77777777">
        <w:trPr>
          <w:divId w:val="159142970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0A86C" w14:textId="77777777" w:rsidR="001137A2" w:rsidRDefault="001137A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B6BFBB8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39A78C85" w:rsidR="00557779" w:rsidRPr="00557779" w:rsidRDefault="004E04FD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4D697139" w:rsidR="00557779" w:rsidRPr="0035566D" w:rsidRDefault="00C20232" w:rsidP="001137A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 xml:space="preserve">odpredseda vlády a </w:t>
            </w:r>
            <w:r w:rsidR="0035566D">
              <w:rPr>
                <w:rFonts w:ascii="Times" w:hAnsi="Times" w:cs="Times"/>
                <w:sz w:val="25"/>
                <w:szCs w:val="25"/>
              </w:rPr>
              <w:t>m</w:t>
            </w:r>
            <w:r w:rsidR="0035566D" w:rsidRPr="0035566D">
              <w:rPr>
                <w:rFonts w:ascii="Times" w:hAnsi="Times" w:cs="Times"/>
                <w:sz w:val="25"/>
                <w:szCs w:val="25"/>
              </w:rPr>
              <w:t xml:space="preserve">inister životného prostredia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93EEE7A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2866AE53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137A2"/>
    <w:rsid w:val="00175B8A"/>
    <w:rsid w:val="001D495F"/>
    <w:rsid w:val="00266B00"/>
    <w:rsid w:val="002B0D08"/>
    <w:rsid w:val="0035532E"/>
    <w:rsid w:val="0035566D"/>
    <w:rsid w:val="00356199"/>
    <w:rsid w:val="00372BCE"/>
    <w:rsid w:val="00376D2B"/>
    <w:rsid w:val="00402F32"/>
    <w:rsid w:val="00456D57"/>
    <w:rsid w:val="004E04FD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8E0388"/>
    <w:rsid w:val="009051DC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20232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1998F94-231B-4978-92C8-C0C7BBDC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1.4.2023 16:31:49"/>
    <f:field ref="objchangedby" par="" text="Administrator, System"/>
    <f:field ref="objmodifiedat" par="" text="21.4.2023 16:31:51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https://ovdmasv601/sites/DMS/_layouts/15/DocIdRedir.aspx?ID=WKX3UHSAJ2R6-2-1264461</Url>
      <Description>WKX3UHSAJ2R6-2-1264461</Description>
    </_dlc_DocIdUrl>
    <_dlc_DocId xmlns="e60a29af-d413-48d4-bd90-fe9d2a897e4b">WKX3UHSAJ2R6-2-1264461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D3BFA24-6631-4C18-89FA-DD0BBD3BF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5F07B-CD10-4EE5-A321-9AE212855FDB}"/>
</file>

<file path=customXml/itemProps4.xml><?xml version="1.0" encoding="utf-8"?>
<ds:datastoreItem xmlns:ds="http://schemas.openxmlformats.org/officeDocument/2006/customXml" ds:itemID="{5661CF1B-FF4D-40AA-A21D-AF2762C52CA3}"/>
</file>

<file path=customXml/itemProps5.xml><?xml version="1.0" encoding="utf-8"?>
<ds:datastoreItem xmlns:ds="http://schemas.openxmlformats.org/officeDocument/2006/customXml" ds:itemID="{187233A6-0B65-4957-B586-C669B5E90E82}"/>
</file>

<file path=customXml/itemProps6.xml><?xml version="1.0" encoding="utf-8"?>
<ds:datastoreItem xmlns:ds="http://schemas.openxmlformats.org/officeDocument/2006/customXml" ds:itemID="{90EE3D3A-D9AE-492E-938A-708FC8E8B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Izsóff Martin</cp:lastModifiedBy>
  <cp:revision>11</cp:revision>
  <dcterms:created xsi:type="dcterms:W3CDTF">2023-04-21T14:31:00Z</dcterms:created>
  <dcterms:modified xsi:type="dcterms:W3CDTF">2023-11-20T05:42:00Z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COO.2145.1000.3.5624949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Martin Izsóff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 Návrh na zrušenie úlohy č. 2 v mesiaci apríl z Plánu práce vlády Slovenskej republiky na rok 2021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Návrh na zrušenie úlohy č. 2 v mesiaci apríl z Plánu práce vlády Slovenskej republiky na rok 2021 </vt:lpwstr>
  </property>
  <property fmtid="{D5CDD505-2E9C-101B-9397-08002B2CF9AE}" pid="19" name="FSC#SKEDITIONSLOVLEX@103.510:rezortcislopredpis">
    <vt:lpwstr>8507/2023-10.1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LP/2023/230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-</vt:lpwstr>
  </property>
  <property fmtid="{D5CDD505-2E9C-101B-9397-08002B2CF9AE}" pid="58" name="FSC#SKEDITIONSLOVLEX@103.510:AttrStrListDocPropAltRiesenia">
    <vt:lpwstr>-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 zrušenie úlohy č. 2 v mesiaci apríl z Plánu práce vlády Slovenskej republiky na rok 2021 predkladá minister životného prostredia na&amp;nbsp;základe vlastnej iniciatívy.&lt;/p&gt;&lt;p style="text-align: justify;"&gt;Ministerstvo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Budaj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21. 4. 2023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5dbcb361-29f9-4924-a60b-d7a5582e021b</vt:lpwstr>
  </property>
</Properties>
</file>