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0" w:type="auto"/>
        <w:tblLook w:val="04A0" w:firstRow="1" w:lastRow="0" w:firstColumn="1" w:lastColumn="0" w:noHBand="0" w:noVBand="1"/>
      </w:tblPr>
      <w:tblGrid>
        <w:gridCol w:w="975"/>
        <w:gridCol w:w="2656"/>
        <w:gridCol w:w="612"/>
        <w:gridCol w:w="5615"/>
        <w:gridCol w:w="2264"/>
        <w:gridCol w:w="2753"/>
      </w:tblGrid>
      <w:tr w:rsidR="00FE0F3E" w:rsidRPr="006278D2" w14:paraId="3A9E914C" w14:textId="7C25266E" w:rsidTr="00725D29">
        <w:trPr>
          <w:trHeight w:val="375"/>
        </w:trPr>
        <w:tc>
          <w:tcPr>
            <w:tcW w:w="9858" w:type="dxa"/>
            <w:gridSpan w:val="4"/>
            <w:noWrap/>
            <w:hideMark/>
          </w:tcPr>
          <w:p w14:paraId="5839028A"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VZNESENÉ PRIPOMIENKY V RÁMCI PRIPOMIENKOVÉHO KONANIA Návrh zákona o energetickej efektívnosti a o zmene a doplnení niektorých zákonov </w:t>
            </w:r>
            <w:r w:rsidRPr="00BC49FC">
              <w:rPr>
                <w:rFonts w:ascii="Times New Roman" w:hAnsi="Times New Roman" w:cs="Times New Roman"/>
              </w:rPr>
              <w:t>LP/2026/131</w:t>
            </w:r>
          </w:p>
        </w:tc>
        <w:tc>
          <w:tcPr>
            <w:tcW w:w="2264" w:type="dxa"/>
            <w:noWrap/>
            <w:hideMark/>
          </w:tcPr>
          <w:p w14:paraId="1E233E9A" w14:textId="77777777" w:rsidR="00FE0F3E" w:rsidRPr="00BC49FC" w:rsidRDefault="00FE0F3E">
            <w:pPr>
              <w:rPr>
                <w:rFonts w:ascii="Times New Roman" w:hAnsi="Times New Roman" w:cs="Times New Roman"/>
                <w:b/>
                <w:bCs/>
              </w:rPr>
            </w:pPr>
          </w:p>
        </w:tc>
        <w:tc>
          <w:tcPr>
            <w:tcW w:w="2753" w:type="dxa"/>
            <w:noWrap/>
            <w:hideMark/>
          </w:tcPr>
          <w:p w14:paraId="492564F3" w14:textId="77777777" w:rsidR="00FE0F3E" w:rsidRPr="00BC49FC" w:rsidRDefault="00FE0F3E">
            <w:pPr>
              <w:rPr>
                <w:rFonts w:ascii="Times New Roman" w:hAnsi="Times New Roman" w:cs="Times New Roman"/>
              </w:rPr>
            </w:pPr>
          </w:p>
        </w:tc>
      </w:tr>
      <w:tr w:rsidR="00FE0F3E" w:rsidRPr="006278D2" w14:paraId="396BFEAF" w14:textId="258BF2E1" w:rsidTr="00725D29">
        <w:trPr>
          <w:trHeight w:val="945"/>
        </w:trPr>
        <w:tc>
          <w:tcPr>
            <w:tcW w:w="975" w:type="dxa"/>
            <w:hideMark/>
          </w:tcPr>
          <w:p w14:paraId="0C3746B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w:t>
            </w:r>
          </w:p>
        </w:tc>
        <w:tc>
          <w:tcPr>
            <w:tcW w:w="2656" w:type="dxa"/>
            <w:hideMark/>
          </w:tcPr>
          <w:p w14:paraId="3F9F8DD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Subjekt</w:t>
            </w:r>
          </w:p>
        </w:tc>
        <w:tc>
          <w:tcPr>
            <w:tcW w:w="612" w:type="dxa"/>
            <w:hideMark/>
          </w:tcPr>
          <w:p w14:paraId="6711BBB6"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Typ</w:t>
            </w:r>
          </w:p>
        </w:tc>
        <w:tc>
          <w:tcPr>
            <w:tcW w:w="5615" w:type="dxa"/>
            <w:hideMark/>
          </w:tcPr>
          <w:p w14:paraId="2E5B14F4"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Pripomienka</w:t>
            </w:r>
          </w:p>
        </w:tc>
        <w:tc>
          <w:tcPr>
            <w:tcW w:w="2264" w:type="dxa"/>
            <w:hideMark/>
          </w:tcPr>
          <w:p w14:paraId="773F945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Vyh</w:t>
            </w:r>
          </w:p>
        </w:tc>
        <w:tc>
          <w:tcPr>
            <w:tcW w:w="2753" w:type="dxa"/>
            <w:hideMark/>
          </w:tcPr>
          <w:p w14:paraId="5D2A437D"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Spôsob vyhodnotenia</w:t>
            </w:r>
          </w:p>
        </w:tc>
      </w:tr>
      <w:tr w:rsidR="00FE0F3E" w:rsidRPr="006278D2" w14:paraId="656630FA" w14:textId="59F2FD5C" w:rsidTr="00725D29">
        <w:trPr>
          <w:trHeight w:val="1275"/>
        </w:trPr>
        <w:tc>
          <w:tcPr>
            <w:tcW w:w="975" w:type="dxa"/>
            <w:hideMark/>
          </w:tcPr>
          <w:p w14:paraId="7F16451B"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44.</w:t>
            </w:r>
          </w:p>
        </w:tc>
        <w:tc>
          <w:tcPr>
            <w:tcW w:w="2656" w:type="dxa"/>
            <w:hideMark/>
          </w:tcPr>
          <w:p w14:paraId="14660C3B"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29EFEACF"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740FC397"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Návrh zákona zavádza viacero osobitných organizácii v súvislosti s plnením povinností podľa zákona (napr. Prevádzkovateľ monitorovacieho systému, správca monitorovacieho systému, Koordinačný orgán, Poverená organizácia, Ministerstvo,... .) Ide o zvyšovanie administratívnej a byrokratickej záťaže. Navrhujeme ustanoviť iba jednu organizáciu alebo jeden systém, ktorá bude zodpovedná za všetky aspekty súvisiace s interakciou podnikov na základe tohto právneho predpisu, alebo systém z ktorého si to jednotlivé zložky štátnej správy vedia získať. Rovnako, platí aj pre navrhnutý spôsob reportovania.  Musí platiť zásada, jeden krát a dosť.  Odôvodnenie: Odstránenie nadmernej neefektívnej záťaže, vedúce v konečnom dôsledku aj k vyššej energetickej náročnosti.</w:t>
            </w:r>
          </w:p>
        </w:tc>
        <w:tc>
          <w:tcPr>
            <w:tcW w:w="2264" w:type="dxa"/>
            <w:vAlign w:val="center"/>
            <w:hideMark/>
          </w:tcPr>
          <w:p w14:paraId="1BCF6122" w14:textId="548E5554"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7DCE10C4" w14:textId="4EC556D1"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 xml:space="preserve">Nezavádza sa nový orgán, iba sa pomenúvajú existujúce orgány z rôznych uhlov pohľadu. </w:t>
            </w:r>
          </w:p>
        </w:tc>
      </w:tr>
      <w:tr w:rsidR="00FE0F3E" w:rsidRPr="006278D2" w14:paraId="383F3832" w14:textId="60989AB2" w:rsidTr="00725D29">
        <w:trPr>
          <w:trHeight w:val="2220"/>
        </w:trPr>
        <w:tc>
          <w:tcPr>
            <w:tcW w:w="975" w:type="dxa"/>
            <w:hideMark/>
          </w:tcPr>
          <w:p w14:paraId="1C71D7BD"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45.</w:t>
            </w:r>
          </w:p>
        </w:tc>
        <w:tc>
          <w:tcPr>
            <w:tcW w:w="2656" w:type="dxa"/>
            <w:hideMark/>
          </w:tcPr>
          <w:p w14:paraId="566E3D3C"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5E2FFCE3"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7205855A"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čl. I § 8 </w:t>
            </w:r>
            <w:r w:rsidRPr="00BC49FC">
              <w:rPr>
                <w:rFonts w:ascii="Times New Roman" w:hAnsi="Times New Roman" w:cs="Times New Roman"/>
              </w:rPr>
              <w:t xml:space="preserve">Navrhujeme doplniť do § 8 explicitné ustanovenia o záručných nástrojoch a revolvingových mechanizmoch pre projekty energetickej efektívnosti realizované formou energetickej služby.  Odôvodnenie: Čl. 30 ods. 7 smernice (EÚ) 2023/1791 (ďalej len „smernica EED“) ukladá členským štátom uplatňovať finančné nástroje vrátane záručných systémov a fondov pri podpore energetickej efektívnosti. Aktuálne znenie § 8 vymenúva iba generické zdroje financovania a neobsahuje konkrétne nástroje pre znižovanie kapitálových a transakčných nákladov pri menších projektoch, ktoré sú pre menšie verejné subjekty a pre malých a stredných podnikateľov v praxi prekážkou vstupu do GES. Navrhované znenie: V § 8 sa za odsek 6 vkladá nový odsek 7, ktorý znie: „(7) Koordinačný orgán v spolupráci s ministerstvom a gestorom </w:t>
            </w:r>
            <w:r w:rsidRPr="00BC49FC">
              <w:rPr>
                <w:rFonts w:ascii="Times New Roman" w:hAnsi="Times New Roman" w:cs="Times New Roman"/>
              </w:rPr>
              <w:lastRenderedPageBreak/>
              <w:t>opatrenia energetickej efektívnosti zabezpečuje vytvorenie a prevádzku a) záručných nástrojov pre projekty energetickej efektívnosti realizované formou energetickej služby, najmä pre projekty v sektore verejných subjektov a malých a stredných podnikateľov, b) revolvingových mechanizmov pre projekty energetickej efektívnosti, ktoré umožňujú opakované využívanie navrátených finančných prostriedkov na nové projekty energetickej efektívnosti. Podrobnosti o záručných nástrojoch a revolvingových mechanizmoch ustanoví všeobecne záväzný právny predpis, ktorý vydá ministerstvo.“ Doterajšie odseky 7 a 8 sa primerane prečíslujú.</w:t>
            </w:r>
          </w:p>
        </w:tc>
        <w:tc>
          <w:tcPr>
            <w:tcW w:w="2264" w:type="dxa"/>
            <w:vAlign w:val="center"/>
            <w:hideMark/>
          </w:tcPr>
          <w:p w14:paraId="58D9B552" w14:textId="50B9A137"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lastRenderedPageBreak/>
              <w:t>N</w:t>
            </w:r>
          </w:p>
        </w:tc>
        <w:tc>
          <w:tcPr>
            <w:tcW w:w="2753" w:type="dxa"/>
            <w:vAlign w:val="center"/>
            <w:hideMark/>
          </w:tcPr>
          <w:p w14:paraId="330DECB9" w14:textId="20D622B6"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Prediskutované.</w:t>
            </w:r>
          </w:p>
        </w:tc>
      </w:tr>
      <w:tr w:rsidR="00FE0F3E" w:rsidRPr="006278D2" w14:paraId="04D957D9" w14:textId="44BDDEFD" w:rsidTr="00725D29">
        <w:trPr>
          <w:trHeight w:val="2535"/>
        </w:trPr>
        <w:tc>
          <w:tcPr>
            <w:tcW w:w="975" w:type="dxa"/>
            <w:hideMark/>
          </w:tcPr>
          <w:p w14:paraId="6C5B9879"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46.</w:t>
            </w:r>
          </w:p>
        </w:tc>
        <w:tc>
          <w:tcPr>
            <w:tcW w:w="2656" w:type="dxa"/>
            <w:hideMark/>
          </w:tcPr>
          <w:p w14:paraId="10F550A6"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2E2398FE"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26B113F4"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čl. I § 23 </w:t>
            </w:r>
            <w:r w:rsidRPr="00BC49FC">
              <w:rPr>
                <w:rFonts w:ascii="Times New Roman" w:hAnsi="Times New Roman" w:cs="Times New Roman"/>
              </w:rPr>
              <w:t xml:space="preserve">V rámci dobrovoľných dohôd o úspore energie navrhujeme nastaviť mechanizmus motivácie pre podniky, ktoré poskytujú prevádzkovateľovi monitorovacieho systému údaje o dosiahnutých úsporách energie. Týmto podnikom môže byť priznané zvýhodnené postavenie najmä vo forme prednostného prístupu k podporným mechanizmom, dotáciám alebo iným nástrojom štátnej podpory v oblasti zvyšovania energetickej efektívnosti, za podmienok ustanovených vykonávacím právnym predpisom.  Odôvodnenie: Dobrovoľné dohody o úspore energie predstavujú významný nástroj na zapojenie podnikateľského sektora do plnenia cieľov energetickej efektívnosti. Ich efektívnosť je však podmienená dostatočnou motiváciou subjektov aktívne sa zapájať a pravidelne poskytovať kvalitné a overiteľné údaje o dosiahnutých úsporách. Zvýhodnenie vo forme prednostného prístupu k dotáciám alebo iným podporným mechanizmom: • zvyšuje atraktivitu dobrovoľných dohôd, • podporuje systematický zber kvalitných dát o úsporách energie, • znižuje administratívnu náročnosť štátu pri zisťovaní a overovaní úspor, • umožňuje efektívnejšie zameranie verejných zdrojov na aktívne a spolupracujúce subjekty. Zároveň sa ponecháva flexibilita na úroveň </w:t>
            </w:r>
            <w:r w:rsidRPr="00BC49FC">
              <w:rPr>
                <w:rFonts w:ascii="Times New Roman" w:hAnsi="Times New Roman" w:cs="Times New Roman"/>
              </w:rPr>
              <w:lastRenderedPageBreak/>
              <w:t>vykonávacieho predpisu, ktorý umožní presnejšie nastaviť podmienky zvýhodnenia tak, aby boli transparentné, nediskriminačné a v súlade s pravidlami štátnej pomoci. Navrhované opatrenie tak predstavuje nízkonákladový, ale účinný nástroj na zvýšenie participácie podnikov a zlepšenie kvality dát potrebných pre tvorbu a vyhodnocovanie politík energetickej efektívnosti.</w:t>
            </w:r>
          </w:p>
        </w:tc>
        <w:tc>
          <w:tcPr>
            <w:tcW w:w="2264" w:type="dxa"/>
            <w:vAlign w:val="center"/>
            <w:hideMark/>
          </w:tcPr>
          <w:p w14:paraId="72573CA6" w14:textId="7767E722"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17BE9150" w14:textId="3CC9CD15"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Súčasť investičných stimulov už existuje.</w:t>
            </w:r>
          </w:p>
        </w:tc>
      </w:tr>
      <w:tr w:rsidR="00FE0F3E" w:rsidRPr="006278D2" w14:paraId="6A00D94F" w14:textId="65DAA974" w:rsidTr="00725D29">
        <w:trPr>
          <w:trHeight w:val="2850"/>
        </w:trPr>
        <w:tc>
          <w:tcPr>
            <w:tcW w:w="975" w:type="dxa"/>
            <w:hideMark/>
          </w:tcPr>
          <w:p w14:paraId="210BD2A3"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47.</w:t>
            </w:r>
          </w:p>
        </w:tc>
        <w:tc>
          <w:tcPr>
            <w:tcW w:w="2656" w:type="dxa"/>
            <w:hideMark/>
          </w:tcPr>
          <w:p w14:paraId="5D9C7089"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55960FE2"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78EC4251"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čl. I § 33 </w:t>
            </w:r>
            <w:r w:rsidRPr="00BC49FC">
              <w:rPr>
                <w:rFonts w:ascii="Times New Roman" w:hAnsi="Times New Roman" w:cs="Times New Roman"/>
              </w:rPr>
              <w:t xml:space="preserve">Navrhujeme rozšíriť obsah registra energetických služieb o ukončené GES projekty s informáciou o plánovaných a dosiahnutých úsporách a zabezpečiť verejnú dostupnosť údajov registra v anonymizovanej forme. Navrhované znenie: § 33 ods. 1 znie: „(1) Register energetických služieb obsahuje údaje o a) prebiehajúcich podporných energetických službách, b) prebiehajúcich podporných energetických službách pre verejný sektor, c) prebiehajúcich garantovaných energetických službách, d) prebiehajúcich garantovaných energetických službách pre verejný sektor, e) ukončených garantovaných energetických službách, f) ukončených garantovaných energetických službách pre verejný sektor, g) poskytovateľoch podpornej energetickej služby, h) poskytovateľoch garantovanej energetickej služby.“ V § 33 sa dopĺňa nový odsek 5, ktorý znie: „(5) Údaje z registra energetických služieb podľa odseku 1 písm. c) až f) sú verejne dostupné na webovom sídle poverenej organizácie v anonymizovanej forme. Sprístupnené údaje zahŕňajú najmä typ a veľkostnú kategóriu prijímateľa energetickej služby, typ budovy alebo zariadenia, dobu trvania zmluvy, predmet zmluvy, plánované úspory energie a dosiahnuté úspory energie.“.  Odôvodnenie: Čl. 29 ods. 5 písm. c) smernice EED ukladá členským štátom sprístupniť verejnosti zoznam dostupných a prevádzkovaných zmlúv o energetickej efektívnosti pre verejný sektor s </w:t>
            </w:r>
            <w:r w:rsidRPr="00BC49FC">
              <w:rPr>
                <w:rFonts w:ascii="Times New Roman" w:hAnsi="Times New Roman" w:cs="Times New Roman"/>
              </w:rPr>
              <w:lastRenderedPageBreak/>
              <w:t>plánovanými a dosiahnutými úsporami energie. Aktuálne znenie § 33 obmedzuje register na prebiehajúce projekty bez údajov o dosiahnutých úsporách a bez zabezpečenia verejnej dostupnosti, čím transponuje toto ustanovenie smernice nedostatočne. Verejná dostupnosť v anonymizovanej forme (agregácia podľa typu a veľkostnej kategórie prijímateľa, typu budovy alebo zariadenia) zachováva ochranu citlivých údajov pri súčasnom naplnení informačnej funkcie databázy.</w:t>
            </w:r>
          </w:p>
        </w:tc>
        <w:tc>
          <w:tcPr>
            <w:tcW w:w="2264" w:type="dxa"/>
            <w:vAlign w:val="center"/>
            <w:hideMark/>
          </w:tcPr>
          <w:p w14:paraId="1AB908E0" w14:textId="7C6C39A4"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47963F22" w14:textId="24B85ADF" w:rsidR="00FE0F3E" w:rsidRPr="00BC49FC" w:rsidRDefault="00BC49FC" w:rsidP="00D3056D">
            <w:pPr>
              <w:rPr>
                <w:rFonts w:ascii="Times New Roman" w:hAnsi="Times New Roman" w:cs="Times New Roman"/>
              </w:rPr>
            </w:pPr>
            <w:r w:rsidRPr="00BC49FC">
              <w:rPr>
                <w:rFonts w:ascii="Times New Roman" w:hAnsi="Times New Roman" w:cs="Times New Roman"/>
                <w:color w:val="000000"/>
              </w:rPr>
              <w:t>D</w:t>
            </w:r>
            <w:r w:rsidR="00FE0F3E" w:rsidRPr="00BC49FC">
              <w:rPr>
                <w:rFonts w:ascii="Times New Roman" w:hAnsi="Times New Roman" w:cs="Times New Roman"/>
                <w:color w:val="000000"/>
              </w:rPr>
              <w:t>oplniť v rozsahu požiadaviek smernice EED</w:t>
            </w:r>
            <w:r w:rsidRPr="00BC49FC">
              <w:rPr>
                <w:rFonts w:ascii="Times New Roman" w:hAnsi="Times New Roman" w:cs="Times New Roman"/>
                <w:color w:val="000000"/>
              </w:rPr>
              <w:t>.</w:t>
            </w:r>
          </w:p>
        </w:tc>
      </w:tr>
      <w:tr w:rsidR="00FE0F3E" w:rsidRPr="006278D2" w14:paraId="5FA9F032" w14:textId="6728DEBC" w:rsidTr="00725D29">
        <w:trPr>
          <w:trHeight w:val="3165"/>
        </w:trPr>
        <w:tc>
          <w:tcPr>
            <w:tcW w:w="975" w:type="dxa"/>
            <w:hideMark/>
          </w:tcPr>
          <w:p w14:paraId="3D9DA35C"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48.</w:t>
            </w:r>
          </w:p>
        </w:tc>
        <w:tc>
          <w:tcPr>
            <w:tcW w:w="2656" w:type="dxa"/>
            <w:hideMark/>
          </w:tcPr>
          <w:p w14:paraId="6390DD55"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4787E8B6"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43F757FF"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čl. I § 42 </w:t>
            </w:r>
            <w:r w:rsidRPr="00BC49FC">
              <w:rPr>
                <w:rFonts w:ascii="Times New Roman" w:hAnsi="Times New Roman" w:cs="Times New Roman"/>
              </w:rPr>
              <w:t xml:space="preserve">Navrhujeme upraviť ustanovenia o správnych deliktoch tak, aby bol zavedený princíp postupného sankcionovania najmä pri administratívnych pochybeniach (oneskorené poskytnutie údajov, oneskorená registrácia, oneskorené vloženie údajov), t. j. aby orgán dohľadu pred uložením pokuty najskôr upozornil povinný subjekt na porušenie a poskytol primeranú lehotu na nápravu; pokuta by sa ukladala až pri nesplnení nápravy alebo pri opakovanom porušení. Zároveň navrhujeme výslovne doplniť, aby sa pri ukladaní pokút prihliadalo aj na objektívnu dostupnosť audítorov a certifikačných kapacít, súčinnosť povinného subjektu a skutočnosť, či ide o prvé porušenie. Súčasne navrhujeme spresniť rozdelenie zodpovednosti za administratívne úkony medzi podnik a energetického audítora tak, aby sa predišlo sankcionovaniu subjektu za nesplnenie povinnosti, ktorú objektívne nevie ovplyvniť.  Odôvodnenie: Navrhovaná úprava reaguje na potrebu zabezpečiť primeranosť a proporcionalitu sankčného mechanizmu v oblasti energetickej efektívnosti, najmä pri porušení povinností administratívneho charakteru (napr. neúplné vykazovanie údajov, oneskorené podania a pod.). Ukladanie pokút aj za menej závažné administratívne pochybenia môže predstavovať neprimeranú záťaž pre podnikateľské subjekty, bez významného prínosu pre plnenie cieľov energetickej efektívnosti. Navrhovaná </w:t>
            </w:r>
            <w:r w:rsidRPr="00BC49FC">
              <w:rPr>
                <w:rFonts w:ascii="Times New Roman" w:hAnsi="Times New Roman" w:cs="Times New Roman"/>
              </w:rPr>
              <w:lastRenderedPageBreak/>
              <w:t>úprava zároveň zachováva dostatočnú vymáhateľnosť práva, keďže pokuta ostáva plne aplikovateľná v prípade nesplnenia nápravných opatrení alebo opakovaného porušenia povinností. Zároveň je potrebné, aby orgán dohľadu pri posudzovaní porušenia povinností zohľadňoval objektívne okolnosti na trhu (najmä dostupnosť energetických audítorov a certifikačných kapacít) a aby bola v zákone jasne nastavená zodpovednosť medzi podnikom a energetickým audítorom, aby sa predišlo sankcionovaniu subjektu za nesplnenie povinnosti, ktorú nevie objektívne ovplyvniť.</w:t>
            </w:r>
          </w:p>
        </w:tc>
        <w:tc>
          <w:tcPr>
            <w:tcW w:w="2264" w:type="dxa"/>
            <w:vAlign w:val="center"/>
            <w:hideMark/>
          </w:tcPr>
          <w:p w14:paraId="02F7AF3A" w14:textId="69013DA0"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7309F286" w14:textId="24CD6C55"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MSEE má zavedený vnútorný mechanizmus kontroly zadávaných údajov a zavedený systém komunikácie s poskytovateľmi údajov. posun na rok 2028.</w:t>
            </w:r>
          </w:p>
        </w:tc>
      </w:tr>
      <w:tr w:rsidR="00FE0F3E" w:rsidRPr="006278D2" w14:paraId="6D6EBE4E" w14:textId="605A65C2" w:rsidTr="00725D29">
        <w:trPr>
          <w:trHeight w:val="960"/>
        </w:trPr>
        <w:tc>
          <w:tcPr>
            <w:tcW w:w="975" w:type="dxa"/>
            <w:hideMark/>
          </w:tcPr>
          <w:p w14:paraId="1570A621"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49.</w:t>
            </w:r>
          </w:p>
        </w:tc>
        <w:tc>
          <w:tcPr>
            <w:tcW w:w="2656" w:type="dxa"/>
            <w:hideMark/>
          </w:tcPr>
          <w:p w14:paraId="1DA1EC0C"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67E95AB4"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7E499D21"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čl. I § 45 </w:t>
            </w:r>
            <w:r w:rsidRPr="00BC49FC">
              <w:rPr>
                <w:rFonts w:ascii="Times New Roman" w:hAnsi="Times New Roman" w:cs="Times New Roman"/>
              </w:rPr>
              <w:t>Navrhujeme vo vykonávacom predpise definovať možnosť do informačného systému o energetickej efektívnosti umožniť nahratie celého súboru údajov, tak ako to stanovuje vykonávacia vyhláška č. 179/2015 Z. z. o energetickom audite.  Odôvodnenie: V aktuálnom stave je súbor údajov zasielaný e-mailom, nie je možné nahrať ho do ISEE, navrhujeme doplnenie možnosti nahratia súboru údajov priamo, nie len samostatných úsporných opatrení v rámci auditu, tak ako to dnes systém umožňuje.</w:t>
            </w:r>
          </w:p>
        </w:tc>
        <w:tc>
          <w:tcPr>
            <w:tcW w:w="2264" w:type="dxa"/>
            <w:vAlign w:val="center"/>
            <w:hideMark/>
          </w:tcPr>
          <w:p w14:paraId="691DF0D9" w14:textId="6EB68BD5"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CADAA65" w14:textId="41AD8113" w:rsidR="00FE0F3E" w:rsidRPr="00BC49FC" w:rsidRDefault="00FE0F3E" w:rsidP="00D3056D">
            <w:pPr>
              <w:rPr>
                <w:rFonts w:ascii="Times New Roman" w:hAnsi="Times New Roman" w:cs="Times New Roman"/>
              </w:rPr>
            </w:pPr>
          </w:p>
        </w:tc>
      </w:tr>
      <w:tr w:rsidR="00FE0F3E" w:rsidRPr="006278D2" w14:paraId="740902B2" w14:textId="5E5D5633" w:rsidTr="00725D29">
        <w:trPr>
          <w:trHeight w:val="1275"/>
        </w:trPr>
        <w:tc>
          <w:tcPr>
            <w:tcW w:w="975" w:type="dxa"/>
            <w:hideMark/>
          </w:tcPr>
          <w:p w14:paraId="4C879977"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50.</w:t>
            </w:r>
          </w:p>
        </w:tc>
        <w:tc>
          <w:tcPr>
            <w:tcW w:w="2656" w:type="dxa"/>
            <w:hideMark/>
          </w:tcPr>
          <w:p w14:paraId="09175010"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5E672384"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35CA7784"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K návrhu vyhlášky k cieľom energetickej efektívnosti – Príloha č. 5: Výpočet cieľa obnovy verejných budov, bod 1 </w:t>
            </w:r>
            <w:r w:rsidRPr="00BC49FC">
              <w:rPr>
                <w:rFonts w:ascii="Times New Roman" w:hAnsi="Times New Roman" w:cs="Times New Roman"/>
              </w:rPr>
              <w:t>Navrhujeme v Prílohe č. 5 „Výpočet cieľa obnovy verejných budov“, bod 1, doplniť nový odsek za prvý odsek v znení: „Pri obnove verejných budov sa podporuje obnova obálky budov vrátane zateplenia fasád, striech, podláh a soklov ako jedného z hlavných opatrení na znižovanie energetickej náročnosti budov.“  Odôvodnenie: Obnova obálky budov patrí medzi opatrenia s najvyšším potenciálom úspor energie, prispieva k znižovaniu energetickej náročnosti budov, emisií a prevádzkových nákladov a podporuje plnenie cieľov energetickej efektívnosti.</w:t>
            </w:r>
          </w:p>
        </w:tc>
        <w:tc>
          <w:tcPr>
            <w:tcW w:w="2264" w:type="dxa"/>
            <w:vAlign w:val="center"/>
            <w:hideMark/>
          </w:tcPr>
          <w:p w14:paraId="3357C065" w14:textId="383D9F8D" w:rsidR="00FE0F3E" w:rsidRPr="00BC49FC" w:rsidRDefault="00FE0F3E" w:rsidP="00D3056D">
            <w:pPr>
              <w:rPr>
                <w:rFonts w:ascii="Times New Roman" w:hAnsi="Times New Roman" w:cs="Times New Roman"/>
                <w:b/>
                <w:bCs/>
              </w:rPr>
            </w:pPr>
            <w:r>
              <w:rPr>
                <w:rFonts w:ascii="Times New Roman" w:hAnsi="Times New Roman" w:cs="Times New Roman"/>
                <w:b/>
                <w:bCs/>
                <w:color w:val="000000"/>
              </w:rPr>
              <w:t>ČA</w:t>
            </w:r>
          </w:p>
        </w:tc>
        <w:tc>
          <w:tcPr>
            <w:tcW w:w="2753" w:type="dxa"/>
            <w:vAlign w:val="center"/>
            <w:hideMark/>
          </w:tcPr>
          <w:p w14:paraId="487CBA6F" w14:textId="4A14F5FC"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Požiadavka ide nad rámec transpozície. Upraví sa názov „cieľ úspor energie verejných budov“. Bude riešené pri príprave vyhlášky.</w:t>
            </w:r>
          </w:p>
        </w:tc>
      </w:tr>
      <w:tr w:rsidR="00FE0F3E" w:rsidRPr="006278D2" w14:paraId="65153699" w14:textId="4AB570FA" w:rsidTr="00725D29">
        <w:trPr>
          <w:trHeight w:val="960"/>
        </w:trPr>
        <w:tc>
          <w:tcPr>
            <w:tcW w:w="975" w:type="dxa"/>
            <w:hideMark/>
          </w:tcPr>
          <w:p w14:paraId="18B966B8"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lastRenderedPageBreak/>
              <w:t>51.</w:t>
            </w:r>
          </w:p>
        </w:tc>
        <w:tc>
          <w:tcPr>
            <w:tcW w:w="2656" w:type="dxa"/>
            <w:hideMark/>
          </w:tcPr>
          <w:p w14:paraId="1BA664A8"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59704344"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42D1776C"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K návrhu vyhlášky k cieľom energetickej efektívnosti – Príloha č. 11, bod 1b „Izolácia: plášť budovy – izolácia stien“ </w:t>
            </w:r>
            <w:r w:rsidRPr="00BC49FC">
              <w:rPr>
                <w:rFonts w:ascii="Times New Roman" w:hAnsi="Times New Roman" w:cs="Times New Roman"/>
              </w:rPr>
              <w:t>Navrhujeme upraviť životnosť opatrenia „Izolácia: plášť budovy – izolácia stien“ z hodnoty 30 rokov na 50 rokov.  Odôvodnenie: Pri správnom návrhu, realizácii a údržbe môže reálna životnosť kontaktných zatepľovacích systémov (ETICS) presahovať 50 rokov. Zohľadnenie dlhšej životnosti by presnejšie odrážalo dlhodobé úspory energie a environmentálne prínosy obnovy budov. Expandovaný polystyrén (EPS) je zároveň materiál s dlhodobou stabilitou vlastností počas životnosti stavby.</w:t>
            </w:r>
          </w:p>
        </w:tc>
        <w:tc>
          <w:tcPr>
            <w:tcW w:w="2264" w:type="dxa"/>
            <w:vAlign w:val="center"/>
            <w:hideMark/>
          </w:tcPr>
          <w:p w14:paraId="78DF3D67" w14:textId="3F76FCA8"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7438A16" w14:textId="4E293D5F"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Bude riešené pri príprave vyhlášky.</w:t>
            </w:r>
          </w:p>
        </w:tc>
      </w:tr>
      <w:tr w:rsidR="00FE0F3E" w:rsidRPr="006278D2" w14:paraId="53E547EF" w14:textId="521DAB53" w:rsidTr="00725D29">
        <w:trPr>
          <w:trHeight w:val="960"/>
        </w:trPr>
        <w:tc>
          <w:tcPr>
            <w:tcW w:w="975" w:type="dxa"/>
            <w:hideMark/>
          </w:tcPr>
          <w:p w14:paraId="79DC65CB"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52.</w:t>
            </w:r>
          </w:p>
        </w:tc>
        <w:tc>
          <w:tcPr>
            <w:tcW w:w="2656" w:type="dxa"/>
            <w:hideMark/>
          </w:tcPr>
          <w:p w14:paraId="173A1143"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29B4FC33"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1F3C0799"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K návrhu vyhlášky k cieľom energetickej efektívnosti – § 4 písm. i) </w:t>
            </w:r>
            <w:r w:rsidRPr="00BC49FC">
              <w:rPr>
                <w:rFonts w:ascii="Times New Roman" w:hAnsi="Times New Roman" w:cs="Times New Roman"/>
              </w:rPr>
              <w:t>Navrhujeme doplniť, že pri posudzovaní potenciálu nákladovo efektívnych úspor energie národného hospodárstva sa zohľadnia aj opatrenia obnovy obálky budov vrátane kontaktných zatepľovacích systémov (ETICS).  Odôvodnenie: Opatrenia obnovy obálky budov patria medzi nákladovo efektívne riešenia s vysokým potenciálom úspor energie počas životného cyklu budovy a významne prispievajú k znižovaniu energetickej náročnosti budov.</w:t>
            </w:r>
          </w:p>
        </w:tc>
        <w:tc>
          <w:tcPr>
            <w:tcW w:w="2264" w:type="dxa"/>
            <w:vAlign w:val="center"/>
            <w:hideMark/>
          </w:tcPr>
          <w:p w14:paraId="5CFC2E9B" w14:textId="11F78254"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194C8B9" w14:textId="08569B26"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Bude riešené pri príprave vyhlášky.</w:t>
            </w:r>
          </w:p>
        </w:tc>
      </w:tr>
      <w:tr w:rsidR="00FE0F3E" w:rsidRPr="006278D2" w14:paraId="5CF16076" w14:textId="23BC84BB" w:rsidTr="00725D29">
        <w:trPr>
          <w:trHeight w:val="960"/>
        </w:trPr>
        <w:tc>
          <w:tcPr>
            <w:tcW w:w="975" w:type="dxa"/>
            <w:hideMark/>
          </w:tcPr>
          <w:p w14:paraId="1E0576CA"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53.</w:t>
            </w:r>
          </w:p>
        </w:tc>
        <w:tc>
          <w:tcPr>
            <w:tcW w:w="2656" w:type="dxa"/>
            <w:hideMark/>
          </w:tcPr>
          <w:p w14:paraId="52AAEA7D"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APZD </w:t>
            </w:r>
            <w:r w:rsidRPr="00BC49FC">
              <w:rPr>
                <w:rFonts w:ascii="Times New Roman" w:hAnsi="Times New Roman" w:cs="Times New Roman"/>
              </w:rPr>
              <w:t>Asociácia priemyselných zväzov a dopravy</w:t>
            </w:r>
          </w:p>
        </w:tc>
        <w:tc>
          <w:tcPr>
            <w:tcW w:w="612" w:type="dxa"/>
            <w:hideMark/>
          </w:tcPr>
          <w:p w14:paraId="01F2A5B7" w14:textId="77777777" w:rsidR="00FE0F3E" w:rsidRPr="00BC49FC" w:rsidRDefault="00FE0F3E" w:rsidP="00D3056D">
            <w:pPr>
              <w:rPr>
                <w:rFonts w:ascii="Times New Roman" w:hAnsi="Times New Roman" w:cs="Times New Roman"/>
              </w:rPr>
            </w:pPr>
            <w:r w:rsidRPr="00BC49FC">
              <w:rPr>
                <w:rFonts w:ascii="Times New Roman" w:hAnsi="Times New Roman" w:cs="Times New Roman"/>
              </w:rPr>
              <w:t>O</w:t>
            </w:r>
          </w:p>
        </w:tc>
        <w:tc>
          <w:tcPr>
            <w:tcW w:w="5615" w:type="dxa"/>
            <w:hideMark/>
          </w:tcPr>
          <w:p w14:paraId="54CC0AF6" w14:textId="77777777" w:rsidR="00FE0F3E" w:rsidRPr="00BC49FC" w:rsidRDefault="00FE0F3E" w:rsidP="00D3056D">
            <w:pPr>
              <w:rPr>
                <w:rFonts w:ascii="Times New Roman" w:hAnsi="Times New Roman" w:cs="Times New Roman"/>
                <w:b/>
                <w:bCs/>
              </w:rPr>
            </w:pPr>
            <w:r w:rsidRPr="00BC49FC">
              <w:rPr>
                <w:rFonts w:ascii="Times New Roman" w:hAnsi="Times New Roman" w:cs="Times New Roman"/>
                <w:b/>
                <w:bCs/>
              </w:rPr>
              <w:t xml:space="preserve">K návrhu vyhlášky k informovanosti – § 2 písm. b) </w:t>
            </w:r>
            <w:r w:rsidRPr="00BC49FC">
              <w:rPr>
                <w:rFonts w:ascii="Times New Roman" w:hAnsi="Times New Roman" w:cs="Times New Roman"/>
              </w:rPr>
              <w:t>Navrhujeme doplniť podporu informovanosti o obehovom hospodárstve v stavebníctve vrátane recyklácie, opätovného materiálového využitia a využívania recyklovateľných stavebných materiálov po skončení ich životnosti.  Odôvodnenie: Podpora obehového hospodárstva a informovanosti o recyklovateľných stavebných riešeniach prispeje k efektívnejšiemu využívaniu zdrojov a znižovaniu množstva odpadu zo stavebníctva. Expandovaný polystyrén (EPS) patrí medzi materiály vhodné na recykláciu a opätovné materiálové využitie.</w:t>
            </w:r>
          </w:p>
        </w:tc>
        <w:tc>
          <w:tcPr>
            <w:tcW w:w="2264" w:type="dxa"/>
            <w:vAlign w:val="center"/>
            <w:hideMark/>
          </w:tcPr>
          <w:p w14:paraId="32CD6306" w14:textId="4C6BF5DE" w:rsidR="00FE0F3E" w:rsidRPr="00BC49FC" w:rsidRDefault="00FE0F3E" w:rsidP="00D3056D">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0C5CBDFE" w14:textId="52B0F350" w:rsidR="00FE0F3E" w:rsidRPr="00BC49FC" w:rsidRDefault="00FE0F3E" w:rsidP="00D3056D">
            <w:pPr>
              <w:rPr>
                <w:rFonts w:ascii="Times New Roman" w:hAnsi="Times New Roman" w:cs="Times New Roman"/>
              </w:rPr>
            </w:pPr>
            <w:r w:rsidRPr="00BC49FC">
              <w:rPr>
                <w:rFonts w:ascii="Times New Roman" w:hAnsi="Times New Roman" w:cs="Times New Roman"/>
                <w:color w:val="000000"/>
              </w:rPr>
              <w:t>Bude riešené pri príprave vyhlášky.</w:t>
            </w:r>
          </w:p>
        </w:tc>
      </w:tr>
      <w:tr w:rsidR="00FE0F3E" w:rsidRPr="006278D2" w14:paraId="044291D9" w14:textId="4575B3A1" w:rsidTr="00725D29">
        <w:trPr>
          <w:trHeight w:val="1905"/>
        </w:trPr>
        <w:tc>
          <w:tcPr>
            <w:tcW w:w="975" w:type="dxa"/>
            <w:hideMark/>
          </w:tcPr>
          <w:p w14:paraId="330E68A2"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lastRenderedPageBreak/>
              <w:t>135.</w:t>
            </w:r>
          </w:p>
        </w:tc>
        <w:tc>
          <w:tcPr>
            <w:tcW w:w="2656" w:type="dxa"/>
            <w:hideMark/>
          </w:tcPr>
          <w:p w14:paraId="4AD0D98E"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t xml:space="preserve">AZZZ SR </w:t>
            </w:r>
            <w:r w:rsidRPr="00BC49FC">
              <w:rPr>
                <w:rFonts w:ascii="Times New Roman" w:hAnsi="Times New Roman" w:cs="Times New Roman"/>
              </w:rPr>
              <w:t>Asociácia zamestnávatelských zväzov a združení Slovenskej republiky</w:t>
            </w:r>
          </w:p>
        </w:tc>
        <w:tc>
          <w:tcPr>
            <w:tcW w:w="612" w:type="dxa"/>
            <w:hideMark/>
          </w:tcPr>
          <w:p w14:paraId="4936FA19" w14:textId="77777777" w:rsidR="00FE0F3E" w:rsidRPr="00BC49FC" w:rsidRDefault="00FE0F3E" w:rsidP="009D5B69">
            <w:pPr>
              <w:rPr>
                <w:rFonts w:ascii="Times New Roman" w:hAnsi="Times New Roman" w:cs="Times New Roman"/>
              </w:rPr>
            </w:pPr>
            <w:r w:rsidRPr="00BC49FC">
              <w:rPr>
                <w:rFonts w:ascii="Times New Roman" w:hAnsi="Times New Roman" w:cs="Times New Roman"/>
              </w:rPr>
              <w:t>O</w:t>
            </w:r>
          </w:p>
        </w:tc>
        <w:tc>
          <w:tcPr>
            <w:tcW w:w="5615" w:type="dxa"/>
            <w:hideMark/>
          </w:tcPr>
          <w:p w14:paraId="5D255EEE"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t xml:space="preserve">Čl. čl. III. § § 20 </w:t>
            </w:r>
            <w:r w:rsidRPr="00BC49FC">
              <w:rPr>
                <w:rFonts w:ascii="Times New Roman" w:hAnsi="Times New Roman" w:cs="Times New Roman"/>
              </w:rPr>
              <w:t>k čl. III. § 20    V § 20 navrhujeme doplniť ustanovenie, podľa ktorého pri skončení odberu tepla z účinného centralizovaného zásobovania teplom možno prejsť na iný spôsob vykurovania len v prípade, ak nový spôsob vykurovania preukázateľne: a) nevedie k zvýšeniu emisií skleníkových plynov na jednotku dodaného tepla, b) nevedie k zvýšeniu emisií znečisťujúcich látok do ovzdušia, najmä PM10, PM2,5, NOx, SO₂, CO a prchavých organických látok, c) nevedie k zvýšeniu spotreby neobnoviteľnej primárnej energie na jednotku dodaného tepla. Odôvodnenie: Účelom tejto pripomienky je: • zabezpečiť, že rozhodnutia odberateľov nebudú viesť k zhoršeniu environmentálnych parametrov systému zásobovania teplom, • reflektovať princíp prvoradosti energetickej efektívnosti a potrebu minimalizácie negatívnych externalít (najmä v oblasti kvality ovzdušia), • zohľadniť skutočnosť, že systémy účinného CZT (najmä využívajúce odpadové teplo) dosahujú vysokú mieru energetickej efektívnosti a nízke emisie, • stanoviť objektívne a nediskriminačné podmienky, ale zároveň nenarušiť právo odberateľa na zmenu spôsobu vykurovania, • prispieť k stabilite existujúcich systémov CZT a tým aj k efektívnemu využívaniu infraštruktúry. (MK)</w:t>
            </w:r>
          </w:p>
        </w:tc>
        <w:tc>
          <w:tcPr>
            <w:tcW w:w="2264" w:type="dxa"/>
            <w:vAlign w:val="center"/>
            <w:hideMark/>
          </w:tcPr>
          <w:p w14:paraId="7DB7C618" w14:textId="26547A01" w:rsidR="00FE0F3E" w:rsidRPr="00BC49FC" w:rsidRDefault="00FE0F3E" w:rsidP="009D5B69">
            <w:pPr>
              <w:rPr>
                <w:rFonts w:ascii="Times New Roman" w:hAnsi="Times New Roman" w:cs="Times New Roman"/>
                <w:b/>
                <w:bCs/>
              </w:rPr>
            </w:pPr>
            <w:r w:rsidRPr="00BC49FC">
              <w:rPr>
                <w:rFonts w:ascii="Times New Roman" w:hAnsi="Times New Roman" w:cs="Times New Roman"/>
                <w:color w:val="000000"/>
              </w:rPr>
              <w:t>N</w:t>
            </w:r>
          </w:p>
        </w:tc>
        <w:tc>
          <w:tcPr>
            <w:tcW w:w="2753" w:type="dxa"/>
            <w:vAlign w:val="center"/>
            <w:hideMark/>
          </w:tcPr>
          <w:p w14:paraId="0E378DAB" w14:textId="563C88B4" w:rsidR="00FE0F3E" w:rsidRPr="00BC49FC" w:rsidRDefault="00FE0F3E" w:rsidP="009D5B69">
            <w:pPr>
              <w:rPr>
                <w:rFonts w:ascii="Times New Roman" w:hAnsi="Times New Roman" w:cs="Times New Roman"/>
                <w:b/>
                <w:bCs/>
              </w:rPr>
            </w:pPr>
            <w:r w:rsidRPr="00BC49FC">
              <w:rPr>
                <w:rFonts w:ascii="Times New Roman" w:hAnsi="Times New Roman" w:cs="Times New Roman"/>
                <w:color w:val="000000"/>
              </w:rPr>
              <w:t>Návrh nie je možné akceptovať, súčasné znenie § 20 ods. 2 písm. d) už predmetnú požiadavku zahŕňa.</w:t>
            </w:r>
          </w:p>
        </w:tc>
      </w:tr>
      <w:tr w:rsidR="00FE0F3E" w:rsidRPr="006278D2" w14:paraId="10923594" w14:textId="5BD9092C" w:rsidTr="00725D29">
        <w:trPr>
          <w:trHeight w:val="1275"/>
        </w:trPr>
        <w:tc>
          <w:tcPr>
            <w:tcW w:w="975" w:type="dxa"/>
            <w:hideMark/>
          </w:tcPr>
          <w:p w14:paraId="08E1D234"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t>136.</w:t>
            </w:r>
          </w:p>
        </w:tc>
        <w:tc>
          <w:tcPr>
            <w:tcW w:w="2656" w:type="dxa"/>
            <w:hideMark/>
          </w:tcPr>
          <w:p w14:paraId="5A49DA59"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t xml:space="preserve">AZZZ SR </w:t>
            </w:r>
            <w:r w:rsidRPr="00BC49FC">
              <w:rPr>
                <w:rFonts w:ascii="Times New Roman" w:hAnsi="Times New Roman" w:cs="Times New Roman"/>
              </w:rPr>
              <w:t>Asociácia zamestnávatelských zväzov a združení Slovenskej republiky</w:t>
            </w:r>
          </w:p>
        </w:tc>
        <w:tc>
          <w:tcPr>
            <w:tcW w:w="612" w:type="dxa"/>
            <w:hideMark/>
          </w:tcPr>
          <w:p w14:paraId="5E4A70C8" w14:textId="77777777" w:rsidR="00FE0F3E" w:rsidRPr="00BC49FC" w:rsidRDefault="00FE0F3E" w:rsidP="009D5B69">
            <w:pPr>
              <w:rPr>
                <w:rFonts w:ascii="Times New Roman" w:hAnsi="Times New Roman" w:cs="Times New Roman"/>
              </w:rPr>
            </w:pPr>
            <w:r w:rsidRPr="00BC49FC">
              <w:rPr>
                <w:rFonts w:ascii="Times New Roman" w:hAnsi="Times New Roman" w:cs="Times New Roman"/>
              </w:rPr>
              <w:t>O</w:t>
            </w:r>
          </w:p>
        </w:tc>
        <w:tc>
          <w:tcPr>
            <w:tcW w:w="5615" w:type="dxa"/>
            <w:hideMark/>
          </w:tcPr>
          <w:p w14:paraId="68D58A6F"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t xml:space="preserve">Čl. čl. I § § 44 ods. ods. 9 </w:t>
            </w:r>
            <w:r w:rsidRPr="00BC49FC">
              <w:rPr>
                <w:rFonts w:ascii="Times New Roman" w:hAnsi="Times New Roman" w:cs="Times New Roman"/>
              </w:rPr>
              <w:t>k čl. I § 44 ods. 9 zákona o energetickej efektívnosti.  Navrhujeme v 44 ods. 9 zákona o energetickej efektívnosti opraviť rok „2021“, domnievame sa, že sa jedná o chybu v písaní.  Odôvodnenie: Z pohľadu SSD je to legislatívno-technická pripomienka.</w:t>
            </w:r>
          </w:p>
        </w:tc>
        <w:tc>
          <w:tcPr>
            <w:tcW w:w="2264" w:type="dxa"/>
            <w:vAlign w:val="center"/>
            <w:hideMark/>
          </w:tcPr>
          <w:p w14:paraId="632CC619" w14:textId="0D753DBD" w:rsidR="00FE0F3E" w:rsidRPr="00BC49FC" w:rsidRDefault="00FE0F3E" w:rsidP="009D5B69">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47B89E00" w14:textId="3474268C" w:rsidR="00FE0F3E" w:rsidRPr="00BC49FC" w:rsidRDefault="00FE0F3E" w:rsidP="009D5B69">
            <w:pPr>
              <w:rPr>
                <w:rFonts w:ascii="Times New Roman" w:hAnsi="Times New Roman" w:cs="Times New Roman"/>
                <w:b/>
                <w:bCs/>
                <w:highlight w:val="yellow"/>
              </w:rPr>
            </w:pPr>
            <w:r w:rsidRPr="00BC49FC">
              <w:rPr>
                <w:rFonts w:ascii="Times New Roman" w:hAnsi="Times New Roman" w:cs="Times New Roman"/>
                <w:color w:val="000000"/>
              </w:rPr>
              <w:t xml:space="preserve">Referenčný rok, potrebné k stanoveniu cieľa.    </w:t>
            </w:r>
            <w:r w:rsidRPr="00BC49FC">
              <w:rPr>
                <w:rFonts w:ascii="Times New Roman" w:hAnsi="Times New Roman" w:cs="Times New Roman"/>
                <w:b/>
                <w:bCs/>
                <w:color w:val="FF0000"/>
              </w:rPr>
              <w:t xml:space="preserve"> </w:t>
            </w:r>
            <w:r w:rsidRPr="00BC49FC">
              <w:rPr>
                <w:rFonts w:ascii="Times New Roman" w:hAnsi="Times New Roman" w:cs="Times New Roman"/>
                <w:color w:val="000000"/>
              </w:rPr>
              <w:t>(9)  Údaje podľa § 10 ods. 6 a  ods. 12 až 16, ak sú tieto údaje k dispozícii,  sa zasielajú  prvýkrát za rok 2021, a to najneskôr do</w:t>
            </w:r>
            <w:r w:rsidRPr="00BC49FC">
              <w:rPr>
                <w:rFonts w:ascii="Times New Roman" w:hAnsi="Times New Roman" w:cs="Times New Roman"/>
                <w:color w:val="FF0000"/>
              </w:rPr>
              <w:t xml:space="preserve"> </w:t>
            </w:r>
            <w:r w:rsidRPr="00BC49FC">
              <w:rPr>
                <w:rFonts w:ascii="Times New Roman" w:hAnsi="Times New Roman" w:cs="Times New Roman"/>
                <w:color w:val="000000"/>
              </w:rPr>
              <w:t>28.</w:t>
            </w:r>
            <w:r w:rsidRPr="00BC49FC">
              <w:rPr>
                <w:rFonts w:ascii="Times New Roman" w:hAnsi="Times New Roman" w:cs="Times New Roman"/>
                <w:color w:val="FF0000"/>
              </w:rPr>
              <w:t xml:space="preserve"> </w:t>
            </w:r>
            <w:r w:rsidRPr="00BC49FC">
              <w:rPr>
                <w:rFonts w:ascii="Times New Roman" w:hAnsi="Times New Roman" w:cs="Times New Roman"/>
                <w:color w:val="000000"/>
              </w:rPr>
              <w:t xml:space="preserve">februára 2027, ak tento zákon neustanovuje inak.   </w:t>
            </w:r>
            <w:r w:rsidRPr="00BC49FC">
              <w:rPr>
                <w:rFonts w:ascii="Times New Roman" w:hAnsi="Times New Roman" w:cs="Times New Roman"/>
                <w:b/>
                <w:bCs/>
                <w:color w:val="FF0000"/>
              </w:rPr>
              <w:t xml:space="preserve"> </w:t>
            </w:r>
          </w:p>
        </w:tc>
      </w:tr>
      <w:tr w:rsidR="00FE0F3E" w:rsidRPr="006278D2" w14:paraId="06BF4F96" w14:textId="7F4F4A32" w:rsidTr="00725D29">
        <w:trPr>
          <w:trHeight w:val="1905"/>
        </w:trPr>
        <w:tc>
          <w:tcPr>
            <w:tcW w:w="975" w:type="dxa"/>
            <w:hideMark/>
          </w:tcPr>
          <w:p w14:paraId="541E1E7E"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lastRenderedPageBreak/>
              <w:t>137.</w:t>
            </w:r>
          </w:p>
        </w:tc>
        <w:tc>
          <w:tcPr>
            <w:tcW w:w="2656" w:type="dxa"/>
            <w:hideMark/>
          </w:tcPr>
          <w:p w14:paraId="2284BCAA"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t xml:space="preserve">AZZZ SR </w:t>
            </w:r>
            <w:r w:rsidRPr="00BC49FC">
              <w:rPr>
                <w:rFonts w:ascii="Times New Roman" w:hAnsi="Times New Roman" w:cs="Times New Roman"/>
              </w:rPr>
              <w:t>Asociácia zamestnávatelských zväzov a združení Slovenskej republiky</w:t>
            </w:r>
          </w:p>
        </w:tc>
        <w:tc>
          <w:tcPr>
            <w:tcW w:w="612" w:type="dxa"/>
            <w:hideMark/>
          </w:tcPr>
          <w:p w14:paraId="59468705" w14:textId="77777777" w:rsidR="00FE0F3E" w:rsidRPr="00BC49FC" w:rsidRDefault="00FE0F3E" w:rsidP="009D5B69">
            <w:pPr>
              <w:rPr>
                <w:rFonts w:ascii="Times New Roman" w:hAnsi="Times New Roman" w:cs="Times New Roman"/>
              </w:rPr>
            </w:pPr>
            <w:r w:rsidRPr="00BC49FC">
              <w:rPr>
                <w:rFonts w:ascii="Times New Roman" w:hAnsi="Times New Roman" w:cs="Times New Roman"/>
              </w:rPr>
              <w:t>O</w:t>
            </w:r>
          </w:p>
        </w:tc>
        <w:tc>
          <w:tcPr>
            <w:tcW w:w="5615" w:type="dxa"/>
            <w:hideMark/>
          </w:tcPr>
          <w:p w14:paraId="01B6ACAD" w14:textId="77777777" w:rsidR="00FE0F3E" w:rsidRPr="00BC49FC" w:rsidRDefault="00FE0F3E" w:rsidP="009D5B69">
            <w:pPr>
              <w:rPr>
                <w:rFonts w:ascii="Times New Roman" w:hAnsi="Times New Roman" w:cs="Times New Roman"/>
                <w:b/>
                <w:bCs/>
              </w:rPr>
            </w:pPr>
            <w:r w:rsidRPr="00BC49FC">
              <w:rPr>
                <w:rFonts w:ascii="Times New Roman" w:hAnsi="Times New Roman" w:cs="Times New Roman"/>
                <w:b/>
                <w:bCs/>
              </w:rPr>
              <w:t xml:space="preserve">§ 27 a 28 vyhláška k registrom, § 2, § 3 a prílohu č. 1; hlavne register energetických auditov podľa § 28 </w:t>
            </w:r>
            <w:r w:rsidRPr="00BC49FC">
              <w:rPr>
                <w:rFonts w:ascii="Times New Roman" w:hAnsi="Times New Roman" w:cs="Times New Roman"/>
              </w:rPr>
              <w:t>Doplniť do vyhlášky k registrom: „Údaje v registri podnikov energetického auditu sa obmedzujú na identifikáciu podniku, zaradenie podľa spotreby energie, potvrdenie o zavedení certifikovaného systému a agregovanú spotrebu energie podľa energonosičov. Register podnikov energetického auditu nesmie obsahovať detailné technické, výrobné alebo procesné údaje z energetického auditu alebo systému energetického manažérstva.“ Odôvodnenie: Register podnikov energetického auditu (§ 27) má v návrhu relatívne obmedzený obsah – identifikácia, kontaktná osoba, certifikát. Hlavný problém sa týka registra energetických auditov podľa § 28, ktorý v ods. 2 písm. c) požaduje vložiť kompletnú správu z energetického auditu. Práve ten môže obsahovať obchodné tajomstvo, know-how a procesné informácie.  Register podnikov má slúžiť na identifikáciu povinných subjektov a preukázanie splnenia povinnosti. Register energetických auditov má slúžiť na monitorovanie úspor. Pre oba platí, že ich obsah musí byť primeraný cieľu – nie vytvárať databázu citlivých technologických dát priemyselných podnikov.</w:t>
            </w:r>
          </w:p>
        </w:tc>
        <w:tc>
          <w:tcPr>
            <w:tcW w:w="2264" w:type="dxa"/>
            <w:vAlign w:val="center"/>
            <w:hideMark/>
          </w:tcPr>
          <w:p w14:paraId="580B24DD" w14:textId="369B7A8F" w:rsidR="00FE0F3E" w:rsidRPr="00BC49FC" w:rsidRDefault="00FE0F3E" w:rsidP="009D5B69">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E921F15" w14:textId="3B84751C" w:rsidR="00FE0F3E" w:rsidRPr="00BC49FC" w:rsidRDefault="00FE0F3E" w:rsidP="009D5B69">
            <w:pPr>
              <w:rPr>
                <w:rFonts w:ascii="Times New Roman" w:hAnsi="Times New Roman" w:cs="Times New Roman"/>
                <w:b/>
                <w:bCs/>
                <w:highlight w:val="yellow"/>
              </w:rPr>
            </w:pPr>
            <w:r w:rsidRPr="00BC49FC">
              <w:rPr>
                <w:rFonts w:ascii="Times New Roman" w:hAnsi="Times New Roman" w:cs="Times New Roman"/>
                <w:color w:val="000000"/>
              </w:rPr>
              <w:t>Register podnikov obsahuje iba informáciu, že podnik presiahol spotrebu v jednom toku nad 10TJ. Nič viac</w:t>
            </w:r>
            <w:r w:rsidRPr="00BC49FC">
              <w:rPr>
                <w:rFonts w:ascii="Times New Roman" w:hAnsi="Times New Roman" w:cs="Times New Roman"/>
                <w:b/>
                <w:bCs/>
                <w:color w:val="000000"/>
              </w:rPr>
              <w:t xml:space="preserve">. </w:t>
            </w:r>
          </w:p>
        </w:tc>
      </w:tr>
      <w:tr w:rsidR="00FE0F3E" w:rsidRPr="00BC49FC" w14:paraId="30DADECB" w14:textId="686E82F2" w:rsidTr="00725D29">
        <w:trPr>
          <w:trHeight w:val="960"/>
        </w:trPr>
        <w:tc>
          <w:tcPr>
            <w:tcW w:w="975" w:type="dxa"/>
            <w:hideMark/>
          </w:tcPr>
          <w:p w14:paraId="745CD0A1"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138.</w:t>
            </w:r>
          </w:p>
        </w:tc>
        <w:tc>
          <w:tcPr>
            <w:tcW w:w="2656" w:type="dxa"/>
            <w:hideMark/>
          </w:tcPr>
          <w:p w14:paraId="27BCB7F6"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0DEA1B6E"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92B143D"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Odporúčame doplniť nový paragraf, ktorého predmetom bude transpozícia článku 6 „Vzorová úloha budov verejných subjektov“ smernice 2023/1791 tak, aby obdobne ako v súčasnosti § 10 zákona 321/2014 stanovuje povinnosť a všetky príslušné náležitosti obnovy štátnych (po novom všetkých verejných) budov na úrovni aspoň 3 % ročne.   Odôvodnenie:  Návrh zákona nedisponuje paragrafom, ktorý by transponoval povinnosti a príslušné náležitosti článku 6 „Vzorová úloha budov verejných subjektov“ smernice 2023/1791  Typ pripomienky: Zásadná</w:t>
            </w:r>
          </w:p>
        </w:tc>
        <w:tc>
          <w:tcPr>
            <w:tcW w:w="2264" w:type="dxa"/>
            <w:vAlign w:val="center"/>
            <w:hideMark/>
          </w:tcPr>
          <w:p w14:paraId="34B45ABA" w14:textId="68CCF9D9" w:rsidR="00FE0F3E" w:rsidRPr="00BC49FC" w:rsidRDefault="00BC49FC">
            <w:pPr>
              <w:rPr>
                <w:rFonts w:ascii="Times New Roman" w:hAnsi="Times New Roman" w:cs="Times New Roman"/>
                <w:b/>
                <w:bCs/>
              </w:rPr>
            </w:pPr>
            <w:r>
              <w:rPr>
                <w:rFonts w:ascii="Times New Roman" w:hAnsi="Times New Roman" w:cs="Times New Roman"/>
                <w:b/>
                <w:bCs/>
              </w:rPr>
              <w:t>A</w:t>
            </w:r>
          </w:p>
        </w:tc>
        <w:tc>
          <w:tcPr>
            <w:tcW w:w="2753" w:type="dxa"/>
            <w:vAlign w:val="center"/>
            <w:hideMark/>
          </w:tcPr>
          <w:p w14:paraId="06096100" w14:textId="1A99DF4A" w:rsidR="00FE0F3E" w:rsidRPr="00BC49FC" w:rsidRDefault="00FE0F3E">
            <w:pPr>
              <w:rPr>
                <w:rFonts w:ascii="Times New Roman" w:hAnsi="Times New Roman" w:cs="Times New Roman"/>
                <w:b/>
                <w:bCs/>
                <w:color w:val="FF0000"/>
              </w:rPr>
            </w:pPr>
            <w:r w:rsidRPr="00BC49FC">
              <w:rPr>
                <w:rFonts w:ascii="Times New Roman" w:hAnsi="Times New Roman" w:cs="Times New Roman"/>
                <w:color w:val="FF0000"/>
              </w:rPr>
              <w:t>Vzorová úloha je uvedená v Stratégii spravovania budov štátnej správy,  schválenej 20.8.2025 z dielne MVSR, vrátane implementačného plánu schváleného 2.4.2026. Nový § nebude zavedený. V § 6 ods. 1 sa nahradí písmeno d) za písmeno f)</w:t>
            </w:r>
            <w:r w:rsidR="00BC49FC" w:rsidRPr="00BC49FC">
              <w:rPr>
                <w:rFonts w:ascii="Times New Roman" w:hAnsi="Times New Roman" w:cs="Times New Roman"/>
                <w:color w:val="FF0000"/>
              </w:rPr>
              <w:t>.</w:t>
            </w:r>
            <w:r w:rsidRPr="00BC49FC">
              <w:rPr>
                <w:rFonts w:ascii="Times New Roman" w:hAnsi="Times New Roman" w:cs="Times New Roman"/>
                <w:color w:val="FF0000"/>
              </w:rPr>
              <w:t xml:space="preserve"> </w:t>
            </w:r>
          </w:p>
        </w:tc>
      </w:tr>
      <w:tr w:rsidR="00FE0F3E" w:rsidRPr="006278D2" w14:paraId="00A82391" w14:textId="158B5E19" w:rsidTr="00725D29">
        <w:trPr>
          <w:trHeight w:val="1275"/>
        </w:trPr>
        <w:tc>
          <w:tcPr>
            <w:tcW w:w="975" w:type="dxa"/>
            <w:hideMark/>
          </w:tcPr>
          <w:p w14:paraId="57A1E883"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139.</w:t>
            </w:r>
          </w:p>
        </w:tc>
        <w:tc>
          <w:tcPr>
            <w:tcW w:w="2656" w:type="dxa"/>
            <w:hideMark/>
          </w:tcPr>
          <w:p w14:paraId="7961D077"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38874E21"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39CD2D38"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5 ods. 1 </w:t>
            </w:r>
            <w:r w:rsidRPr="00BC49FC">
              <w:rPr>
                <w:rFonts w:ascii="Times New Roman" w:hAnsi="Times New Roman" w:cs="Times New Roman"/>
              </w:rPr>
              <w:t>Navrhujeme upraviť § 5 ods. 1 písm. f) nasledovne: f) cieľ úspor energie budov v rozsahu, ktorý zodpovedá každoročnej obnove aspoň 3% z celkovej podlahovej plochy vykurovaný a/alebo chladených budov, ktoré vlastnia verejné subjekty.   Odôvodnenie:  Návrh zákona v § 5 ods. 1 menuje zoznam jednotlivých cieľov energetickej efektívnosti, ale nešpecifikuje o aké konkrétne hodnoty sa v kontexte Slovenskej republiky jedná. V súlade s článkom 6 smernice 2023/1791 navrhujeme definovať cieľ obnovy aspoň na úrovni 3% z celkovej podlahovej plochy vykurovaných a/alebo chladených budov, ktoré vlastnia verejné subjekty.   Typ pripomienky: Zásadná</w:t>
            </w:r>
          </w:p>
        </w:tc>
        <w:tc>
          <w:tcPr>
            <w:tcW w:w="2264" w:type="dxa"/>
            <w:vAlign w:val="center"/>
            <w:hideMark/>
          </w:tcPr>
          <w:p w14:paraId="0F4C8009" w14:textId="4156B52A"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4360C0E" w14:textId="77777777" w:rsidR="00FE0F3E" w:rsidRPr="00BC49FC" w:rsidRDefault="00FE0F3E" w:rsidP="00003898">
            <w:pPr>
              <w:rPr>
                <w:rFonts w:ascii="Times New Roman" w:hAnsi="Times New Roman" w:cs="Times New Roman"/>
                <w:color w:val="000000" w:themeColor="text1"/>
              </w:rPr>
            </w:pPr>
            <w:r w:rsidRPr="00BC49FC">
              <w:rPr>
                <w:rFonts w:ascii="Times New Roman" w:hAnsi="Times New Roman" w:cs="Times New Roman"/>
                <w:color w:val="000000"/>
              </w:rPr>
              <w:t>Premenované na cieľ úspor energie verejných budov. Výpočet cieľa bude stanovený vo vyhláške a výška cieľa je sta</w:t>
            </w:r>
            <w:r w:rsidRPr="00BC49FC">
              <w:rPr>
                <w:rFonts w:ascii="Times New Roman" w:hAnsi="Times New Roman" w:cs="Times New Roman"/>
                <w:color w:val="000000" w:themeColor="text1"/>
              </w:rPr>
              <w:t xml:space="preserve">novená v NECP.  </w:t>
            </w:r>
          </w:p>
          <w:p w14:paraId="04D87FB6" w14:textId="1C17CB1D" w:rsidR="00FE0F3E" w:rsidRPr="00BC49FC" w:rsidRDefault="00FE0F3E" w:rsidP="00003898">
            <w:pPr>
              <w:rPr>
                <w:rFonts w:ascii="Times New Roman" w:hAnsi="Times New Roman" w:cs="Times New Roman"/>
              </w:rPr>
            </w:pPr>
            <w:r w:rsidRPr="00BC49FC">
              <w:rPr>
                <w:rFonts w:ascii="Times New Roman" w:hAnsi="Times New Roman" w:cs="Times New Roman"/>
                <w:color w:val="000000" w:themeColor="text1"/>
              </w:rPr>
              <w:t>V § 6 ods. 1 sa nahradí písmeno d) za písmeno f)</w:t>
            </w:r>
            <w:r w:rsidR="00BC49FC">
              <w:rPr>
                <w:rFonts w:ascii="Times New Roman" w:hAnsi="Times New Roman" w:cs="Times New Roman"/>
                <w:color w:val="000000" w:themeColor="text1"/>
              </w:rPr>
              <w:t>.</w:t>
            </w:r>
            <w:r w:rsidRPr="00BC49FC">
              <w:rPr>
                <w:rFonts w:ascii="Times New Roman" w:hAnsi="Times New Roman" w:cs="Times New Roman"/>
                <w:color w:val="000000" w:themeColor="text1"/>
              </w:rPr>
              <w:t xml:space="preserve"> </w:t>
            </w:r>
          </w:p>
        </w:tc>
      </w:tr>
      <w:tr w:rsidR="00FE0F3E" w:rsidRPr="006278D2" w14:paraId="275FF72E" w14:textId="12498B8F" w:rsidTr="00725D29">
        <w:trPr>
          <w:trHeight w:val="960"/>
        </w:trPr>
        <w:tc>
          <w:tcPr>
            <w:tcW w:w="975" w:type="dxa"/>
            <w:hideMark/>
          </w:tcPr>
          <w:p w14:paraId="4D6918DD"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140.</w:t>
            </w:r>
          </w:p>
        </w:tc>
        <w:tc>
          <w:tcPr>
            <w:tcW w:w="2656" w:type="dxa"/>
            <w:hideMark/>
          </w:tcPr>
          <w:p w14:paraId="53EBB00D"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13CDB8E5"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563AD85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11 ods. 3 </w:t>
            </w:r>
            <w:r w:rsidRPr="00BC49FC">
              <w:rPr>
                <w:rFonts w:ascii="Times New Roman" w:hAnsi="Times New Roman" w:cs="Times New Roman"/>
              </w:rPr>
              <w:t>Navrhujeme preformulovať § 11 ods. 3 tak, aby explicitne vymedzoval, ktoré konkrétne kategórie registrov a databáz sa nebudú sprístupňovať a zverejňovať. Súčasné znenie totiž do výnimiek sprístupňovania a zverejňovania zahŕňa aj databázu verejných budov podľa § 36.   Odôvodnenie: Navrhované znenie je v rozpore s článkom 6 ods. 5 smernice 2023/1791, ktorý vyžaduje zverejňovanie a sprístupnenie zoznamu verejných budovách verejnosti. Zároveň je v rozpore aj s § 39 ods. 3 písm. r) návrhu zákona, ktorý ukladá povinnosť zverejňovať databázu verejných budov podľa § 36.  Typ pripomienky: Zásadná</w:t>
            </w:r>
          </w:p>
        </w:tc>
        <w:tc>
          <w:tcPr>
            <w:tcW w:w="2264" w:type="dxa"/>
            <w:hideMark/>
          </w:tcPr>
          <w:p w14:paraId="2A89A54C" w14:textId="27FFE1A8" w:rsidR="00FE0F3E" w:rsidRPr="00BC49FC" w:rsidRDefault="00FE0F3E">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7D971079" w14:textId="0CA62CF8" w:rsidR="00FE0F3E" w:rsidRPr="00BC49FC" w:rsidRDefault="00FE0F3E">
            <w:pPr>
              <w:rPr>
                <w:rFonts w:ascii="Times New Roman" w:hAnsi="Times New Roman" w:cs="Times New Roman"/>
                <w:b/>
                <w:bCs/>
              </w:rPr>
            </w:pPr>
          </w:p>
        </w:tc>
      </w:tr>
      <w:tr w:rsidR="00FE0F3E" w:rsidRPr="006278D2" w14:paraId="7499C420" w14:textId="0B3E5D37" w:rsidTr="00725D29">
        <w:trPr>
          <w:trHeight w:val="645"/>
        </w:trPr>
        <w:tc>
          <w:tcPr>
            <w:tcW w:w="975" w:type="dxa"/>
            <w:hideMark/>
          </w:tcPr>
          <w:p w14:paraId="279A780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141.</w:t>
            </w:r>
          </w:p>
        </w:tc>
        <w:tc>
          <w:tcPr>
            <w:tcW w:w="2656" w:type="dxa"/>
            <w:hideMark/>
          </w:tcPr>
          <w:p w14:paraId="6BFC6A7B"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4D8DCFC4"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54687F5F"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36 ods. 3 </w:t>
            </w:r>
            <w:r w:rsidRPr="00BC49FC">
              <w:rPr>
                <w:rFonts w:ascii="Times New Roman" w:hAnsi="Times New Roman" w:cs="Times New Roman"/>
              </w:rPr>
              <w:t>Navrhujeme doplniť do § 36 ods. 3 v nasledujúcom znení: „Verejný subjekt je povinný zverejniť a sprístupniť databázu verejných budov verejnosti. Zároveň je povinný túto databázu aktualizovať aspoň každé dva roky.“   Odôvodnenie: Navrhujeme doplniť povinnosť aktualizácie databázy verejných budov aspoň každé dva roky v súlade s ods. 5 čl.6 smernice 2023/1791.   Typ pripomienky: Zásadná</w:t>
            </w:r>
          </w:p>
        </w:tc>
        <w:tc>
          <w:tcPr>
            <w:tcW w:w="2264" w:type="dxa"/>
            <w:vAlign w:val="center"/>
            <w:hideMark/>
          </w:tcPr>
          <w:p w14:paraId="47EB524D" w14:textId="5E17CD6E"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29C1384E" w14:textId="5230DCA9" w:rsidR="00FE0F3E" w:rsidRPr="00BC49FC" w:rsidRDefault="00FE0F3E" w:rsidP="007A15F6">
            <w:pPr>
              <w:rPr>
                <w:rFonts w:ascii="Times New Roman" w:hAnsi="Times New Roman" w:cs="Times New Roman"/>
                <w:b/>
                <w:bCs/>
              </w:rPr>
            </w:pPr>
            <w:r w:rsidRPr="00BC49FC">
              <w:rPr>
                <w:rFonts w:ascii="Times New Roman" w:hAnsi="Times New Roman" w:cs="Times New Roman"/>
                <w:color w:val="000000"/>
              </w:rPr>
              <w:t>Bude zavedená verejná časť databázy v § 11 ods. 3. Údaje z registrov a databáz energetickej efektívnosti sa nezverejňujú a nesprístupňujú okrem údajov uvedených v § 18, 33 a 36.</w:t>
            </w:r>
          </w:p>
        </w:tc>
      </w:tr>
      <w:tr w:rsidR="00FE0F3E" w:rsidRPr="006278D2" w14:paraId="67B402D6" w14:textId="57839A93" w:rsidTr="00725D29">
        <w:trPr>
          <w:trHeight w:val="1275"/>
        </w:trPr>
        <w:tc>
          <w:tcPr>
            <w:tcW w:w="975" w:type="dxa"/>
            <w:hideMark/>
          </w:tcPr>
          <w:p w14:paraId="4A05FDE1"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142.</w:t>
            </w:r>
          </w:p>
        </w:tc>
        <w:tc>
          <w:tcPr>
            <w:tcW w:w="2656" w:type="dxa"/>
            <w:hideMark/>
          </w:tcPr>
          <w:p w14:paraId="62E97D2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32720D0B"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5C6B1F5C"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25 </w:t>
            </w:r>
            <w:r w:rsidRPr="00BC49FC">
              <w:rPr>
                <w:rFonts w:ascii="Times New Roman" w:hAnsi="Times New Roman" w:cs="Times New Roman"/>
              </w:rPr>
              <w:t>Navrhujeme doplniť v § 25 nový bod č. 3 v nasledujúcom znení:  „Poverená organizácia zriadi aspoň jedno kontaktné miesto:  a) na 80 000 obyvateľov;  b) na región;  c) v oblastiach s priemerným vekom fondu budov nad celoštátnym priemerom;  d) v oblastiach, v ktorých sa členské štáty zameriavajú na vykonávanie integrovaných programov obnovy okresov, alebo  e) na mieste, ktoré možno dosiahnuť za menej ako 90 minút priemerného cestovného času na základe miestne dostupného dopravného prostriedku.“  Odôvodnenie: Navrhované znenie zákona nešpecifikuje rozsah a dostupnosť jednotných kontaktných miest, ktoré má poverená organizácia zriadiť. V súlade s požiadavkami smernice 2024/1275 čl. 18, navrhujeme doplniť minimálny rozsah ich zriadenia.  Typ pripomienky: Zásadná</w:t>
            </w:r>
          </w:p>
        </w:tc>
        <w:tc>
          <w:tcPr>
            <w:tcW w:w="2264" w:type="dxa"/>
            <w:hideMark/>
          </w:tcPr>
          <w:p w14:paraId="149EE763" w14:textId="378E2838"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2F1F8813"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44FC8576" w14:textId="53AA72DA" w:rsidTr="00725D29">
        <w:trPr>
          <w:trHeight w:val="2850"/>
        </w:trPr>
        <w:tc>
          <w:tcPr>
            <w:tcW w:w="975" w:type="dxa"/>
            <w:hideMark/>
          </w:tcPr>
          <w:p w14:paraId="7FDDC5F2"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143.</w:t>
            </w:r>
          </w:p>
        </w:tc>
        <w:tc>
          <w:tcPr>
            <w:tcW w:w="2656" w:type="dxa"/>
            <w:hideMark/>
          </w:tcPr>
          <w:p w14:paraId="79FFDEE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681840C7"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0579F6ED"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34 ods. 5 </w:t>
            </w:r>
            <w:r w:rsidRPr="00BC49FC">
              <w:rPr>
                <w:rFonts w:ascii="Times New Roman" w:hAnsi="Times New Roman" w:cs="Times New Roman"/>
              </w:rPr>
              <w:t xml:space="preserve">Navrhujeme odstrániť odsek (5) paragrafu § 34.   Odôvodnenie: Cieľom odseku 5 paragrafu § 34 je staviť výnimku z povinnosti realizácie obnovy verejnej budovy na základe zmluvy o energetickej efektívnosti pre verejný sektor pokiaľ sa obnova nerealizuje komplexne v jednom kroku (podľa znenia navrhovaného odseku – pokiaľ sa vykonáva postupná obnova). Zákon však nedefinuje čo znamená postupná obnova a nie je teda jasné, čo možno definovať za obnovu, ktorá nespĺňa túto výnimku a neuplatňuje za na ňu povinnosť podľa odseku 4.   Postupnú hĺbkovú obnovu definuje Smernica Európskeho parlamentu a Rady (EÚ) 2024/1275 z 24. apríla 2024 o energetickej hospodárnosti budov ako hĺbkovú obnova, ktorá sa vykonáva v maximálnom počte krokov, ako je uvedené v pasporte obnovy budovy, pričom hĺbková obnova je definovaná ako obnova vykonaná v súlade so zásadou prvoradosti energetickej efektívnosti, ktorá sa zameriava na základné prvky budovy a ktorá transformuje budovu alebo jednotku budovy pred 1. januárom 2030 na </w:t>
            </w:r>
            <w:r w:rsidRPr="00BC49FC">
              <w:rPr>
                <w:rFonts w:ascii="Times New Roman" w:hAnsi="Times New Roman" w:cs="Times New Roman"/>
              </w:rPr>
              <w:lastRenderedPageBreak/>
              <w:t>budovu s takmer nulovou potrebou energie a od 1. januára 2030 na budovu s nulovými emisiami.   MH SR v Aktualizácii INEKP v Prílohe 3.  uvádza, že podiel budov verejného sektora obnoviteľných do energetickej triedy A0 do roku 2030 vzhľadom na nákladovú efektívnosť a technickú uskutočniteľnosť je na úrovni 13,13 %. Aj z tohto dôvodu sa domnievame, že drvivá väčšina projektov môže spadnúť do tejto výnimky a nebude sa na nich vzťahovať povinnosť podľa odseku 4.  Rozumieme potrebe predkladateľov staviť výnimku, ktorá by nestanovala povinnosť podľa odseku 4 pre čiastkové obnovy v ktorých sa realizujú len drobné parciálne opatrenia, častokrát z dôvodu riešenia havarijného stavu. Túto úlohu však plní logika výnimky v písmene b) odseku 4.    Typ pripomienky: Zásadná</w:t>
            </w:r>
          </w:p>
        </w:tc>
        <w:tc>
          <w:tcPr>
            <w:tcW w:w="2264" w:type="dxa"/>
            <w:hideMark/>
          </w:tcPr>
          <w:p w14:paraId="33029367" w14:textId="0B0A03B3"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A</w:t>
            </w:r>
          </w:p>
        </w:tc>
        <w:tc>
          <w:tcPr>
            <w:tcW w:w="2753" w:type="dxa"/>
            <w:hideMark/>
          </w:tcPr>
          <w:p w14:paraId="04DD9DD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65DB7BAA" w14:textId="2811E5F3" w:rsidTr="00725D29">
        <w:trPr>
          <w:trHeight w:val="2220"/>
        </w:trPr>
        <w:tc>
          <w:tcPr>
            <w:tcW w:w="975" w:type="dxa"/>
            <w:hideMark/>
          </w:tcPr>
          <w:p w14:paraId="2698E998"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144.</w:t>
            </w:r>
          </w:p>
        </w:tc>
        <w:tc>
          <w:tcPr>
            <w:tcW w:w="2656" w:type="dxa"/>
            <w:hideMark/>
          </w:tcPr>
          <w:p w14:paraId="53462B02"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45ECCDCF"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28A04F20"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8 </w:t>
            </w:r>
            <w:r w:rsidRPr="00BC49FC">
              <w:rPr>
                <w:rFonts w:ascii="Times New Roman" w:hAnsi="Times New Roman" w:cs="Times New Roman"/>
              </w:rPr>
              <w:t xml:space="preserve">Žiadame doplniť do § 8 explicitné ustanovenia o záručných nástrojoch a revolvingových mechanizmoch pre projekty energetickej efektívnosti realizované formou energetickej služby.  Odôvodnenie: Čl. 30 ods. 7 smernice (EÚ) 2023/1791 (ďalej len „smernica EED“) ukladá členským štátom uplatňovať finančné nástroje vrátane záručných systémov a fondov pri podpore energetickej efektívnosti. Aktuálne znenie § 8 vymenúva iba generické zdroje financovania a neobsahuje konkrétne nástroje pre znižovanie kapitálových a transakčných nákladov pri menších projektoch, ktoré sú pre menšie verejné subjekty a pre malých a stredných podnikateľov v praxi prekážkou vstupu do GES.  Navrhované znenie: V § 8 sa za odsek 6 vkladá nový odsek 7, ktorý znie: „(7) Koordinačný orgán v spolupráci s mvb inisterstvom a gestorom opatrenia energetickej efektívnosti zabezpečuje vytvorenie a prevádzku a) záručných nástrojov pre projekty energetickej efektívnosti realizované formou energetickej služby, najmä pre projekty v sektore verejných subjektov a malých a stredných podnikateľov, b) revolvingových mechanizmov pre </w:t>
            </w:r>
            <w:r w:rsidRPr="00BC49FC">
              <w:rPr>
                <w:rFonts w:ascii="Times New Roman" w:hAnsi="Times New Roman" w:cs="Times New Roman"/>
              </w:rPr>
              <w:lastRenderedPageBreak/>
              <w:t>projekty energetickej efektívnosti, ktoré umožňujú opakované využívanie navrátených finančných prostriedkov na nové projekty energetickej efektívnosti. Podrobnosti o záručných nástrojoch a revolvingových mechanizmoch ustanoví všeobecne záväzný právny predpis, ktorý vydá ministerstvo.“ Doterajšie odseky 7 a 8 sa primerane prečíslujú.  Typ pripomienky: Obyčajná</w:t>
            </w:r>
          </w:p>
        </w:tc>
        <w:tc>
          <w:tcPr>
            <w:tcW w:w="2264" w:type="dxa"/>
            <w:hideMark/>
          </w:tcPr>
          <w:p w14:paraId="3B538B63"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p>
          <w:p w14:paraId="0DC7CA48" w14:textId="63A9CA9A" w:rsidR="00FE0F3E" w:rsidRPr="00BC49FC" w:rsidRDefault="00FE0F3E" w:rsidP="00C710BE">
            <w:pPr>
              <w:rPr>
                <w:rFonts w:ascii="Times New Roman" w:hAnsi="Times New Roman" w:cs="Times New Roman"/>
                <w:b/>
                <w:bCs/>
                <w:color w:val="000000"/>
              </w:rPr>
            </w:pPr>
            <w:r w:rsidRPr="00BC49FC">
              <w:rPr>
                <w:rFonts w:ascii="Times New Roman" w:hAnsi="Times New Roman" w:cs="Times New Roman"/>
                <w:b/>
                <w:bCs/>
                <w:color w:val="000000"/>
              </w:rPr>
              <w:t>A</w:t>
            </w:r>
          </w:p>
          <w:p w14:paraId="290838B2" w14:textId="6502E68D" w:rsidR="00FE0F3E" w:rsidRPr="00BC49FC" w:rsidRDefault="00FE0F3E">
            <w:pPr>
              <w:rPr>
                <w:rFonts w:ascii="Times New Roman" w:hAnsi="Times New Roman" w:cs="Times New Roman"/>
                <w:b/>
                <w:bCs/>
              </w:rPr>
            </w:pPr>
          </w:p>
        </w:tc>
        <w:tc>
          <w:tcPr>
            <w:tcW w:w="2753" w:type="dxa"/>
            <w:hideMark/>
          </w:tcPr>
          <w:p w14:paraId="3B73D5BD"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3A3259C" w14:textId="1119A828" w:rsidTr="00725D29">
        <w:trPr>
          <w:trHeight w:val="1905"/>
        </w:trPr>
        <w:tc>
          <w:tcPr>
            <w:tcW w:w="975" w:type="dxa"/>
            <w:hideMark/>
          </w:tcPr>
          <w:p w14:paraId="302417F4"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145.</w:t>
            </w:r>
          </w:p>
        </w:tc>
        <w:tc>
          <w:tcPr>
            <w:tcW w:w="2656" w:type="dxa"/>
            <w:hideMark/>
          </w:tcPr>
          <w:p w14:paraId="73B7B465"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69906ED7"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4F91A86"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32 ods. 3 </w:t>
            </w:r>
            <w:r w:rsidRPr="00BC49FC">
              <w:rPr>
                <w:rFonts w:ascii="Times New Roman" w:hAnsi="Times New Roman" w:cs="Times New Roman"/>
              </w:rPr>
              <w:t>Žiadame preformulovať § 32 ods. 3 tak, aby používal jednoznačnú typológiu zmlúv na základe ich dopadu na výšku verejného dlhu (off-balance vs. on-balance).   Odôvodnenie: Aktuálne znenie § 32 ods. 3 vymedzuje dve formy zmluvy nesúmerne — písm. a) vágne odkazuje na „jednotnú dlhovú metodiku“ bez explicitnej kvalifikácie dlhového dopadu, písm. b) mieša kritérium zdroja financovania s kritériom rozpočtového zaradenia bez väzby na dlhový režim. Logicky jednoznačná typológia by mala rozlišovať zmluvy bez dôsledku na výšku verejného dlhu (off-balance) a zmluvy s dôsledkami na výšku verejného dlhu (on-balance). Táto typológia predefinuje aj nadväzujúce ustanovenia § 32 ods. 10, 11 a 12.  Navrhované znenie: § 32 ods. 3 znie: „(3) Zmluva o energetickej efektívnosti pre verejný sektor má formu a) zmluvy o energetickej efektívnosti pre verejný sektor bez dôsledkov na výšku verejného dlhu (off-balance) podľa jednotnej dlhovej metodiky platnej pre Európsku úniu,⁶⁰⁾ alebo b) zmluvy o energetickej efektívnosti pre verejný sektor s dôsledkami na výšku verejného dlhu (on-balance) podľa jednotnej dlhovej metodiky platnej pre Európsku úniu.⁶⁰⁾“  Typ pripomienky: Zásadná</w:t>
            </w:r>
          </w:p>
        </w:tc>
        <w:tc>
          <w:tcPr>
            <w:tcW w:w="2264" w:type="dxa"/>
            <w:vAlign w:val="center"/>
            <w:hideMark/>
          </w:tcPr>
          <w:p w14:paraId="437B8083" w14:textId="03CE631F"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73FE08C3" w14:textId="62D1C544" w:rsidR="00FE0F3E" w:rsidRPr="00BC49FC" w:rsidRDefault="00FE0F3E" w:rsidP="00224B6F">
            <w:pPr>
              <w:rPr>
                <w:rFonts w:ascii="Times New Roman" w:hAnsi="Times New Roman" w:cs="Times New Roman"/>
                <w:b/>
                <w:bCs/>
              </w:rPr>
            </w:pPr>
            <w:r w:rsidRPr="00BC49FC">
              <w:rPr>
                <w:rFonts w:ascii="Times New Roman" w:hAnsi="Times New Roman" w:cs="Times New Roman"/>
                <w:color w:val="000000"/>
              </w:rPr>
              <w:t>Upravené. Rozdelenie typológie zmlúv bolo odstránené</w:t>
            </w:r>
            <w:r w:rsidR="00DC4CDE">
              <w:rPr>
                <w:rFonts w:ascii="Times New Roman" w:hAnsi="Times New Roman" w:cs="Times New Roman"/>
                <w:color w:val="000000"/>
              </w:rPr>
              <w:t>.</w:t>
            </w:r>
          </w:p>
        </w:tc>
      </w:tr>
      <w:tr w:rsidR="00FE0F3E" w:rsidRPr="006278D2" w14:paraId="2126BF87" w14:textId="4E0AB903" w:rsidTr="00725D29">
        <w:trPr>
          <w:trHeight w:val="3165"/>
        </w:trPr>
        <w:tc>
          <w:tcPr>
            <w:tcW w:w="975" w:type="dxa"/>
            <w:hideMark/>
          </w:tcPr>
          <w:p w14:paraId="54E6CCC7"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146.</w:t>
            </w:r>
          </w:p>
        </w:tc>
        <w:tc>
          <w:tcPr>
            <w:tcW w:w="2656" w:type="dxa"/>
            <w:hideMark/>
          </w:tcPr>
          <w:p w14:paraId="354AD8EB"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1370750F"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5C47711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32 ods. 10 a 11 </w:t>
            </w:r>
            <w:r w:rsidRPr="00BC49FC">
              <w:rPr>
                <w:rFonts w:ascii="Times New Roman" w:hAnsi="Times New Roman" w:cs="Times New Roman"/>
              </w:rPr>
              <w:t xml:space="preserve">Žiadame preformulovať § 32 ods. 10 a 11 tak, aby každý zodpovedal jednej forme zmluvy podľa preformulovaného § 32 ods. 3, a doplniť termín na ich vypracovanie a zverejnenie.  Odôvodnenie: Aktuálne znenie § 32 ods. 10 a 11 je obsahovo prakticky duplicitné — vzájomný vzťah dvoch vzorov nie je z textu zrejmý. Vzor pre off-balance zmluvu je metodicky náročnejší, pretože si vyžaduje precíznu konštrukciu prenosu rizík na poskytovateľa GES, a bez kvalitného vzoru tejto formy sa praktická realizovateľnosť off-balance GES VS významne znižuje. Termín 11. október 2027 sa zhoduje s koncom prechodného obdobia podľa § 5, takže vzory budú k dispozícii pred plným nábehom povinností verejných subjektov.  Aktuálne znenie § 32 ods. 3 vymedzuje dve formy zmluvy nesúmerne — písm. a) vágne odkazuje na „jednotnú dlhovú metodiku“ bez explicitnej kvalifikácie dlhového dopadu, písm. b) mieša kritérium zdroja financovania s kritériom rozpočtového zaradenia bez väzby na dlhový režim. Logicky jednoznačná typológia by mala rozlišovať zmluvy bez dôsledku na výšku verejného dlhu (off-balance) a zmluvy s dôsledkami na výšku verejného dlhu (on-balance). Táto typológia predefinuje aj nadväzujúce ustanovenia § 32 ods. 10, 11 a 12.  Navrhované znenie: § 32 ods. 10 znie: „(10) Ministerstvo v spolupráci s Ministerstvom financií Slovenskej republiky vypracuje a na svojom webovom sídle zverejní vzor zmluvy o energetickej efektívnosti pre verejný sektor podľa odseku 3 písm. a) vrátane metodiky na prípravu a realizáciu garantovanej energetickej služby pre verejný sektor v tejto forme, a to najneskôr do 11. októbra 2027.“ § 32 ods. 11 znie: „(11) Ministerstvo v spolupráci s Ministerstvom financií Slovenskej republiky vypracuje a na svojom webovom sídle zverejní vzor zmluvy o energetickej efektívnosti pre verejný sektor podľa odseku 3 písm. b) </w:t>
            </w:r>
            <w:r w:rsidRPr="00BC49FC">
              <w:rPr>
                <w:rFonts w:ascii="Times New Roman" w:hAnsi="Times New Roman" w:cs="Times New Roman"/>
              </w:rPr>
              <w:lastRenderedPageBreak/>
              <w:t>vrátane metodiky na prípravu a realizáciu garantovanej energetickej služby pre verejný sektor v tejto forme, a to najneskôr do 11. októbra 2027.“   Typ pripomienky: Zásadná</w:t>
            </w:r>
          </w:p>
        </w:tc>
        <w:tc>
          <w:tcPr>
            <w:tcW w:w="2264" w:type="dxa"/>
            <w:vAlign w:val="center"/>
            <w:hideMark/>
          </w:tcPr>
          <w:p w14:paraId="3BC9E1AF" w14:textId="3AA64E7B" w:rsidR="00FE0F3E" w:rsidRPr="00BC49FC" w:rsidRDefault="00FE0F3E">
            <w:pPr>
              <w:rPr>
                <w:rFonts w:ascii="Times New Roman" w:hAnsi="Times New Roman" w:cs="Times New Roman"/>
                <w:b/>
                <w:bCs/>
              </w:rPr>
            </w:pPr>
            <w:r w:rsidRPr="00DC4CDE">
              <w:rPr>
                <w:rFonts w:ascii="Times New Roman" w:hAnsi="Times New Roman" w:cs="Times New Roman"/>
                <w:b/>
                <w:bCs/>
              </w:rPr>
              <w:lastRenderedPageBreak/>
              <w:t>A</w:t>
            </w:r>
          </w:p>
        </w:tc>
        <w:tc>
          <w:tcPr>
            <w:tcW w:w="2753" w:type="dxa"/>
            <w:vAlign w:val="center"/>
            <w:hideMark/>
          </w:tcPr>
          <w:p w14:paraId="4AE3D31C" w14:textId="20A0DBF3" w:rsidR="00FE0F3E" w:rsidRPr="00BC49FC" w:rsidRDefault="00FE0F3E" w:rsidP="00224B6F">
            <w:pPr>
              <w:rPr>
                <w:rFonts w:ascii="Times New Roman" w:hAnsi="Times New Roman" w:cs="Times New Roman"/>
                <w:b/>
                <w:bCs/>
              </w:rPr>
            </w:pPr>
            <w:r w:rsidRPr="00BC49FC">
              <w:rPr>
                <w:rFonts w:ascii="Times New Roman" w:hAnsi="Times New Roman" w:cs="Times New Roman"/>
                <w:color w:val="000000"/>
              </w:rPr>
              <w:t xml:space="preserve">Po </w:t>
            </w:r>
            <w:r>
              <w:rPr>
                <w:rFonts w:ascii="Times New Roman" w:hAnsi="Times New Roman" w:cs="Times New Roman"/>
                <w:color w:val="000000"/>
              </w:rPr>
              <w:t>konzultácii</w:t>
            </w:r>
            <w:r w:rsidRPr="00BC49FC">
              <w:rPr>
                <w:rFonts w:ascii="Times New Roman" w:hAnsi="Times New Roman" w:cs="Times New Roman"/>
                <w:color w:val="000000"/>
              </w:rPr>
              <w:t xml:space="preserve"> s MF SR je </w:t>
            </w:r>
            <w:r>
              <w:rPr>
                <w:rFonts w:ascii="Times New Roman" w:hAnsi="Times New Roman" w:cs="Times New Roman"/>
                <w:color w:val="000000"/>
              </w:rPr>
              <w:t>postačujúci</w:t>
            </w:r>
            <w:r w:rsidRPr="00BC49FC">
              <w:rPr>
                <w:rFonts w:ascii="Times New Roman" w:hAnsi="Times New Roman" w:cs="Times New Roman"/>
                <w:color w:val="000000"/>
              </w:rPr>
              <w:t xml:space="preserve"> jeden vzor zmluvy – bez dopadu na dlh</w:t>
            </w:r>
            <w:r>
              <w:rPr>
                <w:rFonts w:ascii="Times New Roman" w:hAnsi="Times New Roman" w:cs="Times New Roman"/>
                <w:color w:val="000000"/>
              </w:rPr>
              <w:t>.</w:t>
            </w:r>
          </w:p>
        </w:tc>
      </w:tr>
      <w:tr w:rsidR="00FE0F3E" w:rsidRPr="006278D2" w14:paraId="7A60E802" w14:textId="0E8E3E31" w:rsidTr="00725D29">
        <w:trPr>
          <w:trHeight w:val="2220"/>
        </w:trPr>
        <w:tc>
          <w:tcPr>
            <w:tcW w:w="975" w:type="dxa"/>
            <w:hideMark/>
          </w:tcPr>
          <w:p w14:paraId="668E562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147.</w:t>
            </w:r>
          </w:p>
        </w:tc>
        <w:tc>
          <w:tcPr>
            <w:tcW w:w="2656" w:type="dxa"/>
            <w:hideMark/>
          </w:tcPr>
          <w:p w14:paraId="7D8C64F7"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0E0A6486"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3FBF27D8"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32 ods. 12 </w:t>
            </w:r>
            <w:r w:rsidRPr="00BC49FC">
              <w:rPr>
                <w:rFonts w:ascii="Times New Roman" w:hAnsi="Times New Roman" w:cs="Times New Roman"/>
              </w:rPr>
              <w:t xml:space="preserve">Žiadame doplniť do § 32 ods. 12 procesné garancie — lehotu Ministerstva financií SR na vydanie stanoviska, konkludentný súhlas pri jej zmeškaní, povinnosť odôvodnenia nesúhlasu a možnosť opätovného predloženia žiadosti.  Odôvodnenie: Aktuálne znenie § 32 ods. 12 vyžaduje súhlas Ministerstva financií Slovenskej republiky na uzatvorenie on-balance zmluvy, ale neobsahuje žiadne procesné garancie — chýba lehota, kritériá hodnotenia, povinnosť odôvodnenia nesúhlasu a opravný prostriedok. V dôsledku toho môže byť súhlas v praxi fakticky blokačný, čo predstavuje vážnu prekážku pre realizáciu on-balance GES VS, najmä pre menšie verejné subjekty. Pripomienka nesmeruje k odstráneniu súhlasu, ale k jeho procesnému ukotveniu.   Navrhované znenie: § 32 ods. 12 znie: „(12) Zmluvu o energetickej efektívnosti pre verejný sektor podľa odseku 3 písm. b) je možné uzatvoriť iba so súhlasom Ministerstva financií Slovenskej republiky. Ministerstvo financií Slovenskej republiky vydá písomné stanovisko najneskôr do 60 dní odo dňa doručenia úplnej žiadosti verejného subjektu. Ak Ministerstvo financií Slovenskej republiky v tejto lehote stanovisko nevydá, predpokladá sa, že súhlas bol udelený. Nesúhlas Ministerstva financií Slovenskej republiky musí byť odôvodnený a verejný subjekt môže </w:t>
            </w:r>
            <w:r w:rsidRPr="00BC49FC">
              <w:rPr>
                <w:rFonts w:ascii="Times New Roman" w:hAnsi="Times New Roman" w:cs="Times New Roman"/>
              </w:rPr>
              <w:lastRenderedPageBreak/>
              <w:t>po úprave návrhu opätovne predložiť žiadosť o súhlas.“  Typ pripomienky: Zásadná</w:t>
            </w:r>
          </w:p>
        </w:tc>
        <w:tc>
          <w:tcPr>
            <w:tcW w:w="2264" w:type="dxa"/>
            <w:hideMark/>
          </w:tcPr>
          <w:p w14:paraId="23686808" w14:textId="5622CAB9"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lastRenderedPageBreak/>
              <w:t xml:space="preserve"> ČA</w:t>
            </w:r>
          </w:p>
        </w:tc>
        <w:tc>
          <w:tcPr>
            <w:tcW w:w="2753" w:type="dxa"/>
            <w:hideMark/>
          </w:tcPr>
          <w:p w14:paraId="776BB738" w14:textId="0FC8060F" w:rsidR="00FE0F3E" w:rsidRPr="00BC49FC" w:rsidRDefault="00FE0F3E" w:rsidP="007A15F6">
            <w:pPr>
              <w:rPr>
                <w:rFonts w:ascii="Times New Roman" w:hAnsi="Times New Roman" w:cs="Times New Roman"/>
                <w:b/>
                <w:bCs/>
              </w:rPr>
            </w:pPr>
            <w:r w:rsidRPr="00BC49FC">
              <w:rPr>
                <w:rFonts w:ascii="Times New Roman" w:hAnsi="Times New Roman" w:cs="Times New Roman"/>
                <w:color w:val="000000"/>
              </w:rPr>
              <w:t xml:space="preserve">Odsek 12 sa v nadväznosti na rokovanie s MF SR vypúšťa.  </w:t>
            </w:r>
          </w:p>
        </w:tc>
      </w:tr>
      <w:tr w:rsidR="00FE0F3E" w:rsidRPr="006278D2" w14:paraId="6BD12679" w14:textId="44237479" w:rsidTr="00725D29">
        <w:trPr>
          <w:trHeight w:val="2850"/>
        </w:trPr>
        <w:tc>
          <w:tcPr>
            <w:tcW w:w="975" w:type="dxa"/>
            <w:hideMark/>
          </w:tcPr>
          <w:p w14:paraId="72B1A0E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148.</w:t>
            </w:r>
          </w:p>
        </w:tc>
        <w:tc>
          <w:tcPr>
            <w:tcW w:w="2656" w:type="dxa"/>
            <w:hideMark/>
          </w:tcPr>
          <w:p w14:paraId="23772B85"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2DCD4032"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36247E7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33 </w:t>
            </w:r>
            <w:r w:rsidRPr="00BC49FC">
              <w:rPr>
                <w:rFonts w:ascii="Times New Roman" w:hAnsi="Times New Roman" w:cs="Times New Roman"/>
              </w:rPr>
              <w:t xml:space="preserve">Žiadame rozšíriť obsah registra energetických služieb o ukončené GES projekty s informáciou o plánovaných a dosiahnutých úsporách a zabezpečiť verejnú dostupnosť údajov registra v anonymizovanej forme.  Odôvodnenie: Čl. 29 ods. 5 písm. c) smernice EED ukladá členským štátom sprístupniť verejnosti zoznam dostupných a prevádzkovaných zmlúv o energetickej efektívnosti pre verejný sektor s plánovanými a dosiahnutými úsporami energie. Aktuálne znenie § 33 obmedzuje register na prebiehajúce projekty bez údajov o dosiahnutých úsporách a bez zabezpečenia verejnej dostupnosti, čím transponuje toto ustanovenie smernice nedostatočne. Verejná dostupnosť v anonymizovanej forme (agregácia podľa typu a veľkostnej kategórie prijímateľa, typu budovy alebo zariadenia) zachováva ochranu citlivých údajov pri súčasnom naplnení informačnej funkcie databázy.  Navrhované znenie: § 33 ods. 1 znie: „(1) Register energetických služieb obsahuje údaje o a) prebiehajúcich podporných energetických službách, b) prebiehajúcich podporných energetických službách pre verejný sektor, c) prebiehajúcich garantovaných energetických službách, d) prebiehajúcich garantovaných energetických službách pre verejný sektor, e) ukončených garantovaných energetických službách, f) ukončených garantovaných energetických službách pre verejný sektor, g) poskytovateľoch podpornej energetickej služby, h) poskytovateľoch garantovanej energetickej služby.“  V § 33 sa dopĺňa </w:t>
            </w:r>
            <w:r w:rsidRPr="00BC49FC">
              <w:rPr>
                <w:rFonts w:ascii="Times New Roman" w:hAnsi="Times New Roman" w:cs="Times New Roman"/>
              </w:rPr>
              <w:lastRenderedPageBreak/>
              <w:t>nový odsek 5, ktorý znie: „(5) Údaje z registra energetických služieb podľa odseku 1 písm. c) až f) sú verejne dostupné na webovom sídle poverenej organizácie v anonymizovanej forme. Sprístupnené údaje zahŕňajú najmä typ a veľkostnú kategóriu prijímateľa energetickej služby, typ budovy alebo zariadenia, dobu trvania zmluvy, predmet zmluvy, plánované úspory energie a dosiahnuté úspory energie.“  Typ pripomienky: Obyčajná</w:t>
            </w:r>
          </w:p>
        </w:tc>
        <w:tc>
          <w:tcPr>
            <w:tcW w:w="2264" w:type="dxa"/>
            <w:vAlign w:val="center"/>
            <w:hideMark/>
          </w:tcPr>
          <w:p w14:paraId="3113FC23" w14:textId="079D21AE"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66BC95F1" w14:textId="3221B47A" w:rsidR="00FE0F3E" w:rsidRPr="00BC49FC" w:rsidRDefault="00FE0F3E">
            <w:pPr>
              <w:rPr>
                <w:rFonts w:ascii="Times New Roman" w:hAnsi="Times New Roman" w:cs="Times New Roman"/>
                <w:b/>
                <w:bCs/>
              </w:rPr>
            </w:pPr>
            <w:r w:rsidRPr="00BC49FC">
              <w:rPr>
                <w:rFonts w:ascii="Times New Roman" w:hAnsi="Times New Roman" w:cs="Times New Roman"/>
                <w:color w:val="000000"/>
              </w:rPr>
              <w:t>Doplnené v rozsahu požiadaviek smernice EED.</w:t>
            </w:r>
          </w:p>
        </w:tc>
      </w:tr>
      <w:tr w:rsidR="00FE0F3E" w:rsidRPr="006278D2" w14:paraId="28F8A5AB" w14:textId="40EE7D0E" w:rsidTr="00725D29">
        <w:trPr>
          <w:trHeight w:val="2850"/>
        </w:trPr>
        <w:tc>
          <w:tcPr>
            <w:tcW w:w="975" w:type="dxa"/>
            <w:hideMark/>
          </w:tcPr>
          <w:p w14:paraId="51BDEDB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149.</w:t>
            </w:r>
          </w:p>
        </w:tc>
        <w:tc>
          <w:tcPr>
            <w:tcW w:w="2656" w:type="dxa"/>
            <w:hideMark/>
          </w:tcPr>
          <w:p w14:paraId="7E544AFB"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02CD7B6B"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200471A5"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34 ods. 7 </w:t>
            </w:r>
            <w:r w:rsidRPr="00BC49FC">
              <w:rPr>
                <w:rFonts w:ascii="Times New Roman" w:hAnsi="Times New Roman" w:cs="Times New Roman"/>
              </w:rPr>
              <w:t xml:space="preserve">Žiadame doplniť do § 34 ods. 7 minimálny obsahový rámec podporného mechanizmu technickej asistencie (rozsah pokrytia, financovanie, kritériá oprávnenosti pre verejné subjekty) a splnomocnenie na vyhlášku, ktorá podrobnosti rozpracuje.  Odôvodnenie: § 34 ods. 7 ukladá poverenej organizácii povinnosť zriadiť a administrovať podporný mechanizmus, ale neobsahuje žiadny obsahový rámec. Návrh vyhlášky k energetickým službám tento mechanizmus neupravuje — vyhláška sa zaoberá iba procesnými aspektmi samotného posúdenia podľa § 34 ods. 1. Bez rámca v zákone môže byť mechanizmus v praxi nedostupný pre menšie obce, ktoré majú najmenej vlastných kapacít a podporu najviac potrebujú. Čl. 30 ods. 5 a 7 smernice EED ukladá členským štátom zabezpečiť technickú asistenciu a finančné nástroje pre verejný sektor.  Navrhované znenie: § 34 ods. 7 znie: „(7) Poverená organizácia je povinná zriadiť a administrovať podporný mechanizmus na podporu realizácie technickej asistencie pre verejné subjekty pri posudzovaní podľa odseku 1. Podporný mechanizmus zahŕňa najmä a) finančnú podporu na úhradu nákladov technickej asistencie pre verejné subjekty, najmä pre obce, ktorých počet obyvateľov je nižší ako 5 000, a pre obce, ktorých počet obyvateľov je nižší ako 50 000, b) metodickú podporu vrátane vzorov a usmernení, c) prístup k údajom registra energetických služieb podľa § </w:t>
            </w:r>
            <w:r w:rsidRPr="00BC49FC">
              <w:rPr>
                <w:rFonts w:ascii="Times New Roman" w:hAnsi="Times New Roman" w:cs="Times New Roman"/>
              </w:rPr>
              <w:lastRenderedPageBreak/>
              <w:t>33 a databázy verejných budov podľa § 36, d) sprostredkovanie kontaktov medzi verejnými subjektmi a odborne spôsobilými osobami podľa § 34 ods. 9. Podrobnosti o rozsahu finančnej podpory, kritériách oprávnenosti verejných subjektov a postupe poskytnutia podpory ustanoví všeobecne záväzný právny predpis, ktorý vydá ministerstvo.“  Typ pripomienky: Zásadná</w:t>
            </w:r>
          </w:p>
        </w:tc>
        <w:tc>
          <w:tcPr>
            <w:tcW w:w="2264" w:type="dxa"/>
            <w:vAlign w:val="center"/>
            <w:hideMark/>
          </w:tcPr>
          <w:p w14:paraId="65887C24" w14:textId="46D66642"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lastRenderedPageBreak/>
              <w:t>ČA</w:t>
            </w:r>
          </w:p>
        </w:tc>
        <w:tc>
          <w:tcPr>
            <w:tcW w:w="2753" w:type="dxa"/>
            <w:vAlign w:val="center"/>
            <w:hideMark/>
          </w:tcPr>
          <w:p w14:paraId="400F6092" w14:textId="521582DD" w:rsidR="00FE0F3E" w:rsidRPr="00BC49FC" w:rsidRDefault="00FE0F3E" w:rsidP="00756E12">
            <w:pPr>
              <w:rPr>
                <w:rFonts w:ascii="Times New Roman" w:hAnsi="Times New Roman" w:cs="Times New Roman"/>
                <w:b/>
                <w:bCs/>
              </w:rPr>
            </w:pPr>
            <w:r w:rsidRPr="00BC49FC">
              <w:rPr>
                <w:rFonts w:ascii="Times New Roman" w:hAnsi="Times New Roman" w:cs="Times New Roman"/>
                <w:color w:val="000000"/>
              </w:rPr>
              <w:t>Bude upravené vo vyhláške, procesné povinnosti sú v zákone v § 34.</w:t>
            </w:r>
          </w:p>
        </w:tc>
      </w:tr>
      <w:tr w:rsidR="00FE0F3E" w:rsidRPr="006278D2" w14:paraId="207195DE" w14:textId="25C39225" w:rsidTr="00725D29">
        <w:trPr>
          <w:trHeight w:val="1905"/>
        </w:trPr>
        <w:tc>
          <w:tcPr>
            <w:tcW w:w="975" w:type="dxa"/>
            <w:hideMark/>
          </w:tcPr>
          <w:p w14:paraId="65F868C9"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150.</w:t>
            </w:r>
          </w:p>
        </w:tc>
        <w:tc>
          <w:tcPr>
            <w:tcW w:w="2656" w:type="dxa"/>
            <w:hideMark/>
          </w:tcPr>
          <w:p w14:paraId="05D8D4CB"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6A682731"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38B46C86"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34 ods. 8 a k § 39 ods. 2 </w:t>
            </w:r>
            <w:r w:rsidRPr="00BC49FC">
              <w:rPr>
                <w:rFonts w:ascii="Times New Roman" w:hAnsi="Times New Roman" w:cs="Times New Roman"/>
              </w:rPr>
              <w:t>Žiadame vypustiť § 34 ods. 8 a § 39 ods. 2 písm. f).  Odôvodnenie: Aktuálne znenie kumuluje v poverenej organizácii tri konfliktné role: propagátora garantovanej energetickej služby voči verejnému sektoru (§ 39 ods. 3 písm. ab)), správcu podporného mechanizmu technickej asistencie (§ 34 ods. 7, § 39 ods. 3 písm. aa)) a vykonávateľa technickej asistencie v priamej konkurencii so súkromnými poskytovateľmi (§ 34 ods. 8 v spojení s § 39 ods. 2 písm. f)). Táto kumulácia vytvára priamy konflikt záujmov — verejné subjekty budú pri voľbe vykonávateľa technickej asistencie preferovať poverenú organizáciu pred privátnymi expertmi, čím sa oslabuje nezávislosť technickej asistencie a deformuje konkurenčné prostredie. Čl. 29 ods. 6 písm. c) smernice EED hovorí o „nezávislých trhových sprostredkovateľoch“ v množnom čísle, nie o jednom dominantnom subjekte. Rola poverenej organizácie ako koordinátora a administrátora podporného mechanizmu podľa § 34 ods. 7 zostáva zachovaná.  Navrhované znenie: § 34 ods. 8 sa vypúšťa. Doterajší § 34 ods. 9 sa stáva § 34 ods. 8 bez zmeny obsahu. V § 39 ods. 2 sa vypúšťa písmeno f). Doterajšie písmeno g) sa stáva písmenom f).  Typ pripomienky: Zásadná</w:t>
            </w:r>
          </w:p>
        </w:tc>
        <w:tc>
          <w:tcPr>
            <w:tcW w:w="2264" w:type="dxa"/>
            <w:vAlign w:val="center"/>
            <w:hideMark/>
          </w:tcPr>
          <w:p w14:paraId="7CB435D4" w14:textId="282E419F" w:rsidR="00FE0F3E" w:rsidRPr="00BC49FC" w:rsidRDefault="00FE0F3E" w:rsidP="00756E12">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28820E76" w14:textId="1E4A2A42" w:rsidR="00FE0F3E" w:rsidRPr="00BC49FC" w:rsidRDefault="00FE0F3E" w:rsidP="001921D6">
            <w:pPr>
              <w:rPr>
                <w:rFonts w:ascii="Times New Roman" w:hAnsi="Times New Roman" w:cs="Times New Roman"/>
                <w:b/>
                <w:bCs/>
              </w:rPr>
            </w:pPr>
            <w:r w:rsidRPr="00BC49FC">
              <w:rPr>
                <w:rFonts w:ascii="Times New Roman" w:hAnsi="Times New Roman" w:cs="Times New Roman"/>
                <w:color w:val="000000"/>
              </w:rPr>
              <w:t xml:space="preserve">Zrovnoprávnilo sa vykonávanie technickej asistencie v § 34 ods. 8  </w:t>
            </w:r>
            <w:r w:rsidRPr="00BC49FC">
              <w:rPr>
                <w:rFonts w:ascii="Times New Roman" w:hAnsi="Times New Roman" w:cs="Times New Roman"/>
                <w:b/>
                <w:bCs/>
                <w:color w:val="4EA72E"/>
              </w:rPr>
              <w:t xml:space="preserve"> </w:t>
            </w:r>
            <w:r w:rsidRPr="00BC49FC">
              <w:rPr>
                <w:rFonts w:ascii="Times New Roman" w:hAnsi="Times New Roman" w:cs="Times New Roman"/>
                <w:color w:val="000000"/>
              </w:rPr>
              <w:t>(8) Posúdenie podľa odseku 1 môže vykonávať aj poverená organizácia, odborne spôsobilá osoba v energetickej efektívnosti podľa § 18 ods. 2 písm. b) a c) a odborne spôsobilá osoba pre oblasť súvisiacu s energetickou efektívnosťou podľa § 17 písm. b)</w:t>
            </w:r>
            <w:r>
              <w:rPr>
                <w:rFonts w:ascii="Times New Roman" w:hAnsi="Times New Roman" w:cs="Times New Roman"/>
                <w:color w:val="000000"/>
              </w:rPr>
              <w:t>.</w:t>
            </w:r>
          </w:p>
        </w:tc>
      </w:tr>
      <w:tr w:rsidR="00FE0F3E" w:rsidRPr="006278D2" w14:paraId="54F7B07E" w14:textId="40922724" w:rsidTr="00725D29">
        <w:trPr>
          <w:trHeight w:val="3480"/>
        </w:trPr>
        <w:tc>
          <w:tcPr>
            <w:tcW w:w="975" w:type="dxa"/>
            <w:hideMark/>
          </w:tcPr>
          <w:p w14:paraId="408F26B0"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151.</w:t>
            </w:r>
          </w:p>
        </w:tc>
        <w:tc>
          <w:tcPr>
            <w:tcW w:w="2656" w:type="dxa"/>
            <w:hideMark/>
          </w:tcPr>
          <w:p w14:paraId="4ECBFAE3"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0264C537"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EEE6DEC"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42 </w:t>
            </w:r>
            <w:r w:rsidRPr="00BC49FC">
              <w:rPr>
                <w:rFonts w:ascii="Times New Roman" w:hAnsi="Times New Roman" w:cs="Times New Roman"/>
              </w:rPr>
              <w:t xml:space="preserve">Žiadame doplniť do § 42 sankcie za nesplnenie povinností verejných subjektov podľa § 34 ods. 1 (posúdenie technickej asistencie), § 34 ods. 4 (realizácia obnovy formou GES pri splnení podmienok) a § 35 ods. 5 (zriadenie energetického manažéra a zavedenie energetického manažmentu).  Odôvodnenie: Aktuálne znenie § 42 neobsahuje žiadne sankcie za nesplnenie kľúčových povinností verejných subjektov, v dôsledku čoho je celá konštrukcia „vzorovej úlohy verejného sektora“ podľa čl. 5 smernice EED založená výhradne na dobrovoľnom plnení. Čl. 32 smernice EED výslovne vyžaduje účinné, primerané a odstrašujúce sankcie za neplnenie povinností vyplývajúcich zo smernice, bez rozlíšenia medzi súkromným a verejným sektorom. Vzhľadom na to, že pokuta verejnému subjektu sa platí z verejných prostriedkov, navrhovaný režim pracuje s primeranou výškou pokuty (500 – 25 000 EUR) a dopĺňa ju o mechanizmus transparentnosti — povinnosť úradu zverejniť informáciu o uložení pokuty, ktorý v slovenskom kontexte často účinkuje silnejšie ako samotná výška pokuty.  Navrhované znenie: V § 42 sa za odsek 2 vkladá nový odsek 3, ktorý znie: „(3) Správneho deliktu sa dopustí verejný subjekt, ktorý a) nezabezpečí posúdenie podľa § 34 ods. 1 pred začatím obnovy verejnej budovy s celkovou úžitkovou podlahovou plochou väčšou ako 750 m², b) v rozpore s § 34 ods. 4 nerealizuje obnovu verejnej budovy s celkovou úžitkovou podlahovou plochou väčšou ako 750 m² na základe zmluvy o energetickej efektívnosti pre verejný sektor, ak boli splnené podmienky podľa § 34 ods. 4, c) nezriadi energetického manažéra pre verejnú správu podľa § 35 ods. 5 písm. a), d) nezavedie energetický manažment verejného subjektu podľa § 35 ods. 5 písm. b).“ Doterajšie odseky 3 až 8 sa primerane prečíslujú ako odseky 4 až 9. V doterajšom § 42 ods. 4 (po prečíslovaní ods. 5) sa za doterajšie písmeno b) vkladá nové písmeno c), ktoré znie: „c) odseku 3 od </w:t>
            </w:r>
            <w:r w:rsidRPr="00BC49FC">
              <w:rPr>
                <w:rFonts w:ascii="Times New Roman" w:hAnsi="Times New Roman" w:cs="Times New Roman"/>
              </w:rPr>
              <w:lastRenderedPageBreak/>
              <w:t>500 eur do 25 000 eur,“. Doterajšie písmeno c) sa stáva písmenom d) a primerane sa upravia odkazy v texte odseku. V § 42 sa dopĺňa nový odsek 10, ktorý znie: „(10) Úrad zverejňuje na svojom webovom sídle informáciu o uložení pokuty verejnému subjektu podľa odseku 3 vrátane identifikácie verejného subjektu, druhu porušenia a výšky pokuty.“  Typ pripomienky: Zásadná</w:t>
            </w:r>
          </w:p>
        </w:tc>
        <w:tc>
          <w:tcPr>
            <w:tcW w:w="2264" w:type="dxa"/>
            <w:vAlign w:val="center"/>
            <w:hideMark/>
          </w:tcPr>
          <w:p w14:paraId="4BFBF79D" w14:textId="1E43F4E1"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lastRenderedPageBreak/>
              <w:t>ČA</w:t>
            </w:r>
          </w:p>
        </w:tc>
        <w:tc>
          <w:tcPr>
            <w:tcW w:w="2753" w:type="dxa"/>
            <w:vAlign w:val="center"/>
            <w:hideMark/>
          </w:tcPr>
          <w:p w14:paraId="1C571CC7" w14:textId="5ADC50EF" w:rsidR="00FE0F3E" w:rsidRPr="00BC49FC" w:rsidRDefault="00FE0F3E" w:rsidP="001921D6">
            <w:pPr>
              <w:rPr>
                <w:rFonts w:ascii="Times New Roman" w:hAnsi="Times New Roman" w:cs="Times New Roman"/>
                <w:b/>
                <w:bCs/>
              </w:rPr>
            </w:pPr>
            <w:r w:rsidRPr="00BC49FC">
              <w:rPr>
                <w:rFonts w:ascii="Times New Roman" w:hAnsi="Times New Roman" w:cs="Times New Roman"/>
                <w:color w:val="000000"/>
              </w:rPr>
              <w:t xml:space="preserve">Smernica EED zavádza povinnosť posudzovania verejnej budovy nad 750 m2. Povinnosť technickej asistencie je povinnou súčasťou zmluvy o energetickej </w:t>
            </w:r>
            <w:r w:rsidRPr="00BC49FC">
              <w:rPr>
                <w:rFonts w:ascii="Times New Roman" w:hAnsi="Times New Roman" w:cs="Times New Roman"/>
                <w:color w:val="000000" w:themeColor="text1"/>
              </w:rPr>
              <w:t xml:space="preserve">efektívnosti pre verejný sektor. Pripravuje sa nové financovanie, bude možná rôzna kombinácia finančných nástrojov. </w:t>
            </w:r>
          </w:p>
        </w:tc>
      </w:tr>
      <w:tr w:rsidR="00FE0F3E" w:rsidRPr="006278D2" w14:paraId="359311E0" w14:textId="4720BBD8" w:rsidTr="00725D29">
        <w:trPr>
          <w:trHeight w:val="4425"/>
        </w:trPr>
        <w:tc>
          <w:tcPr>
            <w:tcW w:w="975" w:type="dxa"/>
            <w:hideMark/>
          </w:tcPr>
          <w:p w14:paraId="3D3AC67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152.</w:t>
            </w:r>
          </w:p>
        </w:tc>
        <w:tc>
          <w:tcPr>
            <w:tcW w:w="2656" w:type="dxa"/>
            <w:hideMark/>
          </w:tcPr>
          <w:p w14:paraId="12DB8969"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BPB </w:t>
            </w:r>
            <w:r w:rsidRPr="00BC49FC">
              <w:rPr>
                <w:rFonts w:ascii="Times New Roman" w:hAnsi="Times New Roman" w:cs="Times New Roman"/>
              </w:rPr>
              <w:t>Budovy pre budúcnosť</w:t>
            </w:r>
          </w:p>
        </w:tc>
        <w:tc>
          <w:tcPr>
            <w:tcW w:w="612" w:type="dxa"/>
            <w:hideMark/>
          </w:tcPr>
          <w:p w14:paraId="0B334901"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984664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32 ods. 12 </w:t>
            </w:r>
            <w:r w:rsidRPr="00BC49FC">
              <w:rPr>
                <w:rFonts w:ascii="Times New Roman" w:hAnsi="Times New Roman" w:cs="Times New Roman"/>
              </w:rPr>
              <w:t xml:space="preserve">Žiadame z rozsahu povinnosti žiadať o súhlas na uzatvorenie zmluvy o energetickej efektívnosti pre verejný sektor podľa odseku 3 písm. b), ktorá má dôsledky na výšku dlhu verejnej správy v jednotnej metodike platnej pre Európsku úniu, vyňať obce a vyššie územné celky.   Odôvodnenie: Dôvodnosť možnosti uzatvárať zmluvy o energetickej efektívnosti s dopadom na dlh len so súhlasom Ministerstva financií je logická v prípadoch, ktoré majú priamu väzbu na štátny rozpočet.  Z toho istého dôvodu sa zakazuje subjektom verejnej správy s výnimkou obce a vyššieho územného celku podľa § 19 ods. 12 zákona č. 523/2004 Z. z. o rozpočtových pravidlách verejnej správy a o zmene a doplnení niektorých zákonov prijímať úvery, pôžičky a návratné finančné výpomoci.  Z rozsahu ustanovenia § 19 ods. 12 zákona č. 523/2004 Z. z.  sú však vyňaté obce a vyššie územné celky. Dôvodom je, že rozsah možnosti zadlžovania sa obcí a VÚC je daný zákonom č. 583/2004 Z. z. o rozpočtových pravidlách územnej samosprávy a o zmene a doplnení niektorých zákonov.  Z toho istého dôvodu je systematicky racionálne ponechať samospráve (obce a VÚC) možnosť sa zadlžovať aj zmluvami o energetickej efektívnosti, pokiaľ miera zadlženia bude spadať do limitov  zákona č. 583/2004 Z. z. o rozpočtových </w:t>
            </w:r>
            <w:r w:rsidRPr="00BC49FC">
              <w:rPr>
                <w:rFonts w:ascii="Times New Roman" w:hAnsi="Times New Roman" w:cs="Times New Roman"/>
              </w:rPr>
              <w:lastRenderedPageBreak/>
              <w:t>pravidlách územnej samosprávy.  V opačnom prípade – ak by obce a VÚC nemohli autonómne uzatvárať zmluvy o energetickej efektívnosti s dopadom na dlh iba v limitoch rozpočtových pravidiel zákona č. 583/2004 Z. z., došlo by k osobitnej limitácii (osobitnej právnej úprave) len vo vzťahu k špecificky vymedzeným zmluvám o energetickej efektívnosti. Na uzatvorenie zmluvy o energetickej efektívnosti by sa preto vzťahoval prísnejší režim ako na „obyčajné“ zmluvy, ktoré zadlžujú.   Takáto úprava by priniesla iba rozšírenie obmedzenia vo vzťahu k možnostiam samosprávy realizovať projekty GES v rámci bežných limitov zadlžovania podľa už platnej právnej úpravy zákona č. 583/2004 Z. z.  Z uvedeného dôvodu navrhujeme obce a VÚC z ustanovenia § 32 ods. 12 zákona vyňať obdobne, ako tomu je v prípade § 19 ods. 12 zákona č. 523/2004 Z. z. o rozpočtových pravidlách verejnej správy.  Navrhované znenie: § 32 ods. 12 znie: „(12) Subjekt verejnej správy s výnimkou obce a vyššieho územného celku môže zmluvu o energetickej efektívnosti pre verejný sektor podľa odseku 3 písm. b), ktorá má dôsledky na výšku dlhu verejnej správy v jednotnej metodike platnej pre Európsku úniu 60) uzatvoriť iba so súhlasom Ministerstva financií Slovenskej republiky. Ministerstvo financií Slovenskej republiky vydá písomné stanovisko najneskôr do 60 dní odo dňa doručenia úplnej žiadosti verejného subjektu. Ak Ministerstvo financií Slovenskej republiky v tejto lehote stanovisko nevydá, predpokladá sa, že súhlas bol udelený. Nesúhlas Ministerstva financií Slovenskej republiky musí byť odôvodnený a verejný subjekt môže po úprave návrhu opätovne predložiť žiadosť o súhlas.“  Typ pripomienky: Zásadná</w:t>
            </w:r>
          </w:p>
        </w:tc>
        <w:tc>
          <w:tcPr>
            <w:tcW w:w="2264" w:type="dxa"/>
            <w:vAlign w:val="center"/>
            <w:hideMark/>
          </w:tcPr>
          <w:p w14:paraId="7753C2F9" w14:textId="5119C514"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lastRenderedPageBreak/>
              <w:t>ČA</w:t>
            </w:r>
          </w:p>
        </w:tc>
        <w:tc>
          <w:tcPr>
            <w:tcW w:w="2753" w:type="dxa"/>
            <w:vAlign w:val="center"/>
            <w:hideMark/>
          </w:tcPr>
          <w:p w14:paraId="636BB1DB" w14:textId="64AA6B74" w:rsidR="00FE0F3E" w:rsidRPr="00BC49FC" w:rsidRDefault="00FE0F3E" w:rsidP="001E0E8C">
            <w:pPr>
              <w:rPr>
                <w:rFonts w:ascii="Times New Roman" w:hAnsi="Times New Roman" w:cs="Times New Roman"/>
                <w:b/>
                <w:bCs/>
              </w:rPr>
            </w:pPr>
            <w:r w:rsidRPr="00BC49FC">
              <w:rPr>
                <w:rFonts w:ascii="Times New Roman" w:hAnsi="Times New Roman" w:cs="Times New Roman"/>
                <w:color w:val="000000"/>
              </w:rPr>
              <w:t xml:space="preserve">Odsek 12 sa v nadväznosti na rokovanie s MF SR vypúšťa. </w:t>
            </w:r>
          </w:p>
        </w:tc>
      </w:tr>
      <w:tr w:rsidR="00FE0F3E" w:rsidRPr="006278D2" w14:paraId="5377B1A1" w14:textId="2184F34C" w:rsidTr="00725D29">
        <w:trPr>
          <w:trHeight w:val="8175"/>
        </w:trPr>
        <w:tc>
          <w:tcPr>
            <w:tcW w:w="975" w:type="dxa"/>
            <w:hideMark/>
          </w:tcPr>
          <w:p w14:paraId="662186C1" w14:textId="77777777" w:rsidR="00FE0F3E" w:rsidRPr="00BC49FC" w:rsidRDefault="00FE0F3E" w:rsidP="00D82948">
            <w:pPr>
              <w:rPr>
                <w:rFonts w:ascii="Times New Roman" w:hAnsi="Times New Roman" w:cs="Times New Roman"/>
                <w:b/>
                <w:bCs/>
              </w:rPr>
            </w:pPr>
            <w:bookmarkStart w:id="0" w:name="RANGE!A159:F161"/>
            <w:r w:rsidRPr="00BC49FC">
              <w:rPr>
                <w:rFonts w:ascii="Times New Roman" w:hAnsi="Times New Roman" w:cs="Times New Roman"/>
                <w:b/>
                <w:bCs/>
              </w:rPr>
              <w:lastRenderedPageBreak/>
              <w:t>153.</w:t>
            </w:r>
            <w:bookmarkEnd w:id="0"/>
          </w:p>
        </w:tc>
        <w:tc>
          <w:tcPr>
            <w:tcW w:w="2656" w:type="dxa"/>
            <w:hideMark/>
          </w:tcPr>
          <w:p w14:paraId="2F3B85C9" w14:textId="77777777" w:rsidR="00FE0F3E" w:rsidRPr="00BC49FC" w:rsidRDefault="00FE0F3E" w:rsidP="00D82948">
            <w:pPr>
              <w:rPr>
                <w:rFonts w:ascii="Times New Roman" w:hAnsi="Times New Roman" w:cs="Times New Roman"/>
                <w:b/>
                <w:bCs/>
              </w:rPr>
            </w:pPr>
            <w:r w:rsidRPr="00BC49FC">
              <w:rPr>
                <w:rFonts w:ascii="Times New Roman" w:hAnsi="Times New Roman" w:cs="Times New Roman"/>
                <w:b/>
                <w:bCs/>
              </w:rPr>
              <w:t xml:space="preserve">Elektrosmog a zdravie </w:t>
            </w:r>
            <w:r w:rsidRPr="00BC49FC">
              <w:rPr>
                <w:rFonts w:ascii="Times New Roman" w:hAnsi="Times New Roman" w:cs="Times New Roman"/>
              </w:rPr>
              <w:t>Elektrosmog a zdravie</w:t>
            </w:r>
          </w:p>
        </w:tc>
        <w:tc>
          <w:tcPr>
            <w:tcW w:w="612" w:type="dxa"/>
            <w:hideMark/>
          </w:tcPr>
          <w:p w14:paraId="19884A89" w14:textId="77777777" w:rsidR="00FE0F3E" w:rsidRPr="00BC49FC" w:rsidRDefault="00FE0F3E" w:rsidP="00D82948">
            <w:pPr>
              <w:rPr>
                <w:rFonts w:ascii="Times New Roman" w:hAnsi="Times New Roman" w:cs="Times New Roman"/>
              </w:rPr>
            </w:pPr>
            <w:r w:rsidRPr="00BC49FC">
              <w:rPr>
                <w:rFonts w:ascii="Times New Roman" w:hAnsi="Times New Roman" w:cs="Times New Roman"/>
              </w:rPr>
              <w:t>O</w:t>
            </w:r>
          </w:p>
        </w:tc>
        <w:tc>
          <w:tcPr>
            <w:tcW w:w="5615" w:type="dxa"/>
            <w:hideMark/>
          </w:tcPr>
          <w:p w14:paraId="1CA02D6F" w14:textId="77777777" w:rsidR="00FE0F3E" w:rsidRPr="00BC49FC" w:rsidRDefault="00FE0F3E" w:rsidP="00D82948">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 xml:space="preserve">Pripomienky týkajúce sa ochrany spotrebiteľa a cieľov smernice EU 2023/1791.  1. Navrhujeme, aby sa ochrana spotrebiteľa a jeho záujmov v slovenskej legislatíve posilnili a zaručili, pretože je to v súlade s cieľmi smernice EU 2023/1791 o energetickej efektívnosti (ďalej smernice) a so Zmluvou o fungovaní Európskej únie (ďalej ZFEU) prezentovanými napr. v:  a) preambule smernice ods. (76): “ Členské štáty môžu vyžadovať od povinných subjektov, aby do opatrení na úsporu energie zahrnuli sociálne ciele, ktoré súvisia s energetickou chudobou, a táto možnosť sa už rozšírila aj o alternatívne politické opatrenia a národné fondy energetickej efektívnosti. Táto možnosť by sa mala zmeniť na povinnosť v snahe chrániť zraniteľných odberateľov a konečných spotrebiteľov a posilniť ich postavenie a zmenšiť energetickú chudobu, a to pri umožnení členským štátom zachovať si úplnú flexibilitu, pokiaľ ide o typ politického opatrenia, jeho veľkosť, rozsah a obsah.”... “Členské štáty by vo svojom súbore politík mali zabezpečiť, aby iné politické opatrenia nemali negatívny dosah na ľudí postihnutých energetickou chudobou, zraniteľných odberateľov, konečných spotrebiteľov a v relevantnom prípade ľudí žijúcich v sociálnom bývaní.”   b) preambule smernice ods. (91): “ Náklady a prínosy všetkých prijatých opatrení energetickej efektívnosti vrátane doby návratnosti by mali byť pre spotrebiteľov úplne transparentné.”  c) preambule smernice ods. (16): “Zásada prvoradosti energetickej efektívnosti by sa mala uplatňovať tak, že v prvom rade by sa mal zohľadniť prístup k efektívnosti systému a spoločenskému a zdravotnému hľadisku, pričom pozornosť by sa mala venovať aj bezpečnosti dodávok”…,   d) preambule smernice ods. (23): “Výhody z uplatňovania zásady prvoradosti energetickej efektívnosti by mali plynúť ľuďom, ktorí čelia energetickej chudobe alebo riziku, že do nej </w:t>
            </w:r>
            <w:r w:rsidRPr="00BC49FC">
              <w:rPr>
                <w:rFonts w:ascii="Times New Roman" w:hAnsi="Times New Roman" w:cs="Times New Roman"/>
              </w:rPr>
              <w:lastRenderedPageBreak/>
              <w:t xml:space="preserve">upadnú, zraniteľným odberateľom vrátane konečných spotrebiteľov”… “Celostný prístup v tvorbe politiky a pri vykonávaní politík a opatrení si vyžaduje, aby členské štáty zabezpečili, aby iné politiky a opatrenia nemali nepriaznivý účinok na uvedených jednotlivcov a domácnosti.”  e) preambule smernice ods. (125): “Členské štáty by mali posilniť postavenie všetkých ľudí a chrániť ich všetkých rovnako, bez ohľadu na pohlavie, rod, vek, zdravotné postihnutie, rasu či etnický pôvod, sexuálnu orientáciu, náboženské vyznanie alebo presvedčenie, a mali by zabezpečiť, aby ľudia najviac postihnutí alebo ohrození energetickou chudobou alebo najviac vystavení jej negatívnym účinkom boli primerane chránení. Okrem toho by členské štáty mali zabezpečiť, aby opatrenia energetickej efektívnosti neprehĺbili žiadnu existujúcu nerovnosť, najmä pokiaľ ide o energetickú chudobu.”  f) článku 3 (Zásada prvoradosti energetickej efektívnosti) smernice, ods. 5, písm. a): “ Členské štáty pri uplatňovaní zásady prvoradosti energetickej efektívnosti: podporujú a v prípadoch, keď sa vyžadujú analýzy nákladov a prínosov, zabezpečujú uplatňovanie metodík nákladov a prínosov, ktoré umožňujú náležité posúdenie širších prínosov riešení energetickej efektívnosti, ak je to vhodné, s prihliadnutím na celý životný cyklus a dlhodobú perspektívu, systémovú a nákladovú efektívnosť, bezpečnosť dodávok a kvantifikáciu zo spoločenských, zdravotných a hospodárskych hľadísk a hľadiska klimatickej neutrality, zásady udržateľnosti a obehového hospodárstva pri prechode na klimatickú neutralitu, a tieto metodiky sprístupňujú verejnosti”  g) článku 21 (Základné zmluvné práva týkajúce sa vykurovania, chladenia a teplej úžitkovej vody) smernice,  - ods. 1: “Členské štáty bez toho, aby boli dotknuté pravidlá Únie o ochrane spotrebiteľa, predovšetkým smernica Európskeho parlamentu a Rady 2011/83/EÚ a smernica </w:t>
            </w:r>
            <w:r w:rsidRPr="00BC49FC">
              <w:rPr>
                <w:rFonts w:ascii="Times New Roman" w:hAnsi="Times New Roman" w:cs="Times New Roman"/>
              </w:rPr>
              <w:lastRenderedPageBreak/>
              <w:t xml:space="preserve">Rady 93/13/EHS, zabezpečia, aby sa koncovým odberateľom, a ak sú výslovne uvedení, aj konečným spotrebiteľom, udelili práva stanovené v odsekoch 2 až 9 tohto článku.” - ods. 6: “Koncovým odberateľom a v relevantných prípadoch konečným spotrebiteľom sa ponúkajú spravodlivé a transparentné všeobecné podmienky, ktoré sa im musia poskytnúť zrozumiteľne a jednoznačne a ktoré nesmú obsahovať mimozmluvné prekážky uplatnenia zákazníckych práv, ako napríklad nadmernú zmluvnú dokumentáciu. Konečným spotrebiteľom sa na ich žiadosť musí poskytnúť prístup k týmto všeobecným podmienkam. Koncoví odberatelia a koneční spotrebitelia musia byť chránení pred nečestnými alebo zavádzajúcimi predajnými praktikami. Koncovým odberateľom so zdravotným postihnutím sa poskytnú všetky relevantné informácie o ich zmluve s dodávateľom v prístupných formátoch. - ods. 8: “Príslušné orgány zabezpečia presadzovanie opatrení na ochranu spotrebiteľov stanovených v tejto smernici. Príslušné orgány konajú nezávisle od akýchkoľvek trhových záujmov.”  h) článku. 12 ZFEU: “Požiadavky ochrany spotrebiteľa sa zohľadnia pri definovaní a uskutočňovaní iných politík a činností Únie.”  i) článku. 169 ods. 1 ZFEU: “Únia v snahe podporiť záujmy spotrebiteľov a zabezpečiť vysokú úroveň ochrany spotrebiteľov prispieva k ochrane ich zdravia, bezpečnosti a hospodárskych záujmov spotrebiteľov, ako aj k podpore ich práva na informácie, osvetu a vytváranie združení na ochranu ich záujmov.”   2. Navrhujeme, aby sa cieľ smernice 2023/1791 – úspora energie v akejkoľvek podobe, resp. forme - aj reálne premietol do slovenskej legislatívy, pretože doterajšie praktické skúsenosti svedčia o absencii relevantných analýz, ktoré by svedčili o opodstatnenosti viacerých opatrení, napr. v oblasti zavádzania diaľkových odpočtov na meradlá spotreby a PRVN (pomerové rozdeľovače vykurovacích nákladov). </w:t>
            </w:r>
            <w:r w:rsidRPr="00BC49FC">
              <w:rPr>
                <w:rFonts w:ascii="Times New Roman" w:hAnsi="Times New Roman" w:cs="Times New Roman"/>
              </w:rPr>
              <w:lastRenderedPageBreak/>
              <w:t xml:space="preserve">Námietky verejnosti poukazujúce na neprimeranosť takýchto opatrení napr. z dôvodov zjavnej nákladovej neefektívnosti vzhľadom na nové riziká a s tým súvisiace náklady vyskytujúce sa pri zavádzaní nových technológií, sú v praxi často systematicky ignorované.   Konkrétne poukazujeme na zavádzanie meradiel spotreby s diaľkovým odpočtom, ktoré sú v praxi prezentované ako bezpodmienečná povinnosť inštalácie meradiel spotreby s rádiovými modulmi. Pritom v skutočnosti musí byť okrem iného splnená nevyhnutná podmienka ich nákladovej efektívnosti v najširšom význame, čo vyplýva z cieľov smernice 2023/1791. Analýzy ktoré by preukázali ich nákladovú efektívnosť absentujú, práva spotrebiteľov sa ignorujú. Rovnako sa ignorujú riziká zdravotné, bezpečnostné, nákladové a straty súkromia spájané s uvedenou technológiou. S uvedenými rizikami však súvisia náklady, ktoré je potrebné vynaložiť na prevenciu a riešenie následkov uvedených rizík. Pritom možnosť samoodpočtu, ktorá je bez uvedených rizík sa taktiež ignoruje.  Zmienený cieľ smernice - úspora energie v akejkoľvek podobe, resp. forme – a s tým súvisiaca zásada prvoradosti energetickej efektívnosti je v smernici 2023/1791 prezentovaná napr. v:  a) preambule ods. (28): “Nový spôsob vyjadrenia úrovne ambície pri cieľoch Únie nemá vplyv na skutočnú potrebnú mieru úsilia a v porovnaní s projekciami v referenčnom scenári EÚ z roku 2007 na rok 2030 zodpovedá zníženiu primárnej energetickej spotreby o 40,5 % a zníženiu konečnej energetickej spotreby o 38 %.  b) preambule ods. (30): “Podľa projekcií referenčného scenára EÚ z roku 2020 sa má do roku 2030 dosiahnuť konečná energetická spotreba vo výške 864 Mtoe a primárna energetická spotreba vo výške 1 124 Mtoe (s výnimkou energie z okolitého prostredia a vrátane medzinárodného letectva). Dodatočné 11,7 % zníženie povedie k hodnotám 763 Mtoe a 992,5 Mtoe v roku 2030. V </w:t>
            </w:r>
            <w:r w:rsidRPr="00BC49FC">
              <w:rPr>
                <w:rFonts w:ascii="Times New Roman" w:hAnsi="Times New Roman" w:cs="Times New Roman"/>
              </w:rPr>
              <w:lastRenderedPageBreak/>
              <w:t xml:space="preserve">porovnaní s úrovňami z roku 2005 to znamená, že konečná energetická spotreba v Únii by sa mala znížiť o približne 25 % a primárna energetická spotreba by sa mala znížiť o približne 34 %.   c) preambule ods. (60): “ Povinnosť úspor energie stanovená v tejto smernici by sa mala rozšíriť a mala by platiť aj po roku 2030.”… “Povinnosť úspor energie zohráva dôležitú úlohu pri tvorbe miestneho rastu, pracovných miest, konkurencieschopnosti a pri zmenšovaní energetickej chudoby.”  d) článku 3 (Zásada prvoradosti energetickej efektívnosti) ods. 5 písm. a): “Členské štáty pri uplatňovaní zásady prvoradosti energetickej efektívnosti podporujú a v prípadoch, keď sa vyžadujú analýzy nákladov a prínosov, zabezpečujú uplatňovanie metodík nákladov a prínosov, ktoré umožňujú náležité posúdenie širších prínosov riešení energetickej efektívnosti, ak je to vhodné, s prihliadnutím na celý životný cyklus a dlhodobú perspektívu, systémovú a nákladovú efektívnosť, bezpečnosť dodávok a kvantifikáciu zo spoločenských, zdravotných a hospodárskych hľadísk a hľadiska klimatickej neutrality, zásady udržateľnosti a obehového hospodárstva pri prechode na klimatickú neutralitu, a tieto metodiky sprístupňujú verejnosti;  e) článku 4 (Ciele energetickej efektívnosti) ods. 1: “Členské štáty kolektívne zabezpečia zníženie spotreby energie o minimálne 11,7 % v roku 2030 v porovnaní s prognózami referenčného scenára EÚ z roku 2020 tak, aby konečná energetická spotreba Únie nepresiahla 763 Mtoe. Členské štáty vynaložia úsilie, aby kolektívne prispeli k dosiahnutiu indikatívneho cieľa primárnej energetickej spotreby Únie tak, aby v roku 2030 nepresiahla 992,5 Mtoe.”   3. V súlade s bodom 1 navrhujeme, aby zavádzanie technológií emitujúcich elektromagnetické žiarenie a technológií ktoré nejakým spôsobom vplývajú alebo môžu vplývať na životné prostredie a zdravie bolo vždy sprevádzané:  a) </w:t>
            </w:r>
            <w:r w:rsidRPr="00BC49FC">
              <w:rPr>
                <w:rFonts w:ascii="Times New Roman" w:hAnsi="Times New Roman" w:cs="Times New Roman"/>
              </w:rPr>
              <w:lastRenderedPageBreak/>
              <w:t xml:space="preserve">možnosťou spotrebiteľa uvedené technológie odmietnuť bez akejkoľvek sankcie alebo znevýhodnenia,   b) úplným informovaním o všetkých rizikách, vrátane zdravotných, environmentálnych, bezpečnostných, nákladových, pričom informovanie o nákladových rizikách (v zmysle čl. 25 a prílohy X ods. 10 smernice 2023/1791) musí zahŕňať kapitálové náklady na zariadenia a vybavenie, variabilné a fixné prevádzkové náklady, náklady na energiu, environmentálne náklady a náklady týkajúce sa zdravia a bezpečnosti, a to v maximálnom rozsahu, náklady týkajúce sa pracovného trhu, energetickej bezpečnosti a konkurencieschopnosti, a to v maximálnom rozsahu a administratívne náklady na vykonanie analýzy nákladov a prínosov a (v zmysle NECP str. 286 https://www.mhsr.sk/uploads/files/IjkPMQAc.pdf) aj náklady na činnosť vykonávajúcich orgánov verejnej moci, zúčastňujúcich sa alebo poverených subjektov  súvisiacu s opatreniami na zlepšenie energetickej efektívnosti, teda náklady Ministerstva hospodárstva Slovenskej republiky (MH SR), Slovenskej inovačnej a energetickej agentúry (SIEA) a ďalších orgánov a subjektov, vrátane nákladov súvisiacich s vytvorením a činnosťou Monitorovacieho systému energetickej efektívnosti.  pretože   - v súčasnosti medzinárodné inštitúcie – predovšetkým OSN a WHO – presadzujú prístup “Jedno zdravie” – čiže integráciu prírody, biodiverzity a zdravia do politík a opatrení v oblasti životného prostredia a zdravia. (Pozn. podrobnosti sú uvedené v Budapeštianskej deklarácii z júla 2023 https://iris.who.int/server/api/core/bitstreams/781a703d-e062-4eba-b11c-a224a7861abf/content );  - jedným zo záväzkov prijatých v Budapeštianskej deklarácii je záväzok venovať pozornosť a reagovať aj na nové problémy ako sú elektromagnetické žiarenie a kombinované pôsobenia viacerých znečisťujúcich činiteľov (angl. pollutants) (str. 9 Budapeštianskej </w:t>
            </w:r>
            <w:r w:rsidRPr="00BC49FC">
              <w:rPr>
                <w:rFonts w:ascii="Times New Roman" w:hAnsi="Times New Roman" w:cs="Times New Roman"/>
              </w:rPr>
              <w:lastRenderedPageBreak/>
              <w:t xml:space="preserve">deklarácie);  - v legislatívnych procesoch dochádza často k absencii aplikovania záväzného princípu predbežnej opatrnosti prijatého počas OSN konferencie o životnom prostredí a rozvoji konanej 3-14 júna 1992 v Rio de Janeiro v Brazílii. V záverečnom dokumente známom ako 1992 Rio deklarácia (Pozn. https://docs.un.org/en/A/CONF.151/26/Rev.1(vol.I)) ), v Princípe 15 je uvedené: “V záujme ochrany životného prostredia musia štáty v súlade so svojimi možnosťami široko uplatňovať prístup predbežnej opatrnosti. V prípade hrozby vážneho alebo nezvratného poškodenia sa nedostatok úplnej vedeckej istoty nesmie použiť ako dôvod na odloženie nákladovo efektívnych opatrení na zabránenie zhoršovaniu životného prostredia.”   - z dostupných posudkov zariadení používaných v rámci opatrení na zlepšenie energetickej efektívnosti, konkrétne napr. meradiel spotreby (vodomery, …) a PRVN s rádiovým dátovým zberom , vyplýva, že  i) nie je možné z lekárskeho hľadiska preukázať, že nemajú relevantné zdravotné účinky,  ii) existuje veľká nerovnosť a diskrimininácia v úrovni ochrany zdravia medzi európskymi krajinami, pričom podľa švajčiarskych limitných hodnôt tieto zariadenia nie sú určené pre lokality s citlivým užívaním, teda nie sú určené pre bytové domy a detské ihriská. Napriek tomu sa na Slovensku bežne montujú práve do lokalít s citlivým užívaním.  (Zdroj: Zhrnutie posudku, str. 3 https://www.elektrosmogazdravie.sk/wp-content/uploads/docs/ZhrnutiePosudku_Prof_Silny.pdf )    4. Navrhujeme zaviesť celostný prístup a zásadné prehodnotenie prezentovaných opatrení na zlepšenie energetickej efektívnosti, aby sa odstránili zjavné protirečenia cieľov opatrení s následkami týchto opatrení predovšetkým vo vzťahu k ochrane spotrebiteľa a jeho záujmov,  pretože   a) podľa NECP (Integrovaný národný energetický a klimatický plán na roky 2021 – 2030) </w:t>
            </w:r>
            <w:r w:rsidRPr="00BC49FC">
              <w:rPr>
                <w:rFonts w:ascii="Times New Roman" w:hAnsi="Times New Roman" w:cs="Times New Roman"/>
              </w:rPr>
              <w:lastRenderedPageBreak/>
              <w:t xml:space="preserve">(https://www.mhsr.sk/uploads/files/IjkPMQAc.pdf ), na ktorý sa odvolávajú viaceré dokumenty zaradené do sprievodnej dokumentácie tohto pripomienkového konania (napr.  Analýza vplyvov na podnikateľské prostredie.docx  Analýza vplyvov na rozpočet verejnej správy.docx  Doložka vybraných vplyvov.docx  Dovodova správa_osobitna cast.docx  Dôvodová správa_vseobecna cast.docx  Návrh vyhlašky k cieľom energetickej efektívnosti7.1.26.docx  predkladacia sprava.docx  sprava o účasti verejnosti.docx ) v kapitole 5.2.2 na str. 263 je uvedené: “Investície do energetickej efektívnosti znižujú náklady na energie a vedú k dlhodobým ziskom v produktivite hospodárstva. Pre tieto investície je potrebné zabezpečiť financovanie v krátkodobom až strednodobom horizonte. V priemysle a terciárnych sektoroch sa tieto investície do energetickej efektívnosti prenesú na spotrebiteľov vo forme vyšších cien produktov a služieb.” Poukazujeme na to, že uvedené skutočnosti povedú s vysokou pravdepodobnosťou k väčšej energetickej chudobe predovšetkým u tých spotrebiteľov, ktorí sa správajú zodpovedne a už v súčasnosti nemajú rezervy na zlepšenie energetickej efektívnosti. Avšak jedným z podstatných cieľov opatrení na zlepšenie energetickej efektívnosti je zníženie energetickej chudoby, čo je spor. Skutočnosť, že citovaný text (verzia NECP z decembra 2019) sa už nenachádza v aktualizovanej verzii NECP vyvoláva otázku, či nejde o snahu zatajiť informácie, ktoré sú relevantné pre ochranu spotrebiteľa.  b) V návrhu Vyhlášky k cieľom, plánom a opatreniam energetickej efektívnosti (dokument s názvom “Návrh vyhlašky k cieľom energetickej efektívnosti7.1.26.docx”) je uvedený každoročný cieľ úspor energie u konečného spotrebiteľa. Podľa § 6 ods. 1 a tiež podľa prílohy 3 časť A ods. 1 podiel ročnej úspory energie je 0,8 % v období rokov 2021 až 2023, 1,3% v rokoch 2024 a 2025, 1,5% v rokoch 2026 </w:t>
            </w:r>
            <w:r w:rsidRPr="00BC49FC">
              <w:rPr>
                <w:rFonts w:ascii="Times New Roman" w:hAnsi="Times New Roman" w:cs="Times New Roman"/>
              </w:rPr>
              <w:lastRenderedPageBreak/>
              <w:t>a 2027 a 1,9% v rokoch 2028 až 2030. Podľa § 6 ods. 10 a prílohy 3 časť B Kumulatívny cieľ úspor energie u konečného spotrebiteľa je paťdesiatpäťnásobkom cieľa úspor energie u konečného spotrebiteľa. Z kontextu (napr. § 6 ods. 5 písm. j)) vyplýva, že zjavne ide 10 – ročné obdobia a napr. pri použití cieľa úspor energie 1,9% dostávame kumulatívny cieľ úspor 104,5% (1,9%*55). To považujeme nielen v úplnom rozpore s pravidlami na ochranu spotrebiteľa, ale za nehumánne a drakonické, odporujúce ľudskej dôstojnosti, a preto neakceptovateľné. Zjavne to povedie k zvýšeniu energetickej chudoby a prehĺbeniu existujúcich nerovností.  Neprihliada sa však na to, že niektorí ľudia sa správajú veľmi zodpovedne, šetria kde sa dá a iní nezodpovedne – plytvajú, prípadne ich konanie motivuje spotrebiteľov k plytvaniu. Ak by sa to malo posudzovať na individuálnej úrovni, tak už len náklady na proces posudzovania individuálneho správania spotrebiteľov, navrhovanie opatrení na individuálnej báze na zlepšenie energetickej efektívnosti by zjavne viedlo k systému posudkových komisií, kde by bol posudzovaný úplne každý, pričom by museli byť zohľadnené hygienické, bezpečnostné a iné štandardy. Vynucovanie takýchto opatrení by viedlo k novému druhu sankcií, priestupkov, trestnej činnosti. čím by boli zaťažené správne orgány a iné orgány. To by viedlo k ďalším nákladom, a teda k ešte hlbším rozporom medzi cieľmi opatrení na zlepšenie energetickej efektívnosti a dôsledkami takýchto opatrení. Jediným skutočne účinným opatrením by bolo zlepšenie morálnej úrovne obyvateľov, nie len spotrebiteľov, ale predovšetkým podnikateľov, úradníkov a politikov, ktorí by sa správali zodpovedne a ohľaduplne k energetickým zdrojom a zdrojom všeobecne a tiež k iným ľuďom.</w:t>
            </w:r>
          </w:p>
        </w:tc>
        <w:tc>
          <w:tcPr>
            <w:tcW w:w="2264" w:type="dxa"/>
            <w:hideMark/>
          </w:tcPr>
          <w:p w14:paraId="47FBAFA0" w14:textId="78E91D26" w:rsidR="00FE0F3E" w:rsidRPr="00BC49FC" w:rsidRDefault="00FE0F3E" w:rsidP="00D82948">
            <w:pPr>
              <w:rPr>
                <w:rFonts w:ascii="Times New Roman" w:hAnsi="Times New Roman" w:cs="Times New Roman"/>
                <w:b/>
                <w:bCs/>
              </w:rPr>
            </w:pPr>
            <w:r>
              <w:rPr>
                <w:b/>
                <w:bCs/>
              </w:rPr>
              <w:lastRenderedPageBreak/>
              <w:t> N</w:t>
            </w:r>
          </w:p>
        </w:tc>
        <w:tc>
          <w:tcPr>
            <w:tcW w:w="2753" w:type="dxa"/>
            <w:hideMark/>
          </w:tcPr>
          <w:p w14:paraId="1D8D5EB9" w14:textId="22103D1B" w:rsidR="00FE0F3E" w:rsidRPr="00360DE4" w:rsidRDefault="00FE0F3E" w:rsidP="006A2AEE">
            <w:pPr>
              <w:rPr>
                <w:rFonts w:ascii="Times New Roman" w:hAnsi="Times New Roman" w:cs="Times New Roman"/>
              </w:rPr>
            </w:pPr>
            <w:r w:rsidRPr="00360DE4">
              <w:rPr>
                <w:rFonts w:ascii="Times New Roman" w:hAnsi="Times New Roman" w:cs="Times New Roman"/>
              </w:rPr>
              <w:t>Požadované spresnenie nie je z hľadiska účelu ustanovenia potrebné.</w:t>
            </w:r>
          </w:p>
        </w:tc>
      </w:tr>
      <w:tr w:rsidR="00FE0F3E" w:rsidRPr="006278D2" w14:paraId="0FCD3002" w14:textId="5441EEA8" w:rsidTr="00725D29">
        <w:trPr>
          <w:trHeight w:val="6630"/>
        </w:trPr>
        <w:tc>
          <w:tcPr>
            <w:tcW w:w="975" w:type="dxa"/>
            <w:hideMark/>
          </w:tcPr>
          <w:p w14:paraId="31E63FD6"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154.</w:t>
            </w:r>
          </w:p>
        </w:tc>
        <w:tc>
          <w:tcPr>
            <w:tcW w:w="2656" w:type="dxa"/>
            <w:hideMark/>
          </w:tcPr>
          <w:p w14:paraId="692BC01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Elektrosmog a zdravie </w:t>
            </w:r>
            <w:r w:rsidRPr="00BC49FC">
              <w:rPr>
                <w:rFonts w:ascii="Times New Roman" w:hAnsi="Times New Roman" w:cs="Times New Roman"/>
              </w:rPr>
              <w:t>Elektrosmog a zdravie</w:t>
            </w:r>
          </w:p>
        </w:tc>
        <w:tc>
          <w:tcPr>
            <w:tcW w:w="612" w:type="dxa"/>
            <w:hideMark/>
          </w:tcPr>
          <w:p w14:paraId="4E7634C3"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27D2EBF7"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 xml:space="preserve">Pripomienky týkajúce sa samoodpočtu  1. Navrhujeme, aby do slovenskej legislatívy, vrátane zákonov č. 321/2014, 657/2004, 251/2012, ktoré okrem iného ustanovujú meranie teplej vody, tepla, elektriny a plynu, bol zavedený pojem samoodpočet v kontexte uvedenom v čl. 17 ods. 1 a čl. 18 ods. 1. smernice 2023/1791. Poukazujeme na skutočnosť, že v angl. texte smernice 2023/1791 (https://eur-lex.europa.eu/legal-content/EN/TXT/PDF/?uri=CELEX:32023L1791 ) sa vyskytuje pojem “self-reading” (čl. 17 ods. 1, čl. 18 ods.1), ktorého slovenským ekvivalentom je pojem “samoodpočet” – ten sa však nenachádza v slovenskej verzii textu smernice 2023/1791. Pojem “samoodpočet” sa však vyskytuje napr. v slovenských verziách smerníc 2024/1788 (Príloha I ods. 2, písm. c)) (pri meraní spotreby plynu a vodíka) a 2019/944 (Príloha I ods. 2, písm. c), ) (pri meraní spotreby elektriny), preto by sa mal vyskytovať aj v slovenskej verzii smernice 2023/1791 a teda aj v slovenskej legislatíve, ktorá uvedené smernice transponuje.   2. V nadväznosti na navrhnuté zavedenie pojmu samoodpočet do slovenskej legislatívy v predchádzajúcom bode, navrhujeme, aby spotrebiteľ mal aj zaručenú možnosť zvoliť si samoodpočet spotreby teplej vody, tepla, chladu a plynu. Odstránili by sa tým rozdiely v prístupe k spotrebiteľom energií,  pretože   a) de facto je samoodpočet umožnený v zákone č. 251/2012 v § 40 ods. 3 pri meraní spotreby elektriny a tiež v § 76 ods. 2 pri meraní spotreby plynu,  b) bezpodmienečný samoodpočet umožňuje smernica EU 2024/1788 pri meraní spotreby plynu (a vodíka) (Príloha I ods. 2, písm. c)) a smernica EU 2019/944 pri meraní spotreby elektriny (Príloha I ods. 2, písm. c)),  c) z historického hľadiska, aj predchodkyňa smernice 2023/1791 - smernica 2012/27/EU o energetickej efektívnosti (platná do 11.10.2025), v úvodných verziách (od </w:t>
            </w:r>
            <w:r w:rsidRPr="00BC49FC">
              <w:rPr>
                <w:rFonts w:ascii="Times New Roman" w:hAnsi="Times New Roman" w:cs="Times New Roman"/>
              </w:rPr>
              <w:lastRenderedPageBreak/>
              <w:t xml:space="preserve">25.10.2012 do 9.7.2018) až do dátumu 23.12.2018 umožňovala bezpodmienečný samoodpočet spotreby teplej vody, chladu a tepla. Vo verzii z 24.12.2018 sa však postavenie spotrebiteľa v tomto smere zhoršilo, pretože bola pridaná podmienka, že túto možnosť samoodpočtu musí umožniť členský štát. Uvedená podmienka sa preniesla aj do smernice 2023/1791,  d) z vyššie uvedeného vyplýva, že aj súčasné znenie smernice 2023/1791 v čl. 18 ods. 1 poskytuje možnosť členským štátom umožniť samoodpočet spotreby teplej vody, chladu a tepla.  e) z dokumentu “TABUĽKA ZHODY EED.docx”, na str. 244 z porovnania textov vyplýva, že možnosť samoodpočtu daná v čl. 18 ods. 1 vo vete 2 smernice 2023/1791 nebola zohľadnená v navrhovanom znení § 19a zákona č. 657/2004 (resp. v čl. III ods. 26 navrhovanej novely zákona č. 321/2014 ). Z uvedeného vyplýva, že úroveň ochrany spotrebiteľa a jeho práva na slobodný výber tovarov a služieb v Slovenskej republike je nižšia než to umožňuje legislatíva Európskej únie. Zároveň sa tým zvýrazňuje rozdielny prístup k spotrebiteľom elektriny a plynu, ktorí majú umožnený samoodpočet na jednej strane a k spotrebiteľom teplej vody, tepla a chladu na strane druhej, ktorí v slovenskej legislatíve nemajú ustanovenú možnosť samoodpočtu. To však zakladá podmienky na spory a žaloby, čo potenciálne zaťaží všetky dotknuté strany, vrátane Ministerstva hospodárstva a Slovenskej republiky ako takej, ak takéto spory sa budú rozhodovať na medzinárodnej úrovni. To sa samozrejme prenesie do ďalších nákladov, ktoré bude potrebné započítať do nákladov súvisiacich so zavádzaním opatrení na dosiahnutie cieľov smernice 2023/1791, teda zlepšenie nákladovej a energetickej efektívnosti, aby sa tak dosiahla úspora v spotrebe energie v akejkoľvek forme. To je však zjavný rozpor medzi cieľmi smernice na jednej strane a následkami konania, ktoré zavádza opatrenia na dosiahnutie cieľov </w:t>
            </w:r>
            <w:r w:rsidRPr="00BC49FC">
              <w:rPr>
                <w:rFonts w:ascii="Times New Roman" w:hAnsi="Times New Roman" w:cs="Times New Roman"/>
              </w:rPr>
              <w:lastRenderedPageBreak/>
              <w:t>smernice na strane druhej.   3. Navrhujeme, aby spotrebiteľ mal zaručenú možnosť zvoliť si samoodpočet spotreby studenej vody. Napriek skutočnosti, že smernica 2023/1791 sa nezaoberá meraním spotreby studenej vody, v praxi sa často stretávame s ignoráciou tohto faktu a prostredníctvom rôznych nekalých praktík dochádza k núteniu spotrebiteľov aby si dali nainštalovať vodomery na studenú vodu s rádiovými modulmi. Preto v súčasnej situácii považujeme za nevyhnutné chrániť spotrebiteľa zákonným zaručením možnosti zvoliť si samoodpočet spotreby studenej vody.</w:t>
            </w:r>
          </w:p>
        </w:tc>
        <w:tc>
          <w:tcPr>
            <w:tcW w:w="2264" w:type="dxa"/>
            <w:hideMark/>
          </w:tcPr>
          <w:p w14:paraId="61B33560" w14:textId="350B7C6A"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N</w:t>
            </w:r>
          </w:p>
        </w:tc>
        <w:tc>
          <w:tcPr>
            <w:tcW w:w="2753" w:type="dxa"/>
            <w:hideMark/>
          </w:tcPr>
          <w:p w14:paraId="136D0121" w14:textId="77777777" w:rsidR="00FE0F3E" w:rsidRPr="0043403A" w:rsidRDefault="00FE0F3E">
            <w:pPr>
              <w:rPr>
                <w:rFonts w:ascii="Times New Roman" w:hAnsi="Times New Roman" w:cs="Times New Roman"/>
                <w:b/>
                <w:bCs/>
              </w:rPr>
            </w:pPr>
            <w:r w:rsidRPr="00BC49FC">
              <w:rPr>
                <w:rFonts w:ascii="Times New Roman" w:hAnsi="Times New Roman" w:cs="Times New Roman"/>
                <w:b/>
                <w:bCs/>
              </w:rPr>
              <w:t> </w:t>
            </w:r>
          </w:p>
          <w:p w14:paraId="534D4AEA" w14:textId="77777777" w:rsidR="00FE0F3E" w:rsidRPr="00360DE4" w:rsidRDefault="00FE0F3E" w:rsidP="0043403A">
            <w:pPr>
              <w:rPr>
                <w:rFonts w:ascii="Times New Roman" w:hAnsi="Times New Roman" w:cs="Times New Roman"/>
              </w:rPr>
            </w:pPr>
            <w:r>
              <w:rPr>
                <w:b/>
                <w:bCs/>
              </w:rPr>
              <w:t> </w:t>
            </w:r>
            <w:r w:rsidRPr="00360DE4">
              <w:rPr>
                <w:rFonts w:ascii="Times New Roman" w:hAnsi="Times New Roman" w:cs="Times New Roman"/>
              </w:rPr>
              <w:t>MH SR v spolupráci so SIEA pripravuje metodológiu posúdenia nákladovej efektívnosti montáže diaľkového odpočtu pre určené meradlá a pomerové rozdeľovače vykurovacích nákladov (PRVN). Vzhľadom k obmedzeným kapacitám nie je predbežne určený termín zverejnenia tohto materiálu.</w:t>
            </w:r>
          </w:p>
          <w:p w14:paraId="33138B21" w14:textId="0EF066A9" w:rsidR="00FE0F3E" w:rsidRPr="00BC49FC" w:rsidRDefault="00FE0F3E" w:rsidP="0043403A">
            <w:pPr>
              <w:rPr>
                <w:rFonts w:ascii="Times New Roman" w:hAnsi="Times New Roman" w:cs="Times New Roman"/>
                <w:b/>
                <w:bCs/>
              </w:rPr>
            </w:pPr>
            <w:r w:rsidRPr="00360DE4">
              <w:rPr>
                <w:rFonts w:ascii="Times New Roman" w:hAnsi="Times New Roman" w:cs="Times New Roman"/>
              </w:rPr>
              <w:t>Pozn: Funkcia samoodpočtu určeného meradla alebo PRVN je umožnená vždy, resp. aj pri meradlách vybavených funkciou diaľkového odpočtu.</w:t>
            </w:r>
          </w:p>
        </w:tc>
      </w:tr>
      <w:tr w:rsidR="00FE0F3E" w:rsidRPr="006278D2" w14:paraId="65F2EA53" w14:textId="7AFDB2B6" w:rsidTr="00725D29">
        <w:trPr>
          <w:trHeight w:val="8192"/>
        </w:trPr>
        <w:tc>
          <w:tcPr>
            <w:tcW w:w="975" w:type="dxa"/>
            <w:hideMark/>
          </w:tcPr>
          <w:p w14:paraId="4DB766FC"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155.</w:t>
            </w:r>
          </w:p>
        </w:tc>
        <w:tc>
          <w:tcPr>
            <w:tcW w:w="2656" w:type="dxa"/>
            <w:hideMark/>
          </w:tcPr>
          <w:p w14:paraId="0FF6BC79"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Elektrosmog a zdravie </w:t>
            </w:r>
            <w:r w:rsidRPr="00BC49FC">
              <w:rPr>
                <w:rFonts w:ascii="Times New Roman" w:hAnsi="Times New Roman" w:cs="Times New Roman"/>
              </w:rPr>
              <w:t>Elektrosmog a zdravie</w:t>
            </w:r>
          </w:p>
        </w:tc>
        <w:tc>
          <w:tcPr>
            <w:tcW w:w="612" w:type="dxa"/>
            <w:hideMark/>
          </w:tcPr>
          <w:p w14:paraId="07A92927"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7F9C83AC"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 xml:space="preserve">Pripomienky k sprievodnej dokumentácii, analýze nákladov a prínosov.  1. Vzhľadom na skutočnosť, že obsiahla dokumentácia, ktorá je súčasťou tohto pripomienkového konania obsahuje aj dokument “Konsolidované znenie_251_2012 Z.z_.docx”, ktorý má navrhnutý začiatok účinnosti novelizovaného zákona č. 251/2012 Z.z. o energetike od 1. januára 2027 (je to uvedené na str. 1), pričom podľa oficiálnej stránky zákona č. 251/2012 Z.z. o energetike https://www.slov-lex.sk/ezbierky/pravne-predpisy/SK/ZZ/2012/251/20260619.html sa v časti história nenachádza žiadna verzia so začiatkom účinnosti od 1. januára 2027 (nachádza sa tam časová verzia predpisu účinná od 19.06.2026 do 30.12.2028)  navrhujeme,  aby neodkladne boli do zákona č. 251/2012 Z.z o energetike zapracované naše návrhy a pripomienky https://www.slov-lex.sk/sprava-vyjadreni/legislativne-procesy/SK/PI/2026/110/vyjadrenia/b70e1ac8-7848-4eb6-bb11-701a0c171e74 zadané v rámci Legislatívneho procesu PI/2026/110.     2. Navrhujeme, aby v dokumente “vlastny material.docx”, ktorý je novelou zákona 321/2014 o energetickej efektívnosti bol zrušený čl. III ods. 18 písm. f) v navrhovanom znení: “zabezpečiť, aby určené meradlo a pomerový rozdeľovač vykurovacích nákladov boli vybavené funkciou diaľkového odpočtu; to neplatí, ak vlastník budovy preukáže, že inštalácia funkcie diaľkového odpočtu nie je nákladovo primeraná alebo technicky možná.“  pretože  a) uvedené navrhované znenie je nesprávnou transpozíciou určenia povinnosti dôkazného bremena. Dôvodom nesprávnosti je, že podľa európskej smernice (čl. 16 ods. 2 smernice 2023/1791) štát má preukázať energetickú neefektívnosť diaľkového odpočtu, avšak podľa slovenských právnych  predpisov (zákon č. 321/2014 a 657/2004 - §17 ods. 4 písm. b) a § </w:t>
            </w:r>
            <w:r w:rsidRPr="00BC49FC">
              <w:rPr>
                <w:rFonts w:ascii="Times New Roman" w:hAnsi="Times New Roman" w:cs="Times New Roman"/>
              </w:rPr>
              <w:lastRenderedPageBreak/>
              <w:t xml:space="preserve">18 ods. 4 písm. f) v navrhovanom znení) vlastník budovy má preukázať energetickú neefektívnosť diaľkového odpočtu  b) zvyčajne sú vlastníkmi bytových domov vlastníci jednotlivých bytov, ktorí obvykle majú uzatvorené zmluvy o výkone správy, a teda sú spotrebiteľmi, lebo podľa uznesenia Najvyššieho súdu SR sp. zn. 1Vcdo/5/2019 “pravidlá na ochranu spotrebiteľa sa uplatnia aj na zmluvy o výkone správy podľa § 8a zákona č. 182/1993 Z.z. o vlastníctve bytov a nebytových priestorov uzavreté medzi správcovskou spoločnosťou a vlastníkmi bytov a nebytových priestorov, ktorí sú fyzické a právnické osoby.”   c) podľa pravidiel na ochranu spotrebiteľa spotrebiteľ nemôže mať povinnosť preukazovať vlastnosti vnucovaného výrobku a služby. Inštalácia funkcie diaľkového odpočtu je vnucovanou službou zahŕňajúcou technické zariadenie vysielajúce namerané a iné údaje.  d) úradníci Ministerstva hospodárstva Slovenskej republiky o vyššie uvedených argumentoch vedeli a vedia, pretože to vyplýva zo zápisnice (strana 2) zo dňa 15.7.2025 https://www.elektrosmogazdravie.sk/wp-content/uploads/docs/zapisnica_MHSR_15_7_2025.pdf preto kladieme opodstatnenú otázku, či k nesprávnej transpozícii smernice 2023/1791 došlo úmyselne.  e) nesprávnosť transpozície vyplýva aj z dokumentu “TABUĽKA ZHODY EED.docx”, kde  - na str. 238 je uvedené, že čl. 16 ods. 2 smernice 2023/1791 bol transponovaný v § 18 ods. 13 zákona č. 657/2004 Z.z., čo pri porovnaní textov rozhodne odporuje skutočnosti, - na str. 237 je uvedené, že čl. 16 ods. 1 smernice 2023/1791 v znení: “Na účely článkov 14 a 15 umožňujú novo nainštalované meradlá a pomerové rozdeľovače vykurovacích nákladov diaľkový odpočet.” bol transponovaný v § 18 ods. 1 písm. a), § 18 ods. 4 písm. e), a tiež v už zmienenom § 18 ods. 4 písm. f) zákona č. 657/2004 Z.z.. Z porovnania textov </w:t>
            </w:r>
            <w:r w:rsidRPr="00BC49FC">
              <w:rPr>
                <w:rFonts w:ascii="Times New Roman" w:hAnsi="Times New Roman" w:cs="Times New Roman"/>
              </w:rPr>
              <w:lastRenderedPageBreak/>
              <w:t xml:space="preserve">je celkom zjavné, že znenie § 18 ods. 4 písm. f) zákona č. 657/2004 Z.z. nie je transpozíciou čl. 16 ods. 1 smernice 2023/1791, pričom zásadným spôsobom poškodzuje vlastníkov budov, ktorí sú obvykle spotrebiteľmi, tým, že ich zaťažuje dôkazným bremenom dokazovať vlastnosti vnucovaného výrobku a služby.    3. Navrhujeme, aby v dokumente “Konsolidované znenie 657_ 2004 Z.z.v1.docx”, ktorý je novelou zákona 657/2004 o tepelnej energetike boli  zrušené §17 ods. 4 písm. b) a § 18 ods. 4 písm. f)    kde - §17 ods. 4 písm. b) znie: “zabezpečiť obstaranie, zapojenie, udržiavanie a overovanie určených meradiel s diaľkovým odpočtom na meranie množstva teplej vody spotrebovanej konečným spotrebiteľom v súlade s osobitným predpisom;2 to neplatí, ak vlastník budovy preukáže, že inštalácia funkcie diaľkového odpočtu nie je nákladovo primeraná alebo technicky možná,”  - § 18 ods. 4 písm. f) znie: “zabezpečiť, aby určené meradlo a pomerový rozdeľovač vykurovacích nákladov boli vybavené funkciou diaľkového odpočtu; to neplatí, ak vlastník budovy preukáže, že inštalácia funkcie diaľkového odpočtu nie je nákladovo primeraná alebo technicky možná.“  pretože  a) uvedené znenia sú nesprávnymi transpozíciami určenia povinnosti dôkazného bremena. Dôvodom nesprávnosti je, že podľa európskej smernice (čl. 16 ods. 2 smernice 2023/1791) štát má preukázať energetickú neefektívnosť diaľkového odpočtu, avšak podľa slovenských právnych  predpisov (zákon č. 321/2014 a 657/2004 - §17 ods. 4 písm. b) a § 18 ods. 4 písm. f) v navrhovanom znení) vlastník budovy má preukázať energetickú neefektívnosť diaľkového odpočtu  b) zvyčajne sú vlastníkmi bytových domov vlastníci jednotlivých bytov, ktorí obvykle majú uzatvorené zmluvy o výkone správy, a teda sú spotrebiteľmi, lebo podľa uznesenia Najvyššieho súdu SR sp. zn. 1Vcdo/5/2019 “pravidlá na ochranu spotrebiteľa sa </w:t>
            </w:r>
            <w:r w:rsidRPr="00BC49FC">
              <w:rPr>
                <w:rFonts w:ascii="Times New Roman" w:hAnsi="Times New Roman" w:cs="Times New Roman"/>
              </w:rPr>
              <w:lastRenderedPageBreak/>
              <w:t xml:space="preserve">uplatnia aj na zmluvy o výkone správy podľa § 8a zákona č. 182/1993 Z.z. o vlastníctve bytov a nebytových priestorov uzavreté medzi správcovskou spoločnosťou a vlastníkmi bytov a nebytových priestorov, ktorí sú fyzické a právnické osoby.”   c) podľa pravidiel na ochranu spotrebiteľa spotrebiteľ nemôže mať povinnosť preukazovať vlastnosti vnucovaného výrobku a služby. Inštalácia funkcie diaľkového odpočtu je vnucovanou službou zahŕňajúcou technické zariadenie vysielajúce namerané a iné údaje.  d) úradníci Ministerstva hospodárstva Slovenskej republiky o uvedených argumentoch vedeli a vedia, pretože to vyplýva zo zápisnice (strana 2) zo dňa 15.7.2025 https://www.elektrosmogazdravie.sk/wp-content/uploads/docs/zapisnica_MHSR_15_7_2025.pdf preto kladieme opodstatnenú otázku, či k nesprávnej transpozícii smernice 2023/1791 došlo úmyselne.  e) nesprávnosť transpozície príslušných ustanovení smernice 2023/1791 do § 18 ods. 4 písm. f) zákona č. 657/2004 Z.z. vyplývajúca z dokumentu “TABUĽKA ZHODY EED.docx”, už bola zdôvodnená v predchádzajúcej pripomienke. Keďže v uvedenej tabuľke zhody sme nenašli žiadnu zmienku o tom, že by §17 ods. 4 písm. b) zákona č. 657/2004 Z.z. transponoval niektoré z ustanovení smernice 2023/1791, máme za to, že to je dostatočný dôvod na zrušenie §17 ods. 4 písm. b) zákona č. 657/2004 Z.z. Z obsahovej stránky taktiež nepoznáme žiadne ustanovenie niektorej zo smerníc EU, ktoré by zodpovedalo zneniu §17 ods. 4 písm. b) zákona č. 657/2004 Z.z.   4. Navrhujeme, aby aj administratívne náklady na vykonanie analýzy nákladov a prínosov ekonomickej realizovateľnosti zvyšovania energetickej efektívnosti dodávok vykurovania a chladenia a taktiež aj administratívne náklady na vykonanie iných analýz súvisiacich s opatreniami na zvyšovanie energetickej efektívnosti boli zahrnuté do nákladov na posúdenie </w:t>
            </w:r>
            <w:r w:rsidRPr="00BC49FC">
              <w:rPr>
                <w:rFonts w:ascii="Times New Roman" w:hAnsi="Times New Roman" w:cs="Times New Roman"/>
              </w:rPr>
              <w:lastRenderedPageBreak/>
              <w:t xml:space="preserve">nákladovej efektívnosti posudzovaných opatrení.  pretože  a) podľa čl. 25 ods. 4 vety 2 smernice 2023/1791 aj administratívne náklady na vykonanie analýzy nákladov a prínosov majú byť zarátané do nákladových častí analýz v kontexte čl. 25 predmetnej smernice.  b) podľa dokumentu “TABUĽKA ZHODY EED.docx”, na str. 341 je uvedené, že čl. 25 ods. 4 veta 2 smernice 2023/1791 bola transponovaná  v § 25a ods. 5 zákona č. 657/2004 Z.z., čo pri porovnaní textov rozhodne odporuje skutočnosti. Z uvedeného vyplýva, že predmetné ustanovenie smernice nebolo správne transponované do slovenskej legislatívy.   5. Navrhujeme, aby predpísaný postup analýzy nákladov a prínosov opatrení na zlepšenie energetickej efektívnosti (vrátane zavádzania diaľkových odpočtov) bol komplexne, jasne a zrozumiteľne transponovaný do slovenskej legislatívy, tak, aby v ňom boli zahrnuté všetky náklady vrátane dlhodobých v maximálnom rozsahu, všetky riziká, vrátane zdravotných, straty súkromia, environmentálnych, bezpečnostných, nákladových, a zároveň náklady na prevenciu a riešenie následkov uvedených rizík.  V zmysle čl. 25 a prílohy X ods. 10 smernice 2023/1791 je potrebné, aby boli zahrnuté aj kapitálové náklady na zariadenia a vybavenie, variabilné a fixné prevádzkové náklady, náklady na energiu, environmentálne náklady a náklady týkajúce sa zdravia a bezpečnosti, a to v maximálnom rozsahu, náklady týkajúce sa pracovného trhu, energetickej bezpečnosti a konkurencieschopnosti, a to v maximálnom rozsahu a administratívne náklady na vykonanie analýzy nákladov a prínosov a (v zmysle NECP str. 286 https://www.mhsr.sk/uploads/files/IjkPMQAc.pdf) aj náklady na činnosť vykonávajúcich orgánov verejnej moci, zúčastňujúcich sa alebo poverených subjektov  súvisiacu s opatreniami na zlepšenie energetickej efektívnosti, teda náklady Ministerstva hospodárstva </w:t>
            </w:r>
            <w:r w:rsidRPr="00BC49FC">
              <w:rPr>
                <w:rFonts w:ascii="Times New Roman" w:hAnsi="Times New Roman" w:cs="Times New Roman"/>
              </w:rPr>
              <w:lastRenderedPageBreak/>
              <w:t>Slovenskej republiky (MH SR), Slovenskej inovačnej a energetickej agentúry (SIEA)  a ďalších orgánov a subjektov, vrátane nákladov súvisiacich s vytvorením a činnosťou Monitorovacieho systému energetickej efektívnosti.  pretože  a) podľa dokumentu “TABUĽKA ZHODY EED.docx”, na str. 337 je uvedené, že čl. 25 ods. 1 veta 2 smernice 2023/1791 v znení: “Uvedené komplexné posúdenie musí obsahovať informácie stanovené v prílohe X k tejto smernici a priloží sa k nemu posúdenie vykonané podľa článku 15 ods. 7 smernice (EÚ) 2018/2001.” bola transponovaná v § 25a ods. 5 zákona č. 657/2004 Z.z., čo pri porovnaní textov rozhodne odporuje skutočnosti.   b) v tej istej tabuľky zhody ako je uvedené vyššie, na stranách 645 - 650 sú postupne uvedené jednotlivé časti prílohy X ods. 10 smernice 2023/1791, a všetky majú byť transponované v § 25a ods. 5 zákona č. 657/2004 Z.z., čo pri porovnaní textov rozhodne odporuje skutočnosti. Máme za to, že pokiaľ navrhovateľ mal zámer uvedené ustanovenia smernice 2023/1791 transponovať do návrhu vyhlášky, mal to konkretizovať jednotlivými ustanoveniami navrhovaného znenia vyhlášky práve v tabuľke zhody – aby sa dalo jednoznačne overiť, či jednotlivé ustanovenia smernice boli alebo neboli správne transponované.    6. Navrhujeme, aby účinnosť tejto novely zákona č. 321/2014 a zmenených zákonov po zakomponovaní návrhov nášho občianskeho združenia bola vyhlásená čo najskôr, a to ešte v tomto roku 2026, pretože podľa tabuľky určených termínov na transpozíciu https://eur-lex.europa.eu/legal-content/SK/NIM/?uri=OJ:JOL_2023_231_R_0001 mala byť smernica EU 2023/1791 transponovaná už v minulom roku do 11.10.2025.</w:t>
            </w:r>
          </w:p>
        </w:tc>
        <w:tc>
          <w:tcPr>
            <w:tcW w:w="2264" w:type="dxa"/>
            <w:hideMark/>
          </w:tcPr>
          <w:p w14:paraId="32745AC4" w14:textId="1A13DB27"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N</w:t>
            </w:r>
          </w:p>
        </w:tc>
        <w:tc>
          <w:tcPr>
            <w:tcW w:w="2753" w:type="dxa"/>
            <w:hideMark/>
          </w:tcPr>
          <w:p w14:paraId="79D4E040" w14:textId="77777777" w:rsidR="00FE0F3E" w:rsidRPr="0043403A" w:rsidRDefault="00FE0F3E">
            <w:pPr>
              <w:rPr>
                <w:rFonts w:ascii="Times New Roman" w:hAnsi="Times New Roman" w:cs="Times New Roman"/>
                <w:b/>
                <w:bCs/>
              </w:rPr>
            </w:pPr>
            <w:r w:rsidRPr="00BC49FC">
              <w:rPr>
                <w:rFonts w:ascii="Times New Roman" w:hAnsi="Times New Roman" w:cs="Times New Roman"/>
                <w:b/>
                <w:bCs/>
              </w:rPr>
              <w:t> </w:t>
            </w:r>
          </w:p>
          <w:p w14:paraId="65C02DCD" w14:textId="77777777" w:rsidR="00FE0F3E" w:rsidRPr="00360DE4" w:rsidRDefault="00FE0F3E" w:rsidP="0043403A">
            <w:pPr>
              <w:rPr>
                <w:rFonts w:ascii="Times New Roman" w:hAnsi="Times New Roman" w:cs="Times New Roman"/>
              </w:rPr>
            </w:pPr>
            <w:r>
              <w:rPr>
                <w:b/>
                <w:bCs/>
              </w:rPr>
              <w:t> </w:t>
            </w:r>
            <w:r w:rsidRPr="00360DE4">
              <w:rPr>
                <w:rFonts w:ascii="Times New Roman" w:hAnsi="Times New Roman" w:cs="Times New Roman"/>
              </w:rPr>
              <w:t>MH SR v spolupráci so SIEA pripravuje metodológiu posúdenia nákladovej efektívnosti montáže diaľkového odpočtu pre určené meradlá a pomerové rozdeľovače vykurovacích nákladov (PRVN). Vzhľadom k obmedzeným kapacitám nie je predbežne určený termín zverejnenia tohto materiálu.</w:t>
            </w:r>
          </w:p>
          <w:p w14:paraId="34CADFA7" w14:textId="7ED7873D" w:rsidR="00FE0F3E" w:rsidRPr="00BC49FC" w:rsidRDefault="00FE0F3E" w:rsidP="0043403A">
            <w:pPr>
              <w:rPr>
                <w:rFonts w:ascii="Times New Roman" w:hAnsi="Times New Roman" w:cs="Times New Roman"/>
                <w:b/>
                <w:bCs/>
              </w:rPr>
            </w:pPr>
            <w:r w:rsidRPr="00360DE4">
              <w:rPr>
                <w:rFonts w:ascii="Times New Roman" w:hAnsi="Times New Roman" w:cs="Times New Roman"/>
              </w:rPr>
              <w:t>Pozn: Funkcia samoodpočtu určeného meradla alebo PRVN je umožnená vždy, resp. aj pri meradlách vybavených funkciou diaľkového odpočtu</w:t>
            </w:r>
            <w:r>
              <w:rPr>
                <w:b/>
                <w:bCs/>
              </w:rPr>
              <w:t>.</w:t>
            </w:r>
          </w:p>
        </w:tc>
      </w:tr>
      <w:tr w:rsidR="00FE0F3E" w:rsidRPr="006278D2" w14:paraId="6CA46D12" w14:textId="7169F119" w:rsidTr="00725D29">
        <w:trPr>
          <w:trHeight w:val="960"/>
        </w:trPr>
        <w:tc>
          <w:tcPr>
            <w:tcW w:w="975" w:type="dxa"/>
            <w:hideMark/>
          </w:tcPr>
          <w:p w14:paraId="3314582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156.</w:t>
            </w:r>
          </w:p>
        </w:tc>
        <w:tc>
          <w:tcPr>
            <w:tcW w:w="2656" w:type="dxa"/>
            <w:hideMark/>
          </w:tcPr>
          <w:p w14:paraId="2E85CBFF"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5DEFBF97"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5195E869"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1. K čl. I (poznámky pod čiarou) - O: </w:t>
            </w:r>
            <w:r w:rsidRPr="00BC49FC">
              <w:rPr>
                <w:rFonts w:ascii="Times New Roman" w:hAnsi="Times New Roman" w:cs="Times New Roman"/>
              </w:rPr>
              <w:t xml:space="preserve">V celom texte návrhu zákona odporúčame upraviť poznámky pod čiarou v súlade s bodom 23.6. prílohy č. 1 k Legislatívnym pravidlám vlády Slovenskej republiky </w:t>
            </w:r>
            <w:r w:rsidRPr="00BC49FC">
              <w:rPr>
                <w:rFonts w:ascii="Times New Roman" w:hAnsi="Times New Roman" w:cs="Times New Roman"/>
              </w:rPr>
              <w:lastRenderedPageBreak/>
              <w:t>(napríklad poznámky pod čiarou k odkazom 4, 37, 49) (legislatívno-technická pripomienka).</w:t>
            </w:r>
          </w:p>
        </w:tc>
        <w:tc>
          <w:tcPr>
            <w:tcW w:w="2264" w:type="dxa"/>
            <w:hideMark/>
          </w:tcPr>
          <w:p w14:paraId="7F01D4D7" w14:textId="2D97929B"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044F2E00" w14:textId="457627DE"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15A23C6" w14:textId="717F6563" w:rsidTr="00725D29">
        <w:trPr>
          <w:trHeight w:val="960"/>
        </w:trPr>
        <w:tc>
          <w:tcPr>
            <w:tcW w:w="975" w:type="dxa"/>
            <w:hideMark/>
          </w:tcPr>
          <w:p w14:paraId="7AF938C8"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157.</w:t>
            </w:r>
          </w:p>
        </w:tc>
        <w:tc>
          <w:tcPr>
            <w:tcW w:w="2656" w:type="dxa"/>
            <w:hideMark/>
          </w:tcPr>
          <w:p w14:paraId="46044A91"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2DAD6489" w14:textId="77777777" w:rsidR="00FE0F3E" w:rsidRPr="00BC49FC" w:rsidRDefault="00FE0F3E" w:rsidP="004A0083">
            <w:pPr>
              <w:rPr>
                <w:rFonts w:ascii="Times New Roman" w:hAnsi="Times New Roman" w:cs="Times New Roman"/>
              </w:rPr>
            </w:pPr>
            <w:r w:rsidRPr="00BC49FC">
              <w:rPr>
                <w:rFonts w:ascii="Times New Roman" w:hAnsi="Times New Roman" w:cs="Times New Roman"/>
              </w:rPr>
              <w:t>O</w:t>
            </w:r>
          </w:p>
        </w:tc>
        <w:tc>
          <w:tcPr>
            <w:tcW w:w="5615" w:type="dxa"/>
            <w:hideMark/>
          </w:tcPr>
          <w:p w14:paraId="6FF696A9"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2. K čl. III (úvodná veta) - O: </w:t>
            </w:r>
            <w:r w:rsidRPr="00BC49FC">
              <w:rPr>
                <w:rFonts w:ascii="Times New Roman" w:hAnsi="Times New Roman" w:cs="Times New Roman"/>
              </w:rPr>
              <w:t>V úvodnej vete odporúčame slová „sa mení dopĺňa“ nahradiť slovami „sa mení a dopĺňa“ (oprava zrejmej nesprávnosti).</w:t>
            </w:r>
          </w:p>
        </w:tc>
        <w:tc>
          <w:tcPr>
            <w:tcW w:w="2264" w:type="dxa"/>
            <w:vAlign w:val="center"/>
            <w:hideMark/>
          </w:tcPr>
          <w:p w14:paraId="61FEC8C1" w14:textId="0725268C" w:rsidR="00FE0F3E" w:rsidRPr="00BC49FC" w:rsidRDefault="00FE0F3E" w:rsidP="004A0083">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06687B98"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w:t>
            </w:r>
          </w:p>
        </w:tc>
      </w:tr>
      <w:tr w:rsidR="00FE0F3E" w:rsidRPr="006278D2" w14:paraId="795C0D64" w14:textId="41FC4F39" w:rsidTr="00725D29">
        <w:trPr>
          <w:trHeight w:val="960"/>
        </w:trPr>
        <w:tc>
          <w:tcPr>
            <w:tcW w:w="975" w:type="dxa"/>
            <w:hideMark/>
          </w:tcPr>
          <w:p w14:paraId="2A1B4D8E"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158.</w:t>
            </w:r>
          </w:p>
        </w:tc>
        <w:tc>
          <w:tcPr>
            <w:tcW w:w="2656" w:type="dxa"/>
            <w:hideMark/>
          </w:tcPr>
          <w:p w14:paraId="747B0657"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2EAF3BEE" w14:textId="77777777" w:rsidR="00FE0F3E" w:rsidRPr="00BC49FC" w:rsidRDefault="00FE0F3E" w:rsidP="004A0083">
            <w:pPr>
              <w:rPr>
                <w:rFonts w:ascii="Times New Roman" w:hAnsi="Times New Roman" w:cs="Times New Roman"/>
              </w:rPr>
            </w:pPr>
            <w:r w:rsidRPr="00BC49FC">
              <w:rPr>
                <w:rFonts w:ascii="Times New Roman" w:hAnsi="Times New Roman" w:cs="Times New Roman"/>
              </w:rPr>
              <w:t>O</w:t>
            </w:r>
          </w:p>
        </w:tc>
        <w:tc>
          <w:tcPr>
            <w:tcW w:w="5615" w:type="dxa"/>
            <w:hideMark/>
          </w:tcPr>
          <w:p w14:paraId="139AEAE9"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3. K čl. III bodu 24 [§ 19 ods. 3 písm. d)] - O: </w:t>
            </w:r>
            <w:r w:rsidRPr="00BC49FC">
              <w:rPr>
                <w:rFonts w:ascii="Times New Roman" w:hAnsi="Times New Roman" w:cs="Times New Roman"/>
              </w:rPr>
              <w:t>Písmeno d) odporúčame uviesť v tomto znení: „d) poskytnúť koncovým odberateľom a konečným spotrebiteľom zhrnutie kľúčových zmluvných podmienok, vrátane cien a taríf, a to zrozumiteľným spôsobom,“ (zosúladenie s úvodnou vetou).</w:t>
            </w:r>
          </w:p>
        </w:tc>
        <w:tc>
          <w:tcPr>
            <w:tcW w:w="2264" w:type="dxa"/>
            <w:vAlign w:val="center"/>
            <w:hideMark/>
          </w:tcPr>
          <w:p w14:paraId="3932B121" w14:textId="594EA1D1" w:rsidR="00FE0F3E" w:rsidRPr="00BC49FC" w:rsidRDefault="00FE0F3E" w:rsidP="004A0083">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68C21993"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w:t>
            </w:r>
          </w:p>
        </w:tc>
      </w:tr>
      <w:tr w:rsidR="00FE0F3E" w:rsidRPr="006278D2" w14:paraId="1ECA7EA4" w14:textId="740674ED" w:rsidTr="00725D29">
        <w:trPr>
          <w:trHeight w:val="960"/>
        </w:trPr>
        <w:tc>
          <w:tcPr>
            <w:tcW w:w="975" w:type="dxa"/>
            <w:hideMark/>
          </w:tcPr>
          <w:p w14:paraId="5B7AB23B"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159.</w:t>
            </w:r>
          </w:p>
        </w:tc>
        <w:tc>
          <w:tcPr>
            <w:tcW w:w="2656" w:type="dxa"/>
            <w:hideMark/>
          </w:tcPr>
          <w:p w14:paraId="0D1479D9"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65932956" w14:textId="77777777" w:rsidR="00FE0F3E" w:rsidRPr="00BC49FC" w:rsidRDefault="00FE0F3E" w:rsidP="004A0083">
            <w:pPr>
              <w:rPr>
                <w:rFonts w:ascii="Times New Roman" w:hAnsi="Times New Roman" w:cs="Times New Roman"/>
              </w:rPr>
            </w:pPr>
            <w:r w:rsidRPr="00BC49FC">
              <w:rPr>
                <w:rFonts w:ascii="Times New Roman" w:hAnsi="Times New Roman" w:cs="Times New Roman"/>
              </w:rPr>
              <w:t>O</w:t>
            </w:r>
          </w:p>
        </w:tc>
        <w:tc>
          <w:tcPr>
            <w:tcW w:w="5615" w:type="dxa"/>
            <w:hideMark/>
          </w:tcPr>
          <w:p w14:paraId="59A5A839"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4. K čl. III bodu 24 [§ 19 ods. 3 písm. e)] - O: </w:t>
            </w:r>
            <w:r w:rsidRPr="00BC49FC">
              <w:rPr>
                <w:rFonts w:ascii="Times New Roman" w:hAnsi="Times New Roman" w:cs="Times New Roman"/>
              </w:rPr>
              <w:t>Slovo „informuje“ odporúčame nahradiť slovom „informovať“ (zosúladenie s úvodnou vetou).</w:t>
            </w:r>
          </w:p>
        </w:tc>
        <w:tc>
          <w:tcPr>
            <w:tcW w:w="2264" w:type="dxa"/>
            <w:vAlign w:val="center"/>
            <w:hideMark/>
          </w:tcPr>
          <w:p w14:paraId="433386B2" w14:textId="5772A7DC" w:rsidR="00FE0F3E" w:rsidRPr="00BC49FC" w:rsidRDefault="00FE0F3E" w:rsidP="004A0083">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2AC33B66"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w:t>
            </w:r>
          </w:p>
        </w:tc>
      </w:tr>
      <w:tr w:rsidR="00FE0F3E" w:rsidRPr="006278D2" w14:paraId="285736F5" w14:textId="01A561BC" w:rsidTr="00725D29">
        <w:trPr>
          <w:trHeight w:val="960"/>
        </w:trPr>
        <w:tc>
          <w:tcPr>
            <w:tcW w:w="975" w:type="dxa"/>
            <w:hideMark/>
          </w:tcPr>
          <w:p w14:paraId="59691119"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160.</w:t>
            </w:r>
          </w:p>
        </w:tc>
        <w:tc>
          <w:tcPr>
            <w:tcW w:w="2656" w:type="dxa"/>
            <w:hideMark/>
          </w:tcPr>
          <w:p w14:paraId="2EC1DCC7"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5E3F78F6" w14:textId="77777777" w:rsidR="00FE0F3E" w:rsidRPr="00BC49FC" w:rsidRDefault="00FE0F3E" w:rsidP="004A0083">
            <w:pPr>
              <w:rPr>
                <w:rFonts w:ascii="Times New Roman" w:hAnsi="Times New Roman" w:cs="Times New Roman"/>
              </w:rPr>
            </w:pPr>
            <w:r w:rsidRPr="00BC49FC">
              <w:rPr>
                <w:rFonts w:ascii="Times New Roman" w:hAnsi="Times New Roman" w:cs="Times New Roman"/>
              </w:rPr>
              <w:t>O</w:t>
            </w:r>
          </w:p>
        </w:tc>
        <w:tc>
          <w:tcPr>
            <w:tcW w:w="5615" w:type="dxa"/>
            <w:hideMark/>
          </w:tcPr>
          <w:p w14:paraId="441057D3"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xml:space="preserve">5. K čl. III bodu 24 [§ 19 ods. 3 písm. f) a g)] - O: </w:t>
            </w:r>
            <w:r w:rsidRPr="00BC49FC">
              <w:rPr>
                <w:rFonts w:ascii="Times New Roman" w:hAnsi="Times New Roman" w:cs="Times New Roman"/>
              </w:rPr>
              <w:t>Slovo „oznámi“ odporúčame nahradiť slovom „oznámiť“ (zosúladenie s úvodnou vetou).</w:t>
            </w:r>
          </w:p>
        </w:tc>
        <w:tc>
          <w:tcPr>
            <w:tcW w:w="2264" w:type="dxa"/>
            <w:vAlign w:val="center"/>
            <w:hideMark/>
          </w:tcPr>
          <w:p w14:paraId="4206070E" w14:textId="30BA6447" w:rsidR="00FE0F3E" w:rsidRPr="00BC49FC" w:rsidRDefault="00FE0F3E" w:rsidP="004A0083">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7C496FE9" w14:textId="77777777" w:rsidR="00FE0F3E" w:rsidRPr="00BC49FC" w:rsidRDefault="00FE0F3E" w:rsidP="004A0083">
            <w:pPr>
              <w:rPr>
                <w:rFonts w:ascii="Times New Roman" w:hAnsi="Times New Roman" w:cs="Times New Roman"/>
                <w:b/>
                <w:bCs/>
              </w:rPr>
            </w:pPr>
            <w:r w:rsidRPr="00BC49FC">
              <w:rPr>
                <w:rFonts w:ascii="Times New Roman" w:hAnsi="Times New Roman" w:cs="Times New Roman"/>
                <w:b/>
                <w:bCs/>
              </w:rPr>
              <w:t> </w:t>
            </w:r>
          </w:p>
        </w:tc>
      </w:tr>
      <w:tr w:rsidR="00FE0F3E" w:rsidRPr="006278D2" w14:paraId="4420D296" w14:textId="36EDAA85" w:rsidTr="00725D29">
        <w:trPr>
          <w:trHeight w:val="960"/>
        </w:trPr>
        <w:tc>
          <w:tcPr>
            <w:tcW w:w="975" w:type="dxa"/>
            <w:hideMark/>
          </w:tcPr>
          <w:p w14:paraId="34E40B7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161.</w:t>
            </w:r>
          </w:p>
        </w:tc>
        <w:tc>
          <w:tcPr>
            <w:tcW w:w="2656" w:type="dxa"/>
            <w:hideMark/>
          </w:tcPr>
          <w:p w14:paraId="2B99232F"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2CE79013"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A8F061D"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6. K čl. III bodu 24 [§ 19 ods. 3 písm. h)] - O: </w:t>
            </w:r>
            <w:r w:rsidRPr="00BC49FC">
              <w:rPr>
                <w:rFonts w:ascii="Times New Roman" w:hAnsi="Times New Roman" w:cs="Times New Roman"/>
              </w:rPr>
              <w:t>Slovo „umožní“ odporúčame nahradiť slovom „umožniť“ (zosúladenie s úvodnou vetou).</w:t>
            </w:r>
          </w:p>
        </w:tc>
        <w:tc>
          <w:tcPr>
            <w:tcW w:w="2264" w:type="dxa"/>
            <w:hideMark/>
          </w:tcPr>
          <w:p w14:paraId="6BEA5EE0" w14:textId="705980B5" w:rsidR="00FE0F3E" w:rsidRPr="00BC49FC" w:rsidRDefault="00FE0F3E">
            <w:pPr>
              <w:rPr>
                <w:rFonts w:ascii="Times New Roman" w:hAnsi="Times New Roman" w:cs="Times New Roman"/>
                <w:b/>
                <w:bCs/>
              </w:rPr>
            </w:pPr>
            <w:r w:rsidRPr="00BC49FC">
              <w:rPr>
                <w:rFonts w:ascii="Times New Roman" w:hAnsi="Times New Roman" w:cs="Times New Roman"/>
                <w:b/>
                <w:bCs/>
              </w:rPr>
              <w:t> </w:t>
            </w:r>
            <w:r w:rsidRPr="00BC49FC">
              <w:rPr>
                <w:rFonts w:ascii="Times New Roman" w:hAnsi="Times New Roman" w:cs="Times New Roman"/>
                <w:b/>
                <w:bCs/>
                <w:color w:val="000000"/>
              </w:rPr>
              <w:t>A</w:t>
            </w:r>
          </w:p>
        </w:tc>
        <w:tc>
          <w:tcPr>
            <w:tcW w:w="2753" w:type="dxa"/>
            <w:hideMark/>
          </w:tcPr>
          <w:p w14:paraId="19469723"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1DDBC3E4" w14:textId="762C1541" w:rsidTr="00725D29">
        <w:trPr>
          <w:trHeight w:val="960"/>
        </w:trPr>
        <w:tc>
          <w:tcPr>
            <w:tcW w:w="975" w:type="dxa"/>
            <w:hideMark/>
          </w:tcPr>
          <w:p w14:paraId="3A3B9929"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162.</w:t>
            </w:r>
          </w:p>
        </w:tc>
        <w:tc>
          <w:tcPr>
            <w:tcW w:w="2656" w:type="dxa"/>
            <w:hideMark/>
          </w:tcPr>
          <w:p w14:paraId="1B6F9D7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23F91429"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25871D45"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7. K čl. V bodu 17 (príloha č. 1) - O: </w:t>
            </w:r>
            <w:r w:rsidRPr="00BC49FC">
              <w:rPr>
                <w:rFonts w:ascii="Times New Roman" w:hAnsi="Times New Roman" w:cs="Times New Roman"/>
              </w:rPr>
              <w:t>Z dôvodu zrozumiteľnosti odporúčame vetu „Doterajší tretí a štvrtý bod sa označujú ako druhý a tretí bod a doterajší šiesty až ôsmy bod sa označujú ako štvrtý až šiesty bod.“ nahradiť v  znení: „Doterajší tretí bod až ôsmy bod sa označujú ako druhý bod až šiesty bod.“</w:t>
            </w:r>
          </w:p>
        </w:tc>
        <w:tc>
          <w:tcPr>
            <w:tcW w:w="2264" w:type="dxa"/>
            <w:hideMark/>
          </w:tcPr>
          <w:p w14:paraId="4B7AB8A2" w14:textId="7B42300F" w:rsidR="00FE0F3E" w:rsidRPr="00BC49FC" w:rsidRDefault="00FE0F3E">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3E09ED27"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18CC46E1" w14:textId="1A1E2F3E" w:rsidTr="00725D29">
        <w:trPr>
          <w:trHeight w:val="960"/>
        </w:trPr>
        <w:tc>
          <w:tcPr>
            <w:tcW w:w="975" w:type="dxa"/>
            <w:hideMark/>
          </w:tcPr>
          <w:p w14:paraId="12F6C9B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163.</w:t>
            </w:r>
          </w:p>
        </w:tc>
        <w:tc>
          <w:tcPr>
            <w:tcW w:w="2656" w:type="dxa"/>
            <w:hideMark/>
          </w:tcPr>
          <w:p w14:paraId="20A41FD5"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GPSR </w:t>
            </w:r>
            <w:r w:rsidRPr="00BC49FC">
              <w:rPr>
                <w:rFonts w:ascii="Times New Roman" w:hAnsi="Times New Roman" w:cs="Times New Roman"/>
              </w:rPr>
              <w:t>Generálna prokuratúra Slovenskej republiky</w:t>
            </w:r>
          </w:p>
        </w:tc>
        <w:tc>
          <w:tcPr>
            <w:tcW w:w="612" w:type="dxa"/>
            <w:hideMark/>
          </w:tcPr>
          <w:p w14:paraId="5365FF60"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0B02ED48"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8. K čl. VI bodu 19 (príloha č. 2) - O: </w:t>
            </w:r>
            <w:r w:rsidRPr="00BC49FC">
              <w:rPr>
                <w:rFonts w:ascii="Times New Roman" w:hAnsi="Times New Roman" w:cs="Times New Roman"/>
              </w:rPr>
              <w:t>Z dôvodu zrozumiteľnosti odporúčame vetu „Doterajší štvrtý a piaty bod sa označujú ako tretí a štvrtý bod a doterajší  siedmy až dvanásty bod sa označujú ako piaty až desiaty bod.“ nahradiť vetou „Doterajší štvrtý bod až dvanásty sa označujú ako tretí bod až desiaty bod.“</w:t>
            </w:r>
          </w:p>
        </w:tc>
        <w:tc>
          <w:tcPr>
            <w:tcW w:w="2264" w:type="dxa"/>
            <w:hideMark/>
          </w:tcPr>
          <w:p w14:paraId="0A5589BF" w14:textId="3586CAEF" w:rsidR="00FE0F3E" w:rsidRPr="00BC49FC" w:rsidRDefault="00FE0F3E">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0E922CC5"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EC2875F" w14:textId="185A7523" w:rsidTr="00725D29">
        <w:trPr>
          <w:trHeight w:val="1275"/>
        </w:trPr>
        <w:tc>
          <w:tcPr>
            <w:tcW w:w="975" w:type="dxa"/>
            <w:hideMark/>
          </w:tcPr>
          <w:p w14:paraId="6FC7D9E3"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185.</w:t>
            </w:r>
          </w:p>
        </w:tc>
        <w:tc>
          <w:tcPr>
            <w:tcW w:w="2656" w:type="dxa"/>
            <w:hideMark/>
          </w:tcPr>
          <w:p w14:paraId="60FEC37D"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Klub 500 </w:t>
            </w:r>
            <w:r w:rsidRPr="00BC49FC">
              <w:rPr>
                <w:rFonts w:ascii="Times New Roman" w:hAnsi="Times New Roman" w:cs="Times New Roman"/>
              </w:rPr>
              <w:t>Klub 500</w:t>
            </w:r>
          </w:p>
        </w:tc>
        <w:tc>
          <w:tcPr>
            <w:tcW w:w="612" w:type="dxa"/>
            <w:hideMark/>
          </w:tcPr>
          <w:p w14:paraId="289E6D26"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0CE235E"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Návrh zákona zavádza viacero osobitných organizácii v súvislosti s plnením povinností podľa zákona (napr. Prevádzkovateľ monitorovacieho systému, správca monitorovacieho systému, Koordinačný orgán, Poverená organizácia, Ministerstvo,... .) Ide o zvyšovanie administratívnej a byrokratickej záťaže. Navrhujeme ustanoviť iba jednu organizáciu alebo jeden systém, ktorá bude zodpovedná za všetky aspekty súvisiace s interakciou podnikov na základe tohto právneho predpisu, alebo systém z ktorého si to jednotlivé zložky štátnej správy vedia získať. Rovnako, platí aj pre navrhnutý spôsob reportovania.  Musí platiť zásada, jeden krát a dosť  Odôvodnenie: Odstránenie nadmernej neefektívnej záťaže, vedúce v konečnom dôsledku aj k vyššej energetickej náročnosti.</w:t>
            </w:r>
          </w:p>
        </w:tc>
        <w:tc>
          <w:tcPr>
            <w:tcW w:w="2264" w:type="dxa"/>
            <w:vAlign w:val="center"/>
            <w:hideMark/>
          </w:tcPr>
          <w:p w14:paraId="5F2FC1CF" w14:textId="60E4369B" w:rsidR="00FE0F3E" w:rsidRPr="00BC49FC" w:rsidRDefault="00FE0F3E">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462B1B49" w14:textId="2B464C93" w:rsidR="00FE0F3E" w:rsidRPr="00BC49FC" w:rsidRDefault="00FE0F3E">
            <w:pPr>
              <w:rPr>
                <w:rFonts w:ascii="Times New Roman" w:hAnsi="Times New Roman" w:cs="Times New Roman"/>
              </w:rPr>
            </w:pPr>
            <w:r w:rsidRPr="00BC49FC">
              <w:rPr>
                <w:rFonts w:ascii="Times New Roman" w:hAnsi="Times New Roman" w:cs="Times New Roman"/>
                <w:color w:val="000000"/>
              </w:rPr>
              <w:t xml:space="preserve">Nezavádza sa nový orgán, iba sa pomenúvajú existujúce orgány z rôznych uhlov pohľadu. </w:t>
            </w:r>
          </w:p>
        </w:tc>
      </w:tr>
      <w:tr w:rsidR="00FE0F3E" w:rsidRPr="006278D2" w14:paraId="579AF81C" w14:textId="3275E26A" w:rsidTr="00725D29">
        <w:trPr>
          <w:trHeight w:val="960"/>
        </w:trPr>
        <w:tc>
          <w:tcPr>
            <w:tcW w:w="975" w:type="dxa"/>
            <w:hideMark/>
          </w:tcPr>
          <w:p w14:paraId="07D04F23"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205.</w:t>
            </w:r>
          </w:p>
        </w:tc>
        <w:tc>
          <w:tcPr>
            <w:tcW w:w="2656" w:type="dxa"/>
            <w:hideMark/>
          </w:tcPr>
          <w:p w14:paraId="5D789C7F"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7718A979"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082A7209"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V celom návrhu odporúčame precizovať a terminologicky zjednotiť používanie pojmov „celková úžitková podlahová plocha“ a „celková podlahová plocha“ v celom návrhu zákona. Upozorňujeme, že smernica Európskeho parlamentu a Rady (EÚ) 2023/1791 v článku 2 bod 13 zavádza definíciu „celková úžitková podlahová plocha“.</w:t>
            </w:r>
          </w:p>
        </w:tc>
        <w:tc>
          <w:tcPr>
            <w:tcW w:w="2264" w:type="dxa"/>
            <w:hideMark/>
          </w:tcPr>
          <w:p w14:paraId="5F65661C" w14:textId="041155CC"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500B2BC5"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1FA53DC5" w14:textId="433D25AA" w:rsidTr="00725D29">
        <w:trPr>
          <w:trHeight w:val="1590"/>
        </w:trPr>
        <w:tc>
          <w:tcPr>
            <w:tcW w:w="975" w:type="dxa"/>
            <w:hideMark/>
          </w:tcPr>
          <w:p w14:paraId="6F2D385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206.</w:t>
            </w:r>
          </w:p>
        </w:tc>
        <w:tc>
          <w:tcPr>
            <w:tcW w:w="2656" w:type="dxa"/>
            <w:hideMark/>
          </w:tcPr>
          <w:p w14:paraId="34D655B7"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1DA322AD"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16760E7B"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2 písm. ae) </w:t>
            </w:r>
            <w:r w:rsidRPr="00BC49FC">
              <w:rPr>
                <w:rFonts w:ascii="Times New Roman" w:hAnsi="Times New Roman" w:cs="Times New Roman"/>
              </w:rPr>
              <w:t xml:space="preserve">V čl. I § 2 písm. ae) - Definícia „zákazky s významným energetickým obsahom“ Definícia sa v texte odvoláva na „významnú obnovu budovy“ v kontexte s navrhovaným konsolidovaným znením § 42a zákona č. 343/2015 Z. z. o verejnom obstarávaní (ďalej len „ZVO“). Z hľadiska ZVO je možno považovať predmetné vymedzenie za príliš úzke. Legislatíva Európskej únie vyžaduje, aby verejné subjekty zohľadňovali energetickú efektívnosť pri všetkých relevantných nákupoch). Ak sa pojem „významný energetický obsah“ obmedzí len na obnovu budov. Je potrebné jasne určiť, či sa pod týmto pojmom rozumejú aj iné nákupy. Upozorňujeme že je potrebné komplexné posúdenie, z ktorého je možné jednoznačne </w:t>
            </w:r>
            <w:r w:rsidRPr="00BC49FC">
              <w:rPr>
                <w:rFonts w:ascii="Times New Roman" w:hAnsi="Times New Roman" w:cs="Times New Roman"/>
              </w:rPr>
              <w:lastRenderedPageBreak/>
              <w:t>stanoviť, kedy nastáva povinnosť posudzovať realizovateľnosť zmlúv o energetickej efektívnosti. Uvedené môže viesť k ignorovaniu tohto ustanovenia, alebo k zbytočnej byrokracii pri zákazkách.</w:t>
            </w:r>
          </w:p>
        </w:tc>
        <w:tc>
          <w:tcPr>
            <w:tcW w:w="2264" w:type="dxa"/>
            <w:hideMark/>
          </w:tcPr>
          <w:p w14:paraId="4A165109" w14:textId="40480780"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552FA3A1" w14:textId="42F45FF2" w:rsidR="00FE0F3E" w:rsidRPr="00BC49FC" w:rsidRDefault="00FE0F3E">
            <w:pPr>
              <w:rPr>
                <w:rFonts w:ascii="Times New Roman" w:hAnsi="Times New Roman" w:cs="Times New Roman"/>
              </w:rPr>
            </w:pPr>
            <w:r>
              <w:rPr>
                <w:rFonts w:ascii="Times New Roman" w:hAnsi="Times New Roman" w:cs="Times New Roman"/>
              </w:rPr>
              <w:t>ČA</w:t>
            </w:r>
          </w:p>
        </w:tc>
      </w:tr>
      <w:tr w:rsidR="00FE0F3E" w:rsidRPr="006278D2" w14:paraId="36E04688" w14:textId="0DE1DC29" w:rsidTr="00725D29">
        <w:trPr>
          <w:trHeight w:val="1275"/>
        </w:trPr>
        <w:tc>
          <w:tcPr>
            <w:tcW w:w="975" w:type="dxa"/>
            <w:hideMark/>
          </w:tcPr>
          <w:p w14:paraId="213F5FB9"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207.</w:t>
            </w:r>
          </w:p>
        </w:tc>
        <w:tc>
          <w:tcPr>
            <w:tcW w:w="2656" w:type="dxa"/>
            <w:hideMark/>
          </w:tcPr>
          <w:p w14:paraId="1747F5A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3EA8D3E7"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DD60787"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2 a § 5 </w:t>
            </w:r>
            <w:r w:rsidRPr="00BC49FC">
              <w:rPr>
                <w:rFonts w:ascii="Times New Roman" w:hAnsi="Times New Roman" w:cs="Times New Roman"/>
              </w:rPr>
              <w:t>V čl. I § 2 a § 5 sa zavádza povinnosť zohľadňovať alternatívne opatrenia efektívne z hľadiska nákladov pri investičných rozhodnutiach a cieľ znižovania spotreby verejných subjektov o 1,9 % ročne. Ako bude verejný obstarávateľ/obstarávateľ v praxi dokazovať, že tento princíp dodržal v prípade, ak sa vysúťaží lacnejšie, ale energeticky náročnejšie riešenie (napríklad ak rozpočet predmetného subjektu nemá peniaze na drahšiu, úspornejšiu alternatívu), dôjde v uvedenom prípade k porušeniu zákona. V praxi môže byť dôsledkom predmetnej situácie fakt, že ak zákon jasne nestanoví, že kritérium (Najlepší pomer ceny a kvality/Životný cyklus) je pre definované investície verejnej správy povinné, naďalej bude dochádzať k vyhodnocovaniu súťaží len na základe najnižšej nákupnej ceny.</w:t>
            </w:r>
          </w:p>
        </w:tc>
        <w:tc>
          <w:tcPr>
            <w:tcW w:w="2264" w:type="dxa"/>
            <w:hideMark/>
          </w:tcPr>
          <w:p w14:paraId="46EBB23D" w14:textId="2B47B44D"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5B21B316" w14:textId="2E765345" w:rsidR="00FE0F3E" w:rsidRPr="00360DE4" w:rsidRDefault="00FE0F3E">
            <w:pPr>
              <w:rPr>
                <w:rFonts w:ascii="Times New Roman" w:hAnsi="Times New Roman" w:cs="Times New Roman"/>
              </w:rPr>
            </w:pPr>
            <w:r w:rsidRPr="00360DE4">
              <w:rPr>
                <w:rFonts w:ascii="Times New Roman" w:hAnsi="Times New Roman" w:cs="Times New Roman"/>
              </w:rPr>
              <w:t>V § 45 ods. 2 písm. a</w:t>
            </w:r>
            <w:r w:rsidR="00360DE4" w:rsidRPr="00360DE4">
              <w:rPr>
                <w:rFonts w:ascii="Times New Roman" w:hAnsi="Times New Roman" w:cs="Times New Roman"/>
              </w:rPr>
              <w:t>)</w:t>
            </w:r>
            <w:r w:rsidRPr="00360DE4">
              <w:rPr>
                <w:rFonts w:ascii="Times New Roman" w:hAnsi="Times New Roman" w:cs="Times New Roman"/>
              </w:rPr>
              <w:t xml:space="preserve"> je metodické usmernenie</w:t>
            </w:r>
            <w:r w:rsidR="00360DE4" w:rsidRPr="00360DE4">
              <w:rPr>
                <w:rFonts w:ascii="Times New Roman" w:hAnsi="Times New Roman" w:cs="Times New Roman"/>
              </w:rPr>
              <w:t>.</w:t>
            </w:r>
          </w:p>
        </w:tc>
      </w:tr>
      <w:tr w:rsidR="00FE0F3E" w:rsidRPr="006278D2" w14:paraId="21AD2660" w14:textId="4E07D591" w:rsidTr="00725D29">
        <w:trPr>
          <w:trHeight w:val="960"/>
        </w:trPr>
        <w:tc>
          <w:tcPr>
            <w:tcW w:w="975" w:type="dxa"/>
            <w:hideMark/>
          </w:tcPr>
          <w:p w14:paraId="54FEACB1"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208.</w:t>
            </w:r>
          </w:p>
        </w:tc>
        <w:tc>
          <w:tcPr>
            <w:tcW w:w="2656" w:type="dxa"/>
            <w:hideMark/>
          </w:tcPr>
          <w:p w14:paraId="4933E19C"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6662F94F"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7E032B28"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4 ods. 3 písm. k) </w:t>
            </w:r>
            <w:r w:rsidRPr="00BC49FC">
              <w:rPr>
                <w:rFonts w:ascii="Times New Roman" w:hAnsi="Times New Roman" w:cs="Times New Roman"/>
              </w:rPr>
              <w:t>V čl. I § 4 ods. 3 písm. k) odporúčame prehodnotiť alebo vypustiť časť textu za slovami „verejných subjektov“, keďže doplnené znenie pôsobí nadbytočne a zároveň spôsobuje výkladovú nejasnosť ustanovenia. Nie je jasné, či sa prognóza bude zakladať iba na údajoch z monitorovacieho systému alebo čo sa malo pridaním slov na mysli.</w:t>
            </w:r>
          </w:p>
        </w:tc>
        <w:tc>
          <w:tcPr>
            <w:tcW w:w="2264" w:type="dxa"/>
            <w:hideMark/>
          </w:tcPr>
          <w:p w14:paraId="5A9B871B" w14:textId="395BABB4"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1B9AEE1A"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0CE7A7B3" w14:textId="2C960AD0" w:rsidTr="00725D29">
        <w:trPr>
          <w:trHeight w:val="1275"/>
        </w:trPr>
        <w:tc>
          <w:tcPr>
            <w:tcW w:w="975" w:type="dxa"/>
            <w:hideMark/>
          </w:tcPr>
          <w:p w14:paraId="0AA5FCE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209.</w:t>
            </w:r>
          </w:p>
        </w:tc>
        <w:tc>
          <w:tcPr>
            <w:tcW w:w="2656" w:type="dxa"/>
            <w:hideMark/>
          </w:tcPr>
          <w:p w14:paraId="1CE4F7F3"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1708F5AE"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DC5C3DD"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11 ods. 3 </w:t>
            </w:r>
            <w:r w:rsidRPr="00BC49FC">
              <w:rPr>
                <w:rFonts w:ascii="Times New Roman" w:hAnsi="Times New Roman" w:cs="Times New Roman"/>
              </w:rPr>
              <w:t xml:space="preserve">Čl. I § 11 ods. 3 odporúčame zosúladiť s požiadavkami čl. 6 ods. 5 smernice Európskeho parlamentu a Rady (EÚ) 2023/1791 a so splnomocňovacím ustanovením podľa § 45 ods. 1 písm. u). Odôvodnenie: Podľa čl. 6 ods. 5 prvej vety smernice sú členské štáty povinné do 11. októbra 2025 zriadiť, zverejniť a sprístupniť verejnosti zoznam vykurovaných a/alebo chladených budov, ktoré vlastnia alebo </w:t>
            </w:r>
            <w:r w:rsidRPr="00BC49FC">
              <w:rPr>
                <w:rFonts w:ascii="Times New Roman" w:hAnsi="Times New Roman" w:cs="Times New Roman"/>
              </w:rPr>
              <w:lastRenderedPageBreak/>
              <w:t>využívajú verejné subjekty a ktorých celková úžitková podlahová plocha je väčšia ako 250 m². Navrhované znenie § 11 ods. 3 však naopak ustanovuje nezverejňovanie a nesprístupňovanie údajov z databázy verejných budov. Takéto znenie považujeme za rozporné s explicitnou požiadavkou smernice na zverejnenie a sprístupnenie predmetných údajov verejnosti. Rozpor nastáva aj so splnomocňovacím ustanovením podľa § 45 ods. 1 písm. u).</w:t>
            </w:r>
          </w:p>
        </w:tc>
        <w:tc>
          <w:tcPr>
            <w:tcW w:w="2264" w:type="dxa"/>
            <w:hideMark/>
          </w:tcPr>
          <w:p w14:paraId="36F7E335" w14:textId="522F8DE4"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5ED42DA3" w14:textId="77202573" w:rsidR="00FE0F3E" w:rsidRPr="00BC49FC" w:rsidRDefault="00FE0F3E">
            <w:pPr>
              <w:rPr>
                <w:rFonts w:ascii="Times New Roman" w:hAnsi="Times New Roman" w:cs="Times New Roman"/>
              </w:rPr>
            </w:pPr>
            <w:r w:rsidRPr="00BC49FC">
              <w:rPr>
                <w:rFonts w:ascii="Times New Roman" w:hAnsi="Times New Roman" w:cs="Times New Roman"/>
              </w:rPr>
              <w:t>Upravené v zmysle pripomienky.</w:t>
            </w:r>
          </w:p>
        </w:tc>
      </w:tr>
      <w:tr w:rsidR="00FE0F3E" w:rsidRPr="006278D2" w14:paraId="7ED9F099" w14:textId="01D02922" w:rsidTr="00725D29">
        <w:trPr>
          <w:trHeight w:val="960"/>
        </w:trPr>
        <w:tc>
          <w:tcPr>
            <w:tcW w:w="975" w:type="dxa"/>
            <w:hideMark/>
          </w:tcPr>
          <w:p w14:paraId="2E193D91"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210.</w:t>
            </w:r>
          </w:p>
        </w:tc>
        <w:tc>
          <w:tcPr>
            <w:tcW w:w="2656" w:type="dxa"/>
            <w:hideMark/>
          </w:tcPr>
          <w:p w14:paraId="195BBEB7"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6FB0408E" w14:textId="77777777" w:rsidR="00FE0F3E" w:rsidRPr="00BC49FC" w:rsidRDefault="00FE0F3E" w:rsidP="00AB262C">
            <w:pPr>
              <w:rPr>
                <w:rFonts w:ascii="Times New Roman" w:hAnsi="Times New Roman" w:cs="Times New Roman"/>
              </w:rPr>
            </w:pPr>
            <w:r w:rsidRPr="00BC49FC">
              <w:rPr>
                <w:rFonts w:ascii="Times New Roman" w:hAnsi="Times New Roman" w:cs="Times New Roman"/>
              </w:rPr>
              <w:t>O</w:t>
            </w:r>
          </w:p>
        </w:tc>
        <w:tc>
          <w:tcPr>
            <w:tcW w:w="5615" w:type="dxa"/>
            <w:hideMark/>
          </w:tcPr>
          <w:p w14:paraId="57A96BC4"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 xml:space="preserve">Čl. I § 14 až 18 </w:t>
            </w:r>
            <w:r w:rsidRPr="00BC49FC">
              <w:rPr>
                <w:rFonts w:ascii="Times New Roman" w:hAnsi="Times New Roman" w:cs="Times New Roman"/>
              </w:rPr>
              <w:t>V čl. I § 14 až 18 návrh zákona zavádza kvalifikačné schémy, povinné skúšky a aktualizačné školenia upozorňujeme, že ak budú kvalifikačné predpoklady a byrokracia spojená s registráciou príliš reštriktívne, trh nedokáže vygenerovať dostatok kvalifikovaných osôb.</w:t>
            </w:r>
          </w:p>
        </w:tc>
        <w:tc>
          <w:tcPr>
            <w:tcW w:w="2264" w:type="dxa"/>
            <w:vAlign w:val="center"/>
            <w:hideMark/>
          </w:tcPr>
          <w:p w14:paraId="19981280" w14:textId="263B33C8" w:rsidR="00FE0F3E" w:rsidRPr="00BC49FC" w:rsidRDefault="00FE0F3E" w:rsidP="00AB262C">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7A0A793C" w14:textId="646418AE" w:rsidR="00FE0F3E" w:rsidRPr="00BC49FC" w:rsidRDefault="00FE0F3E" w:rsidP="00AB262C">
            <w:pPr>
              <w:rPr>
                <w:rFonts w:ascii="Times New Roman" w:hAnsi="Times New Roman" w:cs="Times New Roman"/>
                <w:b/>
                <w:bCs/>
              </w:rPr>
            </w:pPr>
            <w:r w:rsidRPr="00BC49FC">
              <w:rPr>
                <w:rFonts w:ascii="Times New Roman" w:hAnsi="Times New Roman" w:cs="Times New Roman"/>
                <w:color w:val="000000"/>
              </w:rPr>
              <w:t> </w:t>
            </w:r>
            <w:r>
              <w:rPr>
                <w:rFonts w:ascii="Times New Roman" w:hAnsi="Times New Roman" w:cs="Times New Roman"/>
                <w:color w:val="000000"/>
              </w:rPr>
              <w:t>Berieme na vedomie.</w:t>
            </w:r>
          </w:p>
        </w:tc>
      </w:tr>
      <w:tr w:rsidR="00FE0F3E" w:rsidRPr="006278D2" w14:paraId="655381EE" w14:textId="0CF5604D" w:rsidTr="00725D29">
        <w:trPr>
          <w:trHeight w:val="1275"/>
        </w:trPr>
        <w:tc>
          <w:tcPr>
            <w:tcW w:w="975" w:type="dxa"/>
            <w:hideMark/>
          </w:tcPr>
          <w:p w14:paraId="09F01CE4"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211.</w:t>
            </w:r>
          </w:p>
        </w:tc>
        <w:tc>
          <w:tcPr>
            <w:tcW w:w="2656" w:type="dxa"/>
            <w:hideMark/>
          </w:tcPr>
          <w:p w14:paraId="5B90FB51"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64063DDF" w14:textId="77777777" w:rsidR="00FE0F3E" w:rsidRPr="00BC49FC" w:rsidRDefault="00FE0F3E" w:rsidP="00AB262C">
            <w:pPr>
              <w:rPr>
                <w:rFonts w:ascii="Times New Roman" w:hAnsi="Times New Roman" w:cs="Times New Roman"/>
              </w:rPr>
            </w:pPr>
            <w:r w:rsidRPr="00BC49FC">
              <w:rPr>
                <w:rFonts w:ascii="Times New Roman" w:hAnsi="Times New Roman" w:cs="Times New Roman"/>
              </w:rPr>
              <w:t>O</w:t>
            </w:r>
          </w:p>
        </w:tc>
        <w:tc>
          <w:tcPr>
            <w:tcW w:w="5615" w:type="dxa"/>
            <w:hideMark/>
          </w:tcPr>
          <w:p w14:paraId="5E807FFB"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 xml:space="preserve">Čl. I  § 15 a § 16 </w:t>
            </w:r>
            <w:r w:rsidRPr="00BC49FC">
              <w:rPr>
                <w:rFonts w:ascii="Times New Roman" w:hAnsi="Times New Roman" w:cs="Times New Roman"/>
              </w:rPr>
              <w:t>V čl. I  § 15 a § 16 návrh zákona explicitne definuje nové kvalifikácie a profesie (napr. poskytovateľ integrovaných obnovovacích prác, energetický manažér vo verejnej správe) a vyžaduje od nich špecifické certifikáty a skúšky. Ak verejný obstarávateľ zadefinuje v podmienkach účasti alebo v opise predmetu zákazky požiadavku na tieto nové pozície v čase, kedy ich na slovenskom trhu bude mať len hŕstka ľudí, obmedzí hospodársku súťaž. V uvedených zákazkách nebude možné rešpektovať všetky princípy verejného obstarávania , tak ako ich ustanovuje ZVO (kvôli nízkemu počtu kvalifikovaných osôb na trhu), prípadne môžu byť predmetom námietok pre podozrenie z diskriminácie zamerané na konkrétne firmy. Zákon by mal obsahovať dostatočne dlhé prechodné obdobie, kým trh reálne vygeneruje dostatok kvalifikovaných osôb/ expertov.</w:t>
            </w:r>
          </w:p>
        </w:tc>
        <w:tc>
          <w:tcPr>
            <w:tcW w:w="2264" w:type="dxa"/>
            <w:vAlign w:val="center"/>
            <w:hideMark/>
          </w:tcPr>
          <w:p w14:paraId="02BAB693" w14:textId="29B0E2E1" w:rsidR="00FE0F3E" w:rsidRPr="00BC49FC" w:rsidRDefault="00FE0F3E" w:rsidP="00AB262C">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4FFAD894" w14:textId="341197C3" w:rsidR="00FE0F3E" w:rsidRPr="00BC49FC" w:rsidRDefault="00FE0F3E" w:rsidP="00AB262C">
            <w:pPr>
              <w:rPr>
                <w:rFonts w:ascii="Times New Roman" w:hAnsi="Times New Roman" w:cs="Times New Roman"/>
              </w:rPr>
            </w:pPr>
            <w:r w:rsidRPr="00BC49FC">
              <w:rPr>
                <w:rFonts w:ascii="Times New Roman" w:hAnsi="Times New Roman" w:cs="Times New Roman"/>
                <w:color w:val="000000"/>
              </w:rPr>
              <w:t>Úprava zákona neustanovuje požiadavky konkrétnym osobám.</w:t>
            </w:r>
          </w:p>
        </w:tc>
      </w:tr>
      <w:tr w:rsidR="00FE0F3E" w:rsidRPr="006278D2" w14:paraId="3F72DA28" w14:textId="53BC426C" w:rsidTr="00725D29">
        <w:trPr>
          <w:trHeight w:val="960"/>
        </w:trPr>
        <w:tc>
          <w:tcPr>
            <w:tcW w:w="975" w:type="dxa"/>
            <w:hideMark/>
          </w:tcPr>
          <w:p w14:paraId="4FAC61F9"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212.</w:t>
            </w:r>
          </w:p>
        </w:tc>
        <w:tc>
          <w:tcPr>
            <w:tcW w:w="2656" w:type="dxa"/>
            <w:hideMark/>
          </w:tcPr>
          <w:p w14:paraId="2337777C"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21EF8459" w14:textId="77777777" w:rsidR="00FE0F3E" w:rsidRPr="00BC49FC" w:rsidRDefault="00FE0F3E" w:rsidP="00AB262C">
            <w:pPr>
              <w:rPr>
                <w:rFonts w:ascii="Times New Roman" w:hAnsi="Times New Roman" w:cs="Times New Roman"/>
              </w:rPr>
            </w:pPr>
            <w:r w:rsidRPr="00BC49FC">
              <w:rPr>
                <w:rFonts w:ascii="Times New Roman" w:hAnsi="Times New Roman" w:cs="Times New Roman"/>
              </w:rPr>
              <w:t>O</w:t>
            </w:r>
          </w:p>
        </w:tc>
        <w:tc>
          <w:tcPr>
            <w:tcW w:w="5615" w:type="dxa"/>
            <w:hideMark/>
          </w:tcPr>
          <w:p w14:paraId="7CB51BED" w14:textId="77777777" w:rsidR="00FE0F3E" w:rsidRPr="00BC49FC" w:rsidRDefault="00FE0F3E" w:rsidP="00AB262C">
            <w:pPr>
              <w:rPr>
                <w:rFonts w:ascii="Times New Roman" w:hAnsi="Times New Roman" w:cs="Times New Roman"/>
                <w:b/>
                <w:bCs/>
              </w:rPr>
            </w:pPr>
            <w:r w:rsidRPr="00BC49FC">
              <w:rPr>
                <w:rFonts w:ascii="Times New Roman" w:hAnsi="Times New Roman" w:cs="Times New Roman"/>
                <w:b/>
                <w:bCs/>
              </w:rPr>
              <w:t xml:space="preserve">Čl. I § 17 ods. 5 písm. b) </w:t>
            </w:r>
            <w:r w:rsidRPr="00BC49FC">
              <w:rPr>
                <w:rFonts w:ascii="Times New Roman" w:hAnsi="Times New Roman" w:cs="Times New Roman"/>
              </w:rPr>
              <w:t>V čl. I § 17 ods. 5 písm. b) odporúčame slovo „odborná nahradiť slovom „odbornú“.</w:t>
            </w:r>
          </w:p>
        </w:tc>
        <w:tc>
          <w:tcPr>
            <w:tcW w:w="2264" w:type="dxa"/>
            <w:vAlign w:val="center"/>
            <w:hideMark/>
          </w:tcPr>
          <w:p w14:paraId="4AFD4BE2" w14:textId="501C1FE7" w:rsidR="00FE0F3E" w:rsidRPr="00BC49FC" w:rsidRDefault="00FE0F3E" w:rsidP="00AB262C">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7254EF72" w14:textId="52FD9FA5" w:rsidR="00FE0F3E" w:rsidRPr="00BC49FC" w:rsidRDefault="00FE0F3E" w:rsidP="00AB262C">
            <w:pPr>
              <w:rPr>
                <w:rFonts w:ascii="Times New Roman" w:hAnsi="Times New Roman" w:cs="Times New Roman"/>
                <w:b/>
                <w:bCs/>
              </w:rPr>
            </w:pPr>
            <w:r w:rsidRPr="00BC49FC">
              <w:rPr>
                <w:rFonts w:ascii="Times New Roman" w:hAnsi="Times New Roman" w:cs="Times New Roman"/>
                <w:color w:val="000000"/>
              </w:rPr>
              <w:t> </w:t>
            </w:r>
          </w:p>
        </w:tc>
      </w:tr>
      <w:tr w:rsidR="00FE0F3E" w:rsidRPr="006278D2" w14:paraId="03CA76B9" w14:textId="015335ED" w:rsidTr="00725D29">
        <w:trPr>
          <w:trHeight w:val="960"/>
        </w:trPr>
        <w:tc>
          <w:tcPr>
            <w:tcW w:w="975" w:type="dxa"/>
            <w:hideMark/>
          </w:tcPr>
          <w:p w14:paraId="3428002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213.</w:t>
            </w:r>
          </w:p>
        </w:tc>
        <w:tc>
          <w:tcPr>
            <w:tcW w:w="2656" w:type="dxa"/>
            <w:hideMark/>
          </w:tcPr>
          <w:p w14:paraId="7D9BC1C5"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5B659355"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2D20BF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28 ods. 2 písm. a) bod 2 a 3 </w:t>
            </w:r>
            <w:r w:rsidRPr="00BC49FC">
              <w:rPr>
                <w:rFonts w:ascii="Times New Roman" w:hAnsi="Times New Roman" w:cs="Times New Roman"/>
              </w:rPr>
              <w:t>V čl. I § 28 ods. 2 písm. a) bode 2 a 3 odporúčame slovo „systémoch“ nahradiť slovom „systémov“.</w:t>
            </w:r>
          </w:p>
        </w:tc>
        <w:tc>
          <w:tcPr>
            <w:tcW w:w="2264" w:type="dxa"/>
            <w:hideMark/>
          </w:tcPr>
          <w:p w14:paraId="2F2174F2" w14:textId="21F7ED4E" w:rsidR="00FE0F3E" w:rsidRPr="00BC49FC" w:rsidRDefault="00FE0F3E">
            <w:pPr>
              <w:rPr>
                <w:rFonts w:ascii="Times New Roman" w:hAnsi="Times New Roman" w:cs="Times New Roman"/>
                <w:b/>
                <w:bCs/>
              </w:rPr>
            </w:pPr>
            <w:r>
              <w:rPr>
                <w:rFonts w:ascii="Times New Roman" w:hAnsi="Times New Roman" w:cs="Times New Roman"/>
                <w:b/>
                <w:bCs/>
              </w:rPr>
              <w:t>A</w:t>
            </w:r>
          </w:p>
        </w:tc>
        <w:tc>
          <w:tcPr>
            <w:tcW w:w="2753" w:type="dxa"/>
            <w:hideMark/>
          </w:tcPr>
          <w:p w14:paraId="3190319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014262AE" w14:textId="146D15A8" w:rsidTr="00725D29">
        <w:trPr>
          <w:trHeight w:val="960"/>
        </w:trPr>
        <w:tc>
          <w:tcPr>
            <w:tcW w:w="975" w:type="dxa"/>
            <w:hideMark/>
          </w:tcPr>
          <w:p w14:paraId="09395208"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214.</w:t>
            </w:r>
          </w:p>
        </w:tc>
        <w:tc>
          <w:tcPr>
            <w:tcW w:w="2656" w:type="dxa"/>
            <w:hideMark/>
          </w:tcPr>
          <w:p w14:paraId="770CA092"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3A78EC90"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C181CF7"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34 ods. 1 </w:t>
            </w:r>
            <w:r w:rsidRPr="00BC49FC">
              <w:rPr>
                <w:rFonts w:ascii="Times New Roman" w:hAnsi="Times New Roman" w:cs="Times New Roman"/>
              </w:rPr>
              <w:t>V čl. I § 34 ods. 1 odporúčame vypustiť slová „ktorá je v jeho vlastníctve alebo v správe“.</w:t>
            </w:r>
          </w:p>
        </w:tc>
        <w:tc>
          <w:tcPr>
            <w:tcW w:w="2264" w:type="dxa"/>
            <w:hideMark/>
          </w:tcPr>
          <w:p w14:paraId="541C029A" w14:textId="3F579E88" w:rsidR="00FE0F3E" w:rsidRPr="00BC49FC" w:rsidRDefault="00FE0F3E">
            <w:pPr>
              <w:rPr>
                <w:rFonts w:ascii="Times New Roman" w:hAnsi="Times New Roman" w:cs="Times New Roman"/>
                <w:b/>
                <w:bCs/>
              </w:rPr>
            </w:pPr>
            <w:r>
              <w:rPr>
                <w:rFonts w:ascii="Times New Roman" w:hAnsi="Times New Roman" w:cs="Times New Roman"/>
                <w:b/>
                <w:bCs/>
              </w:rPr>
              <w:t>A</w:t>
            </w:r>
          </w:p>
        </w:tc>
        <w:tc>
          <w:tcPr>
            <w:tcW w:w="2753" w:type="dxa"/>
            <w:hideMark/>
          </w:tcPr>
          <w:p w14:paraId="519CA3BD"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42BF793" w14:textId="71F6BE0C" w:rsidTr="00725D29">
        <w:trPr>
          <w:trHeight w:val="1782"/>
        </w:trPr>
        <w:tc>
          <w:tcPr>
            <w:tcW w:w="975" w:type="dxa"/>
            <w:hideMark/>
          </w:tcPr>
          <w:p w14:paraId="6AD05898"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215.</w:t>
            </w:r>
          </w:p>
        </w:tc>
        <w:tc>
          <w:tcPr>
            <w:tcW w:w="2656" w:type="dxa"/>
            <w:hideMark/>
          </w:tcPr>
          <w:p w14:paraId="55E39F94"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186DC669"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6617539"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nadpis § 34 </w:t>
            </w:r>
            <w:r w:rsidRPr="00BC49FC">
              <w:rPr>
                <w:rFonts w:ascii="Times New Roman" w:hAnsi="Times New Roman" w:cs="Times New Roman"/>
              </w:rPr>
              <w:t>V čl. I nadpis § 34 odporúčame zosúladiť s obsahom jednotlivých odsekov predmetného paragrafu, pretože nadpis nekorešponduje s obsahom ustanovení odsekov 1 až 5, ktoré ukladajú povinnosti verejným subjektom.</w:t>
            </w:r>
          </w:p>
        </w:tc>
        <w:tc>
          <w:tcPr>
            <w:tcW w:w="2264" w:type="dxa"/>
            <w:hideMark/>
          </w:tcPr>
          <w:p w14:paraId="23DAE5B3" w14:textId="1F698F0A" w:rsidR="00FE0F3E" w:rsidRPr="00BC49FC" w:rsidRDefault="00FE0F3E">
            <w:pPr>
              <w:rPr>
                <w:rFonts w:ascii="Times New Roman" w:hAnsi="Times New Roman" w:cs="Times New Roman"/>
                <w:b/>
                <w:bCs/>
              </w:rPr>
            </w:pPr>
            <w:r>
              <w:rPr>
                <w:rFonts w:ascii="Times New Roman" w:hAnsi="Times New Roman" w:cs="Times New Roman"/>
                <w:b/>
                <w:bCs/>
              </w:rPr>
              <w:t>A</w:t>
            </w:r>
          </w:p>
        </w:tc>
        <w:tc>
          <w:tcPr>
            <w:tcW w:w="2753" w:type="dxa"/>
            <w:hideMark/>
          </w:tcPr>
          <w:p w14:paraId="1FAABD46"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211A12B1" w14:textId="768E14F4" w:rsidTr="00725D29">
        <w:trPr>
          <w:trHeight w:val="1590"/>
        </w:trPr>
        <w:tc>
          <w:tcPr>
            <w:tcW w:w="975" w:type="dxa"/>
            <w:hideMark/>
          </w:tcPr>
          <w:p w14:paraId="55C5B7BD"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216.</w:t>
            </w:r>
          </w:p>
        </w:tc>
        <w:tc>
          <w:tcPr>
            <w:tcW w:w="2656" w:type="dxa"/>
            <w:hideMark/>
          </w:tcPr>
          <w:p w14:paraId="1D26B8E3"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718F8D2A"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2B27870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34 ods. 3 písm. a) </w:t>
            </w:r>
            <w:r w:rsidRPr="00BC49FC">
              <w:rPr>
                <w:rFonts w:ascii="Times New Roman" w:hAnsi="Times New Roman" w:cs="Times New Roman"/>
              </w:rPr>
              <w:t>V čl. I § 34 ods. 3 písm. a) odporúčame prehodnotiť alebo upresniť predmetné ustanovenie v spojení s ukladajúcou povinnosťou vymedziť rozsah projektu na základe posúdenia aktuálneho stavu verejných budov.  Odôvodnenie: Zo znenia ustanovenia ani z dôvodovej správy nie je zrejmé, z akých podkladov má verejný subjekt pri posudzovaní vychádzať, akým spôsobom má byť takéto posúdenie vykonané ani aké odborné alebo technické požiadavky sa naň budú vzťahovať. Máme za to, že takto formulovaná povinnosť môže predstavovať neprimeranú administratívnu a odbornú záťaž, najmä pre verejné subjekty, ktoré nedisponujú potrebným technickým zázemím alebo odbornými kapacitami na vykonávanie takéhoto posúdenia. Zároveň poukazujeme na skutočnosť, že čl. 29 ods. 4 druhá veta smernice Európskeho parlamentu a Rady (EÚ) 2023/1791 upravuje posudzovanie realizovateľnosti využitia zmlúv o energetickej efektívnosti, nie povinnosť vykonávať komplexné posúdenie aktuálneho stavu verejných budov.</w:t>
            </w:r>
          </w:p>
        </w:tc>
        <w:tc>
          <w:tcPr>
            <w:tcW w:w="2264" w:type="dxa"/>
            <w:hideMark/>
          </w:tcPr>
          <w:p w14:paraId="26733038" w14:textId="44D054AE"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2C0D9BAD" w14:textId="57FA26E8" w:rsidR="00FE0F3E" w:rsidRPr="007525D5" w:rsidRDefault="00FE0F3E">
            <w:pPr>
              <w:rPr>
                <w:rFonts w:ascii="Times New Roman" w:hAnsi="Times New Roman" w:cs="Times New Roman"/>
              </w:rPr>
            </w:pPr>
            <w:r w:rsidRPr="007525D5">
              <w:rPr>
                <w:rFonts w:ascii="Times New Roman" w:hAnsi="Times New Roman" w:cs="Times New Roman"/>
              </w:rPr>
              <w:t>Požadované spresnenie nie je z hľadiska účelu ustanovenia potrebné.</w:t>
            </w:r>
          </w:p>
        </w:tc>
      </w:tr>
      <w:tr w:rsidR="00FE0F3E" w:rsidRPr="006278D2" w14:paraId="52D4D0BD" w14:textId="5A7BC84C" w:rsidTr="00725D29">
        <w:trPr>
          <w:trHeight w:val="960"/>
        </w:trPr>
        <w:tc>
          <w:tcPr>
            <w:tcW w:w="975" w:type="dxa"/>
            <w:hideMark/>
          </w:tcPr>
          <w:p w14:paraId="004BD7C9"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217</w:t>
            </w:r>
          </w:p>
        </w:tc>
        <w:tc>
          <w:tcPr>
            <w:tcW w:w="2656" w:type="dxa"/>
            <w:hideMark/>
          </w:tcPr>
          <w:p w14:paraId="78A1F86F"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78C49FED"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2A383B03"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36 ods. 1 </w:t>
            </w:r>
            <w:r w:rsidRPr="00BC49FC">
              <w:rPr>
                <w:rFonts w:ascii="Times New Roman" w:hAnsi="Times New Roman" w:cs="Times New Roman"/>
              </w:rPr>
              <w:t>V čl. I § 36 ods. 1 odporúčame upraviť  odkaz na ustanovenie upravujúce rozsah informácií, ktoré je verejný subjekt povinný zasielať prevádzkovateľovi monitorovacieho systému.</w:t>
            </w:r>
          </w:p>
        </w:tc>
        <w:tc>
          <w:tcPr>
            <w:tcW w:w="2264" w:type="dxa"/>
            <w:hideMark/>
          </w:tcPr>
          <w:p w14:paraId="4A3CBBEE" w14:textId="6B82219B"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17026B23"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07AE084C" w14:textId="661D845B" w:rsidTr="00725D29">
        <w:trPr>
          <w:trHeight w:val="960"/>
        </w:trPr>
        <w:tc>
          <w:tcPr>
            <w:tcW w:w="975" w:type="dxa"/>
            <w:hideMark/>
          </w:tcPr>
          <w:p w14:paraId="4958D74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218.</w:t>
            </w:r>
          </w:p>
        </w:tc>
        <w:tc>
          <w:tcPr>
            <w:tcW w:w="2656" w:type="dxa"/>
            <w:hideMark/>
          </w:tcPr>
          <w:p w14:paraId="70467E0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5B5CB857"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0F18C2A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36 ods. 2 písm. a) a b) bod 1 </w:t>
            </w:r>
            <w:r w:rsidRPr="00BC49FC">
              <w:rPr>
                <w:rFonts w:ascii="Times New Roman" w:hAnsi="Times New Roman" w:cs="Times New Roman"/>
              </w:rPr>
              <w:t>V čl. I § 36 ods. 2 písm. a) a b) bode 1 odporúčame v písm. a) nahradiť slovo „klimatizovaných“ slovom „chladených“ a slovo „využívajú“ nahradiť slovom „užívajú“ z dôvodu jednotnej úpravy, zároveň v písm. b) bode 1 jednoznačne špecifikovať, o aký druh podlahovej plochy ide, t. j. či sa má na mysli „celková podlahová plocha“ alebo „celková úžitková podlahová plocha“.</w:t>
            </w:r>
          </w:p>
        </w:tc>
        <w:tc>
          <w:tcPr>
            <w:tcW w:w="2264" w:type="dxa"/>
            <w:hideMark/>
          </w:tcPr>
          <w:p w14:paraId="43EFC9AC" w14:textId="5AD09DC9"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611898E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23E0B157" w14:textId="5150739D" w:rsidTr="00725D29">
        <w:trPr>
          <w:trHeight w:val="960"/>
        </w:trPr>
        <w:tc>
          <w:tcPr>
            <w:tcW w:w="975" w:type="dxa"/>
            <w:hideMark/>
          </w:tcPr>
          <w:p w14:paraId="3A80F831"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219.</w:t>
            </w:r>
          </w:p>
        </w:tc>
        <w:tc>
          <w:tcPr>
            <w:tcW w:w="2656" w:type="dxa"/>
            <w:hideMark/>
          </w:tcPr>
          <w:p w14:paraId="00BE4C91"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1F8C0535"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59B09460"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36 ods. 2 písm. b) bod 3 </w:t>
            </w:r>
            <w:r w:rsidRPr="00BC49FC">
              <w:rPr>
                <w:rFonts w:ascii="Times New Roman" w:hAnsi="Times New Roman" w:cs="Times New Roman"/>
              </w:rPr>
              <w:t>V čl. I § 36 ods. 2 písm. b) bode 3 odporúčame vypustiť slová „v plnom rozsahu“.</w:t>
            </w:r>
          </w:p>
        </w:tc>
        <w:tc>
          <w:tcPr>
            <w:tcW w:w="2264" w:type="dxa"/>
            <w:hideMark/>
          </w:tcPr>
          <w:p w14:paraId="66390F36" w14:textId="65F34977"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3609752B" w14:textId="32B3788F" w:rsidR="00FE0F3E" w:rsidRPr="00BC49FC" w:rsidRDefault="00FE0F3E">
            <w:pPr>
              <w:rPr>
                <w:rFonts w:ascii="Times New Roman" w:hAnsi="Times New Roman" w:cs="Times New Roman"/>
              </w:rPr>
            </w:pPr>
            <w:r w:rsidRPr="00BC49FC">
              <w:rPr>
                <w:rFonts w:ascii="Times New Roman" w:hAnsi="Times New Roman" w:cs="Times New Roman"/>
              </w:rPr>
              <w:t>Požiadavka transpozície čl. 6 ods. 5 smernice EED.</w:t>
            </w:r>
          </w:p>
        </w:tc>
      </w:tr>
      <w:tr w:rsidR="00FE0F3E" w:rsidRPr="006278D2" w14:paraId="2DEFAE4B" w14:textId="2FFB59AB" w:rsidTr="00725D29">
        <w:trPr>
          <w:trHeight w:val="960"/>
        </w:trPr>
        <w:tc>
          <w:tcPr>
            <w:tcW w:w="975" w:type="dxa"/>
            <w:hideMark/>
          </w:tcPr>
          <w:p w14:paraId="7E000B5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220.</w:t>
            </w:r>
          </w:p>
        </w:tc>
        <w:tc>
          <w:tcPr>
            <w:tcW w:w="2656" w:type="dxa"/>
            <w:hideMark/>
          </w:tcPr>
          <w:p w14:paraId="62C0771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0CA60095"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5771095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44 ods. 3 </w:t>
            </w:r>
            <w:r w:rsidRPr="00BC49FC">
              <w:rPr>
                <w:rFonts w:ascii="Times New Roman" w:hAnsi="Times New Roman" w:cs="Times New Roman"/>
              </w:rPr>
              <w:t>V čl. I § 44 ods. 3 odporúčame slová „informácie o svojich verejných budovách“ nahradiť slovami „informácie o budovách“.</w:t>
            </w:r>
          </w:p>
        </w:tc>
        <w:tc>
          <w:tcPr>
            <w:tcW w:w="2264" w:type="dxa"/>
            <w:hideMark/>
          </w:tcPr>
          <w:p w14:paraId="267FB402" w14:textId="09B6AA72"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0C297810" w14:textId="2A24DD78" w:rsidR="00FE0F3E" w:rsidRPr="00BC49FC" w:rsidRDefault="00FE0F3E">
            <w:pPr>
              <w:rPr>
                <w:rFonts w:ascii="Times New Roman" w:hAnsi="Times New Roman" w:cs="Times New Roman"/>
              </w:rPr>
            </w:pPr>
            <w:r w:rsidRPr="00BC49FC">
              <w:rPr>
                <w:rFonts w:ascii="Times New Roman" w:hAnsi="Times New Roman" w:cs="Times New Roman"/>
              </w:rPr>
              <w:t>Neexistuje také znenie.</w:t>
            </w:r>
          </w:p>
        </w:tc>
      </w:tr>
      <w:tr w:rsidR="00FE0F3E" w:rsidRPr="006278D2" w14:paraId="5ADC898D" w14:textId="4A76DD3E" w:rsidTr="00725D29">
        <w:trPr>
          <w:trHeight w:val="1275"/>
        </w:trPr>
        <w:tc>
          <w:tcPr>
            <w:tcW w:w="975" w:type="dxa"/>
            <w:hideMark/>
          </w:tcPr>
          <w:p w14:paraId="5EFE3ABA" w14:textId="77777777" w:rsidR="00FE0F3E" w:rsidRPr="00BC49FC" w:rsidRDefault="00FE0F3E" w:rsidP="00F9268A">
            <w:pPr>
              <w:rPr>
                <w:rFonts w:ascii="Times New Roman" w:hAnsi="Times New Roman" w:cs="Times New Roman"/>
                <w:b/>
                <w:bCs/>
              </w:rPr>
            </w:pPr>
            <w:r w:rsidRPr="00BC49FC">
              <w:rPr>
                <w:rFonts w:ascii="Times New Roman" w:hAnsi="Times New Roman" w:cs="Times New Roman"/>
                <w:b/>
                <w:bCs/>
              </w:rPr>
              <w:t>221.</w:t>
            </w:r>
          </w:p>
        </w:tc>
        <w:tc>
          <w:tcPr>
            <w:tcW w:w="2656" w:type="dxa"/>
            <w:hideMark/>
          </w:tcPr>
          <w:p w14:paraId="5A1FD659" w14:textId="77777777" w:rsidR="00FE0F3E" w:rsidRPr="00BC49FC" w:rsidRDefault="00FE0F3E" w:rsidP="00F9268A">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126EF9F0" w14:textId="77777777" w:rsidR="00FE0F3E" w:rsidRPr="00BC49FC" w:rsidRDefault="00FE0F3E" w:rsidP="00F9268A">
            <w:pPr>
              <w:rPr>
                <w:rFonts w:ascii="Times New Roman" w:hAnsi="Times New Roman" w:cs="Times New Roman"/>
              </w:rPr>
            </w:pPr>
            <w:r w:rsidRPr="00BC49FC">
              <w:rPr>
                <w:rFonts w:ascii="Times New Roman" w:hAnsi="Times New Roman" w:cs="Times New Roman"/>
              </w:rPr>
              <w:t>O</w:t>
            </w:r>
          </w:p>
        </w:tc>
        <w:tc>
          <w:tcPr>
            <w:tcW w:w="5615" w:type="dxa"/>
            <w:hideMark/>
          </w:tcPr>
          <w:p w14:paraId="46772B5A" w14:textId="77777777" w:rsidR="00FE0F3E" w:rsidRPr="00BC49FC" w:rsidRDefault="00FE0F3E" w:rsidP="00F9268A">
            <w:pPr>
              <w:rPr>
                <w:rFonts w:ascii="Times New Roman" w:hAnsi="Times New Roman" w:cs="Times New Roman"/>
                <w:b/>
                <w:bCs/>
              </w:rPr>
            </w:pPr>
            <w:r w:rsidRPr="00BC49FC">
              <w:rPr>
                <w:rFonts w:ascii="Times New Roman" w:hAnsi="Times New Roman" w:cs="Times New Roman"/>
                <w:b/>
                <w:bCs/>
              </w:rPr>
              <w:t xml:space="preserve">Čl. III bod 25 § 19a ods. 1 </w:t>
            </w:r>
            <w:r w:rsidRPr="00BC49FC">
              <w:rPr>
                <w:rFonts w:ascii="Times New Roman" w:hAnsi="Times New Roman" w:cs="Times New Roman"/>
              </w:rPr>
              <w:t>V čl. III bod 25 § 19a ods. 1 odporúčame zosúladiť s  požiadavkami čl. 20 ods. 1 smernice Európskeho parlamentu a Rady (EÚ) 2023/1791, keďže nie je zrejmé, prečo sa bezodplatnosť poskytovania informácií výslovne uvádza iba v písm. c), a nie aj v písm. a), b) a d) (novelizačný bod 25 v článku III). Odôvodnenie:  Čl. 20 ods. 1 smernice ustanovuje bezplatný prístup k informáciám týkajúcim sa vyúčtovania spotreby tepla, chladu a teplej vody bez ďalšieho rozlišovania jednotlivých kategórií informácií. Navrhovaná vnútroštátna úprava však vytvára rozdielny režim bezodplatnosti, keď ju výslovne viaže iba na jednu z kategórií informácií, čo môže viesť k výkladovým nejasnostiam a odlišnej aplikačnej praxi.</w:t>
            </w:r>
          </w:p>
        </w:tc>
        <w:tc>
          <w:tcPr>
            <w:tcW w:w="2264" w:type="dxa"/>
            <w:vAlign w:val="center"/>
            <w:hideMark/>
          </w:tcPr>
          <w:p w14:paraId="64C6FA41" w14:textId="6688C3B3" w:rsidR="00FE0F3E" w:rsidRPr="00BC49FC" w:rsidRDefault="00FE0F3E" w:rsidP="00F9268A">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407B724B" w14:textId="581FEE5C" w:rsidR="00FE0F3E" w:rsidRPr="00BC49FC" w:rsidRDefault="00FE0F3E" w:rsidP="00F9268A">
            <w:pPr>
              <w:rPr>
                <w:rFonts w:ascii="Times New Roman" w:hAnsi="Times New Roman" w:cs="Times New Roman"/>
              </w:rPr>
            </w:pPr>
            <w:r w:rsidRPr="00BC49FC">
              <w:rPr>
                <w:rFonts w:ascii="Times New Roman" w:hAnsi="Times New Roman" w:cs="Times New Roman"/>
                <w:color w:val="000000"/>
              </w:rPr>
              <w:t>Návrh nového znenia:</w:t>
            </w:r>
            <w:r w:rsidRPr="00BC49FC">
              <w:rPr>
                <w:rFonts w:ascii="Times New Roman" w:hAnsi="Times New Roman" w:cs="Times New Roman"/>
                <w:color w:val="000000"/>
              </w:rPr>
              <w:br/>
              <w:t xml:space="preserve">Dodávateľ tepla, ktorý dodáva teplo na vykurovanie, na chladenie, alebo v teplej vode koncovému odberateľovi tepla, ktorý rozpočítava  náklady na dodané teplo konečnému spotrebiteľovi tepla a vlastníkom bytov a nebytových priestorov odpojených od centralizovaného zásobovania teplom alebo decentralizovaného zdroju tepla, je povinný poskytovať koncovému </w:t>
            </w:r>
            <w:r w:rsidRPr="00BC49FC">
              <w:rPr>
                <w:rFonts w:ascii="Times New Roman" w:hAnsi="Times New Roman" w:cs="Times New Roman"/>
                <w:color w:val="000000"/>
              </w:rPr>
              <w:lastRenderedPageBreak/>
              <w:t>odberateľovi tepla</w:t>
            </w:r>
            <w:r>
              <w:rPr>
                <w:rFonts w:ascii="Times New Roman" w:hAnsi="Times New Roman" w:cs="Times New Roman"/>
                <w:color w:val="000000"/>
              </w:rPr>
              <w:t>...</w:t>
            </w:r>
          </w:p>
        </w:tc>
      </w:tr>
      <w:tr w:rsidR="00FE0F3E" w:rsidRPr="006278D2" w14:paraId="0CC7E286" w14:textId="0077F233" w:rsidTr="00725D29">
        <w:trPr>
          <w:trHeight w:val="960"/>
        </w:trPr>
        <w:tc>
          <w:tcPr>
            <w:tcW w:w="975" w:type="dxa"/>
            <w:hideMark/>
          </w:tcPr>
          <w:p w14:paraId="5995CC0D"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lastRenderedPageBreak/>
              <w:t>222.</w:t>
            </w:r>
          </w:p>
        </w:tc>
        <w:tc>
          <w:tcPr>
            <w:tcW w:w="2656" w:type="dxa"/>
            <w:hideMark/>
          </w:tcPr>
          <w:p w14:paraId="62C1E2CA"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432657F1" w14:textId="77777777" w:rsidR="00FE0F3E" w:rsidRPr="00BC49FC" w:rsidRDefault="00FE0F3E" w:rsidP="00A91B86">
            <w:pPr>
              <w:rPr>
                <w:rFonts w:ascii="Times New Roman" w:hAnsi="Times New Roman" w:cs="Times New Roman"/>
              </w:rPr>
            </w:pPr>
            <w:r w:rsidRPr="00BC49FC">
              <w:rPr>
                <w:rFonts w:ascii="Times New Roman" w:hAnsi="Times New Roman" w:cs="Times New Roman"/>
              </w:rPr>
              <w:t>O</w:t>
            </w:r>
          </w:p>
        </w:tc>
        <w:tc>
          <w:tcPr>
            <w:tcW w:w="5615" w:type="dxa"/>
            <w:hideMark/>
          </w:tcPr>
          <w:p w14:paraId="31089C5B"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 xml:space="preserve">Čl. VII  bod 3 § 42a ods. 3 </w:t>
            </w:r>
            <w:r w:rsidRPr="00BC49FC">
              <w:rPr>
                <w:rFonts w:ascii="Times New Roman" w:hAnsi="Times New Roman" w:cs="Times New Roman"/>
              </w:rPr>
              <w:t>V čl. VII  bode 3 § 42a ods. 3 použitie kritéria či pojmu „dve najviac zastúpené triedy“ vykazuje v podmienkach verejného obstarávania značnú mieru nestability a neurčitosti. Tento stav nastáva predovšetkým v situáciách, kedy je referenčná databáza dynamická a podlieha vysokej frekvencii aktualizácie dát. V dôsledku neustálych zmien v obsahu databázy tak nie je možné garantovať jednoznačnosť, predvídateľnosť a stálosť takto definovaného parametra.</w:t>
            </w:r>
          </w:p>
        </w:tc>
        <w:tc>
          <w:tcPr>
            <w:tcW w:w="2264" w:type="dxa"/>
            <w:vAlign w:val="center"/>
            <w:hideMark/>
          </w:tcPr>
          <w:p w14:paraId="326326CD" w14:textId="5C081EBB" w:rsidR="00FE0F3E" w:rsidRPr="00BC49FC" w:rsidRDefault="00FE0F3E" w:rsidP="00A91B86">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0D454DA" w14:textId="3E8FC792" w:rsidR="00FE0F3E" w:rsidRPr="00BC49FC" w:rsidRDefault="00FE0F3E" w:rsidP="00315733">
            <w:pPr>
              <w:rPr>
                <w:rFonts w:ascii="Times New Roman" w:hAnsi="Times New Roman" w:cs="Times New Roman"/>
              </w:rPr>
            </w:pPr>
            <w:r w:rsidRPr="00BC49FC">
              <w:rPr>
                <w:rFonts w:ascii="Times New Roman" w:hAnsi="Times New Roman" w:cs="Times New Roman"/>
                <w:color w:val="000000"/>
              </w:rPr>
              <w:t>Text smernice neumožňuje iný výklad. Odporúčame pre určenie dvoch najviac zastúpených tried využiť Európsky register výrobkov s energetickým označovaním (www.eprel.ec.europa.eu).</w:t>
            </w:r>
          </w:p>
        </w:tc>
      </w:tr>
      <w:tr w:rsidR="00FE0F3E" w:rsidRPr="006278D2" w14:paraId="67CA5709" w14:textId="1CCF9FB0" w:rsidTr="00725D29">
        <w:trPr>
          <w:trHeight w:val="960"/>
        </w:trPr>
        <w:tc>
          <w:tcPr>
            <w:tcW w:w="975" w:type="dxa"/>
            <w:hideMark/>
          </w:tcPr>
          <w:p w14:paraId="6B49F26A"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223.</w:t>
            </w:r>
          </w:p>
        </w:tc>
        <w:tc>
          <w:tcPr>
            <w:tcW w:w="2656" w:type="dxa"/>
            <w:hideMark/>
          </w:tcPr>
          <w:p w14:paraId="0EE5AE25"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1C5668A2" w14:textId="77777777" w:rsidR="00FE0F3E" w:rsidRPr="00BC49FC" w:rsidRDefault="00FE0F3E" w:rsidP="00A91B86">
            <w:pPr>
              <w:rPr>
                <w:rFonts w:ascii="Times New Roman" w:hAnsi="Times New Roman" w:cs="Times New Roman"/>
              </w:rPr>
            </w:pPr>
            <w:r w:rsidRPr="00BC49FC">
              <w:rPr>
                <w:rFonts w:ascii="Times New Roman" w:hAnsi="Times New Roman" w:cs="Times New Roman"/>
              </w:rPr>
              <w:t>O</w:t>
            </w:r>
          </w:p>
        </w:tc>
        <w:tc>
          <w:tcPr>
            <w:tcW w:w="5615" w:type="dxa"/>
            <w:hideMark/>
          </w:tcPr>
          <w:p w14:paraId="39F8C241"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 xml:space="preserve">Čl. VII bode 3 § 42a ods. 6 </w:t>
            </w:r>
            <w:r w:rsidRPr="00BC49FC">
              <w:rPr>
                <w:rFonts w:ascii="Times New Roman" w:hAnsi="Times New Roman" w:cs="Times New Roman"/>
              </w:rPr>
              <w:t>V čl. VII bode 3 § 42a ods. 6 odporúčame na konci pripojiť tieto slová: „.ak sú takéto pneumatiky bežne dostupné na trhu.“.  Odôvodnenie:  Vyžadovanie najvyššej triedy môže pri niektorých typoch vozidiel viesť k tomu, že na  trhu nebude existovať žiadny produkt. Výnimka v druhej časti vety rieši len bezpečnosť  a zdravie, nie reálnu dostupnosť na trhu.</w:t>
            </w:r>
          </w:p>
        </w:tc>
        <w:tc>
          <w:tcPr>
            <w:tcW w:w="2264" w:type="dxa"/>
            <w:vAlign w:val="center"/>
            <w:hideMark/>
          </w:tcPr>
          <w:p w14:paraId="17410252" w14:textId="2CE80B80" w:rsidR="00FE0F3E" w:rsidRPr="00BC49FC" w:rsidRDefault="00FE0F3E" w:rsidP="00A91B86">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402BAF0" w14:textId="5F1F464E" w:rsidR="00FE0F3E" w:rsidRPr="00BC49FC" w:rsidRDefault="00FE0F3E" w:rsidP="00A91B86">
            <w:pPr>
              <w:rPr>
                <w:rFonts w:ascii="Times New Roman" w:hAnsi="Times New Roman" w:cs="Times New Roman"/>
              </w:rPr>
            </w:pPr>
            <w:r w:rsidRPr="00BC49FC">
              <w:rPr>
                <w:rFonts w:ascii="Times New Roman" w:hAnsi="Times New Roman" w:cs="Times New Roman"/>
                <w:color w:val="000000"/>
              </w:rPr>
              <w:t xml:space="preserve">Text smernice neumožňuje iný výklad. Vždy sa obstaráva len z ponuky v danom čase dostupnej na trhu. </w:t>
            </w:r>
          </w:p>
        </w:tc>
      </w:tr>
      <w:tr w:rsidR="00FE0F3E" w:rsidRPr="006278D2" w14:paraId="0ACD6249" w14:textId="15975749" w:rsidTr="00725D29">
        <w:trPr>
          <w:trHeight w:val="960"/>
        </w:trPr>
        <w:tc>
          <w:tcPr>
            <w:tcW w:w="975" w:type="dxa"/>
            <w:hideMark/>
          </w:tcPr>
          <w:p w14:paraId="5879E9E8"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224.</w:t>
            </w:r>
          </w:p>
        </w:tc>
        <w:tc>
          <w:tcPr>
            <w:tcW w:w="2656" w:type="dxa"/>
            <w:hideMark/>
          </w:tcPr>
          <w:p w14:paraId="580F49DD"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5D91824B" w14:textId="77777777" w:rsidR="00FE0F3E" w:rsidRPr="00BC49FC" w:rsidRDefault="00FE0F3E" w:rsidP="00A91B86">
            <w:pPr>
              <w:rPr>
                <w:rFonts w:ascii="Times New Roman" w:hAnsi="Times New Roman" w:cs="Times New Roman"/>
              </w:rPr>
            </w:pPr>
            <w:r w:rsidRPr="00BC49FC">
              <w:rPr>
                <w:rFonts w:ascii="Times New Roman" w:hAnsi="Times New Roman" w:cs="Times New Roman"/>
              </w:rPr>
              <w:t>O</w:t>
            </w:r>
          </w:p>
        </w:tc>
        <w:tc>
          <w:tcPr>
            <w:tcW w:w="5615" w:type="dxa"/>
            <w:hideMark/>
          </w:tcPr>
          <w:p w14:paraId="32405D60" w14:textId="77777777" w:rsidR="00FE0F3E" w:rsidRPr="00BC49FC" w:rsidRDefault="00FE0F3E" w:rsidP="00A91B86">
            <w:pPr>
              <w:rPr>
                <w:rFonts w:ascii="Times New Roman" w:hAnsi="Times New Roman" w:cs="Times New Roman"/>
                <w:b/>
                <w:bCs/>
              </w:rPr>
            </w:pPr>
            <w:r w:rsidRPr="00BC49FC">
              <w:rPr>
                <w:rFonts w:ascii="Times New Roman" w:hAnsi="Times New Roman" w:cs="Times New Roman"/>
                <w:b/>
                <w:bCs/>
              </w:rPr>
              <w:t xml:space="preserve">Čl. VII bode 3 § 42a ods. 7 </w:t>
            </w:r>
            <w:r w:rsidRPr="00BC49FC">
              <w:rPr>
                <w:rFonts w:ascii="Times New Roman" w:hAnsi="Times New Roman" w:cs="Times New Roman"/>
              </w:rPr>
              <w:t>V čl. VII bode 3 § 42a ods. 7 predmetné ustanovenie upravuje povinnosť kontroly zmluvného plnenia, avšak úplne opomína definovanie procesných postupov pre jej výkon. Takto formulovaný záväzok je z pohľadu práva verejného obstarávania nepreskúmateľný a netransparentný. A ako taký sa netýka procesu verejného obstarávania ale plnenia, ktoré by malo byť definované v zmluvných podmienkach.</w:t>
            </w:r>
          </w:p>
        </w:tc>
        <w:tc>
          <w:tcPr>
            <w:tcW w:w="2264" w:type="dxa"/>
            <w:vAlign w:val="center"/>
            <w:hideMark/>
          </w:tcPr>
          <w:p w14:paraId="6A4AF574" w14:textId="5D0DF0B6" w:rsidR="00FE0F3E" w:rsidRPr="00BC49FC" w:rsidRDefault="00FE0F3E" w:rsidP="00A91B86">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58B74B37" w14:textId="522B07B6" w:rsidR="00FE0F3E" w:rsidRPr="00BC49FC" w:rsidRDefault="00FE0F3E" w:rsidP="00A91B86">
            <w:pPr>
              <w:rPr>
                <w:rFonts w:ascii="Times New Roman" w:hAnsi="Times New Roman" w:cs="Times New Roman"/>
              </w:rPr>
            </w:pPr>
            <w:r w:rsidRPr="00BC49FC">
              <w:rPr>
                <w:rFonts w:ascii="Times New Roman" w:hAnsi="Times New Roman" w:cs="Times New Roman"/>
                <w:color w:val="000000"/>
              </w:rPr>
              <w:t>Definícia procesných postupov pre výkon kontroly zmluvného plnenia sa vykonáva v súlade s ostatnými ustanoveniami zákona č. 343/2015 Z. z. o verejnom obstarávaní.</w:t>
            </w:r>
          </w:p>
        </w:tc>
      </w:tr>
      <w:tr w:rsidR="00FE0F3E" w:rsidRPr="006278D2" w14:paraId="01F453BE" w14:textId="19DE117F" w:rsidTr="00725D29">
        <w:trPr>
          <w:trHeight w:val="960"/>
        </w:trPr>
        <w:tc>
          <w:tcPr>
            <w:tcW w:w="975" w:type="dxa"/>
            <w:hideMark/>
          </w:tcPr>
          <w:p w14:paraId="0440542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225.</w:t>
            </w:r>
          </w:p>
        </w:tc>
        <w:tc>
          <w:tcPr>
            <w:tcW w:w="2656" w:type="dxa"/>
            <w:hideMark/>
          </w:tcPr>
          <w:p w14:paraId="32EA0B07"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57B5ECB9"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79476599"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Dôvodovej správe osobitnej časti k čl. I § 45 </w:t>
            </w:r>
            <w:r w:rsidRPr="00BC49FC">
              <w:rPr>
                <w:rFonts w:ascii="Times New Roman" w:hAnsi="Times New Roman" w:cs="Times New Roman"/>
              </w:rPr>
              <w:t xml:space="preserve">V dôvodovej správe osobitnej časti k čl. I § 45 odporúčame doplniť o podrobnejšie vysvetlenie rozsahu splnomocňovacích ustanovení a obsahu jednotlivých vykonávacích predpisov. Absencia bližšieho vysvetlenia môže viesť k výkladovým </w:t>
            </w:r>
            <w:r w:rsidRPr="00BC49FC">
              <w:rPr>
                <w:rFonts w:ascii="Times New Roman" w:hAnsi="Times New Roman" w:cs="Times New Roman"/>
              </w:rPr>
              <w:lastRenderedPageBreak/>
              <w:t>nejasnostiam, prekryvu kompetencií a nejasnému rozsahu vykonávacích právnych predpisov.</w:t>
            </w:r>
          </w:p>
        </w:tc>
        <w:tc>
          <w:tcPr>
            <w:tcW w:w="2264" w:type="dxa"/>
            <w:hideMark/>
          </w:tcPr>
          <w:p w14:paraId="43118A1B" w14:textId="769DC6C5"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12EBFA77"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7428E17" w14:textId="7BC6F1F2" w:rsidTr="00725D29">
        <w:trPr>
          <w:trHeight w:val="1275"/>
        </w:trPr>
        <w:tc>
          <w:tcPr>
            <w:tcW w:w="975" w:type="dxa"/>
            <w:hideMark/>
          </w:tcPr>
          <w:p w14:paraId="153D4F75"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226.</w:t>
            </w:r>
          </w:p>
        </w:tc>
        <w:tc>
          <w:tcPr>
            <w:tcW w:w="2656" w:type="dxa"/>
            <w:hideMark/>
          </w:tcPr>
          <w:p w14:paraId="6C1DEE28"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53465D48"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D756A99"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Tabuľke zhody EED - </w:t>
            </w:r>
            <w:r w:rsidRPr="00BC49FC">
              <w:rPr>
                <w:rFonts w:ascii="Times New Roman" w:hAnsi="Times New Roman" w:cs="Times New Roman"/>
              </w:rPr>
              <w:t>V tabuľke zhody EED - Čl. 6 ods. 2 v 1 písm. a) a b) odporúčame transpozíciu Čl. 6 ods. 2 v 1 písm. a) uvádzať v znení § 4 ods. 3 návrhu zákona, ktorým sa mení a dopĺňa zákon č. 555/2005 Z. z. a transpozíciu Čl. 6 ods. 2 v 1 písm. b) v znení § 2 ods. 2 písm. a) návrhu zákona, ktorým sa mení a dopĺňa zákon č. 555/2005 Z. z. Odôvodnenie: V súčasnom návrhu je nesprávne označená transpozícia, predmetná požiadavka smernice bude podľa transponovaná do § 4 ods. 3 návrhu novely zákona č. 555/2005 Z. z. Z uvedeného dôvodu je potrebné zosúladiť tabuľku zhody so skutočným legislatívnym riešením transpozície, aby bola zabezpečená správna identifikácia transpozičných ustanovení a prehľadnosť implementácie smernice v právnom poriadku Slovenskej republiky.</w:t>
            </w:r>
          </w:p>
        </w:tc>
        <w:tc>
          <w:tcPr>
            <w:tcW w:w="2264" w:type="dxa"/>
            <w:hideMark/>
          </w:tcPr>
          <w:p w14:paraId="2C874873" w14:textId="443EC681"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5CF32796"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AA62F35" w14:textId="50DEA7CB" w:rsidTr="00725D29">
        <w:trPr>
          <w:trHeight w:val="1275"/>
        </w:trPr>
        <w:tc>
          <w:tcPr>
            <w:tcW w:w="975" w:type="dxa"/>
            <w:hideMark/>
          </w:tcPr>
          <w:p w14:paraId="4F51F813" w14:textId="77777777" w:rsidR="00FE0F3E" w:rsidRPr="00BC49FC" w:rsidRDefault="00FE0F3E" w:rsidP="008D402B">
            <w:pPr>
              <w:rPr>
                <w:rFonts w:ascii="Times New Roman" w:hAnsi="Times New Roman" w:cs="Times New Roman"/>
                <w:b/>
                <w:bCs/>
              </w:rPr>
            </w:pPr>
            <w:r w:rsidRPr="00BC49FC">
              <w:rPr>
                <w:rFonts w:ascii="Times New Roman" w:hAnsi="Times New Roman" w:cs="Times New Roman"/>
                <w:b/>
                <w:bCs/>
              </w:rPr>
              <w:t>227.</w:t>
            </w:r>
          </w:p>
        </w:tc>
        <w:tc>
          <w:tcPr>
            <w:tcW w:w="2656" w:type="dxa"/>
            <w:hideMark/>
          </w:tcPr>
          <w:p w14:paraId="16A6C427" w14:textId="77777777" w:rsidR="00FE0F3E" w:rsidRPr="00BC49FC" w:rsidRDefault="00FE0F3E" w:rsidP="008D402B">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16BFB814" w14:textId="77777777" w:rsidR="00FE0F3E" w:rsidRPr="00BC49FC" w:rsidRDefault="00FE0F3E" w:rsidP="008D402B">
            <w:pPr>
              <w:rPr>
                <w:rFonts w:ascii="Times New Roman" w:hAnsi="Times New Roman" w:cs="Times New Roman"/>
              </w:rPr>
            </w:pPr>
            <w:r w:rsidRPr="00BC49FC">
              <w:rPr>
                <w:rFonts w:ascii="Times New Roman" w:hAnsi="Times New Roman" w:cs="Times New Roman"/>
              </w:rPr>
              <w:t>O</w:t>
            </w:r>
          </w:p>
        </w:tc>
        <w:tc>
          <w:tcPr>
            <w:tcW w:w="5615" w:type="dxa"/>
            <w:hideMark/>
          </w:tcPr>
          <w:p w14:paraId="54059BAD" w14:textId="77777777" w:rsidR="00FE0F3E" w:rsidRPr="00BC49FC" w:rsidRDefault="00FE0F3E" w:rsidP="008D402B">
            <w:pPr>
              <w:rPr>
                <w:rFonts w:ascii="Times New Roman" w:hAnsi="Times New Roman" w:cs="Times New Roman"/>
                <w:b/>
                <w:bCs/>
              </w:rPr>
            </w:pPr>
            <w:r w:rsidRPr="00BC49FC">
              <w:rPr>
                <w:rFonts w:ascii="Times New Roman" w:hAnsi="Times New Roman" w:cs="Times New Roman"/>
                <w:b/>
                <w:bCs/>
              </w:rPr>
              <w:t xml:space="preserve">Analýze vplyvov </w:t>
            </w:r>
            <w:r w:rsidRPr="00BC49FC">
              <w:rPr>
                <w:rFonts w:ascii="Times New Roman" w:hAnsi="Times New Roman" w:cs="Times New Roman"/>
              </w:rPr>
              <w:t>V analýze vplyvov na rozpočet verejnej správy odporúčame dopracovať doložku vybraných vplyvov v časti analýza vplyvov na rozpočet verejnej správy a čo najpresnejšie vyhodnotiť finančné dopady navrhovanej právnej úpravy. Návrh zákona v Čl. I § 35 ods. 5 zavádza nové povinnosti pre verejné subjekty vrátane obcí a vyšších územných celkov, avšak v doložke vybraných vplyvov deklaruje nulový vplyv na rozpočty obcí a vyšších územných celkov. Máme za to, že plnenie navrhovaných povinností bude nevyhnutne spojené s administratívnymi, personálnymi, technickými a prípadne aj investičnými nákladmi, najmä v oblasti zabezpečenia energetického manažmentu verejného</w:t>
            </w:r>
          </w:p>
        </w:tc>
        <w:tc>
          <w:tcPr>
            <w:tcW w:w="2264" w:type="dxa"/>
            <w:vAlign w:val="center"/>
            <w:hideMark/>
          </w:tcPr>
          <w:p w14:paraId="76320F77" w14:textId="59DDBB23" w:rsidR="00FE0F3E" w:rsidRPr="00BC49FC" w:rsidRDefault="00FE0F3E" w:rsidP="008D402B">
            <w:pPr>
              <w:rPr>
                <w:rFonts w:ascii="Times New Roman" w:hAnsi="Times New Roman" w:cs="Times New Roman"/>
                <w:b/>
                <w:bCs/>
              </w:rPr>
            </w:pPr>
            <w:r>
              <w:rPr>
                <w:rFonts w:ascii="Times New Roman" w:hAnsi="Times New Roman" w:cs="Times New Roman"/>
                <w:b/>
                <w:bCs/>
                <w:color w:val="000000"/>
              </w:rPr>
              <w:t>ČA???</w:t>
            </w:r>
          </w:p>
        </w:tc>
        <w:tc>
          <w:tcPr>
            <w:tcW w:w="2753" w:type="dxa"/>
            <w:vAlign w:val="center"/>
            <w:hideMark/>
          </w:tcPr>
          <w:p w14:paraId="79883D57" w14:textId="3C49587D" w:rsidR="00FE0F3E" w:rsidRPr="00BC49FC" w:rsidRDefault="00FE0F3E" w:rsidP="008D402B">
            <w:pPr>
              <w:rPr>
                <w:rFonts w:ascii="Times New Roman" w:hAnsi="Times New Roman" w:cs="Times New Roman"/>
              </w:rPr>
            </w:pPr>
            <w:r w:rsidRPr="00BC49FC">
              <w:rPr>
                <w:rFonts w:ascii="Times New Roman" w:hAnsi="Times New Roman" w:cs="Times New Roman"/>
                <w:color w:val="000000"/>
              </w:rPr>
              <w:t>Nie je možné vyčísliť predmetné vplyvy.</w:t>
            </w:r>
          </w:p>
        </w:tc>
      </w:tr>
      <w:tr w:rsidR="00FE0F3E" w:rsidRPr="006278D2" w14:paraId="609419E6" w14:textId="1C2F1E9B" w:rsidTr="00725D29">
        <w:trPr>
          <w:trHeight w:val="1905"/>
        </w:trPr>
        <w:tc>
          <w:tcPr>
            <w:tcW w:w="975" w:type="dxa"/>
            <w:hideMark/>
          </w:tcPr>
          <w:p w14:paraId="546E0727"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228.</w:t>
            </w:r>
          </w:p>
        </w:tc>
        <w:tc>
          <w:tcPr>
            <w:tcW w:w="2656" w:type="dxa"/>
            <w:hideMark/>
          </w:tcPr>
          <w:p w14:paraId="1C154999"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MDSR </w:t>
            </w:r>
            <w:r w:rsidRPr="00BC49FC">
              <w:rPr>
                <w:rFonts w:ascii="Times New Roman" w:hAnsi="Times New Roman" w:cs="Times New Roman"/>
              </w:rPr>
              <w:t>Ministerstvo dopravy Slovenskej republiky</w:t>
            </w:r>
          </w:p>
        </w:tc>
        <w:tc>
          <w:tcPr>
            <w:tcW w:w="612" w:type="dxa"/>
            <w:hideMark/>
          </w:tcPr>
          <w:p w14:paraId="77B531AB"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7D3F6B1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Odporúčame, aby transpozícia bola uskutočnená komplexne. Ministerstvo hospodárstva SR ako spolugestor transpozície smernice (EÚ) 2024/1275 predloženým návrhom nezabezpečuje dostatočnú transpozíciu smernice do predpisov vo svojej pôsobnosti.  Odôvodnenie: Ministerstvo hospodárstva SR k uvedenej smernici netransponovalo nasledujúce články smernice 2024/1275 do vnútroštátnych predpisov vo svojej pôsobnosti:  - Článok 2 bod 38 smernice 2024/1275, ktorý má byť zabezpečený novelizáciou zákona č. 251/2012 Z. z.,  - Článok 2 bod 46 smernice 2024/1275, - Článok 2 bod 48 smernice 2024/1275, - Článok 3 ods. 9 prvá veta smernice 2024/1275, - Článok 10 ods. 4 tretia veta smernice 2024/1275, - Článok 10 ods. 5 smernice 2024/1275, - Článok 13 ods. 9 písm. b) a ods. 11 smernice 2024/1275, - Článok 17 ods. 11 a 12 smernice 2024/1275, - Článok 23 a 24 smernice 2024/1275, ktorý má byť zabezpečený novelizáciou zákona č. 314/2012 Z. z. o pravidelnej kontrole vykurovacích systémov a klimatizačných systémov a o zmene zákona č. 455/1991 Zb. o živnostenskom podnikaní (živnostenský zákon) v znení neskorších predpisov.</w:t>
            </w:r>
          </w:p>
        </w:tc>
        <w:tc>
          <w:tcPr>
            <w:tcW w:w="2264" w:type="dxa"/>
            <w:hideMark/>
          </w:tcPr>
          <w:p w14:paraId="04FB9EC8" w14:textId="6080CFF4"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44072145" w14:textId="2A611C29"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52E92EF8" w14:textId="2F3EA76A" w:rsidTr="00725D29">
        <w:trPr>
          <w:trHeight w:val="1275"/>
        </w:trPr>
        <w:tc>
          <w:tcPr>
            <w:tcW w:w="975" w:type="dxa"/>
            <w:hideMark/>
          </w:tcPr>
          <w:p w14:paraId="2CB2717C"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235.</w:t>
            </w:r>
          </w:p>
        </w:tc>
        <w:tc>
          <w:tcPr>
            <w:tcW w:w="2656" w:type="dxa"/>
            <w:hideMark/>
          </w:tcPr>
          <w:p w14:paraId="54B86F39"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428FBAFE"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1F058196"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Analýze vplyvov na rozpočet verejnej správy, na zamestnanosť vo verejnej správe a financovanie návrhu </w:t>
            </w:r>
            <w:r w:rsidRPr="00BC49FC">
              <w:rPr>
                <w:rFonts w:ascii="Times New Roman" w:hAnsi="Times New Roman" w:cs="Times New Roman"/>
              </w:rPr>
              <w:t>V analýze vplyvov je z technického hľadiska potrebné správne vyplniť tabuľku č. 1/B „Vplyvy na limit verejných výdavkov“ a všetky ďalšie relevantné tabuľky, ktoré sú povinnou súčasťou analýzy vplyvov podľa Jednotnej metodiky na posudzovanie vybraných vplyvov. Podotýkame, že tabuľky č. 3, 4/A, 4/B a 5 sa vypĺňajú za každý dotknutý subjekt zvlášť.    Zároveň je potrebné v doložke vybraných vplyvov bode 10. „Poznámky“ a v analýze vplyvov uviesť, že odhadované vplyvy sú indikatívne a všetky prípadné vplyvy sa budú realizovať v rámci schváleného rozpočtu.</w:t>
            </w:r>
          </w:p>
        </w:tc>
        <w:tc>
          <w:tcPr>
            <w:tcW w:w="2264" w:type="dxa"/>
            <w:vAlign w:val="center"/>
            <w:hideMark/>
          </w:tcPr>
          <w:p w14:paraId="31490CC4" w14:textId="4B87D8E5"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A7B9AA9" w14:textId="6A8220B1" w:rsidR="00FE0F3E" w:rsidRPr="007525D5" w:rsidRDefault="00FE0F3E" w:rsidP="00341747">
            <w:pPr>
              <w:rPr>
                <w:rFonts w:ascii="Times New Roman" w:hAnsi="Times New Roman" w:cs="Times New Roman"/>
              </w:rPr>
            </w:pPr>
            <w:r w:rsidRPr="007525D5">
              <w:rPr>
                <w:rFonts w:ascii="Times New Roman" w:hAnsi="Times New Roman" w:cs="Times New Roman"/>
                <w:color w:val="000000"/>
              </w:rPr>
              <w:t>Upravené v relevantných prípadoch.</w:t>
            </w:r>
          </w:p>
        </w:tc>
      </w:tr>
      <w:tr w:rsidR="00FE0F3E" w:rsidRPr="006278D2" w14:paraId="6B27BB95" w14:textId="7C4DBB49" w:rsidTr="00725D29">
        <w:trPr>
          <w:trHeight w:val="960"/>
        </w:trPr>
        <w:tc>
          <w:tcPr>
            <w:tcW w:w="975" w:type="dxa"/>
            <w:hideMark/>
          </w:tcPr>
          <w:p w14:paraId="56BBB74F"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lastRenderedPageBreak/>
              <w:t>236.</w:t>
            </w:r>
          </w:p>
        </w:tc>
        <w:tc>
          <w:tcPr>
            <w:tcW w:w="2656" w:type="dxa"/>
            <w:hideMark/>
          </w:tcPr>
          <w:p w14:paraId="7A743C05"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582F825A"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31A89E53"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Doložke vybraných vplyvov </w:t>
            </w:r>
            <w:r w:rsidRPr="00BC49FC">
              <w:rPr>
                <w:rFonts w:ascii="Times New Roman" w:hAnsi="Times New Roman" w:cs="Times New Roman"/>
              </w:rPr>
              <w:t>Upozorňujeme, že v doložke vybraných vplyvov nie je vyčíslený vplyv na verejný dlh, ktorý je súčasťou verejných financií. Možnosť zaviesť iné typy zmlúv, ako len zmluvy pre verejný sektor predstavuje riziko nárastu verejného dlhu. Zároveň poukazujeme na to, že Štatistický úrad SR, prípadne Eurostat je oprávnený vydávať stanovisko podľa metodiky ESA 2010. Z praktického hľadiska to bude Štatistický úrad SR, ktorý bude posudzovať vzor štandardizovanej zmluvy bez vplyvu na verejný dlh, ako aj individuálne zmluvy s vplyvom na verejný dlh.</w:t>
            </w:r>
          </w:p>
        </w:tc>
        <w:tc>
          <w:tcPr>
            <w:tcW w:w="2264" w:type="dxa"/>
            <w:vAlign w:val="center"/>
            <w:hideMark/>
          </w:tcPr>
          <w:p w14:paraId="2CCE91A6" w14:textId="05585E3C"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BB64953" w14:textId="1D2D114D" w:rsidR="00FE0F3E" w:rsidRPr="007525D5" w:rsidRDefault="00FE0F3E" w:rsidP="00341747">
            <w:pPr>
              <w:rPr>
                <w:rFonts w:ascii="Times New Roman" w:hAnsi="Times New Roman" w:cs="Times New Roman"/>
                <w:highlight w:val="yellow"/>
              </w:rPr>
            </w:pPr>
            <w:r w:rsidRPr="007525D5">
              <w:rPr>
                <w:rFonts w:ascii="Times New Roman" w:hAnsi="Times New Roman" w:cs="Times New Roman"/>
                <w:color w:val="000000"/>
              </w:rPr>
              <w:t>Upravené v relevantných prípadoch.</w:t>
            </w:r>
          </w:p>
        </w:tc>
      </w:tr>
      <w:tr w:rsidR="00FE0F3E" w:rsidRPr="006278D2" w14:paraId="783FB16E" w14:textId="043BD9F9" w:rsidTr="00725D29">
        <w:trPr>
          <w:trHeight w:val="8192"/>
        </w:trPr>
        <w:tc>
          <w:tcPr>
            <w:tcW w:w="975" w:type="dxa"/>
            <w:hideMark/>
          </w:tcPr>
          <w:p w14:paraId="6E543970"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lastRenderedPageBreak/>
              <w:t>237.</w:t>
            </w:r>
          </w:p>
        </w:tc>
        <w:tc>
          <w:tcPr>
            <w:tcW w:w="2656" w:type="dxa"/>
            <w:hideMark/>
          </w:tcPr>
          <w:p w14:paraId="302C76B3"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34D271FE"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086BE343"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 xml:space="preserve">Návrh je potrebné zosúladiť s prílohou č. 1 Legislatívnych pravidiel vlády SR (ďalej len „príloha LPV“) [napríklad v čl. I § 1 písm. i) upozorňujeme, že legislatívna skratka (ďalej len „vzdelávanie v energetickej efektívnosti“)“ je zavedená až v § 14 ods. 1 písm. a), v § 1 písm. j) slová „sektora verejnej správy“ nahradiť slovami „verejného sektora“, pojmy definujúce subjekty uvedená v § 2 /napríklad písmená q), r) a z)/ odporúčame uviesť v § 3, v súvislosti s pojmom „celková podlahová plocha“ /§ 2 písm. i)/ upozorňujeme, že v návrhu zákona sa používa aj pojem „celková úžitková podlahová plocha“ /§ 32 a § 34/, v § 2 písm. k) slovo „stanovuje“ nahradiť slovom „určuje“, v § 2 písm. m) legislatívnu skratku (ďalej len „ministerstvo“) nahradiť legislatívnou skratkou (ďalej len „ministerstvo hospodárstva“)“ a takto zavedenú legislatívnu skratku používať v celom čl. I, v § 2 písm. n) vypustiť slovo „je“ ako nadbytočné, v § 2 písm. q) za slovo „poskytovateľom“ vložiť slovo „zdrojov“ a túto úpravu vykonať v celom čl. I  (napríklad v § 8 ods. 6 až 8), v § 2 vypustiť alebo preformulovať písmená w), y), aa), ab) a af), pretože uvedené pojmy sa v návrhu zákona nepoužívajú, v § 2 písm. ab) slovo „stanovuje“ nahradiť slovom „určuje“, poznámky pod čiarou k odkazom 4, 37, 49, 53, 56 a 59 zosúladiť s bodom 23.6 prílohy LPV, pretože ide o taxatívny výpočet, v § 2 písm. ag) je definovaný pojem „pákový efekt“, ktorý sa však v návrhu zákona používa len v § 8 ods. 2 písm. c), preto jeho definíciu odporúčame uviesť za bodkočiarkou v tomto ustanovení, v poznámke pod čiarou k odkazu 8 slová „neskorších predpisov“ nahradiť slovami „zákona č. 300/2012 Z. z.“, v poznámkach pod čiarou k odkazom 11 a 14 uviesť skrátené citácie zákonov, pretože ich úplné citácie sú už uvedené v poznámke pod čiarou k odkazu 4, v poznámkach pod čiarou k odkazom 12, 13 a 18 preveriť správnosť citovaných bodov, v § 3 vypustiť alebo </w:t>
            </w:r>
            <w:r w:rsidRPr="00BC49FC">
              <w:rPr>
                <w:rFonts w:ascii="Times New Roman" w:hAnsi="Times New Roman" w:cs="Times New Roman"/>
              </w:rPr>
              <w:lastRenderedPageBreak/>
              <w:t xml:space="preserve">preformulovať písmená g) a n), pretože uvedené pojmy sa v návrhu zákona nepoužívajú, v § 3 písm. m) vypustiť odkaz 21 vrátane príslušnej poznámky pod čiarou, pretože pojem „obec“ nie je potrebné formou takéhoto odkazu definovať a slovo „ktoré“ nahradiť slovom „ktorá“, v § 4 ods. 2 odporúčame doplniť termín predloženia plánu energetickej efektívnosti a obdobie na, ktoré sa tento plán predkladá, v § 4 ods. 4 písm. d) prvom bode slovo „legislatíve“ nahradiť iným vhodným pojmom, v § 4 ods. 4 písm. d) prvom bode za slovo „národných“ vložiť slová „energetických systémov“, v § 4 ods. 4 písm. d) štvrtom bode slovo „legislatívy“ nahradiť iným vhodným pojmom, v § 6 ods. 2 úvodnej vete za slovo „cieľov“ vložiť slová „podľa odseku 1“, v § 6 ods. 2 písm. a) slovo „aktualizácií“ nahradiť slovom „aktualizácii“, v § 6 ods. 2 písm. c) za slovo „konečnej“ (prvý výskyt) vložiť slová „energetickej spotreby“, v § 6 ods. 2 písm. g) slovo „stanovení“ nahradiť slovom „určovaní“ a slovo „trajektórii“ nahradiť slovom „trajektórií“, v § 6 ods. 3 odporúčame doplniť termín predloženia plánu a obdobie, na ktoré sa tento plán predkladá, v § 7 ods. 3 písm. b) za slová „koordinačného oparenia“ a slová „individuálneho opatrenia“ vložiť slová „energetickej efektívnosti“, v poznámke pod čiarou k odkazu 27 slová „ES L 443 10.12.2021“ nahradiť slovami „EÚ L 443, 10.12.2021“, v poznámke pod čiarou k odkazu 28 slovo „Článok“ nahradiť slovom „Čl.“ a za slovo „inštitúcie“ vložiť slová „a investičné spoločnosti“, vypustiť slová „Európskeho parlamentu a Rady (EÚ) č. 575/2013“ ako nadbytočné a slová „ES L 176 27.6.2013“ nahradiť slovami „EÚ L 176, 27.6.2013“, v § 8 ods. 5 za slovo „efektívnosti“ vložiť čiarku, v § 10 ods. 2 slová „predpisu30) ktorému“ nahradiť slovami „predpisu,30) ktorému“, v poznámke pod čiarou k odkazu 29 piatej citácii za slová „štátnej správy“ vložiť slová „v znení neskorších predpisov“, v poznámke pod </w:t>
            </w:r>
            <w:r w:rsidRPr="00BC49FC">
              <w:rPr>
                <w:rFonts w:ascii="Times New Roman" w:hAnsi="Times New Roman" w:cs="Times New Roman"/>
              </w:rPr>
              <w:lastRenderedPageBreak/>
              <w:t xml:space="preserve">čiarou k odkazu 30 prvej citácii za slovo „zákon“ vložiť slová „Slovenskej národnej rady“, v druhej citácii za slová „ č. 555/2005 Z. z.“ vložiť slová „v znení neskorších predpisov“ a v tretej citácii za slová „č. 251/2012 Z. z.“ vložiť slová „v znení neskorších predpisov“, v poznámke pod čiarou k odkazu 31 vypustiť čiarku a slová „zákon č. 317/2014 Z. z. o centrálnej evidencii majetku štátu“, pretože uvedený zákon neexistuje, v § 10 ods. 4 slová „definovaných v tomto zákone“ nahradiť slovami „podľa tohto zákona“, v § 10 ods. 5 úvodnej vete na konci vypustiť dvojbodku ako nadbytočnú, v § 10 ods. 5 písm. a) za slovo „zakladateľskej“ vložiť slovo „pôsobnosti“, v § 10 ods. 9 písm. h) slovo „trajektórii“ nahradiť slovom „trajektórií“, v § 10 ods. 11 slovo „odberateľoch“ nahradiť slovom „odberateľov“ a slovo „spotrebiteľoch“ nahradiť slovom „spotrebiteľov“, v poznámke pod čiarou k odkazu 35 na konci pripojiť tieto slová: „v znení neskorších predpisov“, v § 12 písm. a) a c) za slovo „zakladateľskej“ vložiť slovo „pôsobnosti“, v poznámke pod čiarou k odkazu 37 prvej citácii za slovo „zákonov“ vložiť slová „(zákon o slobode informácií)“, v poznámke pod čiarou k odkazu 38 slová „ES L 1364 17.5.2024)“ nahradiť slovami „EÚ L, 2024/1364, 17.5.2024) v platnom znení“, v poznámke pod čiarou k odkazu 39 na konci pripojiť tieto slová „v platnom znení“, v poznámke pod čiarou k odkazu 40 za slovo „Zákon“ vložiť slová „Národnej rady Slovenskej republiky“, v § 14 ods. 1 písm. b) slovo „námety“ nahradiť slovom „návrhy“, v poznámke pod čiarou k odkazu 46 vypustiť slová „v znení neskorších predpisov“ ako nadbytočné, v poznámke pod čiarou k odkazu 47 vypustiť slová „o autorizovaných architektoch a autorizovaných stavebných inžinieroch“, pretože úplná citácia tohto zákona je už uvedená v poznámke pod čiarou k odkazu 30, v poznámke pod čiarou k odkazu 49 prvej citácii </w:t>
            </w:r>
            <w:r w:rsidRPr="00BC49FC">
              <w:rPr>
                <w:rFonts w:ascii="Times New Roman" w:hAnsi="Times New Roman" w:cs="Times New Roman"/>
              </w:rPr>
              <w:lastRenderedPageBreak/>
              <w:t xml:space="preserve">vypustiť slová „§ 7 ods. 1 a“ ako nadbytočné a druhú citáciu nahradiť touto citáciou: „Zákon č. 246/2015 Z. z. o správcoch bytových domov a o zmene a doplnení zákona Národnej rady Slovenskej republiky č. 182/1993 Z. z. o vlastníctve bytov a nebytových priestorov v znení neskorších predpisov v znení zákona č. 177/2018 Z. z.“ v § 16 ods. 3 slová „v ustanovenom rozsahu a spôsobe“ nahradiť slovami „v rozsahu a spôsobom“, v § 17 ods. 2 úvodnej vete na konci vypustiť dvojbodku, v § 17 ods. 4 úvodnej vete na konci pripojiť tieto slová: „tieto údaje odborne spôsobilej osoby v energetickej efektívnosti:“, v § 17 ods. 4 písm. a) a e) vypustiť slová „odborne spôsobilej osoby v energetickej efektívnosti“, v § 17 ods. 4 písm. f) za slová „odborne spôsobilej osoby“ vložiť slová „v energetickej efektívnosti“, v § 17 ods. 5 písm. b) slovo „odborná“ nahradiť slovom „odbornú“, v § 17 ods. 7 písm. d) pred slovo „vyčiarknutie“ vložiť slovo „ak“, v poznámke pod čiarou k odkazu 54 na konci pripojiť tieto slová: „v znení neskorších predpisov.“, v § 19 ods. 1 slová „subjekt verejnej správy“ nahradiť slovami „verejný subjekt“ v súlade s § 3 písm. b), v § 21 ods. 2 slovo „ktorej“ nahradiť slovom „ktorého“, v § 23 ods. 4 slovo „ak“ z písmen a) a b) presunúť na koniec úvodnej vety odseku 4, v § 23 ods. 4 písm. b) slovo „väčšími“ nahradiť slovom „vyššími“, v poznámke pod čiarou k odkazu 55 prehodnotiť citované ustanovenie zákona s ohľadom na kontext v § 24 ods. 1 písm. a), v § 25 ods. 1 písm. a) slovo „odseku“ nahradiť slovom „ods.“,  v § 25 ods. 2 písm. a) slová „v energetickej“ nahradiť slovom „energetickej“, v § 26 ods. 1 spresniť pojem „Podnik“, pretože tento pojem nie je definovaný ako základný pojem, ani nebola pre tento pojem zavedená legislatívna skratka, v § 26 ods. 4 slovo „stanoví“ nahradiť slovom „určí“, v § 26 ods. 5 písm. b) v legislatívnej skratke slovo „správu“ nahradiť slovom „správa“, v § 26 ods. 6 písm. c) slová „po dobu </w:t>
            </w:r>
            <w:r w:rsidRPr="00BC49FC">
              <w:rPr>
                <w:rFonts w:ascii="Times New Roman" w:hAnsi="Times New Roman" w:cs="Times New Roman"/>
              </w:rPr>
              <w:lastRenderedPageBreak/>
              <w:t xml:space="preserve">vykonania nasledovného“ nahradiť slovami „až do vykonania nasledujúceho“, v § 26 ods. 6 písm. d) slová „po dobu určenú“ nahradiť slovami „počas doby určenej“, v § 26 ods. 9 písm. a) slová „po dobu určenú“ nahradiť slovami „počas doby určenej“, v § 27 spresniť pojem „podnik energetického auditu“, pretože tento pojem nie je uvedený medzi základnými pojmami ani pre tento pojem nebola zavedená legislatívna skratka, v § 27 ods. 6 písm. b) vypustiť slovo „vedený“ a v § 27 ods. 6 písm. e) vypustiť slovo „vedeného“ ako nadbytočné, v § 28 ods. 2 písm. a) treťom bode slovo „systémoch“ nahradiť slovom „systémov“, v § 29 ods. 2 za slovo „energetickej“ vložiť slovo „infraštruktúry“, v poznámke pod čiarou k odkazu 59 citované zákony zoradiť chronologicky a na konci oboch citácií pripojiť tieto slová: „v znení neskorších predpisov“, v § 31 ods. 4 písm. c) treťom bode za slovo „prevádzku“ vložiť slovo „projektu“, za slovo „energetickej“ vložiť slovo „infraštruktúry“ a za slovo „technických“ vložiť slovo „zariadení“, v § 31 ods. 4 písm. k) slovo „ustanovenie“ nahradiť slovami „úprava podrobností“ a slovo „dosahovania“ nahradiť slovom „dosahovaní“, v § 31 ods. 5 písm. b) piatom bode slovo „kritéria“ naradiť slovom „kritériá“, v § 31 ods. 7 písm. d) slová „aktuálne prebiehajúcich“ nahradiť slovom „poskytovaných“, v § 32 zjednotiť používanie pojmov „odplata“ a „cena“, v § 32 ods. 2 slová „§ 31 ods. 4“ nahradiť slovami „§ 31 ods. 5“ z dôvodu uvedenia správneho vnútorného odkazu, v § 32 ods. 4 písm. a) prvom bode slovo „stanovené“ nahradiť slovom „určené“, v § 32 ods. 4 písm. d) za slovo „energetickom“ vložiť slovo „vyjadrení“, v § 32 ods. 4 písm. h) slová „v zmluve“ nahradiť slovami „podľa zmluvy“, v § 32 ods. 4 písm. s) slová „dátumy stanovené“ nahradiť slovami „určené termíny“, v § 32 ods. 4 písm. aa) slová „súvisiacich sankciách v prípade ich porušenia“ nahradiť slovami „sankcie za porušenie </w:t>
            </w:r>
            <w:r w:rsidRPr="00BC49FC">
              <w:rPr>
                <w:rFonts w:ascii="Times New Roman" w:hAnsi="Times New Roman" w:cs="Times New Roman"/>
              </w:rPr>
              <w:lastRenderedPageBreak/>
              <w:t xml:space="preserve">týchto povinností“, v poznámke pod čiarou k odkazu 61 prvej citácii za slová „č. 138/1991 Zb.“ vložiť slová “o majetku obcí“, v druhej citácii za slová „č. 278/1993 Z. z.“ vložiť slová „o správe majetku štátu“, v tretej citácii za slová „č. 446/2001 Z. z.“ vložiť slová „o majetku vyšších územných celkov“,  v § 34 ods. 2 písm. d) slová „ekonomickej a technickej“ nahradiť slovami „technickej a ekonomickej“ z dôvodu zosúladenia s textáciou v odseku 1, v § 34 ods. 7 slovo „administrovať“ nahradiť slovom „spravovať“, v § 35 ods. 1 písm. b) slovo „stanovenie“ nahradiť slovom „určenie“, v § 35 ods. písm. i) na konci slovo „a“ nahradiť čiarkou, v § 35 ods. 1 písm. j) slová „v štátnej a“ nahradiť slovom „vo“, pretože štátna správa je súčasťou verejnej správy, v § 35 ods. 1 písm. l) na konci pripojiť slová „verejný subjekt“, v § 35 ods. 2 písmená b) a c) vhodne preformulovať, aby sa upresnili nedefinované pojmy „ľudí postihnutých energetickou chudobou“ a „ľudí v domácnostiach s nízkym príjmom“, v § 35 ods. 4 slová „ktoré spadajú do povinnosti“ nahradiť slovami „na ktoré sa vzťahuje povinnosť“, v § 37 ods. 2 písm. e) a k) slovo „stanovuje“ nahradiť slovom „určuje“, v § 37 ods. 2 písm. m) šiestom bode slová „pre potreby § 9 a § 38“ nahradiť slovami „na účely podľa § 9 a 38“, v § 38 ods. 1 písm. d) slovo „stanovovania“ nahradiť slovom „určovania“, v § 38 ods. 1 písm. f) slovo „koordináciu“ nahradiť slovom „koordinácie“, v poznámke pod čiarou k odkazu 64 uviesť skrátenú citáciu citovaného zákona, pretože jeho úplná citácia je už uvedená v poznámke pod čiarou k odkazu 51, v poznámke pod čiarou k odkazu 65 slová „o energetickom označovaní v platnom znení“ nahradiť slovami „zo 4. júla 2017, ktorým sa stanovuje rámec pre energetické označovanie a zrušuje smernica 2010/30/EÚ“ a na konci pripojiť tieto slová: „v platnom znení“, v § 39 ods. 3 písm. g) slová „§ 28 ods. 4 a § 33 ods. 5“ nahradiť slovami „§ 28 ods. 3 a § </w:t>
            </w:r>
            <w:r w:rsidRPr="00BC49FC">
              <w:rPr>
                <w:rFonts w:ascii="Times New Roman" w:hAnsi="Times New Roman" w:cs="Times New Roman"/>
              </w:rPr>
              <w:lastRenderedPageBreak/>
              <w:t xml:space="preserve">33 ods. 4“, v § 39 ods. 3 písmeno k) preformulovať napríklad takto: „k) navrhuje minimálnu požiadavku na vzdelávanie podľa § 15 ods. 1 v oblasti energetiky a energetickej efektívnosti,“, v § 39 ods. 3 prehodnotiť poradie písmen o) až s) a v) a w), v poznámke pod čiarou k odkazu 66 za slová „č. 251/2012 Z. z.“ vložiť slová „v znení zákona č. 256/2022 Z. z.“, prehodnotiť nadpis § 40 z dôvodu, že v texte § 40 sa upravuje štátny dozor nie kontrola, v poznámke pod čiarou k odkazu 68 na konci pripojiť tieto slová: „v znení neskorších predpisov.“, v § 41 ods. 3 slová „zákona sú povinné“ nahradiť slovami „zákona, sú povinné“, v § 42 ods. 1 písm. a) prvom bode slová „§ 10 ods. 5“ nahradiť slovami „§ 10 ods. 6“, v § 42 ods. 1 písm. d) druhý bod preformulovať napríklad takto: „2. nezaregistruje garantovanú energetickú službu do 30 dní od začiatku jej poskytovania podľa § 31 ods. 6,“ a analogicky upraviť aj písmeno e) druhý bod, v § 42 ods. 2 vypustiť čiarku za číslom „24“ ako nadbytočnú, v § 42 ods. 4 písm. a) za slovo „tretieho“ vložiť slovo „bodu“, slová „odseku 2 a odseku 3“ nahradiť slovami „odsekov 2 a 3“, v § 42 ods. 4 písm. b) za slovo „prvého“ vložiť slovo „bodu“, prehodiť poradie § 44 a § 45, v § 44 ods. 5 slová „dovtedy nebude spustený postup v § 6“ nahradiť slovami „sa dovtedy neuplatní postup podľa § 6“, v § 44 ods. 24 za slovo „požiadavky“ vložiť slovo „podľa“,  v § 44 ods. 25 slová „je povinný sa zaregistrovať“ nahradiť slovami „sú povinní zaregistrovať sa“, v § 45 ods. 1 písm. a) ôsmom bode za slovo „orientačných“ vložiť slovo „trajektórií“ a slovo „trajektórii“ nahradiť slovom „trajektórií“, v § 45 ods. 1 písm. a) deviatom bode podbode 9.3 slovo „aktualizácií“ nahradiť slovom „aktualizácii“, v § 45 ods. 1 písm. j) číslo „19“ nahradiť číslom „18“, v § 45 ods. 1 písm. k) slová „údajov podľa § 11 do“ nahradiť slovami „do registrov podľa § 11 ods. 1“ a prvý bod až piaty bod vypustiť z dôvodu duplicity s § 11 ods. 1, v § </w:t>
            </w:r>
            <w:r w:rsidRPr="00BC49FC">
              <w:rPr>
                <w:rFonts w:ascii="Times New Roman" w:hAnsi="Times New Roman" w:cs="Times New Roman"/>
              </w:rPr>
              <w:lastRenderedPageBreak/>
              <w:t xml:space="preserve">45 ods. 1 písm. u) slová „k výkonu“ nahradiť slovami „o spôsobe plnenia“, slovo „informácii“ nahradiť slovom „informácií“, slová „k informovanosti a zvyšovaniu“ nahradiť slovami „o informovanosti a zvyšovaní“, slová „k poradenstvu poskytovanému“ nahradiť slovami „o poradenstve poskytovanom“, slová „k povinnostiam“ nahradiť slovami „o spôsobe plnenia povinností“ a slová „k plánu“ nahradiť slovami „o pláne“, v § 45 ods. 2 písm. b) druhom bode a treťom bode slovo „možnosť“ nahradiť slovom „spôsoby“, v § 47 nadpise slovo „ustanovenia“ nahradiť slovom „ustanovenie“ a text § 47 zosúladiť s bodmi 63.1 až 63.3 prílohy LPV, teda slová „čl. I zákona“ nahradiť slovom „zákon“ a slová „v znení neskorších predpisov“ nahradiť úplným výpočtom noviel zrušovaného zákona, v čl. II jediný novelizačný bod rozdeliť na dva body, pretože poradové čísla 15 a 15a sa menia a poradové číslo 15b sa dopĺňa, v čl. III body 1 a 2 zlúčiť do jedného novelizačného bodu, v § 2 písm. z) a aa) za slovo „výrobných“ vložiť slovo „procesoch“, v bode 6 za slová „ods. 1“ vložiť slová „prvej vete“, v bode 8 § 12 ods. 4 písm. h) prehodnotiť formuláciu „miestnou alebo regionálnou koncepciou“, pretože v platnom znení zákona je v § 29 ods. 1 písm. b) upravená Energetická politika SR a v § 31 písm. a) koncepcia rozvoja obce v oblasti tepelnej energetiky, v bode 10 § 12 ods. 6 slovo „stanoví“ nahradiť slovom „určí“, v bode 12 slová „písm. a) a b) štvrtom bode“ nahradiť slovami „písm. a) štvrtom bode a písm. b) štvrtom bode“, v bode 19 § 18 ods. 13 druhej vete za slovo „analýzy“ vložiť slová „podľa prvej vety“, v bode 21 § 18a ods. 5 za slová „5 MW“ vložiť čiarku, v bode 22 § 18b ods. 3 slovo „uvedenom“ nahradiť slovom „uvedeným“, v § 18b ods. 6 slovo „organizácií“ nahradiť slovom „organizácii“, v bode 23 § 19 ods. 2 písm. l) pred slovo „či“ vložiť čiarku,  v bode 25 § 19a ods. 3 úvodnej vete a ods. 5 spresniť formou odkazu </w:t>
            </w:r>
            <w:r w:rsidRPr="00BC49FC">
              <w:rPr>
                <w:rFonts w:ascii="Times New Roman" w:hAnsi="Times New Roman" w:cs="Times New Roman"/>
              </w:rPr>
              <w:lastRenderedPageBreak/>
              <w:t>nad slovami „osobitného predpisu“ a príslušnej poznámky pod čiarou, o aký osobitný predpis ide, v § 19a ods. 6 vypustiť duplicitné slová „koncových odberateľov“, v poznámke pod čiarou k odkazu 14f aktualizovať citáciu zákona, pretože zákon č. 351/2011 Z. z. bol zrušený a nahradený zákonom č. 452/2021 Z. z. o elektronických komunikáciách a v nadväznosti na uvedené je potrebné aktualizovať aj prvý výskyt tejto citácie v platnom zákone, v bode 27 slová „sa v odseku 2“ nahradiť slovami „ods. 2 sa“, v bode 30 poznámke pod čiarou k odkazu 16d na konci pripojiť tieto slová: „v znení zákona č. 259/2025 Z. z.“, v bode 39 prvej vete za slovo „prvý“ vložiť slovo „bod“ a v druhej vete za slová „tretí“ a „prvý“ vložiť slovo „bod“, v čl. IV § 5 ods. 6 písm. c) slovo „stanoví“ nahradiť slovom „určí“, v bode 4 za každú radovú číslovku vyjadrenú slovne vložiť slovo „bod“, v čl. V bode 1 za slovo „teplo“ vložiť čiarku, v bode 15 § 40 ods. 1 písm. r) slová „podmienky, ktoré budú podnecovať vývoj“ nahradiť slovami „podmienky na podporu vývoja“, v bode 17 prvej vete za slovo „druhý“ vložiť slovo „bod“ a v druhej vete za každú radovú číslovku vyjadrenú slovne vložiť slovo „bod“, v čl. VI bode 19 prvej vete za slovo „tretí“ vložiť slovo „bod“ a v druhej vete za každú radovú číslovku vyjadrenú slovne vložiť slovo „bod“, v čl. VII bodu 3 § 42a ods. 5 vypustiť slová „a zároveň“ ako nadbytočné].</w:t>
            </w:r>
          </w:p>
        </w:tc>
        <w:tc>
          <w:tcPr>
            <w:tcW w:w="2264" w:type="dxa"/>
            <w:vAlign w:val="center"/>
            <w:hideMark/>
          </w:tcPr>
          <w:p w14:paraId="2DFA277B" w14:textId="05490204"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70C95E9D" w14:textId="75C2EB7B"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70080D29" w14:textId="0DCDD8C0" w:rsidTr="00725D29">
        <w:trPr>
          <w:trHeight w:val="2220"/>
        </w:trPr>
        <w:tc>
          <w:tcPr>
            <w:tcW w:w="975" w:type="dxa"/>
            <w:hideMark/>
          </w:tcPr>
          <w:p w14:paraId="3E86C7AA"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lastRenderedPageBreak/>
              <w:t>238.</w:t>
            </w:r>
          </w:p>
        </w:tc>
        <w:tc>
          <w:tcPr>
            <w:tcW w:w="2656" w:type="dxa"/>
            <w:hideMark/>
          </w:tcPr>
          <w:p w14:paraId="53A6A497"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3B051AE9"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4DE61F4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3 písm. b) a c) </w:t>
            </w:r>
            <w:r w:rsidRPr="00BC49FC">
              <w:rPr>
                <w:rFonts w:ascii="Times New Roman" w:hAnsi="Times New Roman" w:cs="Times New Roman"/>
              </w:rPr>
              <w:t xml:space="preserve">V § 3 odporúčame zosúladiť znenia písmen b) a c).   Podľa § 3 písm. b) sa verejným subjektom rozumie subjekt verejnej správy podľa § 3 zákona č. 523/2004 Z. z. o rozpočtových pravidlách verejnej správy a o zmene a doplnení niektorých zákonov v znení neskorších predpisov (ďalej len „zákon č. 523/2004 Z. z.“). Podľa § 3 písm. c) sa verejným sektorom rozumie sektor reprezentovaný </w:t>
            </w:r>
            <w:r w:rsidRPr="00BC49FC">
              <w:rPr>
                <w:rFonts w:ascii="Times New Roman" w:hAnsi="Times New Roman" w:cs="Times New Roman"/>
              </w:rPr>
              <w:lastRenderedPageBreak/>
              <w:t>subjektami verejnej správy podľa § 3 zákona č. 523/2004 Z. z.            Z pohľadu metodiky ESA 2010 a vedenia registrov Štatistického úradu SR, definíciu uvedenú v písmene c) nepovažujeme za korektnú, pretože podľa metodiky ESA 2010 je verejný sektor reprezentovaný aj subjektmi, ktoré nie sú štatisticky zaradené vo verejnej správe. Subsektor verejná správa je užší subsektor ako verejný sektor. Do verejného sektora patria okrem iného aj štátom vlastnené obchodné spoločnosti zaradené v subsektore verejných nefinančných korporácií. Z uvedených dôvodov odporúčame zosúladiť písmená b) a c). Ak je zámerom pokryť aj verejný sektor, je vhodné písmeno c), teda definíciu verejného sektora, spresniť odkazom na register Štatistického úradu SR alebo nariadenie Európskeho parlamentu a Rady (EÚ) č. 549/2013 z 13. mája 2013 o európskom systéme národných a regionálnych účtov v Európskej únii v platnom znení, kde je upravená metodika ESA 2010.</w:t>
            </w:r>
          </w:p>
        </w:tc>
        <w:tc>
          <w:tcPr>
            <w:tcW w:w="2264" w:type="dxa"/>
            <w:vAlign w:val="center"/>
            <w:hideMark/>
          </w:tcPr>
          <w:p w14:paraId="1049ECD0" w14:textId="4FC28E74"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7F0EA620" w14:textId="27E8EBF3"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206D0A40" w14:textId="59625EEE" w:rsidTr="00725D29">
        <w:trPr>
          <w:trHeight w:val="960"/>
        </w:trPr>
        <w:tc>
          <w:tcPr>
            <w:tcW w:w="975" w:type="dxa"/>
            <w:hideMark/>
          </w:tcPr>
          <w:p w14:paraId="7FEDE1B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239.</w:t>
            </w:r>
          </w:p>
        </w:tc>
        <w:tc>
          <w:tcPr>
            <w:tcW w:w="2656" w:type="dxa"/>
            <w:hideMark/>
          </w:tcPr>
          <w:p w14:paraId="63F8309F"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436E1E33"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72896D94"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7 ods. 3 a 4 </w:t>
            </w:r>
            <w:r w:rsidRPr="00BC49FC">
              <w:rPr>
                <w:rFonts w:ascii="Times New Roman" w:hAnsi="Times New Roman" w:cs="Times New Roman"/>
              </w:rPr>
              <w:t>V § 7 ods. 3 písm. a) druhom bode a v odseku 4 sa používa pojem „verejné zdroje“, obsah ktorého nie je v čl. I návrhu vymedzený. V § 2 písm. a) zákona č. 523/2004 Z. z. sa definuje pojem „verejné prostriedky“. Odporúčame preto buď v návrhu zákona vymedziť obsah pojmu „verejné zdroje“ pre účely tohto zákona, alebo používať pojem „verejné prostriedky“ s odkazom na § 2 písm. a) zákona č. 523/2004 Z. z. V nadväznosti na uvedené odporúčame terminologicky upraviť aj znenie § 8 ods. 2 písm. b).</w:t>
            </w:r>
          </w:p>
        </w:tc>
        <w:tc>
          <w:tcPr>
            <w:tcW w:w="2264" w:type="dxa"/>
            <w:vAlign w:val="center"/>
            <w:hideMark/>
          </w:tcPr>
          <w:p w14:paraId="1D3DCBEA" w14:textId="0D8A37A3" w:rsidR="00FE0F3E" w:rsidRPr="00BC49FC" w:rsidRDefault="00FE0F3E" w:rsidP="00341747">
            <w:pPr>
              <w:rPr>
                <w:rFonts w:ascii="Times New Roman" w:hAnsi="Times New Roman" w:cs="Times New Roman"/>
                <w:b/>
                <w:bCs/>
              </w:rPr>
            </w:pPr>
            <w:r>
              <w:rPr>
                <w:rFonts w:ascii="Times New Roman" w:hAnsi="Times New Roman" w:cs="Times New Roman"/>
                <w:b/>
                <w:bCs/>
                <w:color w:val="000000"/>
              </w:rPr>
              <w:t>Ć</w:t>
            </w:r>
            <w:r w:rsidRPr="00BC49FC">
              <w:rPr>
                <w:rFonts w:ascii="Times New Roman" w:hAnsi="Times New Roman" w:cs="Times New Roman"/>
                <w:b/>
                <w:bCs/>
                <w:color w:val="000000"/>
              </w:rPr>
              <w:t>A</w:t>
            </w:r>
          </w:p>
        </w:tc>
        <w:tc>
          <w:tcPr>
            <w:tcW w:w="2753" w:type="dxa"/>
            <w:vAlign w:val="center"/>
            <w:hideMark/>
          </w:tcPr>
          <w:p w14:paraId="66C4A14E" w14:textId="7D155F2E" w:rsidR="00FE0F3E" w:rsidRPr="00BC49FC" w:rsidRDefault="00FE0F3E" w:rsidP="00341747">
            <w:pPr>
              <w:rPr>
                <w:rFonts w:ascii="Times New Roman" w:hAnsi="Times New Roman" w:cs="Times New Roman"/>
              </w:rPr>
            </w:pPr>
            <w:r w:rsidRPr="00BC49FC">
              <w:rPr>
                <w:rFonts w:ascii="Times New Roman" w:hAnsi="Times New Roman" w:cs="Times New Roman"/>
                <w:color w:val="000000"/>
              </w:rPr>
              <w:t>Upravené v zmysle pripomi</w:t>
            </w:r>
            <w:r>
              <w:rPr>
                <w:rFonts w:ascii="Times New Roman" w:hAnsi="Times New Roman" w:cs="Times New Roman"/>
                <w:color w:val="000000"/>
              </w:rPr>
              <w:t>enk</w:t>
            </w:r>
            <w:r w:rsidRPr="00BC49FC">
              <w:rPr>
                <w:rFonts w:ascii="Times New Roman" w:hAnsi="Times New Roman" w:cs="Times New Roman"/>
                <w:color w:val="000000"/>
              </w:rPr>
              <w:t>y.</w:t>
            </w:r>
          </w:p>
        </w:tc>
      </w:tr>
      <w:tr w:rsidR="00FE0F3E" w:rsidRPr="006278D2" w14:paraId="791B58F1" w14:textId="5D5B6B5C" w:rsidTr="00725D29">
        <w:trPr>
          <w:trHeight w:val="1590"/>
        </w:trPr>
        <w:tc>
          <w:tcPr>
            <w:tcW w:w="975" w:type="dxa"/>
            <w:hideMark/>
          </w:tcPr>
          <w:p w14:paraId="122EF5B8"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240.</w:t>
            </w:r>
          </w:p>
        </w:tc>
        <w:tc>
          <w:tcPr>
            <w:tcW w:w="2656" w:type="dxa"/>
            <w:hideMark/>
          </w:tcPr>
          <w:p w14:paraId="2E955DB9"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33395FCB"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3B1CC39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8 </w:t>
            </w:r>
            <w:r w:rsidRPr="00BC49FC">
              <w:rPr>
                <w:rFonts w:ascii="Times New Roman" w:hAnsi="Times New Roman" w:cs="Times New Roman"/>
              </w:rPr>
              <w:t xml:space="preserve">Podľa § 8 ods. 1 písm. a) zdroje financovania energetickej efektívnosti sú najmä verejné prostriedky a prostriedky Európskej únie podľa osobitného predpisu, ktorým je podľa poznámky pod čiarou k odkazu 24 § 2 písm. a) a e) zákona č. 523/2004 Z. z.  Upozorňujeme, že podľa § 2 písm. a) zákona č. 523/2004 Z. z verejnými prostriedkami sú  finančné prostriedky, s ktorými hospodária právnické osoby </w:t>
            </w:r>
            <w:r w:rsidRPr="00BC49FC">
              <w:rPr>
                <w:rFonts w:ascii="Times New Roman" w:hAnsi="Times New Roman" w:cs="Times New Roman"/>
              </w:rPr>
              <w:lastRenderedPageBreak/>
              <w:t>verejnej správy; verejnými prostriedkami sú aj prostriedky Európskej únie a odvody Európskej únii a prostriedky poskytnuté z rozpočtu Európskej únie na vykonávanie Plánu obnovy a odolnosti Slovenskej republiky. Pojem verejné prostriedky teda zahŕňa aj prostriedky Európskej únie, preto ich osobitné uvedenie v § 8 ods. 1 písm. a) sa javí ako nadbytočné. Zároveň upozorňujeme, že ak ide o subjekty verejnej správy, všetky prostriedky, s ktorými hospodária, sú verejnými prostriedkami, teda aj prostriedky uvedené v § 8 ods. 1 písm. b) a c). V súlade s uvedeným je potrebné navrhované znenie terminologicky upraviť.</w:t>
            </w:r>
          </w:p>
        </w:tc>
        <w:tc>
          <w:tcPr>
            <w:tcW w:w="2264" w:type="dxa"/>
            <w:vAlign w:val="center"/>
            <w:hideMark/>
          </w:tcPr>
          <w:p w14:paraId="59875CD4" w14:textId="238B9BA5" w:rsidR="00FE0F3E" w:rsidRPr="00BC49FC" w:rsidRDefault="00FE0F3E" w:rsidP="00341747">
            <w:pPr>
              <w:rPr>
                <w:rFonts w:ascii="Times New Roman" w:hAnsi="Times New Roman" w:cs="Times New Roman"/>
                <w:b/>
                <w:bCs/>
              </w:rPr>
            </w:pPr>
            <w:r>
              <w:rPr>
                <w:rFonts w:ascii="Times New Roman" w:hAnsi="Times New Roman" w:cs="Times New Roman"/>
                <w:b/>
                <w:bCs/>
                <w:color w:val="000000"/>
              </w:rPr>
              <w:lastRenderedPageBreak/>
              <w:t>Č</w:t>
            </w:r>
            <w:r w:rsidRPr="00BC49FC">
              <w:rPr>
                <w:rFonts w:ascii="Times New Roman" w:hAnsi="Times New Roman" w:cs="Times New Roman"/>
                <w:b/>
                <w:bCs/>
                <w:color w:val="000000"/>
              </w:rPr>
              <w:t>A</w:t>
            </w:r>
          </w:p>
        </w:tc>
        <w:tc>
          <w:tcPr>
            <w:tcW w:w="2753" w:type="dxa"/>
            <w:vAlign w:val="center"/>
            <w:hideMark/>
          </w:tcPr>
          <w:p w14:paraId="390111F9" w14:textId="6B1CF619" w:rsidR="00FE0F3E" w:rsidRPr="00BC49FC" w:rsidRDefault="00FE0F3E" w:rsidP="00341747">
            <w:pPr>
              <w:rPr>
                <w:rFonts w:ascii="Times New Roman" w:hAnsi="Times New Roman" w:cs="Times New Roman"/>
              </w:rPr>
            </w:pPr>
            <w:r w:rsidRPr="00BC49FC">
              <w:rPr>
                <w:rFonts w:ascii="Times New Roman" w:hAnsi="Times New Roman" w:cs="Times New Roman"/>
                <w:b/>
                <w:bCs/>
                <w:color w:val="000000"/>
              </w:rPr>
              <w:t> </w:t>
            </w:r>
          </w:p>
        </w:tc>
      </w:tr>
      <w:tr w:rsidR="00FE0F3E" w:rsidRPr="006278D2" w14:paraId="7E77A6F2" w14:textId="25CDF40E" w:rsidTr="00725D29">
        <w:trPr>
          <w:trHeight w:val="960"/>
        </w:trPr>
        <w:tc>
          <w:tcPr>
            <w:tcW w:w="975" w:type="dxa"/>
            <w:hideMark/>
          </w:tcPr>
          <w:p w14:paraId="29300D70"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241.</w:t>
            </w:r>
          </w:p>
        </w:tc>
        <w:tc>
          <w:tcPr>
            <w:tcW w:w="2656" w:type="dxa"/>
            <w:hideMark/>
          </w:tcPr>
          <w:p w14:paraId="33804D24"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5C1C348B"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4118A9DD"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8 </w:t>
            </w:r>
            <w:r w:rsidRPr="00BC49FC">
              <w:rPr>
                <w:rFonts w:ascii="Times New Roman" w:hAnsi="Times New Roman" w:cs="Times New Roman"/>
              </w:rPr>
              <w:t>V poznámke pod čiarou k odkazu 25 odporúčame slová „písm. e)“ nahradiť slovami „písm. d)“ a na konci pripojiť slová „v znení zákona č. 294/2025 Z. z.“.   Uvedenú úpravu odporúčame z dôvodu zosúladenia so zákonom č. 357/2015 Z. z. o finančnej kontrole a audite a o zmene a doplnení niektorých zákonov v znení neskorších predpisov, keďže definícia verejných financií je upravená v § 2 písm. d).</w:t>
            </w:r>
          </w:p>
        </w:tc>
        <w:tc>
          <w:tcPr>
            <w:tcW w:w="2264" w:type="dxa"/>
            <w:vAlign w:val="center"/>
            <w:hideMark/>
          </w:tcPr>
          <w:p w14:paraId="6A39564E" w14:textId="683587C8"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4B0D211" w14:textId="67B6BE56"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1D1060F3" w14:textId="2FA8E0D5" w:rsidTr="00725D29">
        <w:trPr>
          <w:trHeight w:val="315"/>
        </w:trPr>
        <w:tc>
          <w:tcPr>
            <w:tcW w:w="975" w:type="dxa"/>
            <w:hideMark/>
          </w:tcPr>
          <w:p w14:paraId="4F4C8AC6"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242.</w:t>
            </w:r>
          </w:p>
        </w:tc>
        <w:tc>
          <w:tcPr>
            <w:tcW w:w="2656" w:type="dxa"/>
            <w:hideMark/>
          </w:tcPr>
          <w:p w14:paraId="4674A752"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0443C305"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369D3C35"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8 </w:t>
            </w:r>
            <w:r w:rsidRPr="00BC49FC">
              <w:rPr>
                <w:rFonts w:ascii="Times New Roman" w:hAnsi="Times New Roman" w:cs="Times New Roman"/>
              </w:rPr>
              <w:t xml:space="preserve">Podľa § 8 ods. 1 písm. c) medzi zdroje financovania energetickej efektívnosti patria aj súkromné zdroje financovania. V kontexte odsekov 3 až 5 môžu byť súkromnými zdrojmi financovania aj úvery poskytnuté bankami alebo inými finančnými inštitúciami.  Upozorňujeme, že v prípade verejného sektora je prijímanie úverov subjektmi verejnej správy regulované zákonom č. 523/2004 Z. z. Podľa § 19 ods. 12 zákona č. 523/2004 Z. z. subjekt verejnej správy s výnimkou obce a vyššieho územného celku môže prijímať úvery, pôžičky alebo návratné finančné výpomoci len v súlade s týmto zákonom; verejná vysoká škola, Fond na podporu vzdelávania a verejná výskumná inštitúcia môžu prijímať úvery za podmienok ustanovených osobitnými predpismi. Subjekt verejnej správy, ktorým sú Železnice Slovenskej republiky </w:t>
            </w:r>
            <w:r w:rsidRPr="00BC49FC">
              <w:rPr>
                <w:rFonts w:ascii="Times New Roman" w:hAnsi="Times New Roman" w:cs="Times New Roman"/>
              </w:rPr>
              <w:lastRenderedPageBreak/>
              <w:t>štátny podnik a obchodná spoločnosť, môže prijímať úvery alebo pôžičky, pričom ak ich celková suma prijatá v príslušnom rozpočtovom roku presiahne sumu 1 000 000 eur, len po predchádzajúcom písomnom súhlase Ministerstva financií SR. Subjekt verejnej správy zaradený v ústrednej správe, ktorým je záujmové združenie právnických osôb, môže prijímať úvery alebo pôžičky len po predchádzajúcom písomnom súhlase Ministerstva financií SR. Zároveň podľa § 26 ods. 7 zákona č. 523/2004 Z. z. rozpočtová organizácia, ktorou je Ministerstvo financií SR, môže prijímať alebo poskytovať úvery alebo pôžičky a vstupovať do úverových alebo pôžičkových vzťahov ako ručiteľ, ak koná podľa osobitného predpisu v súlade so zákonom o štátnom rozpočte na príslušný rozpočtový rok. Rozpočtová organizácia, ktorou je Ministerstvo pôdohospodárstva a rozvoja vidieka Slovenskej republiky, môže vstupovať do úverových a pôžičkových vzťahov, ak koná podľa osobitného predpisu. Rozpočtová organizácia, ktorou je Pôdohospodárska platobná agentúra, môže prijímať pôžičku na účely zmiernenia alebo odstránenia následkov extrémnych poveternostných podmienok, najmä sucha, ako dôsledku klimatických zmien podľa osobitného predpisu.   Vzhľadom na reguláciu prijímania úverov subjektmi verejnej správy ustanovenú zákonom č. 523/2004 Z. z. nebude môcť úverové zdroje na financovanie energetickej efektívnosti využívať každý subjekt verejnej správy, ale len tie subjekty, ktorým to umožňuje zákon č. 523/2004 Z. z.</w:t>
            </w:r>
          </w:p>
        </w:tc>
        <w:tc>
          <w:tcPr>
            <w:tcW w:w="2264" w:type="dxa"/>
            <w:vAlign w:val="center"/>
            <w:hideMark/>
          </w:tcPr>
          <w:p w14:paraId="491B893B" w14:textId="64382042"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406C7D51" w14:textId="5677FB32"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007E9773" w14:textId="799ABFE7" w:rsidTr="00725D29">
        <w:trPr>
          <w:trHeight w:val="960"/>
        </w:trPr>
        <w:tc>
          <w:tcPr>
            <w:tcW w:w="975" w:type="dxa"/>
            <w:hideMark/>
          </w:tcPr>
          <w:p w14:paraId="1863F98F"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243.</w:t>
            </w:r>
          </w:p>
        </w:tc>
        <w:tc>
          <w:tcPr>
            <w:tcW w:w="2656" w:type="dxa"/>
            <w:hideMark/>
          </w:tcPr>
          <w:p w14:paraId="4E69AE07"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47461C88"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67C16D03"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8 </w:t>
            </w:r>
            <w:r w:rsidRPr="00BC49FC">
              <w:rPr>
                <w:rFonts w:ascii="Times New Roman" w:hAnsi="Times New Roman" w:cs="Times New Roman"/>
              </w:rPr>
              <w:t xml:space="preserve">V § 8 ods. 2, 4 a 5 sa používa pojem „úverové produkty“. Upozorňujeme, že úverové produkty v Slovenskej republike môžu v súlade so zákonom č. 483/2001 Z. z. o bankách a o zmene a doplnení niektorých zákonov v znení neskorších predpisov (ďalej len „zákon o bankách“) poskytovať </w:t>
            </w:r>
            <w:r w:rsidRPr="00BC49FC">
              <w:rPr>
                <w:rFonts w:ascii="Times New Roman" w:hAnsi="Times New Roman" w:cs="Times New Roman"/>
              </w:rPr>
              <w:lastRenderedPageBreak/>
              <w:t>nielen banky, ale aj pobočky zahraničných bánk. V tejto súvislosti je potrebné v celom návrhu zákona dôsledne rozlišovať, či sa uvedené ustanovenie má týkať len bánk, alebo zároveň aj pobočiek zahraničných bánk.</w:t>
            </w:r>
          </w:p>
        </w:tc>
        <w:tc>
          <w:tcPr>
            <w:tcW w:w="2264" w:type="dxa"/>
            <w:vAlign w:val="center"/>
            <w:hideMark/>
          </w:tcPr>
          <w:p w14:paraId="0280039B" w14:textId="1FD4114C"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lastRenderedPageBreak/>
              <w:t> A</w:t>
            </w:r>
          </w:p>
        </w:tc>
        <w:tc>
          <w:tcPr>
            <w:tcW w:w="2753" w:type="dxa"/>
            <w:vAlign w:val="center"/>
            <w:hideMark/>
          </w:tcPr>
          <w:p w14:paraId="0416F9EC" w14:textId="2FDE23A2"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51644B7A" w14:textId="66961F00" w:rsidTr="00725D29">
        <w:trPr>
          <w:trHeight w:val="1590"/>
        </w:trPr>
        <w:tc>
          <w:tcPr>
            <w:tcW w:w="975" w:type="dxa"/>
            <w:hideMark/>
          </w:tcPr>
          <w:p w14:paraId="1384D08A"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244.</w:t>
            </w:r>
          </w:p>
        </w:tc>
        <w:tc>
          <w:tcPr>
            <w:tcW w:w="2656" w:type="dxa"/>
            <w:hideMark/>
          </w:tcPr>
          <w:p w14:paraId="69410A70"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7F3A53FA"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7BB49E05"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8 </w:t>
            </w:r>
            <w:r w:rsidRPr="00BC49FC">
              <w:rPr>
                <w:rFonts w:ascii="Times New Roman" w:hAnsi="Times New Roman" w:cs="Times New Roman"/>
              </w:rPr>
              <w:t>V § 8 ods. 3 až 5, § 10 ods. 5 písm. r) a § 38 ods. 2 písm. j) sa používa pojem „iná finančná inštitúcia“ bez toho, aby bol v návrhu zákona tento pojem definovaný, pričom ani z dôvodovej správy nie je zrejmé, o aké subjekty ide. Z dôvodu zachovania právnej istoty je nevyhnutné presne definovať, ktorým subjektom zákon povinnosti ukladá.   V zákonoch v oblasti finančného trhu sa používa pojem „finančná inštitúcia“, avšak každý zákon si na svoje účely vymedzuje, o aké subjekty ide. Napríklad na účely zákona o bankách je v § 5 písm. ab) vymedzená definícia finančnej inštitúcie, ktorá sa však líši od definície finančnej inštitúcie podľa § 8 písm. c) zákona č. 566/2001 Z. z. o cenných papieroch a o zmene a doplnení niektorých zákonov (zákon o cenných papieroch). Vzhľadom na uvedené je preto nevyhnutné aj na účely tohto zákona definovať, čo sa rozumie pod pojmom „iná finančná inštitúcia“.</w:t>
            </w:r>
          </w:p>
        </w:tc>
        <w:tc>
          <w:tcPr>
            <w:tcW w:w="2264" w:type="dxa"/>
            <w:vAlign w:val="center"/>
            <w:hideMark/>
          </w:tcPr>
          <w:p w14:paraId="5B1F1DED" w14:textId="7C91672C"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3CBED88" w14:textId="0EDE14B0" w:rsidR="00FE0F3E" w:rsidRPr="00BC49FC" w:rsidRDefault="00FE0F3E" w:rsidP="00341747">
            <w:pPr>
              <w:rPr>
                <w:rFonts w:ascii="Times New Roman" w:hAnsi="Times New Roman" w:cs="Times New Roman"/>
              </w:rPr>
            </w:pPr>
            <w:r w:rsidRPr="00BC49FC">
              <w:rPr>
                <w:rFonts w:ascii="Times New Roman" w:hAnsi="Times New Roman" w:cs="Times New Roman"/>
                <w:color w:val="000000"/>
              </w:rPr>
              <w:t xml:space="preserve">Doplnená poznámka pod čiarou. </w:t>
            </w:r>
          </w:p>
        </w:tc>
      </w:tr>
      <w:tr w:rsidR="00FE0F3E" w:rsidRPr="006278D2" w14:paraId="68D28F83" w14:textId="0D18A9FF" w:rsidTr="00725D29">
        <w:trPr>
          <w:trHeight w:val="1590"/>
        </w:trPr>
        <w:tc>
          <w:tcPr>
            <w:tcW w:w="975" w:type="dxa"/>
            <w:hideMark/>
          </w:tcPr>
          <w:p w14:paraId="0FB075B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245.</w:t>
            </w:r>
          </w:p>
        </w:tc>
        <w:tc>
          <w:tcPr>
            <w:tcW w:w="2656" w:type="dxa"/>
            <w:hideMark/>
          </w:tcPr>
          <w:p w14:paraId="7F9FD02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3100711C"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79000108"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8 </w:t>
            </w:r>
            <w:r w:rsidRPr="00BC49FC">
              <w:rPr>
                <w:rFonts w:ascii="Times New Roman" w:hAnsi="Times New Roman" w:cs="Times New Roman"/>
              </w:rPr>
              <w:t xml:space="preserve">V § 8 ods. 3 navrhujeme slová „pre úverové inštitúcie,27)“ nahradiť slovami „podľa osobitného predpisu27)“ a slová „rizík environmentálneho, sociálneho a správneho dosahu pre úverové inštitúcie28)“ nahradiť slovami „informácií o environmentálnych rizikách, sociálnych rizikách a rizikách v oblasti správy a riadenia podľa osobitného predpisu28)“.    Cieľom pripomienky je odstrániť zmätočnosť, ktorá vzniká používaním pojmov „banka“ a „úverová inštitúcia“. Podľa § 2 ods. 1 zákona o bankách je banka úverovou inštitúciou podľa čl. 4 ods. 1 prvého bodu nariadenia Európskeho parlamentu a Rady (EÚ) č. 575/2013 z 26. júna 2013 o prudenciálnych požiadavkách na úverové inštitúcie v platnom znení. Zároveň upozorňujeme, že povinnosti </w:t>
            </w:r>
            <w:r w:rsidRPr="00BC49FC">
              <w:rPr>
                <w:rFonts w:ascii="Times New Roman" w:hAnsi="Times New Roman" w:cs="Times New Roman"/>
              </w:rPr>
              <w:lastRenderedPageBreak/>
              <w:t>podľa čl. 449a nariadenia Európskeho parlamentu a Rady (EÚ) č. 575/2013 plnia len banky, preto je potrebné sa vysporiadať s tým, podľa čoho budú postupovať iné finančné inštitúcie.</w:t>
            </w:r>
          </w:p>
        </w:tc>
        <w:tc>
          <w:tcPr>
            <w:tcW w:w="2264" w:type="dxa"/>
            <w:vAlign w:val="center"/>
            <w:hideMark/>
          </w:tcPr>
          <w:p w14:paraId="10348326" w14:textId="3F8943E3" w:rsidR="00FE0F3E" w:rsidRPr="00BC49FC" w:rsidRDefault="00FE0F3E" w:rsidP="00341747">
            <w:pPr>
              <w:rPr>
                <w:rFonts w:ascii="Times New Roman" w:hAnsi="Times New Roman" w:cs="Times New Roman"/>
                <w:b/>
                <w:bCs/>
              </w:rPr>
            </w:pPr>
            <w:r>
              <w:rPr>
                <w:rFonts w:ascii="Times New Roman" w:hAnsi="Times New Roman" w:cs="Times New Roman"/>
                <w:b/>
                <w:bCs/>
                <w:color w:val="000000"/>
              </w:rPr>
              <w:lastRenderedPageBreak/>
              <w:t>Č</w:t>
            </w:r>
            <w:r w:rsidRPr="00BC49FC">
              <w:rPr>
                <w:rFonts w:ascii="Times New Roman" w:hAnsi="Times New Roman" w:cs="Times New Roman"/>
                <w:b/>
                <w:bCs/>
                <w:color w:val="000000"/>
              </w:rPr>
              <w:t>A</w:t>
            </w:r>
          </w:p>
        </w:tc>
        <w:tc>
          <w:tcPr>
            <w:tcW w:w="2753" w:type="dxa"/>
            <w:vAlign w:val="center"/>
            <w:hideMark/>
          </w:tcPr>
          <w:p w14:paraId="49980A5E" w14:textId="0018E188"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44BDEFB3" w14:textId="2025554A" w:rsidTr="00725D29">
        <w:trPr>
          <w:trHeight w:val="1275"/>
        </w:trPr>
        <w:tc>
          <w:tcPr>
            <w:tcW w:w="975" w:type="dxa"/>
            <w:hideMark/>
          </w:tcPr>
          <w:p w14:paraId="70D88CD9"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246.</w:t>
            </w:r>
          </w:p>
        </w:tc>
        <w:tc>
          <w:tcPr>
            <w:tcW w:w="2656" w:type="dxa"/>
            <w:hideMark/>
          </w:tcPr>
          <w:p w14:paraId="3EA04F20"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270866DA"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085E8613"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10 </w:t>
            </w:r>
            <w:r w:rsidRPr="00BC49FC">
              <w:rPr>
                <w:rFonts w:ascii="Times New Roman" w:hAnsi="Times New Roman" w:cs="Times New Roman"/>
              </w:rPr>
              <w:t>V § 10 ods. 1 navrhujeme na konci pripojiť bodkočiarku a tieto slová: „týmto nie je dotknutý osobitný predpis.x)“.   Poznámka pod čiarou k odkazu x znie:   „x) § 91 zákona č. 483/2001 Z. z. o bankách a o zmene a doplnení niektorých zákonov v znení neskorších predpisov.“.   Podľa § 10 ods. 5 písm. r) návrhu poskytovateľom údajov môže byť aj banka. V takomto prípade zdrojom údajov je informačný systém, register a zákonom ustanovená evidencia banky, preto je potrebné upraviť, že údaje, ktoré sú predmetom bankového tajomstva, nesmú byť bez prelomenia bankového tajomstva poskytované. V tejto súvislosti odporúčame doplniť aj dôvodovú správu k tomuto ustanoveniu návrhu zákona.</w:t>
            </w:r>
          </w:p>
        </w:tc>
        <w:tc>
          <w:tcPr>
            <w:tcW w:w="2264" w:type="dxa"/>
            <w:vAlign w:val="center"/>
            <w:hideMark/>
          </w:tcPr>
          <w:p w14:paraId="20A549AF" w14:textId="3CEB6E28" w:rsidR="00FE0F3E" w:rsidRDefault="00FE0F3E" w:rsidP="00341747">
            <w:pPr>
              <w:rPr>
                <w:rFonts w:ascii="Times New Roman" w:hAnsi="Times New Roman" w:cs="Times New Roman"/>
                <w:b/>
                <w:bCs/>
                <w:color w:val="000000"/>
              </w:rPr>
            </w:pPr>
            <w:r>
              <w:rPr>
                <w:rFonts w:ascii="Times New Roman" w:hAnsi="Times New Roman" w:cs="Times New Roman"/>
                <w:b/>
                <w:bCs/>
                <w:color w:val="000000"/>
              </w:rPr>
              <w:t>Č</w:t>
            </w:r>
            <w:r w:rsidRPr="00BC49FC">
              <w:rPr>
                <w:rFonts w:ascii="Times New Roman" w:hAnsi="Times New Roman" w:cs="Times New Roman"/>
                <w:b/>
                <w:bCs/>
                <w:color w:val="000000"/>
              </w:rPr>
              <w:t>A</w:t>
            </w:r>
          </w:p>
          <w:p w14:paraId="2D4A4851" w14:textId="3BF62099" w:rsidR="00FE0F3E" w:rsidRPr="00BC49FC" w:rsidRDefault="00FE0F3E" w:rsidP="00341747">
            <w:pPr>
              <w:rPr>
                <w:rFonts w:ascii="Times New Roman" w:hAnsi="Times New Roman" w:cs="Times New Roman"/>
                <w:b/>
                <w:bCs/>
              </w:rPr>
            </w:pPr>
          </w:p>
        </w:tc>
        <w:tc>
          <w:tcPr>
            <w:tcW w:w="2753" w:type="dxa"/>
            <w:vAlign w:val="center"/>
            <w:hideMark/>
          </w:tcPr>
          <w:p w14:paraId="15C514DC" w14:textId="22776E95" w:rsidR="00FE0F3E" w:rsidRPr="00BC49FC" w:rsidRDefault="00FE0F3E" w:rsidP="00341747">
            <w:pPr>
              <w:rPr>
                <w:rFonts w:ascii="Times New Roman" w:hAnsi="Times New Roman" w:cs="Times New Roman"/>
              </w:rPr>
            </w:pPr>
            <w:r w:rsidRPr="00BC49FC">
              <w:rPr>
                <w:rFonts w:ascii="Times New Roman" w:hAnsi="Times New Roman" w:cs="Times New Roman"/>
                <w:color w:val="000000"/>
              </w:rPr>
              <w:t>Upravené v § 10 ods. 21.</w:t>
            </w:r>
          </w:p>
        </w:tc>
      </w:tr>
      <w:tr w:rsidR="00FE0F3E" w:rsidRPr="006278D2" w14:paraId="4FA9BE35" w14:textId="6A799B53" w:rsidTr="00725D29">
        <w:trPr>
          <w:trHeight w:val="1275"/>
        </w:trPr>
        <w:tc>
          <w:tcPr>
            <w:tcW w:w="975" w:type="dxa"/>
            <w:hideMark/>
          </w:tcPr>
          <w:p w14:paraId="45A16D36"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247.</w:t>
            </w:r>
          </w:p>
        </w:tc>
        <w:tc>
          <w:tcPr>
            <w:tcW w:w="2656" w:type="dxa"/>
            <w:hideMark/>
          </w:tcPr>
          <w:p w14:paraId="5CE77985"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372DD967"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74FA2872"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10 </w:t>
            </w:r>
            <w:r w:rsidRPr="00BC49FC">
              <w:rPr>
                <w:rFonts w:ascii="Times New Roman" w:hAnsi="Times New Roman" w:cs="Times New Roman"/>
              </w:rPr>
              <w:t>V § 10 odporúčame preformulovať odsek 2 z dôvodu zmätočnosti,   V § 10 ods. 2 sa ustanovuje, že správcom zdroja údajov je verejný subjekt alebo právnická osoba podľa osobitného predpisu (napríklad podľa zákona SNR č. 138/1992 Zb. o autorizovaných architektoch a autorizovaných stavebných inžinieroch v znení neskorších predpisov), ktorým vytvorenie a vedenie zdroja údajov ukladá osobitný predpis (napríklad aj zákon o bankách alebo zákon NR SR č. 566/1992 Zb. o Národnej banke Slovenska v znení neskorších predpisov). V tejto súvislosti uvádzame, že zákon o bankách, ani zákon o Národnej banke Slovenska neukladá architektom a stavebným inžinierom povinnosť vytvoriť a viesť zdroj údajov.</w:t>
            </w:r>
          </w:p>
        </w:tc>
        <w:tc>
          <w:tcPr>
            <w:tcW w:w="2264" w:type="dxa"/>
            <w:vAlign w:val="center"/>
            <w:hideMark/>
          </w:tcPr>
          <w:p w14:paraId="3BEE8A10" w14:textId="71808FA9" w:rsidR="00FE0F3E" w:rsidRPr="00BC49FC" w:rsidRDefault="00FE0F3E" w:rsidP="00341747">
            <w:pPr>
              <w:rPr>
                <w:rFonts w:ascii="Times New Roman" w:hAnsi="Times New Roman" w:cs="Times New Roman"/>
                <w:b/>
                <w:bCs/>
              </w:rPr>
            </w:pPr>
            <w:r>
              <w:rPr>
                <w:rFonts w:ascii="Times New Roman" w:hAnsi="Times New Roman" w:cs="Times New Roman"/>
                <w:b/>
                <w:bCs/>
                <w:color w:val="000000"/>
              </w:rPr>
              <w:t>N</w:t>
            </w:r>
          </w:p>
        </w:tc>
        <w:tc>
          <w:tcPr>
            <w:tcW w:w="2753" w:type="dxa"/>
            <w:vAlign w:val="center"/>
            <w:hideMark/>
          </w:tcPr>
          <w:p w14:paraId="493349F9" w14:textId="5ADA16DB" w:rsidR="00FE0F3E" w:rsidRPr="004A4869" w:rsidRDefault="00FE0F3E" w:rsidP="00341747">
            <w:pPr>
              <w:rPr>
                <w:rFonts w:ascii="Times New Roman" w:hAnsi="Times New Roman" w:cs="Times New Roman"/>
              </w:rPr>
            </w:pPr>
            <w:r w:rsidRPr="004A4869">
              <w:rPr>
                <w:rFonts w:ascii="Times New Roman" w:hAnsi="Times New Roman" w:cs="Times New Roman"/>
                <w:color w:val="000000"/>
              </w:rPr>
              <w:t>Požadované spresnenie nie je z hľadiska účelu ustanovenia potrebné.</w:t>
            </w:r>
          </w:p>
        </w:tc>
      </w:tr>
      <w:tr w:rsidR="00FE0F3E" w:rsidRPr="006278D2" w14:paraId="6B236E56" w14:textId="4C5F9A76" w:rsidTr="00725D29">
        <w:trPr>
          <w:trHeight w:val="960"/>
        </w:trPr>
        <w:tc>
          <w:tcPr>
            <w:tcW w:w="975" w:type="dxa"/>
            <w:hideMark/>
          </w:tcPr>
          <w:p w14:paraId="3DF2CE8C"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248.</w:t>
            </w:r>
          </w:p>
        </w:tc>
        <w:tc>
          <w:tcPr>
            <w:tcW w:w="2656" w:type="dxa"/>
            <w:hideMark/>
          </w:tcPr>
          <w:p w14:paraId="26EA9BCA"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11676070"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45EB6A2D"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10 </w:t>
            </w:r>
            <w:r w:rsidRPr="00BC49FC">
              <w:rPr>
                <w:rFonts w:ascii="Times New Roman" w:hAnsi="Times New Roman" w:cs="Times New Roman"/>
              </w:rPr>
              <w:t xml:space="preserve">V § 10 ods. 5 odporúčame písmeno g) preformulovať takto:    „g) vlastníci bytov a nebytových priestorov zastúpení správcom alebo spoločenstvom </w:t>
            </w:r>
            <w:r w:rsidRPr="00BC49FC">
              <w:rPr>
                <w:rFonts w:ascii="Times New Roman" w:hAnsi="Times New Roman" w:cs="Times New Roman"/>
              </w:rPr>
              <w:lastRenderedPageBreak/>
              <w:t>vlastníkov podľa osobitného predpisu,x)“.   Poznámka pod čiarou k odkazu x znie:   „x) § 7 ods. 1 a § 8 ods. 1 zákona Národnej rady Slovenskej republiky č. 182/1993 Z. z. o vlastníctve bytov a nebytových priestorov v znení neskorších predpisov.“.    Zmenu navrhujeme z dôvodu potreby zosúladenia s  ustanoveniami zákona Národnej rady Slovenskej republiky č. 182/1993 Z. z. o vlastníctve bytov a nebytových priestorov v znení neskorších predpisov.</w:t>
            </w:r>
          </w:p>
        </w:tc>
        <w:tc>
          <w:tcPr>
            <w:tcW w:w="2264" w:type="dxa"/>
            <w:vAlign w:val="center"/>
            <w:hideMark/>
          </w:tcPr>
          <w:p w14:paraId="735510BE" w14:textId="79B78201"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21704568" w14:textId="10035BEC"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532CE9EA" w14:textId="5D1A8058" w:rsidTr="00725D29">
        <w:trPr>
          <w:trHeight w:val="960"/>
        </w:trPr>
        <w:tc>
          <w:tcPr>
            <w:tcW w:w="975" w:type="dxa"/>
            <w:hideMark/>
          </w:tcPr>
          <w:p w14:paraId="494CC4FD"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249.</w:t>
            </w:r>
          </w:p>
        </w:tc>
        <w:tc>
          <w:tcPr>
            <w:tcW w:w="2656" w:type="dxa"/>
            <w:hideMark/>
          </w:tcPr>
          <w:p w14:paraId="212DFF8B"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7CB144F8"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37AFD74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10 </w:t>
            </w:r>
            <w:r w:rsidRPr="00BC49FC">
              <w:rPr>
                <w:rFonts w:ascii="Times New Roman" w:hAnsi="Times New Roman" w:cs="Times New Roman"/>
              </w:rPr>
              <w:t>V § 10 ods. 6 je z dôvodu zabezpečenia právnej istoty potrebné presne ustanoviť, ktoré ustanovenia návrhu zákona alebo osobitných predpisov ustanovujú inak. To znamená, podľa ktorých ustanovení návrhu zákona alebo osobitného predpisu poskytovateľ údajov nie je povinný sledovať, vyhodnocovať a každoročne do 30. júna zasielať prevádzkovateľovi monitorovacieho systému súbor údajov pre monitorovací systém za predchádzajúci kalendárny rok.</w:t>
            </w:r>
          </w:p>
        </w:tc>
        <w:tc>
          <w:tcPr>
            <w:tcW w:w="2264" w:type="dxa"/>
            <w:vAlign w:val="center"/>
            <w:hideMark/>
          </w:tcPr>
          <w:p w14:paraId="6FE1A783" w14:textId="7DF43E1F"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EE430B2" w14:textId="6BEA3470"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3A8C7126" w14:textId="0FEAB274" w:rsidTr="00725D29">
        <w:trPr>
          <w:trHeight w:val="960"/>
        </w:trPr>
        <w:tc>
          <w:tcPr>
            <w:tcW w:w="975" w:type="dxa"/>
            <w:hideMark/>
          </w:tcPr>
          <w:p w14:paraId="7D169A42"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250.</w:t>
            </w:r>
          </w:p>
        </w:tc>
        <w:tc>
          <w:tcPr>
            <w:tcW w:w="2656" w:type="dxa"/>
            <w:hideMark/>
          </w:tcPr>
          <w:p w14:paraId="6728D787"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24E13222"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6E4CFEE4"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32 </w:t>
            </w:r>
            <w:r w:rsidRPr="00BC49FC">
              <w:rPr>
                <w:rFonts w:ascii="Times New Roman" w:hAnsi="Times New Roman" w:cs="Times New Roman"/>
              </w:rPr>
              <w:t>V § 32 ods. 3 písm. a) odporúčame slová „jednotnej dlhovej metodiky“ nahradiť slovami „jednotnej metodiky“. Rovnaká pripomienka platí aj pre § 34 ods. 2 písm. c) návrhu zákona. Ide o zjednotenie terminológie používanej v návrhu zákona v súlade s nariadením Európskeho parlamentu a Rady (EÚ) č. 549/2013 z 13. mája 2013 o európskom systéme národných a regionálnych účtov v Európskej únii v platnom znení.</w:t>
            </w:r>
          </w:p>
        </w:tc>
        <w:tc>
          <w:tcPr>
            <w:tcW w:w="2264" w:type="dxa"/>
            <w:vAlign w:val="center"/>
            <w:hideMark/>
          </w:tcPr>
          <w:p w14:paraId="1ADB680B" w14:textId="3B05EF42"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6E33212B" w14:textId="12EAA660" w:rsidR="00FE0F3E" w:rsidRPr="00BC49FC" w:rsidRDefault="00FE0F3E" w:rsidP="00341747">
            <w:pPr>
              <w:rPr>
                <w:rFonts w:ascii="Times New Roman" w:hAnsi="Times New Roman" w:cs="Times New Roman"/>
                <w:b/>
                <w:bCs/>
              </w:rPr>
            </w:pPr>
          </w:p>
        </w:tc>
      </w:tr>
      <w:tr w:rsidR="00FE0F3E" w:rsidRPr="006278D2" w14:paraId="3F37D2CA" w14:textId="2E44A815" w:rsidTr="00725D29">
        <w:trPr>
          <w:trHeight w:val="1275"/>
        </w:trPr>
        <w:tc>
          <w:tcPr>
            <w:tcW w:w="975" w:type="dxa"/>
            <w:hideMark/>
          </w:tcPr>
          <w:p w14:paraId="38DD8277"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251.</w:t>
            </w:r>
          </w:p>
        </w:tc>
        <w:tc>
          <w:tcPr>
            <w:tcW w:w="2656" w:type="dxa"/>
            <w:hideMark/>
          </w:tcPr>
          <w:p w14:paraId="24E2E9E5"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3033C7CA"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4D8462CE"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32 </w:t>
            </w:r>
            <w:r w:rsidRPr="00BC49FC">
              <w:rPr>
                <w:rFonts w:ascii="Times New Roman" w:hAnsi="Times New Roman" w:cs="Times New Roman"/>
              </w:rPr>
              <w:t xml:space="preserve">V § 32 ods. 8 odporúčame spresniť, či subjekt v pozícii poskytovateľa energetickej služby je zároveň subjektom verejnej správy.   Podľa § 32 ods. 8 zmluva o energetickej efektívnosti pre verejný sektor môže byť uzatvorená aj na majetok verejného sektora, ktorý počas poskytovania energetickej služby má poskytovateľ energetickej služby vo vlastníctve alebo v správe. Z uvedeného nie je zrejmé, či subjekt v pozícii poskytovateľa energetickej služby je zároveň subjektom verejnej správy. V tejto súvislosti upozorňujeme, že </w:t>
            </w:r>
            <w:r w:rsidRPr="00BC49FC">
              <w:rPr>
                <w:rFonts w:ascii="Times New Roman" w:hAnsi="Times New Roman" w:cs="Times New Roman"/>
              </w:rPr>
              <w:lastRenderedPageBreak/>
              <w:t>majetok štátu môže byť len vo vlastníctve Slovenskej republiky a v správe príslušného subjektu verejnej správy, ktorý predpokladáme, že je prijímateľom energetickej služby.    Uvedené spresnenie je potrebné analogicky vykonať aj v § 32 ods. 9 návrhu.</w:t>
            </w:r>
          </w:p>
        </w:tc>
        <w:tc>
          <w:tcPr>
            <w:tcW w:w="2264" w:type="dxa"/>
            <w:vAlign w:val="center"/>
            <w:hideMark/>
          </w:tcPr>
          <w:p w14:paraId="6ACF4B2E" w14:textId="2F9C3AE3"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2D841574" w14:textId="1CD17A6A" w:rsidR="00FE0F3E" w:rsidRPr="00BC49FC" w:rsidRDefault="00FE0F3E" w:rsidP="00341747">
            <w:pPr>
              <w:rPr>
                <w:rFonts w:ascii="Times New Roman" w:hAnsi="Times New Roman" w:cs="Times New Roman"/>
                <w:b/>
                <w:bCs/>
              </w:rPr>
            </w:pPr>
          </w:p>
        </w:tc>
      </w:tr>
      <w:tr w:rsidR="00FE0F3E" w:rsidRPr="006278D2" w14:paraId="16E2E575" w14:textId="35369CE8" w:rsidTr="00725D29">
        <w:trPr>
          <w:trHeight w:val="960"/>
        </w:trPr>
        <w:tc>
          <w:tcPr>
            <w:tcW w:w="975" w:type="dxa"/>
            <w:hideMark/>
          </w:tcPr>
          <w:p w14:paraId="5B9E6C7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252.</w:t>
            </w:r>
          </w:p>
        </w:tc>
        <w:tc>
          <w:tcPr>
            <w:tcW w:w="2656" w:type="dxa"/>
            <w:hideMark/>
          </w:tcPr>
          <w:p w14:paraId="67B31BD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5D3F08ED"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56464A6E"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32 </w:t>
            </w:r>
            <w:r w:rsidRPr="00BC49FC">
              <w:rPr>
                <w:rFonts w:ascii="Times New Roman" w:hAnsi="Times New Roman" w:cs="Times New Roman"/>
              </w:rPr>
              <w:t>V § 32 ods. 10 a 11 je potrebné spresniť, vzor akej zmluvy ministerstvo hospodárstva zverejní na svojom webovom sídle. Zo navrhovaného znenia § 32 ods. 10 a 11 nie je zrejmé, vzor ktorej zmluvy pre verejný sektor ministerstvo hospodárstva zverejní, či pôjde o vzor zmluvy podľa § 32 ods. 3 písm. a) alebo písm. b).</w:t>
            </w:r>
          </w:p>
        </w:tc>
        <w:tc>
          <w:tcPr>
            <w:tcW w:w="2264" w:type="dxa"/>
            <w:vAlign w:val="center"/>
            <w:hideMark/>
          </w:tcPr>
          <w:p w14:paraId="61A25219" w14:textId="6D509F8E"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B3477C1" w14:textId="2B51FFBD" w:rsidR="00FE0F3E" w:rsidRPr="00BC49FC" w:rsidRDefault="00FE0F3E" w:rsidP="00341747">
            <w:pPr>
              <w:rPr>
                <w:rFonts w:ascii="Times New Roman" w:hAnsi="Times New Roman" w:cs="Times New Roman"/>
              </w:rPr>
            </w:pPr>
            <w:r w:rsidRPr="00BC49FC">
              <w:rPr>
                <w:rFonts w:ascii="Times New Roman" w:hAnsi="Times New Roman" w:cs="Times New Roman"/>
                <w:color w:val="000000"/>
              </w:rPr>
              <w:t>Upravené v § 32 ods. 7.</w:t>
            </w:r>
          </w:p>
        </w:tc>
      </w:tr>
      <w:tr w:rsidR="00FE0F3E" w:rsidRPr="006278D2" w14:paraId="3A61A6A5" w14:textId="31A0ACB7" w:rsidTr="00725D29">
        <w:trPr>
          <w:trHeight w:val="2535"/>
        </w:trPr>
        <w:tc>
          <w:tcPr>
            <w:tcW w:w="975" w:type="dxa"/>
            <w:hideMark/>
          </w:tcPr>
          <w:p w14:paraId="198971C7"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253.</w:t>
            </w:r>
          </w:p>
        </w:tc>
        <w:tc>
          <w:tcPr>
            <w:tcW w:w="2656" w:type="dxa"/>
            <w:hideMark/>
          </w:tcPr>
          <w:p w14:paraId="48DEA294"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200FE5F4"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1CF5817B"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32 </w:t>
            </w:r>
            <w:r w:rsidRPr="00BC49FC">
              <w:rPr>
                <w:rFonts w:ascii="Times New Roman" w:hAnsi="Times New Roman" w:cs="Times New Roman"/>
              </w:rPr>
              <w:t xml:space="preserve">V § 32 ods. 12 sa vnáša nový prvok vo vzťahu k posudzovaniu zmlúv o energetickej efektívnosti, ktoré majú vplyv na výšku dlhu, a to, že tieto zmluvy môžu byť uzatvorené iba so súhlasom  Ministerstva financií SR.   V kontexte ďalších zmien znamenajúcich uvoľnenie požiadaviek ustanovených v súčasnosti v § 18 zákona č. 321/2014 Z. z. o energetickej efektívnosti upozorňujeme na to, že mnohé zmluvy o energetickej efektívnosti pre verejný sektor budú mať vplyv na výšku dlhu subjektu verejnej správy, a tým priamo aj na celkový dlh verejnej správy. V kontexte ustanovení § 8 a 32 je možné, že zmluvy o energetickej efektívnosti pre verejný sektor nebudú spĺňať pravidlá podľa manuálu Európskej investičnej banky a Eurostatu ku zmluvám o poskytovaní garantovaných energetických služieb (tzv. „GES zmluvy“), a to napríklad, že môže ísť len o služby, pri ktorých sa dodáva investičný majetok (pričom sa reálne investuje do dlhodobého majetku), zmluva trvá minimálny čas určený podľa pravidiel pre tzv. GES projekty, ale najmä ide o rozdelenie rizík medzi poskytovateľom a prijímateľom energetickej služby.                 V súčasnosti je nulový vplyv na dlh verejnej správy zabezpečený použitím ustanoveného vzoru zmluvy o energetickej efektívnosti pre verejný sektor podľa § 18 </w:t>
            </w:r>
            <w:r w:rsidRPr="00BC49FC">
              <w:rPr>
                <w:rFonts w:ascii="Times New Roman" w:hAnsi="Times New Roman" w:cs="Times New Roman"/>
              </w:rPr>
              <w:lastRenderedPageBreak/>
              <w:t>ods. 6 zákona č. 321/2014 Z. z. o energetickej efektívnosti. Akákoľvek iná zmluva je v súčasnosti automaticky vyhodnotená ako zmluva s vplyvom na dlh. Zámerom tohto riešenia bolo zjednodušiť prípravu zmluvy pre subjekty verejnej správy bez obavy, že sa záväzky budú započítavať do dlhu subjektu verejnej správy.</w:t>
            </w:r>
          </w:p>
        </w:tc>
        <w:tc>
          <w:tcPr>
            <w:tcW w:w="2264" w:type="dxa"/>
            <w:vAlign w:val="center"/>
            <w:hideMark/>
          </w:tcPr>
          <w:p w14:paraId="11751C3C" w14:textId="72292EA4"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54C8E763" w14:textId="6516E49C"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7B642C27" w14:textId="5E58C9D8" w:rsidTr="00725D29">
        <w:trPr>
          <w:trHeight w:val="960"/>
        </w:trPr>
        <w:tc>
          <w:tcPr>
            <w:tcW w:w="975" w:type="dxa"/>
            <w:hideMark/>
          </w:tcPr>
          <w:p w14:paraId="4F42CE13"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254.</w:t>
            </w:r>
          </w:p>
        </w:tc>
        <w:tc>
          <w:tcPr>
            <w:tcW w:w="2656" w:type="dxa"/>
            <w:hideMark/>
          </w:tcPr>
          <w:p w14:paraId="50E88957"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03E9B1AA"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37517F2E"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Čl. I K § 32 </w:t>
            </w:r>
            <w:r w:rsidRPr="00BC49FC">
              <w:rPr>
                <w:rFonts w:ascii="Times New Roman" w:hAnsi="Times New Roman" w:cs="Times New Roman"/>
              </w:rPr>
              <w:t>V súvislosti s prípravou vzorov zmlúv a metodiky podľa § 32 ods. 10 a 11 navrhujeme, aby bol  do procesu ich prípravy zahrnutý aj Štatistický úrad SR.</w:t>
            </w:r>
          </w:p>
        </w:tc>
        <w:tc>
          <w:tcPr>
            <w:tcW w:w="2264" w:type="dxa"/>
            <w:vAlign w:val="center"/>
            <w:hideMark/>
          </w:tcPr>
          <w:p w14:paraId="4C88D8EF" w14:textId="3DB8F525"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8F71EC5" w14:textId="78201DDF"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3F5896C2" w14:textId="7024F8DF" w:rsidTr="00725D29">
        <w:trPr>
          <w:trHeight w:val="960"/>
        </w:trPr>
        <w:tc>
          <w:tcPr>
            <w:tcW w:w="975" w:type="dxa"/>
            <w:hideMark/>
          </w:tcPr>
          <w:p w14:paraId="4CFEC409"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255.</w:t>
            </w:r>
          </w:p>
        </w:tc>
        <w:tc>
          <w:tcPr>
            <w:tcW w:w="2656" w:type="dxa"/>
            <w:hideMark/>
          </w:tcPr>
          <w:p w14:paraId="64B36E73"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52A1222B"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0AA8B726"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K osobitnej časti dôvodovej správy K 26 </w:t>
            </w:r>
            <w:r w:rsidRPr="00BC49FC">
              <w:rPr>
                <w:rFonts w:ascii="Times New Roman" w:hAnsi="Times New Roman" w:cs="Times New Roman"/>
              </w:rPr>
              <w:t>V osobitnej časti dôvodovej správy k § 26 v treťom odseku sa uvádza: „Povinnosť energetického auditu podľa § 26 sa netýka verejných subjektov, t. j. subjektov verejnej správy definovaných podľa zákona o štátnej štatistike.“.   Upozorňujeme, že subjekty verejnej správy nie sú definované v zákone o štátnej štatistike, ale v § 3 ods. 1 zákona č. 523/2004 Z. z. S ohľadom na uvedené je potrebné znenie dôvodovej správy v tejto časti upraviť.</w:t>
            </w:r>
          </w:p>
        </w:tc>
        <w:tc>
          <w:tcPr>
            <w:tcW w:w="2264" w:type="dxa"/>
            <w:vAlign w:val="center"/>
            <w:hideMark/>
          </w:tcPr>
          <w:p w14:paraId="0586D306" w14:textId="0662CB87"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05A32B9" w14:textId="03CCB73A"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0C4437B0" w14:textId="07369868" w:rsidTr="00725D29">
        <w:trPr>
          <w:trHeight w:val="960"/>
        </w:trPr>
        <w:tc>
          <w:tcPr>
            <w:tcW w:w="975" w:type="dxa"/>
            <w:hideMark/>
          </w:tcPr>
          <w:p w14:paraId="449C691E"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256.</w:t>
            </w:r>
          </w:p>
        </w:tc>
        <w:tc>
          <w:tcPr>
            <w:tcW w:w="2656" w:type="dxa"/>
            <w:hideMark/>
          </w:tcPr>
          <w:p w14:paraId="3F79792B"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MFSR </w:t>
            </w:r>
            <w:r w:rsidRPr="00BC49FC">
              <w:rPr>
                <w:rFonts w:ascii="Times New Roman" w:hAnsi="Times New Roman" w:cs="Times New Roman"/>
              </w:rPr>
              <w:t>Ministerstvo financií Slovenskej republiky</w:t>
            </w:r>
          </w:p>
        </w:tc>
        <w:tc>
          <w:tcPr>
            <w:tcW w:w="612" w:type="dxa"/>
            <w:hideMark/>
          </w:tcPr>
          <w:p w14:paraId="322A3539" w14:textId="77777777" w:rsidR="00FE0F3E" w:rsidRPr="00BC49FC" w:rsidRDefault="00FE0F3E" w:rsidP="00341747">
            <w:pPr>
              <w:rPr>
                <w:rFonts w:ascii="Times New Roman" w:hAnsi="Times New Roman" w:cs="Times New Roman"/>
              </w:rPr>
            </w:pPr>
            <w:r w:rsidRPr="00BC49FC">
              <w:rPr>
                <w:rFonts w:ascii="Times New Roman" w:hAnsi="Times New Roman" w:cs="Times New Roman"/>
              </w:rPr>
              <w:t>O</w:t>
            </w:r>
          </w:p>
        </w:tc>
        <w:tc>
          <w:tcPr>
            <w:tcW w:w="5615" w:type="dxa"/>
            <w:hideMark/>
          </w:tcPr>
          <w:p w14:paraId="184893F1" w14:textId="77777777" w:rsidR="00FE0F3E" w:rsidRPr="00BC49FC" w:rsidRDefault="00FE0F3E" w:rsidP="00341747">
            <w:pPr>
              <w:rPr>
                <w:rFonts w:ascii="Times New Roman" w:hAnsi="Times New Roman" w:cs="Times New Roman"/>
                <w:b/>
                <w:bCs/>
              </w:rPr>
            </w:pPr>
            <w:r w:rsidRPr="00BC49FC">
              <w:rPr>
                <w:rFonts w:ascii="Times New Roman" w:hAnsi="Times New Roman" w:cs="Times New Roman"/>
                <w:b/>
                <w:bCs/>
              </w:rPr>
              <w:t xml:space="preserve">K osobitnej časti dôvodovej správy K § 32 </w:t>
            </w:r>
            <w:r w:rsidRPr="00BC49FC">
              <w:rPr>
                <w:rFonts w:ascii="Times New Roman" w:hAnsi="Times New Roman" w:cs="Times New Roman"/>
              </w:rPr>
              <w:t>V osobitnej časti dôvodovej správy k § 32 sa neuvádzajú bližšie informácie a zdôvodnenia ku garantovanej službe pre verejný sektor, najmä k jednotlivým typom zmlúv. Vzhľadom na pripomienky, ktoré uplatňujeme k jednotlivým ustanoveniam § 32, považujeme za potrebné osobitnú časť dôvodovej správy v tejto časti doplniť.</w:t>
            </w:r>
          </w:p>
        </w:tc>
        <w:tc>
          <w:tcPr>
            <w:tcW w:w="2264" w:type="dxa"/>
            <w:vAlign w:val="center"/>
            <w:hideMark/>
          </w:tcPr>
          <w:p w14:paraId="33603BED" w14:textId="05EFBBA7" w:rsidR="00FE0F3E" w:rsidRPr="00BC49FC" w:rsidRDefault="00FE0F3E" w:rsidP="003417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tcPr>
          <w:p w14:paraId="0DE7AF7E" w14:textId="4636F3CD" w:rsidR="00FE0F3E" w:rsidRPr="00BC49FC" w:rsidRDefault="00FE0F3E" w:rsidP="00341747">
            <w:pPr>
              <w:rPr>
                <w:rFonts w:ascii="Times New Roman" w:hAnsi="Times New Roman" w:cs="Times New Roman"/>
                <w:b/>
                <w:bCs/>
              </w:rPr>
            </w:pPr>
          </w:p>
        </w:tc>
      </w:tr>
      <w:tr w:rsidR="00FE0F3E" w:rsidRPr="006278D2" w14:paraId="2A9060D1" w14:textId="1831F65F" w:rsidTr="00725D29">
        <w:trPr>
          <w:trHeight w:val="1905"/>
        </w:trPr>
        <w:tc>
          <w:tcPr>
            <w:tcW w:w="975" w:type="dxa"/>
            <w:hideMark/>
          </w:tcPr>
          <w:p w14:paraId="30191648"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257.</w:t>
            </w:r>
          </w:p>
        </w:tc>
        <w:tc>
          <w:tcPr>
            <w:tcW w:w="2656" w:type="dxa"/>
            <w:hideMark/>
          </w:tcPr>
          <w:p w14:paraId="4D789C9A"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MINCRS </w:t>
            </w:r>
            <w:r w:rsidRPr="00BC49FC">
              <w:rPr>
                <w:rFonts w:ascii="Times New Roman" w:hAnsi="Times New Roman" w:cs="Times New Roman"/>
              </w:rPr>
              <w:t>Ministerstvo cestovného ruchu a športu Slovenskej republiky</w:t>
            </w:r>
          </w:p>
        </w:tc>
        <w:tc>
          <w:tcPr>
            <w:tcW w:w="612" w:type="dxa"/>
            <w:hideMark/>
          </w:tcPr>
          <w:p w14:paraId="271C8E9F"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0D9838F7"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 xml:space="preserve">Návrh odporúčame zosúladiť s Legislatívnymi pravidlami vlády Slovenskej republiky, a to napríklad - v čl. I § 2 písm. m) odporúčame použiť legislatívnu skratu „(ďalej len „ministerstvo hospodárstva“)“, z dôvodu zabezpečenia jednoznačnej identifikácie Ministerstva hospodárstva v rámci návrhu zákona, - v čl. I poznámke pod čiarou k odkazu 8 odporúčame slová „neskorších predpisov“ nahradiť </w:t>
            </w:r>
            <w:r w:rsidRPr="00BC49FC">
              <w:rPr>
                <w:rFonts w:ascii="Times New Roman" w:hAnsi="Times New Roman" w:cs="Times New Roman"/>
              </w:rPr>
              <w:lastRenderedPageBreak/>
              <w:t>slovami „zákona č. 300/2012 Z. z.“, - v  čl. I poznámke pod čiarou k odkazu 12 odporúčame na konci doplniť slová „v znení zákona č. 259/2025 Z. z.“, - v čl. I § 3 písm. n) odporúčame na konci čiarku nahradiť bodkou, - v  čl. I poznámke pod čiarou k odkazu 68 odporúčame na konci doplniť slová „v znení neskorších predpisov“, - v  čl. I § 42 ods. 4 písm. a) odporúčame slová  „a odseku 3“ nahradiť slovami „a 3“, - v  čl. I § 44 ods. 5 odporúčame slová „v § 6“ nahradiť slovami „podľa § 6“, - v  čl. II úvodnej vete odporúčame slová „a dopĺňa“ vypustiť, - v  čl. III úvodnej vete odporúčame za slovo „mení“ doplniť slovo „a“, - v  čl. VII bode 3 § 42a ods. 7 odporúčame slová „odsekov 3 alebo 4 a 6“ nahradiť slovami „odseku 3 alebo odsekov 4 a 6“.</w:t>
            </w:r>
          </w:p>
        </w:tc>
        <w:tc>
          <w:tcPr>
            <w:tcW w:w="2264" w:type="dxa"/>
            <w:hideMark/>
          </w:tcPr>
          <w:p w14:paraId="23CE0EFC" w14:textId="7BABA965" w:rsidR="00FE0F3E" w:rsidRPr="00BC49FC" w:rsidRDefault="00FE0F3E">
            <w:pPr>
              <w:rPr>
                <w:rFonts w:ascii="Times New Roman" w:hAnsi="Times New Roman" w:cs="Times New Roman"/>
                <w:b/>
                <w:bCs/>
              </w:rPr>
            </w:pPr>
            <w:r>
              <w:rPr>
                <w:rFonts w:ascii="Times New Roman" w:hAnsi="Times New Roman" w:cs="Times New Roman"/>
                <w:b/>
                <w:bCs/>
              </w:rPr>
              <w:lastRenderedPageBreak/>
              <w:t>A</w:t>
            </w:r>
          </w:p>
        </w:tc>
        <w:tc>
          <w:tcPr>
            <w:tcW w:w="2753" w:type="dxa"/>
            <w:hideMark/>
          </w:tcPr>
          <w:p w14:paraId="33219651"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336D420" w14:textId="0FA25F0E" w:rsidTr="00725D29">
        <w:trPr>
          <w:trHeight w:val="1905"/>
        </w:trPr>
        <w:tc>
          <w:tcPr>
            <w:tcW w:w="975" w:type="dxa"/>
            <w:hideMark/>
          </w:tcPr>
          <w:p w14:paraId="7FDEFF06"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258.</w:t>
            </w:r>
          </w:p>
        </w:tc>
        <w:tc>
          <w:tcPr>
            <w:tcW w:w="2656" w:type="dxa"/>
            <w:hideMark/>
          </w:tcPr>
          <w:p w14:paraId="28EA85DD"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MIRRI SR </w:t>
            </w:r>
            <w:r w:rsidRPr="00BC49FC">
              <w:rPr>
                <w:rFonts w:ascii="Times New Roman" w:hAnsi="Times New Roman" w:cs="Times New Roman"/>
              </w:rPr>
              <w:t>Ministerstvo investícií, regionálneho rozvoja a informatizácie Slovenskej republiky</w:t>
            </w:r>
          </w:p>
        </w:tc>
        <w:tc>
          <w:tcPr>
            <w:tcW w:w="612" w:type="dxa"/>
            <w:hideMark/>
          </w:tcPr>
          <w:p w14:paraId="481E2C5A"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89853F5"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K vlastnému materiálu,  čl. I, § 9 ods. 2 </w:t>
            </w:r>
            <w:r w:rsidRPr="00BC49FC">
              <w:rPr>
                <w:rFonts w:ascii="Times New Roman" w:hAnsi="Times New Roman" w:cs="Times New Roman"/>
              </w:rPr>
              <w:t>Za slovo „správca“ navrhujeme vložiť odkaz 28a a doplniť novú poznámku pod čiarou k odkazu 28a, ktorá znie: „28a) Napríklad § 2 ods. 5 zákona č. 95/2019 Z. z. o informačných technológiách vo verejnej správe a o zmene a doplnení niektorých zákonov v znení neskorších predpisov.“.  Za slovo „prevádzkovateľ“ navrhujeme vložiť odkaz 28b a doplniť novú poznámku pod čiarou k odkazu 28b, ktorá znie: „28b) Napríklad § 2 ods. 6 zákona č. 95/2019 Z. z. o informačných technológiách vo verejnej správe a o zmene a doplnení niektorých zákonov v znení neskorších predpisov.“.  ODÔVODNENIE: Monitorovací systém energetickej efektívnosti je informačným systémom verejnej správy (isvs_7453). Doplnenie odkazov na citovaný právny predpis sprehľadní text zákona a jednoznačne usmerní aplikáciu predmetného ustanovenia, ako aj ďalších príslušných ustanovení, v súvislosti so správou a prevádzkou tohto isvs v praxi na terminológiu zákona č. 95/2019 Z. z. o informačných technológiách vo verejnej správe a o zmene a doplnení niektorých zákonov v znení neskorších predpisov.</w:t>
            </w:r>
          </w:p>
        </w:tc>
        <w:tc>
          <w:tcPr>
            <w:tcW w:w="2264" w:type="dxa"/>
            <w:hideMark/>
          </w:tcPr>
          <w:p w14:paraId="16D9C0FD" w14:textId="6E75A2A4" w:rsidR="00FE0F3E" w:rsidRPr="00BC49FC" w:rsidRDefault="00FE0F3E">
            <w:pPr>
              <w:rPr>
                <w:rFonts w:ascii="Times New Roman" w:hAnsi="Times New Roman" w:cs="Times New Roman"/>
                <w:b/>
                <w:bCs/>
              </w:rPr>
            </w:pPr>
            <w:r>
              <w:rPr>
                <w:rFonts w:ascii="Times New Roman" w:hAnsi="Times New Roman" w:cs="Times New Roman"/>
                <w:b/>
                <w:bCs/>
              </w:rPr>
              <w:t>N</w:t>
            </w:r>
          </w:p>
        </w:tc>
        <w:tc>
          <w:tcPr>
            <w:tcW w:w="2753" w:type="dxa"/>
            <w:hideMark/>
          </w:tcPr>
          <w:p w14:paraId="3ACD5B5D" w14:textId="1DF49790" w:rsidR="00FE0F3E" w:rsidRPr="004A4869" w:rsidRDefault="00FE0F3E">
            <w:pPr>
              <w:rPr>
                <w:rFonts w:ascii="Times New Roman" w:hAnsi="Times New Roman" w:cs="Times New Roman"/>
              </w:rPr>
            </w:pPr>
            <w:r w:rsidRPr="004A4869">
              <w:rPr>
                <w:rFonts w:ascii="Times New Roman" w:hAnsi="Times New Roman" w:cs="Times New Roman"/>
              </w:rPr>
              <w:t>Požadované spresnenie nie je z hľadiska účelu ustanovenia potrebné.</w:t>
            </w:r>
          </w:p>
        </w:tc>
      </w:tr>
      <w:tr w:rsidR="00FE0F3E" w:rsidRPr="006278D2" w14:paraId="236950F6" w14:textId="0D50ED24" w:rsidTr="00725D29">
        <w:trPr>
          <w:trHeight w:val="1590"/>
        </w:trPr>
        <w:tc>
          <w:tcPr>
            <w:tcW w:w="975" w:type="dxa"/>
            <w:hideMark/>
          </w:tcPr>
          <w:p w14:paraId="1974CB8F" w14:textId="77777777" w:rsidR="00FE0F3E" w:rsidRPr="00BC49FC" w:rsidRDefault="00FE0F3E" w:rsidP="00681450">
            <w:pPr>
              <w:rPr>
                <w:rFonts w:ascii="Times New Roman" w:hAnsi="Times New Roman" w:cs="Times New Roman"/>
                <w:b/>
                <w:bCs/>
              </w:rPr>
            </w:pPr>
            <w:r w:rsidRPr="00BC49FC">
              <w:rPr>
                <w:rFonts w:ascii="Times New Roman" w:hAnsi="Times New Roman" w:cs="Times New Roman"/>
                <w:b/>
                <w:bCs/>
              </w:rPr>
              <w:lastRenderedPageBreak/>
              <w:t>259.</w:t>
            </w:r>
          </w:p>
        </w:tc>
        <w:tc>
          <w:tcPr>
            <w:tcW w:w="2656" w:type="dxa"/>
            <w:hideMark/>
          </w:tcPr>
          <w:p w14:paraId="30B1F136" w14:textId="77777777" w:rsidR="00FE0F3E" w:rsidRPr="00BC49FC" w:rsidRDefault="00FE0F3E" w:rsidP="00681450">
            <w:pPr>
              <w:rPr>
                <w:rFonts w:ascii="Times New Roman" w:hAnsi="Times New Roman" w:cs="Times New Roman"/>
                <w:b/>
                <w:bCs/>
              </w:rPr>
            </w:pPr>
            <w:r w:rsidRPr="00BC49FC">
              <w:rPr>
                <w:rFonts w:ascii="Times New Roman" w:hAnsi="Times New Roman" w:cs="Times New Roman"/>
                <w:b/>
                <w:bCs/>
              </w:rPr>
              <w:t xml:space="preserve">MIRRI SR </w:t>
            </w:r>
            <w:r w:rsidRPr="00BC49FC">
              <w:rPr>
                <w:rFonts w:ascii="Times New Roman" w:hAnsi="Times New Roman" w:cs="Times New Roman"/>
              </w:rPr>
              <w:t>Ministerstvo investícií, regionálneho rozvoja a informatizácie Slovenskej republiky</w:t>
            </w:r>
          </w:p>
        </w:tc>
        <w:tc>
          <w:tcPr>
            <w:tcW w:w="612" w:type="dxa"/>
            <w:hideMark/>
          </w:tcPr>
          <w:p w14:paraId="357F6A4D" w14:textId="77777777" w:rsidR="00FE0F3E" w:rsidRPr="00BC49FC" w:rsidRDefault="00FE0F3E" w:rsidP="00681450">
            <w:pPr>
              <w:rPr>
                <w:rFonts w:ascii="Times New Roman" w:hAnsi="Times New Roman" w:cs="Times New Roman"/>
              </w:rPr>
            </w:pPr>
            <w:r w:rsidRPr="00BC49FC">
              <w:rPr>
                <w:rFonts w:ascii="Times New Roman" w:hAnsi="Times New Roman" w:cs="Times New Roman"/>
              </w:rPr>
              <w:t>O</w:t>
            </w:r>
          </w:p>
        </w:tc>
        <w:tc>
          <w:tcPr>
            <w:tcW w:w="5615" w:type="dxa"/>
            <w:hideMark/>
          </w:tcPr>
          <w:p w14:paraId="741DE2F6" w14:textId="77777777" w:rsidR="00FE0F3E" w:rsidRPr="00BC49FC" w:rsidRDefault="00FE0F3E" w:rsidP="00681450">
            <w:pPr>
              <w:rPr>
                <w:rFonts w:ascii="Times New Roman" w:hAnsi="Times New Roman" w:cs="Times New Roman"/>
                <w:b/>
                <w:bCs/>
              </w:rPr>
            </w:pPr>
            <w:r w:rsidRPr="00BC49FC">
              <w:rPr>
                <w:rFonts w:ascii="Times New Roman" w:hAnsi="Times New Roman" w:cs="Times New Roman"/>
                <w:b/>
                <w:bCs/>
              </w:rPr>
              <w:t xml:space="preserve">K Doložke vybraných vplyvov </w:t>
            </w:r>
            <w:r w:rsidRPr="00BC49FC">
              <w:rPr>
                <w:rFonts w:ascii="Times New Roman" w:hAnsi="Times New Roman" w:cs="Times New Roman"/>
              </w:rPr>
              <w:t>Odporúčame v analýze vplyvov na informatizáciu spoločnosti v časti 6.1. vykonať úpravy podľa odôvodnenia. ODÔVODNENIE: Odporúčame zosúladiť názvy koncových elektronických služieb ks_351381, ks_381802 a ks_381807 s ich názvom, pod ktorým sú zaregistrované v Centrálnom metainformačnom systéme, keďže sa ich názvy líšia.</w:t>
            </w:r>
          </w:p>
        </w:tc>
        <w:tc>
          <w:tcPr>
            <w:tcW w:w="2264" w:type="dxa"/>
            <w:vAlign w:val="center"/>
            <w:hideMark/>
          </w:tcPr>
          <w:p w14:paraId="3998F326" w14:textId="4B67415C" w:rsidR="00FE0F3E" w:rsidRPr="00BC49FC" w:rsidRDefault="00FE0F3E" w:rsidP="00681450">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BB4D557" w14:textId="28C73437" w:rsidR="00FE0F3E" w:rsidRPr="00BC49FC" w:rsidRDefault="00FE0F3E" w:rsidP="00681450">
            <w:pPr>
              <w:rPr>
                <w:rFonts w:ascii="Times New Roman" w:hAnsi="Times New Roman" w:cs="Times New Roman"/>
              </w:rPr>
            </w:pPr>
            <w:r w:rsidRPr="00BC49FC">
              <w:rPr>
                <w:rFonts w:ascii="Times New Roman" w:hAnsi="Times New Roman" w:cs="Times New Roman"/>
                <w:color w:val="000000"/>
              </w:rPr>
              <w:t>Keďže Eurostat zmluva v súčasnosti nie je v praxi aplikovateľná, napriek realizovaným obnovám budov verejného sektora formou iných typov zmlúv, dlh verejného sektora za posledných 10 rokov obsahuje aj významnú časť, ktorá mohla byť na základe Eurostat metodiky z neho vylúčená. V tejto súvislosti je potrebné nastaviť zmluvnú prax tak, aby úspory energie vrátane časti finančných prostriedkov, ktoré v rámci celej zákazky na obnovu budovy verejného sektora spĺňajú Eurostat kritériá, mohli byť v celkovej zákazke identifikované a reportované.</w:t>
            </w:r>
          </w:p>
        </w:tc>
      </w:tr>
      <w:tr w:rsidR="00FE0F3E" w:rsidRPr="006278D2" w14:paraId="2FEBC6EB" w14:textId="4600C089" w:rsidTr="00725D29">
        <w:trPr>
          <w:trHeight w:val="960"/>
        </w:trPr>
        <w:tc>
          <w:tcPr>
            <w:tcW w:w="975" w:type="dxa"/>
            <w:hideMark/>
          </w:tcPr>
          <w:p w14:paraId="1A53A57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260.</w:t>
            </w:r>
          </w:p>
        </w:tc>
        <w:tc>
          <w:tcPr>
            <w:tcW w:w="2656" w:type="dxa"/>
            <w:hideMark/>
          </w:tcPr>
          <w:p w14:paraId="1600882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MKSR </w:t>
            </w:r>
            <w:r w:rsidRPr="00BC49FC">
              <w:rPr>
                <w:rFonts w:ascii="Times New Roman" w:hAnsi="Times New Roman" w:cs="Times New Roman"/>
              </w:rPr>
              <w:t>Ministerstvo kultúry Slovenskej republiky</w:t>
            </w:r>
          </w:p>
        </w:tc>
        <w:tc>
          <w:tcPr>
            <w:tcW w:w="612" w:type="dxa"/>
            <w:hideMark/>
          </w:tcPr>
          <w:p w14:paraId="2D72F3B1"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2DFB8C6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K vlastnému materiálu </w:t>
            </w:r>
            <w:r w:rsidRPr="00BC49FC">
              <w:rPr>
                <w:rFonts w:ascii="Times New Roman" w:hAnsi="Times New Roman" w:cs="Times New Roman"/>
              </w:rPr>
              <w:t>V čl. III v úvodnej vete odporúčame vložiť čiarku za slová ,,198/2020 Z. z." a za slovo ,,mení" vložiť spojku ,,a".  Odôvodnenie: Legislatívna technika.</w:t>
            </w:r>
          </w:p>
        </w:tc>
        <w:tc>
          <w:tcPr>
            <w:tcW w:w="2264" w:type="dxa"/>
            <w:hideMark/>
          </w:tcPr>
          <w:p w14:paraId="2645AFEC" w14:textId="5655AD5B"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5A7AB12C" w14:textId="77777777" w:rsidR="00FE0F3E" w:rsidRPr="00BC49FC" w:rsidRDefault="00FE0F3E">
            <w:pPr>
              <w:rPr>
                <w:rFonts w:ascii="Times New Roman" w:hAnsi="Times New Roman" w:cs="Times New Roman"/>
              </w:rPr>
            </w:pPr>
            <w:r w:rsidRPr="00BC49FC">
              <w:rPr>
                <w:rFonts w:ascii="Times New Roman" w:hAnsi="Times New Roman" w:cs="Times New Roman"/>
              </w:rPr>
              <w:t> </w:t>
            </w:r>
          </w:p>
        </w:tc>
      </w:tr>
      <w:tr w:rsidR="00FE0F3E" w:rsidRPr="006278D2" w14:paraId="0ED73DCA" w14:textId="1F019B22" w:rsidTr="00725D29">
        <w:trPr>
          <w:trHeight w:val="960"/>
        </w:trPr>
        <w:tc>
          <w:tcPr>
            <w:tcW w:w="975" w:type="dxa"/>
            <w:hideMark/>
          </w:tcPr>
          <w:p w14:paraId="033AE85C"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261.</w:t>
            </w:r>
          </w:p>
        </w:tc>
        <w:tc>
          <w:tcPr>
            <w:tcW w:w="2656" w:type="dxa"/>
            <w:hideMark/>
          </w:tcPr>
          <w:p w14:paraId="05F0D3BD"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MKSR </w:t>
            </w:r>
            <w:r w:rsidRPr="00BC49FC">
              <w:rPr>
                <w:rFonts w:ascii="Times New Roman" w:hAnsi="Times New Roman" w:cs="Times New Roman"/>
              </w:rPr>
              <w:t>Ministerstvo kultúry Slovenskej republiky</w:t>
            </w:r>
          </w:p>
        </w:tc>
        <w:tc>
          <w:tcPr>
            <w:tcW w:w="612" w:type="dxa"/>
            <w:hideMark/>
          </w:tcPr>
          <w:p w14:paraId="02F7A3A0"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714CF0CD"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K vlastnému materiálu </w:t>
            </w:r>
            <w:r w:rsidRPr="00BC49FC">
              <w:rPr>
                <w:rFonts w:ascii="Times New Roman" w:hAnsi="Times New Roman" w:cs="Times New Roman"/>
              </w:rPr>
              <w:t>V čl. IV v úvodnej vete odporúčame vypustiť slová ,,Z. z." nachádzajúce sa za slovami ,,259/2025 Z. z.".  Odôvodnenie: Legislatívna technika.</w:t>
            </w:r>
          </w:p>
        </w:tc>
        <w:tc>
          <w:tcPr>
            <w:tcW w:w="2264" w:type="dxa"/>
            <w:hideMark/>
          </w:tcPr>
          <w:p w14:paraId="2FBEE88F" w14:textId="600134F3"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9EC71D1"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6A88A359" w14:textId="42B2B46F" w:rsidTr="00725D29">
        <w:trPr>
          <w:trHeight w:val="960"/>
        </w:trPr>
        <w:tc>
          <w:tcPr>
            <w:tcW w:w="975" w:type="dxa"/>
            <w:hideMark/>
          </w:tcPr>
          <w:p w14:paraId="726A2035"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262.</w:t>
            </w:r>
          </w:p>
        </w:tc>
        <w:tc>
          <w:tcPr>
            <w:tcW w:w="2656" w:type="dxa"/>
            <w:hideMark/>
          </w:tcPr>
          <w:p w14:paraId="6C628970"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MKSR </w:t>
            </w:r>
            <w:r w:rsidRPr="00BC49FC">
              <w:rPr>
                <w:rFonts w:ascii="Times New Roman" w:hAnsi="Times New Roman" w:cs="Times New Roman"/>
              </w:rPr>
              <w:t>Ministerstvo kultúry Slovenskej republiky</w:t>
            </w:r>
          </w:p>
        </w:tc>
        <w:tc>
          <w:tcPr>
            <w:tcW w:w="612" w:type="dxa"/>
            <w:hideMark/>
          </w:tcPr>
          <w:p w14:paraId="1B3F7504"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C78E082"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K vlastnému materiálu </w:t>
            </w:r>
            <w:r w:rsidRPr="00BC49FC">
              <w:rPr>
                <w:rFonts w:ascii="Times New Roman" w:hAnsi="Times New Roman" w:cs="Times New Roman"/>
              </w:rPr>
              <w:t>V čl. V v úvodnej vete odporúčame slová ,,zákona 143/2024 Z. z." nahradiť slovami ,,zákona č. 143/2024 Z. z.".  Odôvodnenie: Legislatívna technika.</w:t>
            </w:r>
          </w:p>
        </w:tc>
        <w:tc>
          <w:tcPr>
            <w:tcW w:w="2264" w:type="dxa"/>
            <w:hideMark/>
          </w:tcPr>
          <w:p w14:paraId="7449D50F" w14:textId="43D5E803"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F7F87C6"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62861D3C" w14:textId="7965ABA5" w:rsidTr="00725D29">
        <w:trPr>
          <w:trHeight w:val="2850"/>
        </w:trPr>
        <w:tc>
          <w:tcPr>
            <w:tcW w:w="975" w:type="dxa"/>
            <w:hideMark/>
          </w:tcPr>
          <w:p w14:paraId="16EF872B"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266.</w:t>
            </w:r>
          </w:p>
        </w:tc>
        <w:tc>
          <w:tcPr>
            <w:tcW w:w="2656" w:type="dxa"/>
            <w:hideMark/>
          </w:tcPr>
          <w:p w14:paraId="7E213D6E"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MOSR </w:t>
            </w:r>
            <w:r w:rsidRPr="00BC49FC">
              <w:rPr>
                <w:rFonts w:ascii="Times New Roman" w:hAnsi="Times New Roman" w:cs="Times New Roman"/>
              </w:rPr>
              <w:t>Ministerstvo obrany Slovenskej republiky</w:t>
            </w:r>
          </w:p>
        </w:tc>
        <w:tc>
          <w:tcPr>
            <w:tcW w:w="612" w:type="dxa"/>
            <w:hideMark/>
          </w:tcPr>
          <w:p w14:paraId="5C3EA9BC"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6B02660A"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 1 až 9 </w:t>
            </w:r>
            <w:r w:rsidRPr="00BC49FC">
              <w:rPr>
                <w:rFonts w:ascii="Times New Roman" w:hAnsi="Times New Roman" w:cs="Times New Roman"/>
              </w:rPr>
              <w:t>1. V poznámke pod čiarou k odkazu 4, ak nejde o taxatívny výpočet, odporúčame v súlade prílohou č. 1 k Legislatívnym pravidlám vlády Slovenskej republiky na začiatok citácie vložiť slovo „Napríklad“ a  za slovo „energetike“ vložiť slová „a o zmene a doplnení niektorých zákonov v znení neskorších predpisov“.  2. V poznámke pod čiarou k odkazu 8 odporúčame slová „neskorších predpisov“ nahradiť slovami „zákona č. 300/2012 Z. z.“. 3. V poznámke pod čiarou k odkazu 11 odporúčame slová „o energetike a o zmene a doplnení niektorých zákonov.“ vypustiť. 4. V poznámke pod čiarou k odkazu 12 odporúčame na konci vety pripojiť slová „v znení zákona č. 259/2025 Z. z.“. 5. V poznámke pod čiarou k odkazu 13 odporúčame spresniť odkaz, keďže zákon č. 251/2012 Z. z. o energetike a o zmene a doplnení niektorých zákonov v znení neskorších predpisov neobsahuje § 3 písm. d) jedenásty bod.  6. V poznámke pod čiarou k odkazu 14 odporúčame slová „o tepelnej energetike“ vypustiť. 7. V poznámke pod čiarou k odkazu 15 odporúčame na konci vety pripojiť slová „v znení zákona  č. 256/2022 Z. z.“. 8. V poznámke pod čiarou k odkazu 17 odporúčame na konci vety pripojiť slová „v znení zákona  č. 259/2025 Z. z.“. 9. V poznámke pod čiarou k odkazu 18 odporúčame na konci vety pripojiť slová „v znení zákona č. 259/2025 Z. z.“. 10. V § 4 ods. 4 písm. g) a h) odporúčame, rovnako ako je uvedené v § 4 ods. 3 písm. e) a f), za slovo „v cieľoch“ a „opatrení“ vložiť slová „energetickej efektívnosti“ z dôvodu precizovania textu.  11. V § 7 ods. 1 písm. b) odporúčame slovo „podľa“ pred slovom „§ 6“ vypustiť z dôvodu nadbytočnosti. 12. V § 7 ods. 7 odporúčame za slovo „úspor“ vložiť slovo „energie“ z dôvodu spresnenia textu. 13. V poznámke pod čiarou k odkazu 25 odporúčame na konci vety pripojiť slová „v znení zákona č. 294/2005 Z. z.“.</w:t>
            </w:r>
          </w:p>
        </w:tc>
        <w:tc>
          <w:tcPr>
            <w:tcW w:w="2264" w:type="dxa"/>
            <w:hideMark/>
          </w:tcPr>
          <w:p w14:paraId="5611782E" w14:textId="69F0F9A1"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773C61F0"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6B5B1CAD" w14:textId="2D31C476" w:rsidTr="00725D29">
        <w:trPr>
          <w:trHeight w:val="8192"/>
        </w:trPr>
        <w:tc>
          <w:tcPr>
            <w:tcW w:w="975" w:type="dxa"/>
            <w:hideMark/>
          </w:tcPr>
          <w:p w14:paraId="4E1C7A1C"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267.</w:t>
            </w:r>
          </w:p>
        </w:tc>
        <w:tc>
          <w:tcPr>
            <w:tcW w:w="2656" w:type="dxa"/>
            <w:hideMark/>
          </w:tcPr>
          <w:p w14:paraId="358572EB"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MOSR </w:t>
            </w:r>
            <w:r w:rsidRPr="00BC49FC">
              <w:rPr>
                <w:rFonts w:ascii="Times New Roman" w:hAnsi="Times New Roman" w:cs="Times New Roman"/>
              </w:rPr>
              <w:t>Ministerstvo obrany Slovenskej republiky</w:t>
            </w:r>
          </w:p>
        </w:tc>
        <w:tc>
          <w:tcPr>
            <w:tcW w:w="612" w:type="dxa"/>
            <w:hideMark/>
          </w:tcPr>
          <w:p w14:paraId="5B9666AE"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33EDFBBA"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 10 až 40 </w:t>
            </w:r>
            <w:r w:rsidRPr="00BC49FC">
              <w:rPr>
                <w:rFonts w:ascii="Times New Roman" w:hAnsi="Times New Roman" w:cs="Times New Roman"/>
              </w:rPr>
              <w:t xml:space="preserve">1. V poznámke pod čiarou k odkazu 29 odporúčame slová „o obecnom zriadení“ vypustiť. 2. V poznámke pod čiarou k odkazu 30 odporúčame pred slová „zákona č. 138/1992 Zb.“ vložiť slová „Slovenskej národnej rady“ z dôvodu uvedenia úplného názvu právneho predpisu, za slová „zákon č. 555/2005 Z. z.“ a „zákon č. 251/2012 Z. z.“ vložiť slová „v znení neskorších predpisov.“. 3. V poznámke pod čiarou k odkazu 31 odporúčame slová „neskorších predpisov“ nahradiť slovami „zákona č. 2012/2018 Z. z.“ a spresniť citáciu právneho predpisu č. 317/2014 Z. z. nakoľko v Zbierke zákonov Slovenskej republiky je pod uvedeným číslom vyhlásená vyhláška Štatistického úradu Slovenskej republiky, ktorou sa mení vyhláška Štatistického úradu Slovenskej republiky č. 291/2014 Z. z., ktorou sa vydáva Program štátnych štatistických zisťovaní na roky 2015 až 2017. 4. V § 10 ods. 5 písm. a) odporúčame, rovnako ako je uvedené v písmene c), za slovo „zakladateľskej“ vložiť slovo „pôsobnosti“. 5. V § 10 ods. 10 odporúčame za slovo „poskytovateľa“ vložiť slovo „údajov“ vzhľadom na zavedenú legislatívnu skratku „poskytovateľ údajov“ v § 10 ods. 3 návrhu zákona. 6. V § 11 ods. 1 úvodnej vete na konci odporúčame vypustiť dvojbodku. 7. V § 12 odporúčame za slovo „zakladateľskej“ vložiť slovo „pôsobnosti“ z dôvodu precizovania textu. 8. V poznámke pod čiarou k odkazu 37 odporúčame na konci vety pripojiť slová „v znení neskorších predpisov“. 9. V poznámke pod čiarkou k odkazu 38 odporúčame v súlade s prílohou č. 1 k Legislatívnym pravidlám vlády Slovenskej republiky publikačný zdroj upraviť takto: „(Ú. V. EÚ L, 2024/1364, 17.5.2024).“. 10. V poznámke pod čiarkou k odkazu 40 odporúčame za slovo „Zákon“ vložiť slová „Národnej rady Slovenskej republiky“ z dôvodu uvedenia úplného názvu právneho predpisu. 11. V poznámke pod čiarou k odkazu 47 odporúčame slová „o autorizovaných architektoch a autorizovaných </w:t>
            </w:r>
            <w:r w:rsidRPr="00BC49FC">
              <w:rPr>
                <w:rFonts w:ascii="Times New Roman" w:hAnsi="Times New Roman" w:cs="Times New Roman"/>
              </w:rPr>
              <w:lastRenderedPageBreak/>
              <w:t xml:space="preserve">stavebných inžinieroch“ vypustiť. 12. V poznámke pod čiarou k odkazu 49, ak nejde o taxatívny výpočet, odporúčame v súlade s prílohou č. 1 k Legislatívnym pravidlám vlády Slovenskej republiky na začiatok citácie vložiť slovo  „Napríklad“ a   slová „zákon 246/2016 Z. z. o správcoch bytových domov“ nahradiť slovami „zákon č. 246/2015 Z. z. o správcoch bytových domov a o zmene a doplnení zákona Národnej rady Slovenskej republiky č. 182/1993 Z. z. o vlastníctve bytov a nebytových priestorov v znení neskorších predpisov.“. 13.V poznámke pod čiarou k odkazu 51 odporúčame za slovo „kvalifikácií“ vložiť slová „a o zmene a doplnení niektorých zákonov“ z dôvodu uvedenia úplného názvu právneho predpisu. 14. V § 17 ods. 5 písm. b) odporúčame slovo „odborná“ nahradiť slovom „odbornú“. 15.V poznámke pod čiarou k odkazu 53, ak nejde o taxatívny výpočet, odporúčame v súlade s prílohou č. 1 k Legislatívnym pravidlám vlády SR na začiatok citácie vložiť slovo „Napríklad“ a slovo „Zákon“ nahradiť slovom „zákon“. 16. V poznámke pod čiarou k odkazu 54 odporúčame na konci vety vložiť slová „v znení neskorších predpisov“. 17. V § 25 ods.1 písm. a) odporúčame slovo „odseku“ nahradiť slovom „ods.“. 18. V poznámke pod čiarou k odkazu 55 odporúčame na konci vety pripojiť slová „v znení neskorších predpisov.“. 19. V 26 ods. 5 písm. a) odporúčame za slovo „audit“ vložiť slovo „kvalitne“ z dôvodu zjednotenia požiadaviek na energetického audítora vykonávať energetický audit kvalitne, riadne, s náležitou odbornou starostlivosťou v texte návrhu zákona. 20. V § 26 ods. 5 odporúčame slovo „ustanovenom“ vypustiť z dôvodu nadbytočnosti. 21. V poznámke pod čiarou k odkazu 56, ak nejde o taxatívny výpočet, odporúčame v súlade s prílohou č. 1 k Legislatívnym pravidlám vlády Slovenskej republiky na začiatok citácie vložiť slovo „Napríklad“. 22. V § 29 ods. 1 písm. b) odporúčame za slovo „merateľným“ </w:t>
            </w:r>
            <w:r w:rsidRPr="00BC49FC">
              <w:rPr>
                <w:rFonts w:ascii="Times New Roman" w:hAnsi="Times New Roman" w:cs="Times New Roman"/>
              </w:rPr>
              <w:lastRenderedPageBreak/>
              <w:t xml:space="preserve">vložiť slová „úsporám energie“ a v písm. c) za slovo „finančnú“ vložiť slovo „výhodu“ z dôvodu precizovania textu. 23. V poznámke pod čiarou k odkazu 58 odporúčame na konci vety pripojiť slová „v znení zákona č. 256/2022 Z. z.“. 24. V poznámke pod čiarou k odkazu 59, ak nejde o taxatívny výpočet, odporúčame v súlade s prílohou č. 1 k Legislatívnym pravidlám vlády SR na začiatok citácie vložiť slovo „Napríklad“ a slovo „Zákon“ nahradiť slovom „zákon“. 25. V 30 ods. 3 písm. d) odporúčame za slovo „vykonávaných“ vložiť slovo „podporných“ z dôvodu spresnenia textu. 26. V § 31 ods. 4 písm. k) odporúčame za slovo „úspor“ vložiť slovo „energie“. 27. V poznámke pod čiarou k odkazu 61 odporúčame za slová „zákona č. 138/1991 Zb.“ vložiť slová  „o majetku obcí“ a za slová „zákona č. 446/2001 Z. z.“ vložiť slová „o majetku vyšších územných celkov“. 28. V § 34 ods. 3 písm. b) prvom bode odporúčame slovo „ustanoveniami“ vypustiť. 29. V § 35 ods. 3 odporúčame za slovo „budovy“ vložiť slovo „kvalitne“ z dôvodu zjednotenia požiadaviek na energetického manažéra pre verejnú správu vykonávať energetický manažment verejného subjektu alebo verejnej budovy kvalitne, riadne a s náležitou odbornou starostlivosťou v texte zákona.  30. V § 36 ods. 3 odporúčame za slovo „budovy“ vložiť slovo „kvalitne“ z dôvodu zjednotenia požiadaviek na energetického manažéra vykonávať energetický manažment kvalitne, riadne  a s náležitou odbornou starostlivosťou v texte návrhu zákona.  31. V poznámke pod čiarou  k odkazu 63 odporúčame na konci vety pripojiť slová „o vzdelávaní dospelých a o zmene a doplnení niektorých zákonov.“. 32. V poznámke pod čiarou k odkazu 64 odporúčame slová „o uznávaní dokladov o vzdelaní  a o uznávaní odborných kvalifikácií a o zmene a doplnení niektorých zákonov“ vypustiť. 33. V poznámke pod čiarou k odkazu 66 odporúčame za slová „zákona č. 251/2012 Z. z.“ vložiť </w:t>
            </w:r>
            <w:r w:rsidRPr="00BC49FC">
              <w:rPr>
                <w:rFonts w:ascii="Times New Roman" w:hAnsi="Times New Roman" w:cs="Times New Roman"/>
              </w:rPr>
              <w:lastRenderedPageBreak/>
              <w:t>slová „v znení zákona č. 256/2022 Z. z.“. 34. V § 42 ods. 1 písm. a) prvom bode odporúčame vnútorný odkaz na „§ 10 ods. 5“  nahradiť odkazom „§ 10 ods. 6“. 35. V poznámke pod čiarou  k odkazu 68 odporúčame na konci vety pripojiť slová „v znení neskorších predpisov“.</w:t>
            </w:r>
          </w:p>
        </w:tc>
        <w:tc>
          <w:tcPr>
            <w:tcW w:w="2264" w:type="dxa"/>
            <w:hideMark/>
          </w:tcPr>
          <w:p w14:paraId="4BDED23B" w14:textId="2B15567A" w:rsidR="00FE0F3E" w:rsidRPr="00BC49FC" w:rsidRDefault="00FE0F3E">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3E33FC19"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4A12BB39" w14:textId="10CC7869" w:rsidTr="00725D29">
        <w:trPr>
          <w:trHeight w:val="960"/>
        </w:trPr>
        <w:tc>
          <w:tcPr>
            <w:tcW w:w="975" w:type="dxa"/>
            <w:hideMark/>
          </w:tcPr>
          <w:p w14:paraId="216811A2"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lastRenderedPageBreak/>
              <w:t>268.</w:t>
            </w:r>
          </w:p>
        </w:tc>
        <w:tc>
          <w:tcPr>
            <w:tcW w:w="2656" w:type="dxa"/>
            <w:hideMark/>
          </w:tcPr>
          <w:p w14:paraId="30794633"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MOSR </w:t>
            </w:r>
            <w:r w:rsidRPr="00BC49FC">
              <w:rPr>
                <w:rFonts w:ascii="Times New Roman" w:hAnsi="Times New Roman" w:cs="Times New Roman"/>
              </w:rPr>
              <w:t>Ministerstvo obrany Slovenskej republiky</w:t>
            </w:r>
          </w:p>
        </w:tc>
        <w:tc>
          <w:tcPr>
            <w:tcW w:w="612" w:type="dxa"/>
            <w:hideMark/>
          </w:tcPr>
          <w:p w14:paraId="3786DDE8"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4BFBDCC8"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 - § 40 až 47 </w:t>
            </w:r>
            <w:r w:rsidRPr="00BC49FC">
              <w:rPr>
                <w:rFonts w:ascii="Times New Roman" w:hAnsi="Times New Roman" w:cs="Times New Roman"/>
              </w:rPr>
              <w:t>1. V § 42 ods. a písm. a) druhom bode odporúčame spresniť vnútorný odkaz „10 ods. 5“ z dôvodu, že povinnosť zasielať súbor údajov do monitorovacieho systému do 30. júna príslušného roka je upravená v § 10 ods. 6. 2. V § 42 ods. 2 odporúčame za slovo „alebo“ vložiť slovo „ods.“. 3. V § 42 ods. 4 písm. a) odporúčame za slovo „odseku 3“ a v písm. b) za slovo „bodu“ vložiť slovo „vo výške“.</w:t>
            </w:r>
          </w:p>
        </w:tc>
        <w:tc>
          <w:tcPr>
            <w:tcW w:w="2264" w:type="dxa"/>
            <w:hideMark/>
          </w:tcPr>
          <w:p w14:paraId="1851B3C9" w14:textId="11F80A48"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116AD24E"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651188B4" w14:textId="63AC76EC" w:rsidTr="00725D29">
        <w:trPr>
          <w:trHeight w:val="960"/>
        </w:trPr>
        <w:tc>
          <w:tcPr>
            <w:tcW w:w="975" w:type="dxa"/>
            <w:hideMark/>
          </w:tcPr>
          <w:p w14:paraId="4BA55F16" w14:textId="77777777" w:rsidR="00FE0F3E" w:rsidRPr="00BC49FC" w:rsidRDefault="00FE0F3E" w:rsidP="00DA23C9">
            <w:pPr>
              <w:rPr>
                <w:rFonts w:ascii="Times New Roman" w:hAnsi="Times New Roman" w:cs="Times New Roman"/>
                <w:b/>
                <w:bCs/>
              </w:rPr>
            </w:pPr>
            <w:r w:rsidRPr="00BC49FC">
              <w:rPr>
                <w:rFonts w:ascii="Times New Roman" w:hAnsi="Times New Roman" w:cs="Times New Roman"/>
                <w:b/>
                <w:bCs/>
              </w:rPr>
              <w:lastRenderedPageBreak/>
              <w:t>269.</w:t>
            </w:r>
          </w:p>
        </w:tc>
        <w:tc>
          <w:tcPr>
            <w:tcW w:w="2656" w:type="dxa"/>
            <w:hideMark/>
          </w:tcPr>
          <w:p w14:paraId="223D9F9E" w14:textId="77777777" w:rsidR="00FE0F3E" w:rsidRPr="00BC49FC" w:rsidRDefault="00FE0F3E" w:rsidP="00DA23C9">
            <w:pPr>
              <w:rPr>
                <w:rFonts w:ascii="Times New Roman" w:hAnsi="Times New Roman" w:cs="Times New Roman"/>
                <w:b/>
                <w:bCs/>
              </w:rPr>
            </w:pPr>
            <w:r w:rsidRPr="00BC49FC">
              <w:rPr>
                <w:rFonts w:ascii="Times New Roman" w:hAnsi="Times New Roman" w:cs="Times New Roman"/>
                <w:b/>
                <w:bCs/>
              </w:rPr>
              <w:t xml:space="preserve">MOSR </w:t>
            </w:r>
            <w:r w:rsidRPr="00BC49FC">
              <w:rPr>
                <w:rFonts w:ascii="Times New Roman" w:hAnsi="Times New Roman" w:cs="Times New Roman"/>
              </w:rPr>
              <w:t>Ministerstvo obrany Slovenskej republiky</w:t>
            </w:r>
          </w:p>
        </w:tc>
        <w:tc>
          <w:tcPr>
            <w:tcW w:w="612" w:type="dxa"/>
            <w:hideMark/>
          </w:tcPr>
          <w:p w14:paraId="312134F6" w14:textId="77777777" w:rsidR="00FE0F3E" w:rsidRPr="00BC49FC" w:rsidRDefault="00FE0F3E" w:rsidP="00DA23C9">
            <w:pPr>
              <w:rPr>
                <w:rFonts w:ascii="Times New Roman" w:hAnsi="Times New Roman" w:cs="Times New Roman"/>
              </w:rPr>
            </w:pPr>
            <w:r w:rsidRPr="00BC49FC">
              <w:rPr>
                <w:rFonts w:ascii="Times New Roman" w:hAnsi="Times New Roman" w:cs="Times New Roman"/>
              </w:rPr>
              <w:t>O</w:t>
            </w:r>
          </w:p>
        </w:tc>
        <w:tc>
          <w:tcPr>
            <w:tcW w:w="5615" w:type="dxa"/>
            <w:hideMark/>
          </w:tcPr>
          <w:p w14:paraId="61F97C8F" w14:textId="77777777" w:rsidR="00FE0F3E" w:rsidRPr="00BC49FC" w:rsidRDefault="00FE0F3E" w:rsidP="00DA23C9">
            <w:pPr>
              <w:rPr>
                <w:rFonts w:ascii="Times New Roman" w:hAnsi="Times New Roman" w:cs="Times New Roman"/>
                <w:b/>
                <w:bCs/>
              </w:rPr>
            </w:pPr>
            <w:r w:rsidRPr="00BC49FC">
              <w:rPr>
                <w:rFonts w:ascii="Times New Roman" w:hAnsi="Times New Roman" w:cs="Times New Roman"/>
                <w:b/>
                <w:bCs/>
              </w:rPr>
              <w:t xml:space="preserve">čl. III </w:t>
            </w:r>
            <w:r w:rsidRPr="00BC49FC">
              <w:rPr>
                <w:rFonts w:ascii="Times New Roman" w:hAnsi="Times New Roman" w:cs="Times New Roman"/>
              </w:rPr>
              <w:t>1. V bode 25 § 19a ods. 6 odporúčame slová „koncových odberateľov“ vypustiť z dôvodu duplicity. 2. V bode 27 odporúčame slová „sa v odseku 2“ nahradiť slovami „ods. 2“.</w:t>
            </w:r>
          </w:p>
        </w:tc>
        <w:tc>
          <w:tcPr>
            <w:tcW w:w="2264" w:type="dxa"/>
            <w:vAlign w:val="center"/>
            <w:hideMark/>
          </w:tcPr>
          <w:p w14:paraId="3B2C66D2" w14:textId="36211006" w:rsidR="00FE0F3E" w:rsidRPr="00BC49FC" w:rsidRDefault="00FE0F3E" w:rsidP="00DA23C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1715D35" w14:textId="53433C4A" w:rsidR="00FE0F3E" w:rsidRPr="00BC49FC" w:rsidRDefault="00FE0F3E" w:rsidP="00DA23C9">
            <w:pPr>
              <w:rPr>
                <w:rFonts w:ascii="Times New Roman" w:hAnsi="Times New Roman" w:cs="Times New Roman"/>
                <w:b/>
                <w:bCs/>
              </w:rPr>
            </w:pPr>
          </w:p>
        </w:tc>
      </w:tr>
      <w:tr w:rsidR="00FE0F3E" w:rsidRPr="006278D2" w14:paraId="6A66E66E" w14:textId="50B6804D" w:rsidTr="00725D29">
        <w:trPr>
          <w:trHeight w:val="960"/>
        </w:trPr>
        <w:tc>
          <w:tcPr>
            <w:tcW w:w="975" w:type="dxa"/>
            <w:hideMark/>
          </w:tcPr>
          <w:p w14:paraId="6CB6420C"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270.</w:t>
            </w:r>
          </w:p>
        </w:tc>
        <w:tc>
          <w:tcPr>
            <w:tcW w:w="2656" w:type="dxa"/>
            <w:hideMark/>
          </w:tcPr>
          <w:p w14:paraId="2710AC57"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MOSR </w:t>
            </w:r>
            <w:r w:rsidRPr="00BC49FC">
              <w:rPr>
                <w:rFonts w:ascii="Times New Roman" w:hAnsi="Times New Roman" w:cs="Times New Roman"/>
              </w:rPr>
              <w:t>Ministerstvo obrany Slovenskej republiky</w:t>
            </w:r>
          </w:p>
        </w:tc>
        <w:tc>
          <w:tcPr>
            <w:tcW w:w="612" w:type="dxa"/>
            <w:hideMark/>
          </w:tcPr>
          <w:p w14:paraId="45B04153"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15C6DE14"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čl. IV - úvodnej vete </w:t>
            </w:r>
            <w:r w:rsidRPr="00BC49FC">
              <w:rPr>
                <w:rFonts w:ascii="Times New Roman" w:hAnsi="Times New Roman" w:cs="Times New Roman"/>
              </w:rPr>
              <w:t>V úvodnej vete čl. IV odporúčame za slová „zákona č. 189/2012 Z. z.,“ vložiť slová „zákona č. 250/2012 Z. z., zákona č. 251/2012 Z. z.,“ a slová „Z. z.“ pred slovami „sa mení“ vypustiť.</w:t>
            </w:r>
          </w:p>
        </w:tc>
        <w:tc>
          <w:tcPr>
            <w:tcW w:w="2264" w:type="dxa"/>
            <w:hideMark/>
          </w:tcPr>
          <w:p w14:paraId="09425F57" w14:textId="556CC2DD" w:rsidR="00FE0F3E" w:rsidRPr="00BC49FC" w:rsidRDefault="00FE0F3E">
            <w:pPr>
              <w:rPr>
                <w:rFonts w:ascii="Times New Roman" w:hAnsi="Times New Roman" w:cs="Times New Roman"/>
                <w:b/>
                <w:bCs/>
              </w:rPr>
            </w:pPr>
            <w:r>
              <w:rPr>
                <w:rFonts w:ascii="Times New Roman" w:hAnsi="Times New Roman" w:cs="Times New Roman"/>
                <w:b/>
                <w:bCs/>
              </w:rPr>
              <w:t>A</w:t>
            </w:r>
          </w:p>
        </w:tc>
        <w:tc>
          <w:tcPr>
            <w:tcW w:w="2753" w:type="dxa"/>
            <w:hideMark/>
          </w:tcPr>
          <w:p w14:paraId="52503750" w14:textId="487C8C46"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1F0563B1" w14:textId="59A66015" w:rsidTr="00725D29">
        <w:trPr>
          <w:trHeight w:val="960"/>
        </w:trPr>
        <w:tc>
          <w:tcPr>
            <w:tcW w:w="975" w:type="dxa"/>
            <w:hideMark/>
          </w:tcPr>
          <w:p w14:paraId="08A2F929" w14:textId="77777777" w:rsidR="00FE0F3E" w:rsidRPr="00BC49FC" w:rsidRDefault="00FE0F3E" w:rsidP="000F21B1">
            <w:pPr>
              <w:rPr>
                <w:rFonts w:ascii="Times New Roman" w:hAnsi="Times New Roman" w:cs="Times New Roman"/>
                <w:b/>
                <w:bCs/>
              </w:rPr>
            </w:pPr>
            <w:r w:rsidRPr="00BC49FC">
              <w:rPr>
                <w:rFonts w:ascii="Times New Roman" w:hAnsi="Times New Roman" w:cs="Times New Roman"/>
                <w:b/>
                <w:bCs/>
              </w:rPr>
              <w:t>271.</w:t>
            </w:r>
          </w:p>
        </w:tc>
        <w:tc>
          <w:tcPr>
            <w:tcW w:w="2656" w:type="dxa"/>
            <w:hideMark/>
          </w:tcPr>
          <w:p w14:paraId="6F3D3C49" w14:textId="77777777" w:rsidR="00FE0F3E" w:rsidRPr="00BC49FC" w:rsidRDefault="00FE0F3E" w:rsidP="000F21B1">
            <w:pPr>
              <w:rPr>
                <w:rFonts w:ascii="Times New Roman" w:hAnsi="Times New Roman" w:cs="Times New Roman"/>
                <w:b/>
                <w:bCs/>
              </w:rPr>
            </w:pPr>
            <w:r w:rsidRPr="00BC49FC">
              <w:rPr>
                <w:rFonts w:ascii="Times New Roman" w:hAnsi="Times New Roman" w:cs="Times New Roman"/>
                <w:b/>
                <w:bCs/>
              </w:rPr>
              <w:t xml:space="preserve">MOSR </w:t>
            </w:r>
            <w:r w:rsidRPr="00BC49FC">
              <w:rPr>
                <w:rFonts w:ascii="Times New Roman" w:hAnsi="Times New Roman" w:cs="Times New Roman"/>
              </w:rPr>
              <w:t>Ministerstvo obrany Slovenskej republiky</w:t>
            </w:r>
          </w:p>
        </w:tc>
        <w:tc>
          <w:tcPr>
            <w:tcW w:w="612" w:type="dxa"/>
            <w:hideMark/>
          </w:tcPr>
          <w:p w14:paraId="1B3EA4AC" w14:textId="77777777" w:rsidR="00FE0F3E" w:rsidRPr="00BC49FC" w:rsidRDefault="00FE0F3E" w:rsidP="000F21B1">
            <w:pPr>
              <w:rPr>
                <w:rFonts w:ascii="Times New Roman" w:hAnsi="Times New Roman" w:cs="Times New Roman"/>
              </w:rPr>
            </w:pPr>
            <w:r w:rsidRPr="00BC49FC">
              <w:rPr>
                <w:rFonts w:ascii="Times New Roman" w:hAnsi="Times New Roman" w:cs="Times New Roman"/>
              </w:rPr>
              <w:t>O</w:t>
            </w:r>
          </w:p>
        </w:tc>
        <w:tc>
          <w:tcPr>
            <w:tcW w:w="5615" w:type="dxa"/>
            <w:hideMark/>
          </w:tcPr>
          <w:p w14:paraId="4D40208B" w14:textId="77777777" w:rsidR="00FE0F3E" w:rsidRPr="00BC49FC" w:rsidRDefault="00FE0F3E" w:rsidP="000F21B1">
            <w:pPr>
              <w:rPr>
                <w:rFonts w:ascii="Times New Roman" w:hAnsi="Times New Roman" w:cs="Times New Roman"/>
                <w:b/>
                <w:bCs/>
              </w:rPr>
            </w:pPr>
            <w:r w:rsidRPr="00BC49FC">
              <w:rPr>
                <w:rFonts w:ascii="Times New Roman" w:hAnsi="Times New Roman" w:cs="Times New Roman"/>
                <w:b/>
                <w:bCs/>
              </w:rPr>
              <w:t xml:space="preserve">čl. VII </w:t>
            </w:r>
            <w:r w:rsidRPr="00BC49FC">
              <w:rPr>
                <w:rFonts w:ascii="Times New Roman" w:hAnsi="Times New Roman" w:cs="Times New Roman"/>
              </w:rPr>
              <w:t>1. V úvodnej vete odporúčame za slová „zákona č. 385/2025 Z. z.“ vložiť čiarku a slová „zákona č. 88/2026 Z. z., zákona č. 100/2026 Z. z.“. 2. V bode 3 poznámke pod čiarou k odkazu 53f odporúčame slová „§ 31 a § 33“ nahradiť slovami „§ 31 a 33“.</w:t>
            </w:r>
          </w:p>
        </w:tc>
        <w:tc>
          <w:tcPr>
            <w:tcW w:w="2264" w:type="dxa"/>
            <w:vAlign w:val="center"/>
            <w:hideMark/>
          </w:tcPr>
          <w:p w14:paraId="302D47F8" w14:textId="6D1E3A29" w:rsidR="00FE0F3E" w:rsidRPr="00BC49FC" w:rsidRDefault="00FE0F3E" w:rsidP="000F21B1">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42EB5E8" w14:textId="3BAA23D7" w:rsidR="00FE0F3E" w:rsidRPr="00BC49FC" w:rsidRDefault="00FE0F3E" w:rsidP="000F21B1">
            <w:pPr>
              <w:rPr>
                <w:rFonts w:ascii="Times New Roman" w:hAnsi="Times New Roman" w:cs="Times New Roman"/>
                <w:b/>
                <w:bCs/>
              </w:rPr>
            </w:pPr>
          </w:p>
        </w:tc>
      </w:tr>
      <w:tr w:rsidR="00FE0F3E" w:rsidRPr="006278D2" w14:paraId="3568BCB1" w14:textId="1DF1C7EF" w:rsidTr="00725D29">
        <w:trPr>
          <w:trHeight w:val="3480"/>
        </w:trPr>
        <w:tc>
          <w:tcPr>
            <w:tcW w:w="975" w:type="dxa"/>
            <w:hideMark/>
          </w:tcPr>
          <w:p w14:paraId="2CCE520C"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272.</w:t>
            </w:r>
          </w:p>
        </w:tc>
        <w:tc>
          <w:tcPr>
            <w:tcW w:w="2656" w:type="dxa"/>
            <w:hideMark/>
          </w:tcPr>
          <w:p w14:paraId="022E5A8C"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MPSVRSR </w:t>
            </w:r>
            <w:r w:rsidRPr="00BC49FC">
              <w:rPr>
                <w:rFonts w:ascii="Times New Roman" w:hAnsi="Times New Roman" w:cs="Times New Roman"/>
              </w:rPr>
              <w:t>Ministerstvo práce, sociálnych vecí a rodiny Slovenskej republiky</w:t>
            </w:r>
          </w:p>
        </w:tc>
        <w:tc>
          <w:tcPr>
            <w:tcW w:w="612" w:type="dxa"/>
            <w:hideMark/>
          </w:tcPr>
          <w:p w14:paraId="47546B93"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0CAFC185"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Všeobecná pripomienka </w:t>
            </w:r>
            <w:r w:rsidRPr="00BC49FC">
              <w:rPr>
                <w:rFonts w:ascii="Times New Roman" w:hAnsi="Times New Roman" w:cs="Times New Roman"/>
              </w:rPr>
              <w:t xml:space="preserve">Odporúčame v celom texte predloženého návrhu zákona správne legislatívno-technicky upraviť poznámky pod čiarou, napr.:  Odporúčame v poznámke pod čiarou k odkazu 4 na konci pripojiť tieto slová: „v znení zákona  č. 256/2022 Z. z.“. Odporúčame v poznámke pod čiarou k odkazu 8 na konci pripojiť tieto slová: „v znení zákona č. 300/2012 Z. z.“. Odporúčame v poznámke pod čiarou k odkazu 12 na konci pripojiť tieto slová: „v znení zákona č. 259/2025 Z. z.“. Odporúčame v poznámke pod čiarou k odkazu 14 slová „neskorších predpisov“ nahradiť slovami „zákona č. 128/2024 Z. z.“. Odporúčame v poznámke pod čiarou k odkazu 18 na konci pripojiť tieto slová: „v znení zákona č. 256/2025 Z. z.“. Odporúčame v poznámke pod čiarou k odkazu 19 slová „neskorších predpisov“ nahradiť slovami „zákona č. 100/2014 Z. z.“. Odporúčame v poznámke pod čiarou k odkazu 20 slová „neskorších predpisov“ nahradiť slovami „zákona č. 321/2014 Z. z.“. Odporúčame v poznámke pod čiarou k odkazu 21 slová „neskorších predpisov“ nahradiť slovami „zákona č. 583/2004 Z. z.“. Odporúčame v poznámke pod čiarou k odkazu 25 na konci pripojiť tieto slová: „v znení zákona č. 294/2025 Z. z.“. Odporúčame v poznámke </w:t>
            </w:r>
            <w:r w:rsidRPr="00BC49FC">
              <w:rPr>
                <w:rFonts w:ascii="Times New Roman" w:hAnsi="Times New Roman" w:cs="Times New Roman"/>
              </w:rPr>
              <w:lastRenderedPageBreak/>
              <w:t>pod čiarou k odkazu 31 slová „neskorších predpisov, zákon  č. 317/2014 Z. z. o centrálnej evidencii majetku štátu“ nahradiť slovami „zákona  č. 212/2018 Z. z.“. Odporúčame v poznámke pod čiarou k odkazu 37 na konci pripojiť tieto slová: „v znení neskorších predpisov“. Odporúčame v poznámke pod čiarou k odkazu 46 vypustiť slová „v znení neskorších predpisov“. Odporúčame v poznámke pod čiarou k odkazu 51 slová „neskorších predpisov“ nahradiť slovami „zákona č. 400/2024 Z. z.“. Odporúčame v poznámke pod čiarou k odkazu 55 na konci pripojiť tieto slová: „v znení zákona č. 259/2025 Z. z.“. Odporúčame v poznámke pod čiarou k odkazu 66 za slová „251/2012 Z. z.“ vložiť slová „v znení zákona č. 256/2022 Z. z.“. Odporúčame v poznámke pod čiarou k odkazu 68 na konci pripojiť tieto slová: „v znení neskorších predpisov“. Odporúčame v poznámke pod čiarou k odkazu 69 slová „neskorších predpisov“ nahradiť slovami „zákona č. 259/2025 Z. z.“.  Odôvodnenie: Legislatívno-technická pripomienka týkajúca sa precizovania citácií v poznámkach pod čiarou.</w:t>
            </w:r>
          </w:p>
        </w:tc>
        <w:tc>
          <w:tcPr>
            <w:tcW w:w="2264" w:type="dxa"/>
            <w:hideMark/>
          </w:tcPr>
          <w:p w14:paraId="4D9FD100" w14:textId="1E3C81E6" w:rsidR="00FE0F3E" w:rsidRPr="00BC49FC" w:rsidRDefault="00FE0F3E">
            <w:pPr>
              <w:rPr>
                <w:rFonts w:ascii="Times New Roman" w:hAnsi="Times New Roman" w:cs="Times New Roman"/>
                <w:b/>
                <w:bCs/>
              </w:rPr>
            </w:pPr>
            <w:r>
              <w:rPr>
                <w:rFonts w:ascii="Times New Roman" w:hAnsi="Times New Roman" w:cs="Times New Roman"/>
                <w:b/>
                <w:bCs/>
              </w:rPr>
              <w:lastRenderedPageBreak/>
              <w:t>ČA</w:t>
            </w:r>
          </w:p>
        </w:tc>
        <w:tc>
          <w:tcPr>
            <w:tcW w:w="2753" w:type="dxa"/>
            <w:hideMark/>
          </w:tcPr>
          <w:p w14:paraId="0721C3FF"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w:t>
            </w:r>
          </w:p>
        </w:tc>
      </w:tr>
      <w:tr w:rsidR="00FE0F3E" w:rsidRPr="006278D2" w14:paraId="76031D52" w14:textId="29E513E6" w:rsidTr="00725D29">
        <w:trPr>
          <w:trHeight w:val="1275"/>
        </w:trPr>
        <w:tc>
          <w:tcPr>
            <w:tcW w:w="975" w:type="dxa"/>
            <w:hideMark/>
          </w:tcPr>
          <w:p w14:paraId="0E1BAED7"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273.</w:t>
            </w:r>
          </w:p>
        </w:tc>
        <w:tc>
          <w:tcPr>
            <w:tcW w:w="2656" w:type="dxa"/>
            <w:hideMark/>
          </w:tcPr>
          <w:p w14:paraId="570F2E18"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 xml:space="preserve">MPSVRSR </w:t>
            </w:r>
            <w:r w:rsidRPr="00BC49FC">
              <w:rPr>
                <w:rFonts w:ascii="Times New Roman" w:hAnsi="Times New Roman" w:cs="Times New Roman"/>
              </w:rPr>
              <w:t>Ministerstvo práce, sociálnych vecí a rodiny Slovenskej republiky</w:t>
            </w:r>
          </w:p>
        </w:tc>
        <w:tc>
          <w:tcPr>
            <w:tcW w:w="612" w:type="dxa"/>
            <w:hideMark/>
          </w:tcPr>
          <w:p w14:paraId="7C682D33" w14:textId="77777777" w:rsidR="00FE0F3E" w:rsidRPr="00BC49FC" w:rsidRDefault="00FE0F3E" w:rsidP="0033519E">
            <w:pPr>
              <w:rPr>
                <w:rFonts w:ascii="Times New Roman" w:hAnsi="Times New Roman" w:cs="Times New Roman"/>
              </w:rPr>
            </w:pPr>
            <w:r w:rsidRPr="00BC49FC">
              <w:rPr>
                <w:rFonts w:ascii="Times New Roman" w:hAnsi="Times New Roman" w:cs="Times New Roman"/>
              </w:rPr>
              <w:t>O</w:t>
            </w:r>
          </w:p>
        </w:tc>
        <w:tc>
          <w:tcPr>
            <w:tcW w:w="5615" w:type="dxa"/>
            <w:hideMark/>
          </w:tcPr>
          <w:p w14:paraId="439AFF9A"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 xml:space="preserve">K Čl. I § 14 ods. 3 písm. b) </w:t>
            </w:r>
            <w:r w:rsidRPr="00BC49FC">
              <w:rPr>
                <w:rFonts w:ascii="Times New Roman" w:hAnsi="Times New Roman" w:cs="Times New Roman"/>
              </w:rPr>
              <w:t>Odporúčame v Čl. I § 14 ods. 3 písm. b) bližšie uviesť, v akých intervaloch má byť analýza potrieb trhu práce v energetickej efektívnosti Alianciou sektorových rád vypracovaná, čo má obsahovať a komu má byť po vypracovaní predložená.  Odôvodnenie: Potreba precizovať navrhované ustanovenie doplnením časového rámca, obsahu a procesu predkladania analýzy potrieb trhu práce v energetickej efektívnosti.</w:t>
            </w:r>
          </w:p>
        </w:tc>
        <w:tc>
          <w:tcPr>
            <w:tcW w:w="2264" w:type="dxa"/>
            <w:vAlign w:val="center"/>
            <w:hideMark/>
          </w:tcPr>
          <w:p w14:paraId="2C4C9D60" w14:textId="2B449AD1" w:rsidR="00FE0F3E" w:rsidRPr="00BC49FC" w:rsidRDefault="00FE0F3E" w:rsidP="0033519E">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123E2AF8" w14:textId="092A47CA" w:rsidR="00FE0F3E" w:rsidRPr="00BC49FC" w:rsidRDefault="00FE0F3E" w:rsidP="0033519E">
            <w:pPr>
              <w:rPr>
                <w:rFonts w:ascii="Times New Roman" w:hAnsi="Times New Roman" w:cs="Times New Roman"/>
                <w:b/>
                <w:bCs/>
              </w:rPr>
            </w:pPr>
            <w:r w:rsidRPr="00BC49FC">
              <w:rPr>
                <w:rFonts w:ascii="Times New Roman" w:hAnsi="Times New Roman" w:cs="Times New Roman"/>
                <w:color w:val="000000"/>
              </w:rPr>
              <w:t> </w:t>
            </w:r>
          </w:p>
        </w:tc>
      </w:tr>
      <w:tr w:rsidR="00FE0F3E" w:rsidRPr="006278D2" w14:paraId="64BA660E" w14:textId="11CFC18A" w:rsidTr="00725D29">
        <w:trPr>
          <w:trHeight w:val="1590"/>
        </w:trPr>
        <w:tc>
          <w:tcPr>
            <w:tcW w:w="975" w:type="dxa"/>
            <w:hideMark/>
          </w:tcPr>
          <w:p w14:paraId="7088B997"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274.</w:t>
            </w:r>
          </w:p>
        </w:tc>
        <w:tc>
          <w:tcPr>
            <w:tcW w:w="2656" w:type="dxa"/>
            <w:hideMark/>
          </w:tcPr>
          <w:p w14:paraId="4844B7C9"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 xml:space="preserve">MPSVRSR </w:t>
            </w:r>
            <w:r w:rsidRPr="00BC49FC">
              <w:rPr>
                <w:rFonts w:ascii="Times New Roman" w:hAnsi="Times New Roman" w:cs="Times New Roman"/>
              </w:rPr>
              <w:t>Ministerstvo práce, sociálnych vecí a rodiny Slovenskej republiky</w:t>
            </w:r>
          </w:p>
        </w:tc>
        <w:tc>
          <w:tcPr>
            <w:tcW w:w="612" w:type="dxa"/>
            <w:hideMark/>
          </w:tcPr>
          <w:p w14:paraId="0F4B8372" w14:textId="77777777" w:rsidR="00FE0F3E" w:rsidRPr="00BC49FC" w:rsidRDefault="00FE0F3E" w:rsidP="0033519E">
            <w:pPr>
              <w:rPr>
                <w:rFonts w:ascii="Times New Roman" w:hAnsi="Times New Roman" w:cs="Times New Roman"/>
              </w:rPr>
            </w:pPr>
            <w:r w:rsidRPr="00BC49FC">
              <w:rPr>
                <w:rFonts w:ascii="Times New Roman" w:hAnsi="Times New Roman" w:cs="Times New Roman"/>
              </w:rPr>
              <w:t>O</w:t>
            </w:r>
          </w:p>
        </w:tc>
        <w:tc>
          <w:tcPr>
            <w:tcW w:w="5615" w:type="dxa"/>
            <w:hideMark/>
          </w:tcPr>
          <w:p w14:paraId="5EFE75B1"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 xml:space="preserve">K Čl. I § 17 až 19 </w:t>
            </w:r>
            <w:r w:rsidRPr="00BC49FC">
              <w:rPr>
                <w:rFonts w:ascii="Times New Roman" w:hAnsi="Times New Roman" w:cs="Times New Roman"/>
              </w:rPr>
              <w:t xml:space="preserve">Odporúčame v Čl. I § 17 a následne v § 18 a 19 bližšie uviesť, aký je vzťah medzi energetickým manažérom podľa § 18 ods. 1 písm. d) a energetickým manažérom vo verejnej správe.  Odôvodnenie: Z predloženého návrhu zákona sa javí, že podľa § 18 ods. 1 písm. d) možno činnosť </w:t>
            </w:r>
            <w:r w:rsidRPr="00BC49FC">
              <w:rPr>
                <w:rFonts w:ascii="Times New Roman" w:hAnsi="Times New Roman" w:cs="Times New Roman"/>
              </w:rPr>
              <w:lastRenderedPageBreak/>
              <w:t>energetického manažéra vykonávať ako zamestnanec podľa osobitného predpisu, ktorým by mal byť zákon č. 552/2003 Z. z. o výkone práce vo verejnom záujme v znení neskorších predpisov a zákon č. 55/2017 Z. z. o štátnej službe v znení neskorších predpisov. Podľa § 19 ods. 1 energetickým manažérom vo verejnej správe je energetický manažér, ktorý vykonáva činnosť pre subjekt verejnej správy. Vzhľadom na to, že verejná správa zahŕňa aj štátnu správu, odporúčame predkladateľovi prehodnotiť, či energetický manažér vo verejnej správe nespadá pod § 18 ods. 1 písm. d) a naopak.</w:t>
            </w:r>
          </w:p>
        </w:tc>
        <w:tc>
          <w:tcPr>
            <w:tcW w:w="2264" w:type="dxa"/>
            <w:vAlign w:val="center"/>
            <w:hideMark/>
          </w:tcPr>
          <w:p w14:paraId="62F5F9DD" w14:textId="3CEBCF71" w:rsidR="00FE0F3E" w:rsidRPr="00BC49FC" w:rsidRDefault="00FE0F3E" w:rsidP="0033519E">
            <w:pPr>
              <w:rPr>
                <w:rFonts w:ascii="Times New Roman" w:hAnsi="Times New Roman" w:cs="Times New Roman"/>
                <w:b/>
                <w:bCs/>
              </w:rPr>
            </w:pPr>
            <w:r w:rsidRPr="00BC49FC">
              <w:rPr>
                <w:rFonts w:ascii="Times New Roman" w:hAnsi="Times New Roman" w:cs="Times New Roman"/>
                <w:b/>
                <w:bCs/>
              </w:rPr>
              <w:lastRenderedPageBreak/>
              <w:t>A</w:t>
            </w:r>
          </w:p>
        </w:tc>
        <w:tc>
          <w:tcPr>
            <w:tcW w:w="2753" w:type="dxa"/>
            <w:vAlign w:val="center"/>
            <w:hideMark/>
          </w:tcPr>
          <w:p w14:paraId="117F8913" w14:textId="506384DD" w:rsidR="00FE0F3E" w:rsidRPr="00BC49FC" w:rsidRDefault="00FE0F3E" w:rsidP="0033519E">
            <w:pPr>
              <w:rPr>
                <w:rFonts w:ascii="Times New Roman" w:hAnsi="Times New Roman" w:cs="Times New Roman"/>
                <w:b/>
                <w:bCs/>
              </w:rPr>
            </w:pPr>
            <w:r>
              <w:rPr>
                <w:rFonts w:ascii="Times New Roman" w:hAnsi="Times New Roman" w:cs="Times New Roman"/>
                <w:color w:val="000000"/>
              </w:rPr>
              <w:t>Podrobnosti k energetickému manažérovi vo verejnej správe upravené v § 35.</w:t>
            </w:r>
          </w:p>
        </w:tc>
      </w:tr>
      <w:tr w:rsidR="00FE0F3E" w:rsidRPr="006278D2" w14:paraId="42C1F7F5" w14:textId="5692AA87" w:rsidTr="00725D29">
        <w:trPr>
          <w:trHeight w:val="1275"/>
        </w:trPr>
        <w:tc>
          <w:tcPr>
            <w:tcW w:w="975" w:type="dxa"/>
            <w:hideMark/>
          </w:tcPr>
          <w:p w14:paraId="5DEA2437"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275.</w:t>
            </w:r>
          </w:p>
        </w:tc>
        <w:tc>
          <w:tcPr>
            <w:tcW w:w="2656" w:type="dxa"/>
            <w:hideMark/>
          </w:tcPr>
          <w:p w14:paraId="7A7C38DB"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 xml:space="preserve">MPSVRSR </w:t>
            </w:r>
            <w:r w:rsidRPr="00BC49FC">
              <w:rPr>
                <w:rFonts w:ascii="Times New Roman" w:hAnsi="Times New Roman" w:cs="Times New Roman"/>
              </w:rPr>
              <w:t>Ministerstvo práce, sociálnych vecí a rodiny Slovenskej republiky</w:t>
            </w:r>
          </w:p>
        </w:tc>
        <w:tc>
          <w:tcPr>
            <w:tcW w:w="612" w:type="dxa"/>
            <w:hideMark/>
          </w:tcPr>
          <w:p w14:paraId="0A9E1276" w14:textId="77777777" w:rsidR="00FE0F3E" w:rsidRPr="00BC49FC" w:rsidRDefault="00FE0F3E" w:rsidP="0033519E">
            <w:pPr>
              <w:rPr>
                <w:rFonts w:ascii="Times New Roman" w:hAnsi="Times New Roman" w:cs="Times New Roman"/>
              </w:rPr>
            </w:pPr>
            <w:r w:rsidRPr="00BC49FC">
              <w:rPr>
                <w:rFonts w:ascii="Times New Roman" w:hAnsi="Times New Roman" w:cs="Times New Roman"/>
              </w:rPr>
              <w:t>O</w:t>
            </w:r>
          </w:p>
        </w:tc>
        <w:tc>
          <w:tcPr>
            <w:tcW w:w="5615" w:type="dxa"/>
            <w:hideMark/>
          </w:tcPr>
          <w:p w14:paraId="6D36F7BB" w14:textId="77777777" w:rsidR="00FE0F3E" w:rsidRPr="00BC49FC" w:rsidRDefault="00FE0F3E" w:rsidP="0033519E">
            <w:pPr>
              <w:rPr>
                <w:rFonts w:ascii="Times New Roman" w:hAnsi="Times New Roman" w:cs="Times New Roman"/>
                <w:b/>
                <w:bCs/>
              </w:rPr>
            </w:pPr>
            <w:r w:rsidRPr="00BC49FC">
              <w:rPr>
                <w:rFonts w:ascii="Times New Roman" w:hAnsi="Times New Roman" w:cs="Times New Roman"/>
                <w:b/>
                <w:bCs/>
              </w:rPr>
              <w:t xml:space="preserve">K Čl. I § 44 ods. 7 </w:t>
            </w:r>
            <w:r w:rsidRPr="00BC49FC">
              <w:rPr>
                <w:rFonts w:ascii="Times New Roman" w:hAnsi="Times New Roman" w:cs="Times New Roman"/>
              </w:rPr>
              <w:t>Odporúčame v Čl. I § 44 ods. 7 slová „ods. 4“ nahradiť slovami „ods. 3“.  Odôvodnenie: Legislatívno-technická pripomienka.</w:t>
            </w:r>
          </w:p>
        </w:tc>
        <w:tc>
          <w:tcPr>
            <w:tcW w:w="2264" w:type="dxa"/>
            <w:vAlign w:val="center"/>
            <w:hideMark/>
          </w:tcPr>
          <w:p w14:paraId="70CAA9FB" w14:textId="283ADC12" w:rsidR="00FE0F3E" w:rsidRPr="00BC49FC" w:rsidRDefault="00FE0F3E" w:rsidP="0033519E">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9E7F580" w14:textId="67F62EEA" w:rsidR="00FE0F3E" w:rsidRPr="00BC49FC" w:rsidRDefault="00FE0F3E" w:rsidP="0033519E">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49081475" w14:textId="43134B1F" w:rsidTr="00725D29">
        <w:trPr>
          <w:trHeight w:val="1275"/>
        </w:trPr>
        <w:tc>
          <w:tcPr>
            <w:tcW w:w="975" w:type="dxa"/>
            <w:hideMark/>
          </w:tcPr>
          <w:p w14:paraId="26523E48" w14:textId="77777777" w:rsidR="00FE0F3E" w:rsidRPr="00BC49FC" w:rsidRDefault="00FE0F3E" w:rsidP="00BD24B7">
            <w:pPr>
              <w:rPr>
                <w:rFonts w:ascii="Times New Roman" w:hAnsi="Times New Roman" w:cs="Times New Roman"/>
                <w:b/>
                <w:bCs/>
              </w:rPr>
            </w:pPr>
            <w:r w:rsidRPr="00BC49FC">
              <w:rPr>
                <w:rFonts w:ascii="Times New Roman" w:hAnsi="Times New Roman" w:cs="Times New Roman"/>
                <w:b/>
                <w:bCs/>
              </w:rPr>
              <w:t>276.</w:t>
            </w:r>
          </w:p>
        </w:tc>
        <w:tc>
          <w:tcPr>
            <w:tcW w:w="2656" w:type="dxa"/>
            <w:hideMark/>
          </w:tcPr>
          <w:p w14:paraId="3C2C268D" w14:textId="77777777" w:rsidR="00FE0F3E" w:rsidRPr="00BC49FC" w:rsidRDefault="00FE0F3E" w:rsidP="00BD24B7">
            <w:pPr>
              <w:rPr>
                <w:rFonts w:ascii="Times New Roman" w:hAnsi="Times New Roman" w:cs="Times New Roman"/>
                <w:b/>
                <w:bCs/>
              </w:rPr>
            </w:pPr>
            <w:r w:rsidRPr="00BC49FC">
              <w:rPr>
                <w:rFonts w:ascii="Times New Roman" w:hAnsi="Times New Roman" w:cs="Times New Roman"/>
                <w:b/>
                <w:bCs/>
              </w:rPr>
              <w:t xml:space="preserve">MPSVRSR </w:t>
            </w:r>
            <w:r w:rsidRPr="00BC49FC">
              <w:rPr>
                <w:rFonts w:ascii="Times New Roman" w:hAnsi="Times New Roman" w:cs="Times New Roman"/>
              </w:rPr>
              <w:t>Ministerstvo práce, sociálnych vecí a rodiny Slovenskej republiky</w:t>
            </w:r>
          </w:p>
        </w:tc>
        <w:tc>
          <w:tcPr>
            <w:tcW w:w="612" w:type="dxa"/>
            <w:hideMark/>
          </w:tcPr>
          <w:p w14:paraId="04CFB343" w14:textId="77777777" w:rsidR="00FE0F3E" w:rsidRPr="00BC49FC" w:rsidRDefault="00FE0F3E" w:rsidP="00BD24B7">
            <w:pPr>
              <w:rPr>
                <w:rFonts w:ascii="Times New Roman" w:hAnsi="Times New Roman" w:cs="Times New Roman"/>
              </w:rPr>
            </w:pPr>
            <w:r w:rsidRPr="00BC49FC">
              <w:rPr>
                <w:rFonts w:ascii="Times New Roman" w:hAnsi="Times New Roman" w:cs="Times New Roman"/>
              </w:rPr>
              <w:t>O</w:t>
            </w:r>
          </w:p>
        </w:tc>
        <w:tc>
          <w:tcPr>
            <w:tcW w:w="5615" w:type="dxa"/>
            <w:hideMark/>
          </w:tcPr>
          <w:p w14:paraId="2F1CC21F" w14:textId="77777777" w:rsidR="00FE0F3E" w:rsidRPr="00BC49FC" w:rsidRDefault="00FE0F3E" w:rsidP="00BD24B7">
            <w:pPr>
              <w:rPr>
                <w:rFonts w:ascii="Times New Roman" w:hAnsi="Times New Roman" w:cs="Times New Roman"/>
                <w:b/>
                <w:bCs/>
              </w:rPr>
            </w:pPr>
            <w:r w:rsidRPr="00BC49FC">
              <w:rPr>
                <w:rFonts w:ascii="Times New Roman" w:hAnsi="Times New Roman" w:cs="Times New Roman"/>
                <w:b/>
                <w:bCs/>
              </w:rPr>
              <w:t xml:space="preserve">K doložke vybraných vplyvov (k hodnoteniu sociálnych vplyvov) </w:t>
            </w:r>
            <w:r w:rsidRPr="00BC49FC">
              <w:rPr>
                <w:rFonts w:ascii="Times New Roman" w:hAnsi="Times New Roman" w:cs="Times New Roman"/>
              </w:rPr>
              <w:t>Ak návrh zákona podľa predkladateľa zakladá aj negatívne sociálne vplyvy, ako vyplýva  z bodu 9. doložky vybraných vplyvov, je potrebné, aby v analýze sociálnych vplyvov identifikoval a popísal opatrenie, ktoré by malo negatívny sociálny vplyv. Ak návrh zákona nezakladá negatívne sociálne vplyvy, je potrebné, aby v bode 9. doložky vybraných vplyvov označil iba pozitívne sociálne vplyvy.  Odôvodnenie: Potreba upraviť analýzu sociálnych vplyvov, keďže predkladateľ v bode 9. doložky vybraných vplyvov označil aj negatívne sociálne vplyvy. Analýza sociálnych vplyvov však neobsahuje žiadnu informáciu o negatívnom sociálnom vplyve.</w:t>
            </w:r>
          </w:p>
        </w:tc>
        <w:tc>
          <w:tcPr>
            <w:tcW w:w="2264" w:type="dxa"/>
            <w:vAlign w:val="center"/>
            <w:hideMark/>
          </w:tcPr>
          <w:p w14:paraId="7D4FDC40" w14:textId="092DCD25" w:rsidR="00FE0F3E" w:rsidRPr="00BC49FC" w:rsidRDefault="00FE0F3E" w:rsidP="00BD24B7">
            <w:pPr>
              <w:rPr>
                <w:rFonts w:ascii="Times New Roman" w:hAnsi="Times New Roman" w:cs="Times New Roman"/>
              </w:rPr>
            </w:pPr>
            <w:r w:rsidRPr="00BC49FC">
              <w:rPr>
                <w:rFonts w:ascii="Times New Roman" w:hAnsi="Times New Roman" w:cs="Times New Roman"/>
                <w:color w:val="000000"/>
              </w:rPr>
              <w:t>N</w:t>
            </w:r>
          </w:p>
        </w:tc>
        <w:tc>
          <w:tcPr>
            <w:tcW w:w="2753" w:type="dxa"/>
            <w:vAlign w:val="center"/>
            <w:hideMark/>
          </w:tcPr>
          <w:p w14:paraId="7BC17DE7" w14:textId="5E03A0E3" w:rsidR="00FE0F3E" w:rsidRPr="00BC49FC" w:rsidRDefault="00FE0F3E" w:rsidP="00BD24B7">
            <w:pPr>
              <w:rPr>
                <w:rFonts w:ascii="Times New Roman" w:hAnsi="Times New Roman" w:cs="Times New Roman"/>
              </w:rPr>
            </w:pPr>
            <w:r w:rsidRPr="00BC49FC">
              <w:rPr>
                <w:rFonts w:ascii="Times New Roman" w:hAnsi="Times New Roman" w:cs="Times New Roman"/>
                <w:color w:val="000000"/>
              </w:rPr>
              <w:t>Negatívne sociálne vplyvy nie je možné vyčísliť.</w:t>
            </w:r>
          </w:p>
        </w:tc>
      </w:tr>
      <w:tr w:rsidR="00FE0F3E" w:rsidRPr="006278D2" w14:paraId="0449305D" w14:textId="6268690A" w:rsidTr="00725D29">
        <w:trPr>
          <w:trHeight w:val="3480"/>
        </w:trPr>
        <w:tc>
          <w:tcPr>
            <w:tcW w:w="975" w:type="dxa"/>
            <w:hideMark/>
          </w:tcPr>
          <w:p w14:paraId="5605AAFD"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lastRenderedPageBreak/>
              <w:t>280.</w:t>
            </w:r>
          </w:p>
        </w:tc>
        <w:tc>
          <w:tcPr>
            <w:tcW w:w="2656" w:type="dxa"/>
            <w:hideMark/>
          </w:tcPr>
          <w:p w14:paraId="327D87A0"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14C8C531"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7541A7E3"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 xml:space="preserve">K Čl. I (§ 8 ods. 6)  V Čl. I § 8 ods. 6 navrhujeme doplniť písmeno d), ktoré znie:  „d) spolupracuje s Ministerstvom vnútra Slovenskej republiky (ďalej len „ministerstvo vnútra“) pri zlepšení energetickej efektívnosti administratívnych budov ústredných orgánov štátnej správy, ktorými sa rozumejú verejné budovy, ktoré sú ako majetok štátu v správe ministerstiev, ostatných ústredných orgánov štátnej správy a rozpočtových organizácií napojených na rozpočet štátu prostredníctvom ministerstiev a ostatných ústredných orgánov štátnej správy.“.  Odôvodnenie:  V zmysle Implementačného plánu Stratégie spravovania budov štátnej správy Ministerstvo vnútra Slovenskej republiky (ďalej len „ministerstvo vnútra“), ako ústredný koordinačný orgán pre správu administratívnych budov ústredných orgánov štátnej správy (ďalej len „ústredný koordinačný orgán“), bude mať na starosti úlohy v oblasti hodnotenia stavu administratívnych budov ústredných orgánov štátnej správy z hľadiska ich energetickej efektívnosti s cieľom navrhovať opatrenia na jej zvýšenie prostredníctvom viacerých mechanizmov a opatrení. Súčasne sa bude zameriavať na identifikáciu a využívanie alternatívnych zdrojov financovania investičných projektov obnovy administratívnych budov, ako aj prehľadu dostupných a plánovaných finančných a nefinančných mechanizmov, so zameraním na získavanie a vyhodnocovanie informácií o technickom stave, energetickej náročnosti, potenciálu využívania obnoviteľných zdrojov energie a pod. Tieto informácie budú tvoriť základ pre plánovanie obnovy a spracovanie projektových zámerov a dokumentácie pre ústredné orgány štátnej správy. Z uvedeného dôvodu je vhodné, aby sa ministerstvo vnútra, ako ústredný koordinačný orgán, podieľalo na činnosti Ministerstva hospodárstva Slovenskej republiky ako koordinačného orgánu podľa § 8 ods. 6 návrhu zákona. Zároveň v ustanovení § 8 ods. 6 písm. </w:t>
            </w:r>
            <w:r w:rsidRPr="00BC49FC">
              <w:rPr>
                <w:rFonts w:ascii="Times New Roman" w:hAnsi="Times New Roman" w:cs="Times New Roman"/>
              </w:rPr>
              <w:lastRenderedPageBreak/>
              <w:t>d) sa zavádza skratka administratívnych budov ústredných orgánov štátnej správy. Tými sú verejné budovy, ktoré sú ako majetok štátu v správe ministerstiev, ostatných ústredných orgánov štátnej spravy a rozpočtových organizácií napojených na rozpočet štátu prostredníctvom ministerstiev a ostatných ústredných orgánov štátnej správy. Súčasne sa zavádza skratka pre Ministerstvo vnútra Slovenskej republiky.</w:t>
            </w:r>
          </w:p>
        </w:tc>
        <w:tc>
          <w:tcPr>
            <w:tcW w:w="2264" w:type="dxa"/>
            <w:vAlign w:val="center"/>
            <w:hideMark/>
          </w:tcPr>
          <w:p w14:paraId="72D2AD6B" w14:textId="13D9848C"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lastRenderedPageBreak/>
              <w:t>ČA</w:t>
            </w:r>
          </w:p>
        </w:tc>
        <w:tc>
          <w:tcPr>
            <w:tcW w:w="2753" w:type="dxa"/>
            <w:vAlign w:val="center"/>
            <w:hideMark/>
          </w:tcPr>
          <w:p w14:paraId="1753C8C0" w14:textId="23945B98" w:rsidR="00FE0F3E" w:rsidRPr="00187529" w:rsidRDefault="00187529" w:rsidP="00585047">
            <w:pPr>
              <w:rPr>
                <w:rFonts w:ascii="Times New Roman" w:hAnsi="Times New Roman" w:cs="Times New Roman"/>
              </w:rPr>
            </w:pPr>
            <w:r w:rsidRPr="00187529">
              <w:rPr>
                <w:rFonts w:ascii="Times New Roman" w:hAnsi="Times New Roman" w:cs="Times New Roman"/>
              </w:rPr>
              <w:t>Predmetná požiadavka si vyžaduje ďalšiu odbornú diskusiu a posúdenie jej dopadov. Vzhľadom na rozsah navrhovaných zmien nie je možné o jej konečnom riešení rozhodnúť v rámci prebiehajúceho medzirezortného pripomienkového konania. Diskusia k návrhu bude pokračovať po ukončení MPK, pričom výsledky rokovaní budú zohľadnené v ďalšej spolupráci s MVSR.</w:t>
            </w:r>
          </w:p>
        </w:tc>
      </w:tr>
      <w:tr w:rsidR="00FE0F3E" w:rsidRPr="006278D2" w14:paraId="668F3FB4" w14:textId="04C47CC7" w:rsidTr="00725D29">
        <w:trPr>
          <w:trHeight w:val="1275"/>
        </w:trPr>
        <w:tc>
          <w:tcPr>
            <w:tcW w:w="975" w:type="dxa"/>
            <w:hideMark/>
          </w:tcPr>
          <w:p w14:paraId="06D1259F"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281.</w:t>
            </w:r>
          </w:p>
        </w:tc>
        <w:tc>
          <w:tcPr>
            <w:tcW w:w="2656" w:type="dxa"/>
            <w:hideMark/>
          </w:tcPr>
          <w:p w14:paraId="209D0354"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42957AB1"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7B90B595"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9 ods. 3)  V Čl. I § 9 ods. 3 navrhujeme na konci pripojiť túto vetu:  „Ministerstvo vnútra je oprávnené mať prístup k údajom monitorovacieho systému od poskytovateľov údajov do monitorovacieho systému (ďalej len „poskytovateľ údajov“) podľa § 10 ods. 5 písm. a), b), f), m), n), s) a t).“.  Odôvodnenie: V súvislosti s ustanovením pôsobnosti ministerstva vnútra, ako orgánu príslušnému vo veciach energetickej efektívnosti a obnovy administratívnych budov ústredných orgánov štátnej správy sa navrhuje oprávnenie na prístup k údajom v rámci monitorovacieho systému z vybraných súvisiacich zdrojov. Súčasne sa zavádza skratka pre poskytovateľa údajov do monitorovacieho systému.</w:t>
            </w:r>
          </w:p>
        </w:tc>
        <w:tc>
          <w:tcPr>
            <w:tcW w:w="2264" w:type="dxa"/>
            <w:vAlign w:val="center"/>
            <w:hideMark/>
          </w:tcPr>
          <w:p w14:paraId="79931ACC" w14:textId="31CE975B"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1B78061D" w14:textId="10B2653C" w:rsidR="00FE0F3E" w:rsidRPr="000D0EA6" w:rsidRDefault="000D0EA6" w:rsidP="00585047">
            <w:pPr>
              <w:rPr>
                <w:rFonts w:ascii="Times New Roman" w:hAnsi="Times New Roman" w:cs="Times New Roman"/>
              </w:rPr>
            </w:pPr>
            <w:r w:rsidRPr="000D0EA6">
              <w:rPr>
                <w:rFonts w:ascii="Times New Roman" w:hAnsi="Times New Roman" w:cs="Times New Roman"/>
              </w:rPr>
              <w:t>Predmetná požiadavka si vyžaduje ďalšiu odbornú diskusiu a posúdenie jej dopadov. Vzhľadom na rozsah navrhovaných zmien nie je možné o jej konečnom riešení rozhodnúť v rámci prebiehajúceho medzirezortného pripomienkového konania. Diskusia k návrhu bude pokračovať po ukončení MPK, pričom výsledky rokovaní budú zohľadnené v ďalšej spolupráci s MVSR.</w:t>
            </w:r>
          </w:p>
        </w:tc>
      </w:tr>
      <w:tr w:rsidR="00FE0F3E" w:rsidRPr="006278D2" w14:paraId="3BC3F28D" w14:textId="46BAA387" w:rsidTr="00725D29">
        <w:trPr>
          <w:trHeight w:val="960"/>
        </w:trPr>
        <w:tc>
          <w:tcPr>
            <w:tcW w:w="975" w:type="dxa"/>
            <w:hideMark/>
          </w:tcPr>
          <w:p w14:paraId="208BCCEF"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282.</w:t>
            </w:r>
          </w:p>
        </w:tc>
        <w:tc>
          <w:tcPr>
            <w:tcW w:w="2656" w:type="dxa"/>
            <w:hideMark/>
          </w:tcPr>
          <w:p w14:paraId="2E41BFEC"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2B6C8512"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7D39D030"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10 ods. 3)  V čl. I § 10 ods. 3 navrhujeme vypustiť slová „do monitorovacieho systému (ďalej len „poskytovateľ údajov“)“.   Odôvodnenie: V ustanovení § 9 ods. 3 sa zavádza skratka pre poskytovateľa údajov do monitorovacieho systému.</w:t>
            </w:r>
          </w:p>
        </w:tc>
        <w:tc>
          <w:tcPr>
            <w:tcW w:w="2264" w:type="dxa"/>
            <w:vAlign w:val="center"/>
            <w:hideMark/>
          </w:tcPr>
          <w:p w14:paraId="2DF4BAAC" w14:textId="78057C28"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0AA2E6E" w14:textId="11190EFA"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2C86C523" w14:textId="184F2EA9" w:rsidTr="00725D29">
        <w:trPr>
          <w:trHeight w:val="2220"/>
        </w:trPr>
        <w:tc>
          <w:tcPr>
            <w:tcW w:w="975" w:type="dxa"/>
            <w:hideMark/>
          </w:tcPr>
          <w:p w14:paraId="673CD4BA"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lastRenderedPageBreak/>
              <w:t>283.</w:t>
            </w:r>
          </w:p>
        </w:tc>
        <w:tc>
          <w:tcPr>
            <w:tcW w:w="2656" w:type="dxa"/>
            <w:hideMark/>
          </w:tcPr>
          <w:p w14:paraId="23B9C4AE"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28BB0A46"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2A85E8B6"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12)  V Čl. I § 12 navrhujeme nahradiť slová „Ministerstvo vnútra Slovenskej republiky, Policajný zbor slovami „ministerstvo vnútra“.    Odôvodnenie: Úprava skratky Ministerstva vnútra Slovenskej republiky sa navrhuje zaviesť v § 8 ods. 6 písm. d). Podľa § 11 písm. c) zákona č. 575/2001 Z. z. o organizácii činnosti vlády a organizácii ústrednej štátnej správy v znení neskorších predpisov je Ministerstvo vnútra Slovenskej republiky ústredným orgánom štátnej správy okrem iného aj pre Policajný zbor  a Hasičský záchranný zbor. Policajný zbor nekoná ako samostatná rozpočtová organizácia,  lebo finančné prostriedky na jeho činnosť sú každoročne prideľované do rozpočtovej kapitoly Ministerstva vnútra Slovenskej republiky. Samostatné uvedenie Policajného zboru ako subjektu, ktorý má sledovať, vyhodnocovať a každoročne zasielať prevádzkovateľovi monitorovacieho systému údaje podľa § 12 písm. a) až c) návrhu zákona (napríklad o svojej celkovej spotrebe energie)  preto považujeme za nadbytočné a z hľadiska systematiky a terminologickej jednotnosti právneho predpisu za nevhodné. Znenie môže vyvolávať aplikačné nejasnosti najmä vo vzťahu  k určeniu adresáta povinností podľa tohto ustanovenia (či ide o Ministerstvo vnútra Slovenskej republiky ako orgán štátnej správy alebo jeho organizačnú zložku). Vypustením Policajného zboru dôjde k odstráneniu duplicity a k zosúladeniu ustanovenia so zásadou legislatívnej presnosti a jednoznačnosti.</w:t>
            </w:r>
          </w:p>
        </w:tc>
        <w:tc>
          <w:tcPr>
            <w:tcW w:w="2264" w:type="dxa"/>
            <w:vAlign w:val="center"/>
            <w:hideMark/>
          </w:tcPr>
          <w:p w14:paraId="6E3D5A51" w14:textId="777B2B24" w:rsidR="00FE0F3E" w:rsidRPr="00BC49FC" w:rsidRDefault="00FE0F3E" w:rsidP="00585047">
            <w:pPr>
              <w:rPr>
                <w:rFonts w:ascii="Times New Roman" w:hAnsi="Times New Roman" w:cs="Times New Roman"/>
                <w:b/>
                <w:bCs/>
              </w:rPr>
            </w:pPr>
            <w:r>
              <w:rPr>
                <w:rFonts w:ascii="Times New Roman" w:hAnsi="Times New Roman" w:cs="Times New Roman"/>
                <w:b/>
                <w:bCs/>
                <w:color w:val="000000"/>
              </w:rPr>
              <w:t>Č</w:t>
            </w:r>
            <w:r w:rsidRPr="00BC49FC">
              <w:rPr>
                <w:rFonts w:ascii="Times New Roman" w:hAnsi="Times New Roman" w:cs="Times New Roman"/>
                <w:b/>
                <w:bCs/>
                <w:color w:val="000000"/>
              </w:rPr>
              <w:t>A</w:t>
            </w:r>
          </w:p>
        </w:tc>
        <w:tc>
          <w:tcPr>
            <w:tcW w:w="2753" w:type="dxa"/>
            <w:vAlign w:val="center"/>
            <w:hideMark/>
          </w:tcPr>
          <w:p w14:paraId="42BECB37" w14:textId="14ECE48F" w:rsidR="00FE0F3E" w:rsidRPr="00BC49FC" w:rsidRDefault="00FE0F3E" w:rsidP="00585047">
            <w:pPr>
              <w:rPr>
                <w:rFonts w:ascii="Times New Roman" w:hAnsi="Times New Roman" w:cs="Times New Roman"/>
              </w:rPr>
            </w:pPr>
            <w:r w:rsidRPr="00BC49FC">
              <w:rPr>
                <w:rFonts w:ascii="Times New Roman" w:hAnsi="Times New Roman" w:cs="Times New Roman"/>
                <w:color w:val="000000"/>
              </w:rPr>
              <w:t>Legislatívna skratka zavedená v § 12.</w:t>
            </w:r>
          </w:p>
        </w:tc>
      </w:tr>
      <w:tr w:rsidR="00FE0F3E" w:rsidRPr="006278D2" w14:paraId="75D730C7" w14:textId="7EBE98BF" w:rsidTr="00725D29">
        <w:trPr>
          <w:trHeight w:val="960"/>
        </w:trPr>
        <w:tc>
          <w:tcPr>
            <w:tcW w:w="975" w:type="dxa"/>
            <w:hideMark/>
          </w:tcPr>
          <w:p w14:paraId="4945A67B"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284.</w:t>
            </w:r>
          </w:p>
        </w:tc>
        <w:tc>
          <w:tcPr>
            <w:tcW w:w="2656" w:type="dxa"/>
            <w:hideMark/>
          </w:tcPr>
          <w:p w14:paraId="1010A390"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695F8DD9"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11D1A310"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 xml:space="preserve">K Čl. I (§ 35 ods. 1 písm. a))  V Čl. I § 35 ods. 1 navrhujeme upraviť znenie písmena a), ktoré znie:  „a) závery Stratégie spravovania budov štátnej správy a jej Implementačného plánu,“.  Odôvodnenie: Ide o precizovanie názvu dokumentu Stratégia spravovania budov štátnej správy a tiež doplnenie súvisiaceho koncepčného strategického dokumentu, ktorým je Implementačný plán Stratégie spravovania budov </w:t>
            </w:r>
            <w:r w:rsidRPr="00BC49FC">
              <w:rPr>
                <w:rFonts w:ascii="Times New Roman" w:hAnsi="Times New Roman" w:cs="Times New Roman"/>
              </w:rPr>
              <w:lastRenderedPageBreak/>
              <w:t>štátnej správy.</w:t>
            </w:r>
          </w:p>
        </w:tc>
        <w:tc>
          <w:tcPr>
            <w:tcW w:w="2264" w:type="dxa"/>
            <w:vAlign w:val="center"/>
            <w:hideMark/>
          </w:tcPr>
          <w:p w14:paraId="32695F80" w14:textId="5057FCD5"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0F817E4E" w14:textId="2D5E8707"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2F95E03A" w14:textId="416B8E0A" w:rsidTr="00725D29">
        <w:trPr>
          <w:trHeight w:val="960"/>
        </w:trPr>
        <w:tc>
          <w:tcPr>
            <w:tcW w:w="975" w:type="dxa"/>
            <w:hideMark/>
          </w:tcPr>
          <w:p w14:paraId="5B773635"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285.</w:t>
            </w:r>
          </w:p>
        </w:tc>
        <w:tc>
          <w:tcPr>
            <w:tcW w:w="2656" w:type="dxa"/>
            <w:hideMark/>
          </w:tcPr>
          <w:p w14:paraId="07676919"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25378F64"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5F84C8B7"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35 ods. 5 písm. c))  V Čl. I § 35 ods. 5 navrhujeme upraviť znenie písmena c), ktoré znie:  „c) plniť opatrenia z Implementačného plánu Stratégie spravovania budov štátnej správy podľa odseku 1 písm. a) alebo“.  Odôvodnenie: Ide o legislatívno-technickú úpravu textu v súvislosti s precizovaním názvu strategického dokumentu a jeho implementačného plánu.</w:t>
            </w:r>
          </w:p>
        </w:tc>
        <w:tc>
          <w:tcPr>
            <w:tcW w:w="2264" w:type="dxa"/>
            <w:vAlign w:val="center"/>
            <w:hideMark/>
          </w:tcPr>
          <w:p w14:paraId="04150913" w14:textId="1D43DB69"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609C34B" w14:textId="27A92BC0"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5861886F" w14:textId="691AE8DA" w:rsidTr="00725D29">
        <w:trPr>
          <w:trHeight w:val="1905"/>
        </w:trPr>
        <w:tc>
          <w:tcPr>
            <w:tcW w:w="975" w:type="dxa"/>
            <w:hideMark/>
          </w:tcPr>
          <w:p w14:paraId="23C7CB97"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286.</w:t>
            </w:r>
          </w:p>
        </w:tc>
        <w:tc>
          <w:tcPr>
            <w:tcW w:w="2656" w:type="dxa"/>
            <w:hideMark/>
          </w:tcPr>
          <w:p w14:paraId="42DA3460"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48181C85"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600AE565"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35 ods. 5)  V Čl. I § 35 ods. 5 navrhujeme doplniť písmeno f), ktoré znie:  „f)  ak ide o administratívnu budovu ústredného orgánu štátnej správy s celkovou podlahovou plochou väčšou ako 250 m2, predkladať plánované projekty obnovy pred ich realizáciou ministerstvu vnútra.“.  Odôvodnenie: V súvislosti s implementáciou reformy 4 Komponentu 19 REPowerEU Plánu obnovy a odolnosti Slovenskej republiky a podľa dokumentu CID, ktorý je pre Slovenskú republiku záväzný, sa navrhuje ustanoviť povinnosť v písmene f) pred začatím realizácie obnovy verejnej budovy predložiť ministerstvu vnútra plánované a realizované projekty obnovy administratívnych budov s celkovou podlahovou plochou viac ako 250 m2. Ministerstvo vnútra v spolupráci s ústrednými orgánmi štátnej správy vypracuje Správu o stave spravovania a nakladania s administratívnymi budovami ústredných orgánov štátnej správy. Dokument bude komplexne hodnotiť ich správu a riadenie, technický stav, energetickú náročnosť, plánované a realizované projekty obnovy, plánované úsporné opatrenia a ich implementáciu, náklady na prevádzku a údržbu, plánované investície do obnovy.</w:t>
            </w:r>
          </w:p>
        </w:tc>
        <w:tc>
          <w:tcPr>
            <w:tcW w:w="2264" w:type="dxa"/>
            <w:vAlign w:val="center"/>
            <w:hideMark/>
          </w:tcPr>
          <w:p w14:paraId="1D0F2DAF" w14:textId="42882E62" w:rsidR="00FE0F3E" w:rsidRPr="00BC49FC" w:rsidRDefault="00FE0F3E" w:rsidP="00585047">
            <w:pPr>
              <w:rPr>
                <w:rFonts w:ascii="Times New Roman" w:hAnsi="Times New Roman" w:cs="Times New Roman"/>
                <w:b/>
                <w:bCs/>
                <w:highlight w:val="yellow"/>
              </w:rPr>
            </w:pPr>
            <w:r w:rsidRPr="00BC49FC">
              <w:rPr>
                <w:rFonts w:ascii="Times New Roman" w:hAnsi="Times New Roman" w:cs="Times New Roman"/>
                <w:b/>
                <w:bCs/>
                <w:color w:val="000000"/>
              </w:rPr>
              <w:t>ČA</w:t>
            </w:r>
          </w:p>
        </w:tc>
        <w:tc>
          <w:tcPr>
            <w:tcW w:w="2753" w:type="dxa"/>
            <w:vAlign w:val="center"/>
            <w:hideMark/>
          </w:tcPr>
          <w:p w14:paraId="6A584BD1" w14:textId="2A19BE36" w:rsidR="00FE0F3E" w:rsidRPr="000D0EA6" w:rsidRDefault="000D0EA6" w:rsidP="00585047">
            <w:pPr>
              <w:rPr>
                <w:rFonts w:ascii="Times New Roman" w:hAnsi="Times New Roman" w:cs="Times New Roman"/>
                <w:highlight w:val="yellow"/>
              </w:rPr>
            </w:pPr>
            <w:r w:rsidRPr="000D0EA6">
              <w:rPr>
                <w:rFonts w:ascii="Times New Roman" w:hAnsi="Times New Roman" w:cs="Times New Roman"/>
              </w:rPr>
              <w:t>Predmetná požiadavka si vyžaduje ďalšiu odbornú diskusiu a posúdenie jej dopadov. Vzhľadom na rozsah navrhovaných zmien nie je možné o jej konečnom riešení rozhodnúť v rámci prebiehajúceho medzirezortného pripomienkového konania. Diskusia k návrhu bude pokračovať po ukončení MPK, pričom výsledky rokovaní budú zohľadnené v ďalšej spolupráci s MVSR.</w:t>
            </w:r>
          </w:p>
        </w:tc>
      </w:tr>
      <w:tr w:rsidR="00FE0F3E" w:rsidRPr="006278D2" w14:paraId="7A6652EC" w14:textId="253B2469" w:rsidTr="00725D29">
        <w:trPr>
          <w:trHeight w:val="2535"/>
        </w:trPr>
        <w:tc>
          <w:tcPr>
            <w:tcW w:w="975" w:type="dxa"/>
            <w:hideMark/>
          </w:tcPr>
          <w:p w14:paraId="30BBFFAA"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lastRenderedPageBreak/>
              <w:t>287.</w:t>
            </w:r>
          </w:p>
        </w:tc>
        <w:tc>
          <w:tcPr>
            <w:tcW w:w="2656" w:type="dxa"/>
            <w:hideMark/>
          </w:tcPr>
          <w:p w14:paraId="374BE178"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751581B9"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551E7AD6"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35)   V Čl. I § 35 navrhujeme doplniť odsek 6, ktorý znie:  „(6) Správca majetku štátu, ktorý spravuje administratívnu budovu ústredného orgánu štátnej správy podľa odseku 5 písm. f) je povinný každoročne vypracovať správu o stave spravovania a nakladania s administratívnymi budovami ústredných orgánov štátnej správy a predložiť ju ministerstvu vnútra do 31. decembra. Ministerstvo vnútra na základe správy o stave spravovania a nakladania s administratívnymi budovami ústredných orgánov štátnej správy vyhodnotí pripravenosť obnovy budovy podľa odseku 5 písm. f). Podrobnosti o obsahových náležitostiach správy o stave spravovania a nakladania s administratívnymi budovami ústredných orgánov štátnej správy upraví metodické usmernenie podľa § 45 ods. 3.“.  Odôvodnenie: Uznesením vlády Slovenskej republiky č. 126 z 8. apríla 2026 k Implementačnému plánu Stratégie spravovania budov štátnej správy bolo ministrom a predsedom ostatných ústredných orgánov štátnej správy uložené poskytnúť ministerstvu vnútra údaje potrebné na vypracovanie správy o stave spravovania a nakladania s administratívnymi budovami ústredných orgánov štátnej správy, ktorej súčasťou je aj analýza súčasného stavu energetického manažmentu v administratívnych budovách ústredných orgánov štátnej správy, ďalšie údaje týkajúce sa zvyšovania energetickej efektívnosti spravovaných budov, ako aj plánované projekty obnovy administratívnych budov a ich pripravenosť. Na základe týchto údajov bude možné určiť, akým spôsobom je potrebné pristúpiť k znižovaniu nákladov okrem iného na elektrinu a plyn v prípadoch, kedy nebude možné obstarávať elektrinu a plyn prostredníctvom centrálneho obstarávateľa.</w:t>
            </w:r>
          </w:p>
        </w:tc>
        <w:tc>
          <w:tcPr>
            <w:tcW w:w="2264" w:type="dxa"/>
            <w:vAlign w:val="center"/>
            <w:hideMark/>
          </w:tcPr>
          <w:p w14:paraId="0D5B3B7D" w14:textId="41AF7F7B"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005D26D" w14:textId="7FB25596" w:rsidR="00FE0F3E" w:rsidRPr="006E16E6" w:rsidRDefault="006E16E6" w:rsidP="00585047">
            <w:pPr>
              <w:rPr>
                <w:rFonts w:ascii="Times New Roman" w:hAnsi="Times New Roman" w:cs="Times New Roman"/>
              </w:rPr>
            </w:pPr>
            <w:r w:rsidRPr="006E16E6">
              <w:rPr>
                <w:rFonts w:ascii="Times New Roman" w:hAnsi="Times New Roman" w:cs="Times New Roman"/>
              </w:rPr>
              <w:t>Predmetná požiadavka si vyžaduje ďalšiu odbornú diskusiu a posúdenie jej dopadov. Vzhľadom na rozsah navrhovaných zmien nie je možné o jej konečnom riešení rozhodnúť v rámci prebiehajúceho medzirezortného pripomienkového konania. Diskusia k návrhu bude pokračovať po ukončení MPK, pričom výsledky rokovaní budú zohľadnené v ďalšej spolupráci s MVSR.</w:t>
            </w:r>
          </w:p>
        </w:tc>
      </w:tr>
      <w:tr w:rsidR="00FE0F3E" w:rsidRPr="006278D2" w14:paraId="141A75F6" w14:textId="49732639" w:rsidTr="00725D29">
        <w:trPr>
          <w:trHeight w:val="960"/>
        </w:trPr>
        <w:tc>
          <w:tcPr>
            <w:tcW w:w="975" w:type="dxa"/>
            <w:hideMark/>
          </w:tcPr>
          <w:p w14:paraId="428811D6"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288.</w:t>
            </w:r>
          </w:p>
        </w:tc>
        <w:tc>
          <w:tcPr>
            <w:tcW w:w="2656" w:type="dxa"/>
            <w:hideMark/>
          </w:tcPr>
          <w:p w14:paraId="792107F2"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033ABA84"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7F120722"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 xml:space="preserve">K Čl. I (§ 37 ods. 2 písm. m))   V Čl. I § 37 ods. 2 písm. m) siedmom bode navrhujeme nahradiť slová „Ministerstvom vnútra Slovenskej republiky“ slovami </w:t>
            </w:r>
            <w:r w:rsidRPr="00BC49FC">
              <w:rPr>
                <w:rFonts w:ascii="Times New Roman" w:hAnsi="Times New Roman" w:cs="Times New Roman"/>
              </w:rPr>
              <w:lastRenderedPageBreak/>
              <w:t>„ministerstvom vnútra“.  Odôvodnenie: Úprava skratky Ministerstva vnútra Slovenskej republiky sa navrhuje zaviesť v § 8 ods. 6 písm. d).</w:t>
            </w:r>
          </w:p>
        </w:tc>
        <w:tc>
          <w:tcPr>
            <w:tcW w:w="2264" w:type="dxa"/>
            <w:vAlign w:val="center"/>
            <w:hideMark/>
          </w:tcPr>
          <w:p w14:paraId="71A8917F" w14:textId="506FD30B"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6AE2A680" w14:textId="3A4ECC5F"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75763985" w14:textId="6535F583" w:rsidTr="00725D29">
        <w:trPr>
          <w:trHeight w:val="960"/>
        </w:trPr>
        <w:tc>
          <w:tcPr>
            <w:tcW w:w="975" w:type="dxa"/>
            <w:hideMark/>
          </w:tcPr>
          <w:p w14:paraId="562C22C7"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289.</w:t>
            </w:r>
          </w:p>
        </w:tc>
        <w:tc>
          <w:tcPr>
            <w:tcW w:w="2656" w:type="dxa"/>
            <w:hideMark/>
          </w:tcPr>
          <w:p w14:paraId="763EFFE9"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69EC82C1"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316122B8"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37 ods. 2)  V Čl. I § 37 ods. 2 navrhujeme doplniť písmeno r), ktoré znie:  „r) spolupracuje s ministerstvom vnútra vo veciach energetického manažmentu verejných budov.“.  Odôvodnenie: Navrhuje sa v súvislosti s reformou spravovania budov štátnej správy zakotviť spoluprácu medzi Ministerstvom hospodárstva Slovenskej republiky, ako gestorom energetickej efektívnosti a ministerstvom vnútra, ktoré v zmysle Plánu obnovy a odolnosti pôsobí na úseku energetického manažmentu administratívnych budov ústredných orgánov štátnej správy s možnosťou rozšírenia aj na ostatné orgány verejnej správy do budúcna.</w:t>
            </w:r>
          </w:p>
        </w:tc>
        <w:tc>
          <w:tcPr>
            <w:tcW w:w="2264" w:type="dxa"/>
            <w:vAlign w:val="center"/>
            <w:hideMark/>
          </w:tcPr>
          <w:p w14:paraId="767DC94D" w14:textId="208A4590"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2A094B8" w14:textId="21316D8F" w:rsidR="00FE0F3E" w:rsidRPr="0086636A" w:rsidRDefault="0086636A" w:rsidP="00585047">
            <w:pPr>
              <w:rPr>
                <w:rFonts w:ascii="Times New Roman" w:hAnsi="Times New Roman" w:cs="Times New Roman"/>
              </w:rPr>
            </w:pPr>
            <w:r w:rsidRPr="0086636A">
              <w:rPr>
                <w:rFonts w:ascii="Times New Roman" w:hAnsi="Times New Roman" w:cs="Times New Roman"/>
              </w:rPr>
              <w:t>Predmetná požiadavka si vyžaduje ďalšiu odbornú diskusiu a posúdenie jej dopadov. Vzhľadom na rozsah navrhovaných zmien nie je možné o jej konečnom riešení rozhodnúť v rámci prebiehajúceho medzirezortného pripomienkového konania. Diskusia k návrhu bude pokračovať po ukončení MPK, pričom výsledky rokovaní budú zohľadnené v ďalšej spolupráci s MVSR.</w:t>
            </w:r>
          </w:p>
        </w:tc>
      </w:tr>
      <w:tr w:rsidR="00FE0F3E" w:rsidRPr="006278D2" w14:paraId="6D61E1AF" w14:textId="7D2E6EE3" w:rsidTr="00725D29">
        <w:trPr>
          <w:trHeight w:val="1590"/>
        </w:trPr>
        <w:tc>
          <w:tcPr>
            <w:tcW w:w="975" w:type="dxa"/>
            <w:hideMark/>
          </w:tcPr>
          <w:p w14:paraId="5389ABFC"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290.</w:t>
            </w:r>
          </w:p>
        </w:tc>
        <w:tc>
          <w:tcPr>
            <w:tcW w:w="2656" w:type="dxa"/>
            <w:hideMark/>
          </w:tcPr>
          <w:p w14:paraId="6397C85F"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50EEDEF2"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76EBBC1B"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 xml:space="preserve">K Čl. I (§ 44)  V Čl. I § 44 navrhujeme doplniť odseky 29 a 30, ktoré znejú:  „(29) Ministerstvo vnútra vydá metodické usmernenie podľa § 45 ods. 3 do 31. marca 2027.  (30) Povinnosť podľa § 35 ods. 6 prvej vety vypracovať správu o stave spravovania nakladania s administratívnymi budovami ústredných orgánov štátnej správy podľa § 35 ods. 5 písm. f) a predložiť ju ministerstvu vnútra sa prvýkrát vykoná najneskôr do 30. júna 2027.“.  Odôvodnenie: Navrhuje sa doplniť prechodné ustanovenia vo vzťahu k povinnosti ministerstva vnútra vydať metodické usmernenie (§ 35 ods. 6 posledná veta, § 45 ods. 3)  do 31.marca 2027, a súčasne ustanoviť, že správca majetku štátu, ktorý spravuje administratívnu budovu ústredného orgánu štátnej správy podľa § 35 ods. 5 písm. f) bude povinný prvýkrát vypracovať a predložiť správu ministerstvu vnútra do 30. júna 2027; následne (každoročne) vždy </w:t>
            </w:r>
            <w:r w:rsidRPr="00BC49FC">
              <w:rPr>
                <w:rFonts w:ascii="Times New Roman" w:hAnsi="Times New Roman" w:cs="Times New Roman"/>
              </w:rPr>
              <w:lastRenderedPageBreak/>
              <w:t>do 31. decembra.</w:t>
            </w:r>
          </w:p>
        </w:tc>
        <w:tc>
          <w:tcPr>
            <w:tcW w:w="2264" w:type="dxa"/>
            <w:vAlign w:val="center"/>
            <w:hideMark/>
          </w:tcPr>
          <w:p w14:paraId="4C9C61FA" w14:textId="3FBEC19C"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lastRenderedPageBreak/>
              <w:t>ČA</w:t>
            </w:r>
          </w:p>
        </w:tc>
        <w:tc>
          <w:tcPr>
            <w:tcW w:w="2753" w:type="dxa"/>
            <w:vAlign w:val="center"/>
            <w:hideMark/>
          </w:tcPr>
          <w:p w14:paraId="26678B90" w14:textId="50F4E3B4" w:rsidR="00FE0F3E" w:rsidRPr="0086636A" w:rsidRDefault="0086636A" w:rsidP="00585047">
            <w:pPr>
              <w:rPr>
                <w:rFonts w:ascii="Times New Roman" w:hAnsi="Times New Roman" w:cs="Times New Roman"/>
              </w:rPr>
            </w:pPr>
            <w:r w:rsidRPr="0086636A">
              <w:rPr>
                <w:rFonts w:ascii="Times New Roman" w:hAnsi="Times New Roman" w:cs="Times New Roman"/>
              </w:rPr>
              <w:t>Predmetná požiadavka si vyžaduje ďalšiu odbornú diskusiu a posúdenie jej dopadov. Vzhľadom na rozsah navrhovaných zmien nie je možné o jej konečnom riešení rozhodnúť v rámci prebiehajúceho medzirezortného pripomienkového konania. Diskusia k návrhu bude pokračovať po ukončení MPK, pričom výsledky rokovaní budú zohľadnené v ďalšej spolupráci s MVSR.</w:t>
            </w:r>
          </w:p>
        </w:tc>
      </w:tr>
      <w:tr w:rsidR="00FE0F3E" w:rsidRPr="006278D2" w14:paraId="49AF9447" w14:textId="453C8B14" w:rsidTr="00725D29">
        <w:trPr>
          <w:trHeight w:val="960"/>
        </w:trPr>
        <w:tc>
          <w:tcPr>
            <w:tcW w:w="975" w:type="dxa"/>
            <w:hideMark/>
          </w:tcPr>
          <w:p w14:paraId="5F1BF6A0"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291.</w:t>
            </w:r>
          </w:p>
        </w:tc>
        <w:tc>
          <w:tcPr>
            <w:tcW w:w="2656" w:type="dxa"/>
            <w:hideMark/>
          </w:tcPr>
          <w:p w14:paraId="4ED1424C"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4CE94635"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2C374EF9"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K Čl. I (§ 45 ods. 2)  V Čl. I § 45 ods. 2 navrhujeme doplniť písmeno d), ktoré znie:  „d) pre energetický manažment verejných budov po dohode s ministerstvom vnútra.“.  Odôvodnenie: Navrhuje sa v súvislosti s reformou spravovania budov štátnej správy zakotviť spoluprácu medzi Ministerstvom hospodárstva Slovenskej republiky, ako gestorom energetickej efektívnosti a ministerstvom vnútra, ktoré v zmysle Plánu obnovy a odolnosti pôsobí na úseku energetického manažmentu administratívnych budov ústredných orgánov štátnej správy s možnosťou rozšírenia aj na ostatné orgány verejnej správy do budúcna.</w:t>
            </w:r>
          </w:p>
        </w:tc>
        <w:tc>
          <w:tcPr>
            <w:tcW w:w="2264" w:type="dxa"/>
            <w:vAlign w:val="center"/>
            <w:hideMark/>
          </w:tcPr>
          <w:p w14:paraId="60DD79A0" w14:textId="66C30858"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2B8FE0CB" w14:textId="3E636688" w:rsidR="00FE0F3E" w:rsidRPr="0086636A" w:rsidRDefault="0086636A" w:rsidP="00585047">
            <w:pPr>
              <w:rPr>
                <w:rFonts w:ascii="Times New Roman" w:hAnsi="Times New Roman" w:cs="Times New Roman"/>
              </w:rPr>
            </w:pPr>
            <w:r w:rsidRPr="0086636A">
              <w:rPr>
                <w:rFonts w:ascii="Times New Roman" w:hAnsi="Times New Roman" w:cs="Times New Roman"/>
              </w:rPr>
              <w:t>Predmetná požiadavka si vyžaduje ďalšiu odbornú diskusiu a posúdenie jej dopadov. Vzhľadom na rozsah navrhovaných zmien nie je možné o jej konečnom riešení rozhodnúť v rámci prebiehajúceho medzirezortného pripomienkového konania. Diskusia k návrhu bude pokračovať po ukončení MPK, pričom výsledky rokovaní budú zohľadnené v ďalšej spolupráci s MVSR.</w:t>
            </w:r>
          </w:p>
        </w:tc>
      </w:tr>
      <w:tr w:rsidR="00FE0F3E" w:rsidRPr="006278D2" w14:paraId="3C8EB236" w14:textId="4A7EED58" w:rsidTr="00725D29">
        <w:trPr>
          <w:trHeight w:val="2220"/>
        </w:trPr>
        <w:tc>
          <w:tcPr>
            <w:tcW w:w="975" w:type="dxa"/>
            <w:hideMark/>
          </w:tcPr>
          <w:p w14:paraId="6FD83B09"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292.</w:t>
            </w:r>
          </w:p>
        </w:tc>
        <w:tc>
          <w:tcPr>
            <w:tcW w:w="2656" w:type="dxa"/>
            <w:hideMark/>
          </w:tcPr>
          <w:p w14:paraId="555DC0E7"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MVSR </w:t>
            </w:r>
            <w:r w:rsidRPr="00BC49FC">
              <w:rPr>
                <w:rFonts w:ascii="Times New Roman" w:hAnsi="Times New Roman" w:cs="Times New Roman"/>
              </w:rPr>
              <w:t>Ministerstvo vnútra Slovenskej republiky</w:t>
            </w:r>
          </w:p>
        </w:tc>
        <w:tc>
          <w:tcPr>
            <w:tcW w:w="612" w:type="dxa"/>
            <w:hideMark/>
          </w:tcPr>
          <w:p w14:paraId="08BE48D8" w14:textId="77777777" w:rsidR="00FE0F3E" w:rsidRPr="00BC49FC" w:rsidRDefault="00FE0F3E" w:rsidP="00585047">
            <w:pPr>
              <w:rPr>
                <w:rFonts w:ascii="Times New Roman" w:hAnsi="Times New Roman" w:cs="Times New Roman"/>
              </w:rPr>
            </w:pPr>
            <w:r w:rsidRPr="00BC49FC">
              <w:rPr>
                <w:rFonts w:ascii="Times New Roman" w:hAnsi="Times New Roman" w:cs="Times New Roman"/>
              </w:rPr>
              <w:t>O</w:t>
            </w:r>
          </w:p>
        </w:tc>
        <w:tc>
          <w:tcPr>
            <w:tcW w:w="5615" w:type="dxa"/>
            <w:hideMark/>
          </w:tcPr>
          <w:p w14:paraId="06FD41AA" w14:textId="77777777" w:rsidR="00FE0F3E" w:rsidRPr="00BC49FC" w:rsidRDefault="00FE0F3E" w:rsidP="00585047">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 xml:space="preserve">K Čl. I (§ 45)   V Čl. I § 45 navrhujeme doplniť odsek 3, ktorý znie:  „(3) Ministerstvo vnútra vydá metodické usmernenie, ktoré upraví obsahové náležitosti správy o stave spravovania a nakladania s administratívnymi budovami ústredných orgánov štátnej správy podľa § 35 ods. 6 a zverejní na svojom webovom sídle.“.  Odôvodnenie: V zmysle Stratégie spravovania budov štátnej správy a Implementačného plánu, ako aj v zmysle uznesenia vlády Slovenskej republiky č. 126 z 8. apríla 2026 k Implementačnému plánu Stratégie spravovania budov štátnej správy ministerstvo vnútra, ako ústredný koordinačný orgán, spracúva na základe údajov poskytnutých od ústredných orgánov štátnej správy správu o stave spravovania a nakladania s administratívnymi </w:t>
            </w:r>
            <w:r w:rsidRPr="00BC49FC">
              <w:rPr>
                <w:rFonts w:ascii="Times New Roman" w:hAnsi="Times New Roman" w:cs="Times New Roman"/>
              </w:rPr>
              <w:lastRenderedPageBreak/>
              <w:t>budovami ústredných orgánov štátnej správy. Jednou z obsahových náležitostí uvedenej správy bude analýza súčasného stavu energetického manažmentu v budovách ústredných orgánov štátnej správy, ktorej cieľom je navrhnúť spôsoby na dosiahnutie efektívneho riadenia spotreby energie a zvýšenie energetickej efektívnosti. Uvedená aktivita predstavuje implementačnú  časť reformy 4 Komponentu 19 REPowerEU Plánu obnovy a odolnosti Slovenskej republiky a je súčasťou širšieho rozsahu činností a zberu dát, ktoré bude mať ministerstvo vnútra k dispozícii. Z uvedeného dôvodu je potrebné, aby sa ministerstvo vnútra podieľalo na vydávaní metodických usmernení pre energetický  manažment budov štátnej správy, resp. verejných budov.</w:t>
            </w:r>
          </w:p>
        </w:tc>
        <w:tc>
          <w:tcPr>
            <w:tcW w:w="2264" w:type="dxa"/>
            <w:vAlign w:val="center"/>
            <w:hideMark/>
          </w:tcPr>
          <w:p w14:paraId="3CCCDD44" w14:textId="75081488" w:rsidR="00FE0F3E" w:rsidRPr="00BC49FC" w:rsidRDefault="00FE0F3E" w:rsidP="00585047">
            <w:pPr>
              <w:rPr>
                <w:rFonts w:ascii="Times New Roman" w:hAnsi="Times New Roman" w:cs="Times New Roman"/>
                <w:b/>
                <w:bCs/>
              </w:rPr>
            </w:pPr>
            <w:r w:rsidRPr="00BC49FC">
              <w:rPr>
                <w:rFonts w:ascii="Times New Roman" w:hAnsi="Times New Roman" w:cs="Times New Roman"/>
                <w:b/>
                <w:bCs/>
                <w:color w:val="000000"/>
              </w:rPr>
              <w:lastRenderedPageBreak/>
              <w:t>N</w:t>
            </w:r>
          </w:p>
        </w:tc>
        <w:tc>
          <w:tcPr>
            <w:tcW w:w="2753" w:type="dxa"/>
            <w:vAlign w:val="center"/>
            <w:hideMark/>
          </w:tcPr>
          <w:p w14:paraId="1A51509F" w14:textId="716794B3" w:rsidR="00FE0F3E" w:rsidRPr="00455146" w:rsidRDefault="00FE0F3E" w:rsidP="00585047">
            <w:pPr>
              <w:rPr>
                <w:rFonts w:ascii="Times New Roman" w:hAnsi="Times New Roman" w:cs="Times New Roman"/>
              </w:rPr>
            </w:pPr>
            <w:r w:rsidRPr="00455146">
              <w:rPr>
                <w:rFonts w:ascii="Times New Roman" w:hAnsi="Times New Roman" w:cs="Times New Roman"/>
                <w:color w:val="000000"/>
              </w:rPr>
              <w:t>Požadované spresnenie nie je z hľadiska účelu ustanovenia potrebné.</w:t>
            </w:r>
          </w:p>
        </w:tc>
      </w:tr>
      <w:tr w:rsidR="00FE0F3E" w:rsidRPr="006278D2" w14:paraId="43DF5478" w14:textId="0C75E12A" w:rsidTr="00725D29">
        <w:trPr>
          <w:trHeight w:val="1590"/>
        </w:trPr>
        <w:tc>
          <w:tcPr>
            <w:tcW w:w="975" w:type="dxa"/>
            <w:hideMark/>
          </w:tcPr>
          <w:p w14:paraId="4957A246"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293.</w:t>
            </w:r>
          </w:p>
        </w:tc>
        <w:tc>
          <w:tcPr>
            <w:tcW w:w="2656" w:type="dxa"/>
            <w:hideMark/>
          </w:tcPr>
          <w:p w14:paraId="41F93D68" w14:textId="77777777" w:rsidR="00FE0F3E" w:rsidRPr="00BC49FC" w:rsidRDefault="00FE0F3E" w:rsidP="00781E45">
            <w:pPr>
              <w:rPr>
                <w:rFonts w:ascii="Times New Roman" w:hAnsi="Times New Roman" w:cs="Times New Roman"/>
                <w:b/>
                <w:bCs/>
              </w:rPr>
            </w:pPr>
            <w:r w:rsidRPr="00BC49FC">
              <w:rPr>
                <w:rFonts w:ascii="Times New Roman" w:hAnsi="Times New Roman" w:cs="Times New Roman"/>
                <w:b/>
                <w:bCs/>
              </w:rPr>
              <w:t xml:space="preserve">MZVEZ SR </w:t>
            </w:r>
            <w:r w:rsidRPr="00BC49FC">
              <w:rPr>
                <w:rFonts w:ascii="Times New Roman" w:hAnsi="Times New Roman" w:cs="Times New Roman"/>
              </w:rPr>
              <w:t>Ministerstvo zahraničných vecí a európskych záležitostí Slovenskej republiky</w:t>
            </w:r>
          </w:p>
        </w:tc>
        <w:tc>
          <w:tcPr>
            <w:tcW w:w="612" w:type="dxa"/>
            <w:hideMark/>
          </w:tcPr>
          <w:p w14:paraId="11B5A0CA" w14:textId="77777777" w:rsidR="00FE0F3E" w:rsidRPr="00BC49FC" w:rsidRDefault="00FE0F3E" w:rsidP="00781E45">
            <w:pPr>
              <w:rPr>
                <w:rFonts w:ascii="Times New Roman" w:hAnsi="Times New Roman" w:cs="Times New Roman"/>
              </w:rPr>
            </w:pPr>
            <w:r w:rsidRPr="00BC49FC">
              <w:rPr>
                <w:rFonts w:ascii="Times New Roman" w:hAnsi="Times New Roman" w:cs="Times New Roman"/>
              </w:rPr>
              <w:t>O</w:t>
            </w:r>
          </w:p>
        </w:tc>
        <w:tc>
          <w:tcPr>
            <w:tcW w:w="5615" w:type="dxa"/>
            <w:hideMark/>
          </w:tcPr>
          <w:p w14:paraId="7FE62F55" w14:textId="77777777" w:rsidR="00FE0F3E" w:rsidRPr="00BC49FC" w:rsidRDefault="00FE0F3E">
            <w:pPr>
              <w:rPr>
                <w:rFonts w:ascii="Times New Roman" w:hAnsi="Times New Roman" w:cs="Times New Roman"/>
                <w:b/>
                <w:bCs/>
              </w:rPr>
            </w:pPr>
            <w:r w:rsidRPr="00BC49FC">
              <w:rPr>
                <w:rFonts w:ascii="Times New Roman" w:hAnsi="Times New Roman" w:cs="Times New Roman"/>
                <w:b/>
                <w:bCs/>
              </w:rPr>
              <w:t xml:space="preserve">návrhu uznesenia vlády SR </w:t>
            </w:r>
            <w:r w:rsidRPr="00BC49FC">
              <w:rPr>
                <w:rFonts w:ascii="Times New Roman" w:hAnsi="Times New Roman" w:cs="Times New Roman"/>
              </w:rPr>
              <w:t>Návrh uznesenia vlády Slovenskej republiky odporúčame v časti C. v rámci úloh C. 2. až C. 4. upraviť tak, aby tieto úlohy boli pridelené na plnenie konkrétnym ministrom tých ministerstiev, do pôsobnosti ktorých problematika energetickej efektívnosti a zmierňovania energetickej chudoby patrí, resp. ktorých pôsobnosti sa daná problematika týka, a teda aby špecifikované úlohy neboli pridelené všetkým ministrom en bloc. Odôvodnenie: Máme za to, že predmetná problematika, ktorú návrh zákona o energetickej efektívnosti a o zmene a doplnení niektorých zákonov rieši, spadá výlučne pod vnútroštátnu agendu, ktorá nepatrí do pôsobnosti Ministerstva zahraničných vecí a európskych záležitostí Slovenskej republiky (ďalej len „MZVEZ SR“). Na základe uvedeného by účasť zástupcov MZVEZ SR v pracovných skupinách v zmysle úloh C. 2. a C. 3. a v sieti expertov v zmysle úlohy C. 4. vyplývajúcich z návrhu uznesenia vlády Slovenskej republiky nebola relevantná.</w:t>
            </w:r>
          </w:p>
        </w:tc>
        <w:tc>
          <w:tcPr>
            <w:tcW w:w="2264" w:type="dxa"/>
            <w:hideMark/>
          </w:tcPr>
          <w:p w14:paraId="3CB2DACC" w14:textId="6B0AD599" w:rsidR="00FE0F3E" w:rsidRPr="00BC49FC" w:rsidRDefault="00FE0F3E">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348094F5" w14:textId="33E85DD0" w:rsidR="00FE0F3E" w:rsidRPr="00BC49FC" w:rsidRDefault="00FE0F3E">
            <w:pPr>
              <w:rPr>
                <w:rFonts w:ascii="Times New Roman" w:hAnsi="Times New Roman" w:cs="Times New Roman"/>
                <w:b/>
                <w:bCs/>
              </w:rPr>
            </w:pPr>
            <w:r w:rsidRPr="00BC49FC">
              <w:rPr>
                <w:rFonts w:ascii="Times New Roman" w:hAnsi="Times New Roman" w:cs="Times New Roman"/>
                <w:b/>
                <w:bCs/>
              </w:rPr>
              <w:t> </w:t>
            </w:r>
            <w:r w:rsidRPr="00BC49FC">
              <w:rPr>
                <w:rFonts w:ascii="Times New Roman" w:hAnsi="Times New Roman" w:cs="Times New Roman"/>
              </w:rPr>
              <w:t>Uplatní sa primerane</w:t>
            </w:r>
            <w:r>
              <w:rPr>
                <w:rFonts w:ascii="Times New Roman" w:hAnsi="Times New Roman" w:cs="Times New Roman"/>
                <w:b/>
                <w:bCs/>
              </w:rPr>
              <w:t>.</w:t>
            </w:r>
          </w:p>
        </w:tc>
      </w:tr>
      <w:tr w:rsidR="00FE0F3E" w:rsidRPr="006278D2" w14:paraId="63226A82" w14:textId="44D98E97" w:rsidTr="00725D29">
        <w:trPr>
          <w:trHeight w:val="1590"/>
        </w:trPr>
        <w:tc>
          <w:tcPr>
            <w:tcW w:w="975" w:type="dxa"/>
            <w:hideMark/>
          </w:tcPr>
          <w:p w14:paraId="69B854C9"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lastRenderedPageBreak/>
              <w:t>298.</w:t>
            </w:r>
          </w:p>
        </w:tc>
        <w:tc>
          <w:tcPr>
            <w:tcW w:w="2656" w:type="dxa"/>
            <w:hideMark/>
          </w:tcPr>
          <w:p w14:paraId="5F999103"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MŠVVaMSR </w:t>
            </w:r>
            <w:r w:rsidRPr="00BC49FC">
              <w:rPr>
                <w:rFonts w:ascii="Times New Roman" w:hAnsi="Times New Roman" w:cs="Times New Roman"/>
              </w:rPr>
              <w:t>Ministerstvo školstva,výskumu,vývoja a mládeže Slovenskej republiky</w:t>
            </w:r>
          </w:p>
        </w:tc>
        <w:tc>
          <w:tcPr>
            <w:tcW w:w="612" w:type="dxa"/>
            <w:hideMark/>
          </w:tcPr>
          <w:p w14:paraId="215D12CF"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0AA74633"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Odporúčame návrh zákona upraviť legislatívno-technicky, napríklad - v čl. I § 14 ods. 1 písm. a) uviesť správny názov Ministerstva školstva, výskumu, vývoja a mládeže SR, - v č. I § 16 ods. 6 poznámke pod čiarou k odkazu 51 uviesť odkaz na § 50 zákona č. 422/2015 Z. z. - v čl. I § 44 ods. 7 slová "ods. 4" nahradiť slovami "ods. 3".</w:t>
            </w:r>
          </w:p>
        </w:tc>
        <w:tc>
          <w:tcPr>
            <w:tcW w:w="2264" w:type="dxa"/>
            <w:vAlign w:val="center"/>
            <w:hideMark/>
          </w:tcPr>
          <w:p w14:paraId="4E3CD271" w14:textId="2DC0913D" w:rsidR="00FE0F3E" w:rsidRPr="00BC49FC" w:rsidRDefault="00FE0F3E" w:rsidP="00064878">
            <w:pPr>
              <w:rPr>
                <w:rFonts w:ascii="Times New Roman" w:hAnsi="Times New Roman" w:cs="Times New Roman"/>
                <w:b/>
                <w:bCs/>
              </w:rPr>
            </w:pPr>
            <w:r>
              <w:rPr>
                <w:rFonts w:ascii="Times New Roman" w:hAnsi="Times New Roman" w:cs="Times New Roman"/>
                <w:b/>
                <w:bCs/>
                <w:color w:val="000000"/>
              </w:rPr>
              <w:t>A</w:t>
            </w:r>
          </w:p>
        </w:tc>
        <w:tc>
          <w:tcPr>
            <w:tcW w:w="2753" w:type="dxa"/>
            <w:hideMark/>
          </w:tcPr>
          <w:p w14:paraId="0E621092"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w:t>
            </w:r>
          </w:p>
        </w:tc>
      </w:tr>
      <w:tr w:rsidR="00FE0F3E" w:rsidRPr="006278D2" w14:paraId="73AD3214" w14:textId="3699B278" w:rsidTr="00725D29">
        <w:trPr>
          <w:trHeight w:val="1590"/>
        </w:trPr>
        <w:tc>
          <w:tcPr>
            <w:tcW w:w="975" w:type="dxa"/>
            <w:hideMark/>
          </w:tcPr>
          <w:p w14:paraId="3A5CE348"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299.</w:t>
            </w:r>
          </w:p>
        </w:tc>
        <w:tc>
          <w:tcPr>
            <w:tcW w:w="2656" w:type="dxa"/>
            <w:hideMark/>
          </w:tcPr>
          <w:p w14:paraId="188803C5"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MŠVVaMSR </w:t>
            </w:r>
            <w:r w:rsidRPr="00BC49FC">
              <w:rPr>
                <w:rFonts w:ascii="Times New Roman" w:hAnsi="Times New Roman" w:cs="Times New Roman"/>
              </w:rPr>
              <w:t>Ministerstvo školstva,výskumu,vývoja a mládeže Slovenskej republiky</w:t>
            </w:r>
          </w:p>
        </w:tc>
        <w:tc>
          <w:tcPr>
            <w:tcW w:w="612" w:type="dxa"/>
            <w:hideMark/>
          </w:tcPr>
          <w:p w14:paraId="35056267"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2A9CC7FC"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 24 </w:t>
            </w:r>
            <w:r w:rsidRPr="00BC49FC">
              <w:rPr>
                <w:rFonts w:ascii="Times New Roman" w:hAnsi="Times New Roman" w:cs="Times New Roman"/>
              </w:rPr>
              <w:t>Odporúčame zvážiť úpravu § 24 z dôvodu, že princíp prvoradosti energetickej efektívnosti nad 100 000,- € pri energetických projektoch bude v praxi znamenať energeticky síce efektívnejšie, ale zároveň investične nákladnejšie opatrenia.</w:t>
            </w:r>
          </w:p>
        </w:tc>
        <w:tc>
          <w:tcPr>
            <w:tcW w:w="2264" w:type="dxa"/>
            <w:hideMark/>
          </w:tcPr>
          <w:p w14:paraId="5BB0DBB9" w14:textId="3AA7D4FF"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w:t>
            </w:r>
            <w:r w:rsidRPr="000F510B">
              <w:rPr>
                <w:rFonts w:ascii="Times New Roman" w:hAnsi="Times New Roman" w:cs="Times New Roman"/>
                <w:b/>
                <w:bCs/>
              </w:rPr>
              <w:t>N</w:t>
            </w:r>
          </w:p>
        </w:tc>
        <w:tc>
          <w:tcPr>
            <w:tcW w:w="2753" w:type="dxa"/>
            <w:hideMark/>
          </w:tcPr>
          <w:p w14:paraId="2AEA257F" w14:textId="7845CB0A" w:rsidR="00FE0F3E" w:rsidRPr="00BC49FC" w:rsidRDefault="00FE0F3E" w:rsidP="00064878">
            <w:pPr>
              <w:rPr>
                <w:rFonts w:ascii="Times New Roman" w:hAnsi="Times New Roman" w:cs="Times New Roman"/>
                <w:b/>
                <w:bCs/>
              </w:rPr>
            </w:pPr>
            <w:r w:rsidRPr="000F510B">
              <w:rPr>
                <w:rFonts w:ascii="Times New Roman" w:hAnsi="Times New Roman" w:cs="Times New Roman"/>
                <w:color w:val="000000"/>
              </w:rPr>
              <w:t>Text smernice neumožňuje iný výklad.</w:t>
            </w:r>
          </w:p>
        </w:tc>
      </w:tr>
      <w:tr w:rsidR="00FE0F3E" w:rsidRPr="006278D2" w14:paraId="598E4578" w14:textId="1ADFDEED" w:rsidTr="00725D29">
        <w:trPr>
          <w:trHeight w:val="1590"/>
        </w:trPr>
        <w:tc>
          <w:tcPr>
            <w:tcW w:w="975" w:type="dxa"/>
            <w:hideMark/>
          </w:tcPr>
          <w:p w14:paraId="56672B44"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300.</w:t>
            </w:r>
          </w:p>
        </w:tc>
        <w:tc>
          <w:tcPr>
            <w:tcW w:w="2656" w:type="dxa"/>
            <w:hideMark/>
          </w:tcPr>
          <w:p w14:paraId="4EF3AF3C"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MŠVVaMSR </w:t>
            </w:r>
            <w:r w:rsidRPr="00BC49FC">
              <w:rPr>
                <w:rFonts w:ascii="Times New Roman" w:hAnsi="Times New Roman" w:cs="Times New Roman"/>
              </w:rPr>
              <w:t>Ministerstvo školstva,výskumu,vývoja a mládeže Slovenskej republiky</w:t>
            </w:r>
          </w:p>
        </w:tc>
        <w:tc>
          <w:tcPr>
            <w:tcW w:w="612" w:type="dxa"/>
            <w:hideMark/>
          </w:tcPr>
          <w:p w14:paraId="75968156"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29ECB9B4"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 34 </w:t>
            </w:r>
            <w:r w:rsidRPr="00BC49FC">
              <w:rPr>
                <w:rFonts w:ascii="Times New Roman" w:hAnsi="Times New Roman" w:cs="Times New Roman"/>
              </w:rPr>
              <w:t>Odporúčame zvážiť úpravu § 34. Keďže pri obnove verejnej budovy s podlahovou plochou nad 750 m2 je potrebné posúdenie technickej a ekonomickej realizovateľnosti využitia zmluvy o energetickej službe pre verejný sektor, návrhom sa zmení sa spôsob obstarávania tovarov, prác a služieb, čo môže mať negatívny vplyv na rozpočet MŠVVaM SR.</w:t>
            </w:r>
          </w:p>
        </w:tc>
        <w:tc>
          <w:tcPr>
            <w:tcW w:w="2264" w:type="dxa"/>
            <w:hideMark/>
          </w:tcPr>
          <w:p w14:paraId="799CF2CC" w14:textId="6BCA6F3B"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N</w:t>
            </w:r>
          </w:p>
        </w:tc>
        <w:tc>
          <w:tcPr>
            <w:tcW w:w="2753" w:type="dxa"/>
            <w:hideMark/>
          </w:tcPr>
          <w:p w14:paraId="151B7618" w14:textId="288B33BF" w:rsidR="00FE0F3E" w:rsidRPr="00BC49FC" w:rsidRDefault="00FE0F3E" w:rsidP="00064878">
            <w:pPr>
              <w:rPr>
                <w:rFonts w:ascii="Times New Roman" w:hAnsi="Times New Roman" w:cs="Times New Roman"/>
                <w:b/>
                <w:bCs/>
              </w:rPr>
            </w:pPr>
            <w:r w:rsidRPr="00AC55C1">
              <w:rPr>
                <w:rFonts w:ascii="Times New Roman" w:hAnsi="Times New Roman" w:cs="Times New Roman"/>
                <w:color w:val="000000"/>
              </w:rPr>
              <w:t>Text smernice neumožňuje iný výklad.</w:t>
            </w:r>
          </w:p>
        </w:tc>
      </w:tr>
      <w:tr w:rsidR="00FE0F3E" w:rsidRPr="006278D2" w14:paraId="55323B5A" w14:textId="2F4A7148" w:rsidTr="00725D29">
        <w:trPr>
          <w:trHeight w:val="1590"/>
        </w:trPr>
        <w:tc>
          <w:tcPr>
            <w:tcW w:w="975" w:type="dxa"/>
            <w:hideMark/>
          </w:tcPr>
          <w:p w14:paraId="420BE2C3" w14:textId="77777777" w:rsidR="00FE0F3E" w:rsidRPr="00BC49FC" w:rsidRDefault="00FE0F3E" w:rsidP="005F5586">
            <w:pPr>
              <w:rPr>
                <w:rFonts w:ascii="Times New Roman" w:hAnsi="Times New Roman" w:cs="Times New Roman"/>
                <w:b/>
                <w:bCs/>
              </w:rPr>
            </w:pPr>
            <w:r w:rsidRPr="00BC49FC">
              <w:rPr>
                <w:rFonts w:ascii="Times New Roman" w:hAnsi="Times New Roman" w:cs="Times New Roman"/>
                <w:b/>
                <w:bCs/>
              </w:rPr>
              <w:t>301.</w:t>
            </w:r>
          </w:p>
        </w:tc>
        <w:tc>
          <w:tcPr>
            <w:tcW w:w="2656" w:type="dxa"/>
            <w:hideMark/>
          </w:tcPr>
          <w:p w14:paraId="5D072855" w14:textId="77777777" w:rsidR="00FE0F3E" w:rsidRPr="00BC49FC" w:rsidRDefault="00FE0F3E" w:rsidP="005F5586">
            <w:pPr>
              <w:rPr>
                <w:rFonts w:ascii="Times New Roman" w:hAnsi="Times New Roman" w:cs="Times New Roman"/>
                <w:b/>
                <w:bCs/>
              </w:rPr>
            </w:pPr>
            <w:r w:rsidRPr="00BC49FC">
              <w:rPr>
                <w:rFonts w:ascii="Times New Roman" w:hAnsi="Times New Roman" w:cs="Times New Roman"/>
                <w:b/>
                <w:bCs/>
              </w:rPr>
              <w:t xml:space="preserve">MŠVVaMSR </w:t>
            </w:r>
            <w:r w:rsidRPr="00BC49FC">
              <w:rPr>
                <w:rFonts w:ascii="Times New Roman" w:hAnsi="Times New Roman" w:cs="Times New Roman"/>
              </w:rPr>
              <w:t>Ministerstvo školstva,výskumu,vývoja a mládeže Slovenskej republiky</w:t>
            </w:r>
          </w:p>
        </w:tc>
        <w:tc>
          <w:tcPr>
            <w:tcW w:w="612" w:type="dxa"/>
            <w:hideMark/>
          </w:tcPr>
          <w:p w14:paraId="76A32861" w14:textId="77777777" w:rsidR="00FE0F3E" w:rsidRPr="00BC49FC" w:rsidRDefault="00FE0F3E" w:rsidP="005F5586">
            <w:pPr>
              <w:rPr>
                <w:rFonts w:ascii="Times New Roman" w:hAnsi="Times New Roman" w:cs="Times New Roman"/>
              </w:rPr>
            </w:pPr>
            <w:r w:rsidRPr="00BC49FC">
              <w:rPr>
                <w:rFonts w:ascii="Times New Roman" w:hAnsi="Times New Roman" w:cs="Times New Roman"/>
              </w:rPr>
              <w:t>O</w:t>
            </w:r>
          </w:p>
        </w:tc>
        <w:tc>
          <w:tcPr>
            <w:tcW w:w="5615" w:type="dxa"/>
            <w:hideMark/>
          </w:tcPr>
          <w:p w14:paraId="6C5119D5" w14:textId="77777777" w:rsidR="00FE0F3E" w:rsidRPr="00BC49FC" w:rsidRDefault="00FE0F3E" w:rsidP="005F5586">
            <w:pPr>
              <w:rPr>
                <w:rFonts w:ascii="Times New Roman" w:hAnsi="Times New Roman" w:cs="Times New Roman"/>
                <w:b/>
                <w:bCs/>
              </w:rPr>
            </w:pPr>
            <w:r w:rsidRPr="00BC49FC">
              <w:rPr>
                <w:rFonts w:ascii="Times New Roman" w:hAnsi="Times New Roman" w:cs="Times New Roman"/>
                <w:b/>
                <w:bCs/>
              </w:rPr>
              <w:t xml:space="preserve">čl. VII § 42a </w:t>
            </w:r>
            <w:r w:rsidRPr="00BC49FC">
              <w:rPr>
                <w:rFonts w:ascii="Times New Roman" w:hAnsi="Times New Roman" w:cs="Times New Roman"/>
              </w:rPr>
              <w:t>Odporúčame zvážiť úpravu § 42a zákona č. 343/2015 Z. z. z dôvodu, že pri obstarávaní tovarov, prác a služieb spôsobom podľa navrhovaného znenia vzniknú verejnému obstarávateľovi zvýšené náklady z dôvodu princípu energetickej prvoradosti, čo v realite bude vyžadovať zvýšený rozpočet na chod MŠVVaM SR.</w:t>
            </w:r>
          </w:p>
        </w:tc>
        <w:tc>
          <w:tcPr>
            <w:tcW w:w="2264" w:type="dxa"/>
            <w:vAlign w:val="center"/>
            <w:hideMark/>
          </w:tcPr>
          <w:p w14:paraId="7E58DF4F" w14:textId="5380195A" w:rsidR="00FE0F3E" w:rsidRPr="00BC49FC" w:rsidRDefault="00FE0F3E" w:rsidP="005F5586">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27BDF4C" w14:textId="038556D1" w:rsidR="00FE0F3E" w:rsidRPr="00BC49FC" w:rsidRDefault="00FE0F3E" w:rsidP="005F5586">
            <w:pPr>
              <w:rPr>
                <w:rFonts w:ascii="Times New Roman" w:hAnsi="Times New Roman" w:cs="Times New Roman"/>
              </w:rPr>
            </w:pPr>
            <w:r w:rsidRPr="00BC49FC">
              <w:rPr>
                <w:rFonts w:ascii="Times New Roman" w:hAnsi="Times New Roman" w:cs="Times New Roman"/>
                <w:color w:val="000000"/>
              </w:rPr>
              <w:t>Text smernice neumožňuje iný výklad.</w:t>
            </w:r>
          </w:p>
        </w:tc>
      </w:tr>
      <w:tr w:rsidR="00FE0F3E" w:rsidRPr="006278D2" w14:paraId="01CD3352" w14:textId="7CEF9778" w:rsidTr="00725D29">
        <w:trPr>
          <w:trHeight w:val="1590"/>
        </w:trPr>
        <w:tc>
          <w:tcPr>
            <w:tcW w:w="975" w:type="dxa"/>
            <w:hideMark/>
          </w:tcPr>
          <w:p w14:paraId="031BD63F"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302.</w:t>
            </w:r>
          </w:p>
        </w:tc>
        <w:tc>
          <w:tcPr>
            <w:tcW w:w="2656" w:type="dxa"/>
            <w:hideMark/>
          </w:tcPr>
          <w:p w14:paraId="5DF6ED9A"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MŠVVaMSR </w:t>
            </w:r>
            <w:r w:rsidRPr="00BC49FC">
              <w:rPr>
                <w:rFonts w:ascii="Times New Roman" w:hAnsi="Times New Roman" w:cs="Times New Roman"/>
              </w:rPr>
              <w:t>Ministerstvo školstva,výskumu,vývoja a mládeže Slovenskej republiky</w:t>
            </w:r>
          </w:p>
        </w:tc>
        <w:tc>
          <w:tcPr>
            <w:tcW w:w="612" w:type="dxa"/>
            <w:hideMark/>
          </w:tcPr>
          <w:p w14:paraId="6506080F"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3370137F"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 14 a 15 </w:t>
            </w:r>
            <w:r w:rsidRPr="00BC49FC">
              <w:rPr>
                <w:rFonts w:ascii="Times New Roman" w:hAnsi="Times New Roman" w:cs="Times New Roman"/>
              </w:rPr>
              <w:t>Odporúčame slová "energetickej efektívnosti a v oblasti vzdelávania súvisiaceho s energetickou efektívnosťou (ďalej len „vzdelávanie v energetickej efektívnosti“)" nahradiť slovami "energetike". Obdobnú pripomienku uplatňujeme aj k celému zneniu § 14 a 15, t. j. slová "energetickej efektívnosti" nahradiť slovami "energetike".  Odôvodnenie: Pojem vzdelávania v energetike je širší, presnejší a strategicky hodnotnejší, pretože zahŕňa celé energetické odvetvie.</w:t>
            </w:r>
          </w:p>
        </w:tc>
        <w:tc>
          <w:tcPr>
            <w:tcW w:w="2264" w:type="dxa"/>
            <w:vAlign w:val="center"/>
            <w:hideMark/>
          </w:tcPr>
          <w:p w14:paraId="6DA8C620" w14:textId="745968FC" w:rsidR="00FE0F3E" w:rsidRPr="00BC49FC" w:rsidRDefault="00FE0F3E" w:rsidP="00064878">
            <w:pPr>
              <w:rPr>
                <w:rFonts w:ascii="Times New Roman" w:hAnsi="Times New Roman" w:cs="Times New Roman"/>
                <w:b/>
                <w:bCs/>
              </w:rPr>
            </w:pPr>
            <w:r>
              <w:rPr>
                <w:rFonts w:ascii="Times New Roman" w:hAnsi="Times New Roman" w:cs="Times New Roman"/>
                <w:b/>
                <w:bCs/>
                <w:color w:val="000000"/>
              </w:rPr>
              <w:t>N</w:t>
            </w:r>
          </w:p>
        </w:tc>
        <w:tc>
          <w:tcPr>
            <w:tcW w:w="2753" w:type="dxa"/>
            <w:hideMark/>
          </w:tcPr>
          <w:p w14:paraId="7EC5B567" w14:textId="251D7CD7" w:rsidR="00FE0F3E" w:rsidRPr="00BC49FC" w:rsidRDefault="00FE0F3E" w:rsidP="00064878">
            <w:pPr>
              <w:rPr>
                <w:rFonts w:ascii="Times New Roman" w:hAnsi="Times New Roman" w:cs="Times New Roman"/>
              </w:rPr>
            </w:pPr>
            <w:r w:rsidRPr="00BC49FC">
              <w:rPr>
                <w:rFonts w:ascii="Times New Roman" w:hAnsi="Times New Roman" w:cs="Times New Roman"/>
                <w:color w:val="000000"/>
              </w:rPr>
              <w:t xml:space="preserve">Pripomienka bola zo strany </w:t>
            </w:r>
            <w:r w:rsidRPr="00BC49FC">
              <w:rPr>
                <w:rFonts w:ascii="Times New Roman" w:hAnsi="Times New Roman" w:cs="Times New Roman"/>
              </w:rPr>
              <w:t xml:space="preserve">MŠVVaMSR </w:t>
            </w:r>
            <w:r w:rsidRPr="00BC49FC">
              <w:rPr>
                <w:rFonts w:ascii="Times New Roman" w:hAnsi="Times New Roman" w:cs="Times New Roman"/>
                <w:color w:val="000000"/>
              </w:rPr>
              <w:t>stiahnutá.</w:t>
            </w:r>
          </w:p>
        </w:tc>
      </w:tr>
      <w:tr w:rsidR="00FE0F3E" w:rsidRPr="006278D2" w14:paraId="1471931F" w14:textId="30ED9BF9" w:rsidTr="00725D29">
        <w:trPr>
          <w:trHeight w:val="1590"/>
        </w:trPr>
        <w:tc>
          <w:tcPr>
            <w:tcW w:w="975" w:type="dxa"/>
            <w:hideMark/>
          </w:tcPr>
          <w:p w14:paraId="383690DB"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lastRenderedPageBreak/>
              <w:t>303.</w:t>
            </w:r>
          </w:p>
        </w:tc>
        <w:tc>
          <w:tcPr>
            <w:tcW w:w="2656" w:type="dxa"/>
            <w:hideMark/>
          </w:tcPr>
          <w:p w14:paraId="205FE0A7"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MŠVVaMSR </w:t>
            </w:r>
            <w:r w:rsidRPr="00BC49FC">
              <w:rPr>
                <w:rFonts w:ascii="Times New Roman" w:hAnsi="Times New Roman" w:cs="Times New Roman"/>
              </w:rPr>
              <w:t>Ministerstvo školstva,výskumu,vývoja a mládeže Slovenskej republiky</w:t>
            </w:r>
          </w:p>
        </w:tc>
        <w:tc>
          <w:tcPr>
            <w:tcW w:w="612" w:type="dxa"/>
            <w:hideMark/>
          </w:tcPr>
          <w:p w14:paraId="193A2EE7"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68260B4A"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 14 ods. 2 úvodnej vete </w:t>
            </w:r>
            <w:r w:rsidRPr="00BC49FC">
              <w:rPr>
                <w:rFonts w:ascii="Times New Roman" w:hAnsi="Times New Roman" w:cs="Times New Roman"/>
              </w:rPr>
              <w:t>Odporúčame slová „Spoločný rámec vzdelávania v energetickej efektívnosti“ nahradiť slovami „Stratégia vzdelávania v energetike“.  Odôvodnenie: Stratégia vzdelávania v energetike je nevyhnutná, pretože sektor energetiky, vrátane plnenia požiadaviek zvyšovania plnenia cieľov energetickej efektívnosti, prechádza výraznými zmenami, a bez systematického rozvoja ľudských zdrojov nebude možné reagovať na zmeny kvalifikácií a zabezpečenia dostatočného množstva kvalifikovaných odborníkov. Z týchto dôvodov nie je spoločný rámec dostatočný pre pomenovanie cieľov a smerovania vzdelávania v energetike zahŕňajúcu energetickú efektívnosť.</w:t>
            </w:r>
          </w:p>
        </w:tc>
        <w:tc>
          <w:tcPr>
            <w:tcW w:w="2264" w:type="dxa"/>
            <w:vAlign w:val="center"/>
            <w:hideMark/>
          </w:tcPr>
          <w:p w14:paraId="168BF8A4" w14:textId="774B1028" w:rsidR="00FE0F3E" w:rsidRPr="00BC49FC" w:rsidRDefault="00FE0F3E" w:rsidP="00064878">
            <w:pPr>
              <w:rPr>
                <w:rFonts w:ascii="Times New Roman" w:hAnsi="Times New Roman" w:cs="Times New Roman"/>
                <w:b/>
                <w:bCs/>
              </w:rPr>
            </w:pPr>
            <w:r>
              <w:rPr>
                <w:rFonts w:ascii="Times New Roman" w:hAnsi="Times New Roman" w:cs="Times New Roman"/>
                <w:b/>
                <w:bCs/>
                <w:color w:val="000000"/>
              </w:rPr>
              <w:t>N</w:t>
            </w:r>
          </w:p>
        </w:tc>
        <w:tc>
          <w:tcPr>
            <w:tcW w:w="2753" w:type="dxa"/>
            <w:hideMark/>
          </w:tcPr>
          <w:p w14:paraId="12CE6E7E" w14:textId="15B7B663" w:rsidR="00FE0F3E" w:rsidRPr="00BC49FC" w:rsidRDefault="00FE0F3E" w:rsidP="00064878">
            <w:pPr>
              <w:rPr>
                <w:rFonts w:ascii="Times New Roman" w:hAnsi="Times New Roman" w:cs="Times New Roman"/>
                <w:b/>
                <w:bCs/>
              </w:rPr>
            </w:pPr>
            <w:r w:rsidRPr="00F743B5">
              <w:rPr>
                <w:rFonts w:ascii="Times New Roman" w:hAnsi="Times New Roman" w:cs="Times New Roman"/>
                <w:color w:val="000000"/>
              </w:rPr>
              <w:t xml:space="preserve">Pripomienka bola zo strany </w:t>
            </w:r>
            <w:r w:rsidRPr="00F743B5">
              <w:rPr>
                <w:rFonts w:ascii="Times New Roman" w:hAnsi="Times New Roman" w:cs="Times New Roman"/>
              </w:rPr>
              <w:t xml:space="preserve">MŠVVaMSR </w:t>
            </w:r>
            <w:r w:rsidRPr="00F743B5">
              <w:rPr>
                <w:rFonts w:ascii="Times New Roman" w:hAnsi="Times New Roman" w:cs="Times New Roman"/>
                <w:color w:val="000000"/>
              </w:rPr>
              <w:t>stiahnutá.</w:t>
            </w:r>
          </w:p>
        </w:tc>
      </w:tr>
      <w:tr w:rsidR="00FE0F3E" w:rsidRPr="006278D2" w14:paraId="3AA74695" w14:textId="33AB66A8" w:rsidTr="00725D29">
        <w:trPr>
          <w:trHeight w:val="1590"/>
        </w:trPr>
        <w:tc>
          <w:tcPr>
            <w:tcW w:w="975" w:type="dxa"/>
            <w:hideMark/>
          </w:tcPr>
          <w:p w14:paraId="6425BA57"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304.</w:t>
            </w:r>
          </w:p>
        </w:tc>
        <w:tc>
          <w:tcPr>
            <w:tcW w:w="2656" w:type="dxa"/>
            <w:hideMark/>
          </w:tcPr>
          <w:p w14:paraId="166A90A5"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MŠVVaMSR </w:t>
            </w:r>
            <w:r w:rsidRPr="00BC49FC">
              <w:rPr>
                <w:rFonts w:ascii="Times New Roman" w:hAnsi="Times New Roman" w:cs="Times New Roman"/>
              </w:rPr>
              <w:t>Ministerstvo školstva,výskumu,vývoja a mládeže Slovenskej republiky</w:t>
            </w:r>
          </w:p>
        </w:tc>
        <w:tc>
          <w:tcPr>
            <w:tcW w:w="612" w:type="dxa"/>
            <w:hideMark/>
          </w:tcPr>
          <w:p w14:paraId="113BD925"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400613B1"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 15 ods. 1 </w:t>
            </w:r>
            <w:r w:rsidRPr="00BC49FC">
              <w:rPr>
                <w:rFonts w:ascii="Times New Roman" w:hAnsi="Times New Roman" w:cs="Times New Roman"/>
              </w:rPr>
              <w:t>Odporúčame preformulovať nasledovne: „(1) Energetické minimum predstavuje minimálnu požiadavku na základné vzdelávanie v energetike, ktorého obsah, rozsah a proces overovania garantuje Štátny inštitút odborného vzdelávania v spolupráci s ministerstvom školstva.“.  Odôvodnenie: Štátny inštitút odborného vzdelávania má priamu zodpovednosť za odborné vzdelávanie a kvalifikácie, tvorí a aktualizuje národné vzdelávacie štandardy a ďalšie aktivity v odbornom vzdelávaní v školách ako aj v celoživotnom vzdelávaní.</w:t>
            </w:r>
          </w:p>
        </w:tc>
        <w:tc>
          <w:tcPr>
            <w:tcW w:w="2264" w:type="dxa"/>
            <w:vAlign w:val="center"/>
            <w:hideMark/>
          </w:tcPr>
          <w:p w14:paraId="442E506E" w14:textId="43DC9E26" w:rsidR="00FE0F3E" w:rsidRPr="00BC49FC" w:rsidRDefault="00FE0F3E" w:rsidP="00064878">
            <w:pPr>
              <w:rPr>
                <w:rFonts w:ascii="Times New Roman" w:hAnsi="Times New Roman" w:cs="Times New Roman"/>
                <w:b/>
                <w:bCs/>
              </w:rPr>
            </w:pPr>
            <w:r>
              <w:rPr>
                <w:rFonts w:ascii="Times New Roman" w:hAnsi="Times New Roman" w:cs="Times New Roman"/>
                <w:b/>
                <w:bCs/>
                <w:color w:val="000000"/>
              </w:rPr>
              <w:t>N</w:t>
            </w:r>
          </w:p>
        </w:tc>
        <w:tc>
          <w:tcPr>
            <w:tcW w:w="2753" w:type="dxa"/>
            <w:hideMark/>
          </w:tcPr>
          <w:p w14:paraId="3FD071B7" w14:textId="01ABFBC3" w:rsidR="00FE0F3E" w:rsidRPr="00BC49FC" w:rsidRDefault="00FE0F3E" w:rsidP="00064878">
            <w:pPr>
              <w:rPr>
                <w:rFonts w:ascii="Times New Roman" w:hAnsi="Times New Roman" w:cs="Times New Roman"/>
                <w:b/>
                <w:bCs/>
              </w:rPr>
            </w:pPr>
            <w:r w:rsidRPr="00F743B5">
              <w:rPr>
                <w:rFonts w:ascii="Times New Roman" w:hAnsi="Times New Roman" w:cs="Times New Roman"/>
                <w:color w:val="000000"/>
              </w:rPr>
              <w:t xml:space="preserve">Pripomienka bola zo strany </w:t>
            </w:r>
            <w:r w:rsidRPr="00F743B5">
              <w:rPr>
                <w:rFonts w:ascii="Times New Roman" w:hAnsi="Times New Roman" w:cs="Times New Roman"/>
              </w:rPr>
              <w:t xml:space="preserve">MŠVVaMSR </w:t>
            </w:r>
            <w:r w:rsidRPr="00F743B5">
              <w:rPr>
                <w:rFonts w:ascii="Times New Roman" w:hAnsi="Times New Roman" w:cs="Times New Roman"/>
                <w:color w:val="000000"/>
              </w:rPr>
              <w:t>stiahnutá.</w:t>
            </w:r>
          </w:p>
        </w:tc>
      </w:tr>
      <w:tr w:rsidR="00FE0F3E" w:rsidRPr="006278D2" w14:paraId="45901CAF" w14:textId="331D75E0" w:rsidTr="00725D29">
        <w:trPr>
          <w:trHeight w:val="1590"/>
        </w:trPr>
        <w:tc>
          <w:tcPr>
            <w:tcW w:w="975" w:type="dxa"/>
            <w:hideMark/>
          </w:tcPr>
          <w:p w14:paraId="3E4B9872"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312.</w:t>
            </w:r>
          </w:p>
        </w:tc>
        <w:tc>
          <w:tcPr>
            <w:tcW w:w="2656" w:type="dxa"/>
            <w:hideMark/>
          </w:tcPr>
          <w:p w14:paraId="752430D7"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0872A9BC"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31E64E11"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 xml:space="preserve">Žiadame zosúladiť § 13 návrhu zákona, § 10 ods. 15 návrhu zákona a návrh vyhlášky k dátovým centrám s čl. 12 EED a delegovaným nariadením (EÚ) 2024/1364 tak, aby sa povinnosti vzťahovali na dátové centrá s nainštalovaným príkonom informačných technológií najmenej 500 kW, a nie iba väčším ako 500 kW. Súčasná formulácia totiž vylučuje zariadenia s príkonom presne 500 kW, kým Európska smernica ich zahŕňa. This Regulation sets out the information and key performance indicators to be communicated to the European database by the operators of data centres with an installed information technology power demand of at least 500 kW and are </w:t>
            </w:r>
            <w:r w:rsidRPr="00BC49FC">
              <w:rPr>
                <w:rFonts w:ascii="Times New Roman" w:hAnsi="Times New Roman" w:cs="Times New Roman"/>
              </w:rPr>
              <w:lastRenderedPageBreak/>
              <w:t>necessary for the establishment of a common Union scheme for rating the sustainability of data centres in the Union, as well as a common measurement and calculation methodology. COMMISSION DELEGATED REGULATION (EU) 2024/1364  Odôvodnenie: Vyššie uvedené v znení pripomienky.</w:t>
            </w:r>
          </w:p>
        </w:tc>
        <w:tc>
          <w:tcPr>
            <w:tcW w:w="2264" w:type="dxa"/>
            <w:hideMark/>
          </w:tcPr>
          <w:p w14:paraId="6B4DA190" w14:textId="29E52144" w:rsidR="00FE0F3E" w:rsidRPr="00BC49FC" w:rsidRDefault="00FE0F3E" w:rsidP="00064878">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1C3C04C8" w14:textId="3DE62728" w:rsidR="00FE0F3E" w:rsidRPr="00BC49FC" w:rsidRDefault="00FE0F3E" w:rsidP="00064878">
            <w:pPr>
              <w:rPr>
                <w:rFonts w:ascii="Times New Roman" w:hAnsi="Times New Roman" w:cs="Times New Roman"/>
              </w:rPr>
            </w:pPr>
            <w:r w:rsidRPr="00BC49FC">
              <w:rPr>
                <w:rFonts w:ascii="Times New Roman" w:hAnsi="Times New Roman" w:cs="Times New Roman"/>
              </w:rPr>
              <w:t>Návrh vyhlášky bude doplnený.</w:t>
            </w:r>
          </w:p>
        </w:tc>
      </w:tr>
      <w:tr w:rsidR="00FE0F3E" w:rsidRPr="006278D2" w14:paraId="0EDC3BBC" w14:textId="3DB27102" w:rsidTr="00725D29">
        <w:trPr>
          <w:trHeight w:val="960"/>
        </w:trPr>
        <w:tc>
          <w:tcPr>
            <w:tcW w:w="975" w:type="dxa"/>
            <w:hideMark/>
          </w:tcPr>
          <w:p w14:paraId="44A94FF9"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313.</w:t>
            </w:r>
          </w:p>
        </w:tc>
        <w:tc>
          <w:tcPr>
            <w:tcW w:w="2656" w:type="dxa"/>
            <w:hideMark/>
          </w:tcPr>
          <w:p w14:paraId="2E6DDA9A"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476802F0"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7C45857A"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Žiadame doplniť do § 13 návrhu zákona výslovnú povinnosť dátových centier s celkovým menovitým energetickým vstupom nad 1 MW využívať odpadové teplo alebo iné aplikácie rekuperácie odpadového tepla, pokiaľ sa na základe analýzy podľa čl. 26 ods. 6 a čl. 26 ods. 7 EED nepreukáže technická alebo ekonomická neuskutočniteľnosť.   Odôvodnenie: Vyššie uvedené v znení pripomienky.</w:t>
            </w:r>
          </w:p>
        </w:tc>
        <w:tc>
          <w:tcPr>
            <w:tcW w:w="2264" w:type="dxa"/>
            <w:hideMark/>
          </w:tcPr>
          <w:p w14:paraId="121EA6CA" w14:textId="413BF500"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3A1386B0" w14:textId="055AF82D" w:rsidR="000E64B7" w:rsidRPr="000E64B7" w:rsidRDefault="000E64B7" w:rsidP="000E64B7">
            <w:pPr>
              <w:rPr>
                <w:rFonts w:ascii="Times New Roman" w:hAnsi="Times New Roman" w:cs="Times New Roman"/>
              </w:rPr>
            </w:pPr>
            <w:r w:rsidRPr="000E64B7">
              <w:rPr>
                <w:rFonts w:ascii="Times New Roman" w:hAnsi="Times New Roman" w:cs="Times New Roman"/>
              </w:rPr>
              <w:t>Cieľ sledovaný pripomienkou je už zabezpečený existujúcimi ustanoveniami návrhu zákona a vykonávacími postupmi vyplývajúcimi z transpozície EED. Z uvedeného dôvodu sa navrhovaná úprava nepovažuje za potrebnú.</w:t>
            </w:r>
          </w:p>
          <w:p w14:paraId="3CF14476" w14:textId="1F91DE8D" w:rsidR="00FE0F3E" w:rsidRPr="003606BB" w:rsidRDefault="00FE0F3E" w:rsidP="00064878">
            <w:pPr>
              <w:rPr>
                <w:rFonts w:ascii="Times New Roman" w:hAnsi="Times New Roman" w:cs="Times New Roman"/>
              </w:rPr>
            </w:pPr>
          </w:p>
        </w:tc>
      </w:tr>
      <w:tr w:rsidR="00FE0F3E" w:rsidRPr="006278D2" w14:paraId="10741B21" w14:textId="6E597886" w:rsidTr="00725D29">
        <w:trPr>
          <w:trHeight w:val="960"/>
        </w:trPr>
        <w:tc>
          <w:tcPr>
            <w:tcW w:w="975" w:type="dxa"/>
            <w:hideMark/>
          </w:tcPr>
          <w:p w14:paraId="31EC5F1C" w14:textId="77777777" w:rsidR="00FE0F3E" w:rsidRPr="00BC49FC" w:rsidRDefault="00FE0F3E" w:rsidP="00AA1D59">
            <w:pPr>
              <w:rPr>
                <w:rFonts w:ascii="Times New Roman" w:hAnsi="Times New Roman" w:cs="Times New Roman"/>
                <w:b/>
                <w:bCs/>
              </w:rPr>
            </w:pPr>
            <w:r w:rsidRPr="00BC49FC">
              <w:rPr>
                <w:rFonts w:ascii="Times New Roman" w:hAnsi="Times New Roman" w:cs="Times New Roman"/>
                <w:b/>
                <w:bCs/>
              </w:rPr>
              <w:t>314.</w:t>
            </w:r>
          </w:p>
        </w:tc>
        <w:tc>
          <w:tcPr>
            <w:tcW w:w="2656" w:type="dxa"/>
            <w:hideMark/>
          </w:tcPr>
          <w:p w14:paraId="54097768" w14:textId="77777777" w:rsidR="00FE0F3E" w:rsidRPr="00BC49FC" w:rsidRDefault="00FE0F3E" w:rsidP="00AA1D5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0A36C081" w14:textId="77777777" w:rsidR="00FE0F3E" w:rsidRPr="00BC49FC" w:rsidRDefault="00FE0F3E" w:rsidP="00AA1D59">
            <w:pPr>
              <w:rPr>
                <w:rFonts w:ascii="Times New Roman" w:hAnsi="Times New Roman" w:cs="Times New Roman"/>
              </w:rPr>
            </w:pPr>
            <w:r w:rsidRPr="00BC49FC">
              <w:rPr>
                <w:rFonts w:ascii="Times New Roman" w:hAnsi="Times New Roman" w:cs="Times New Roman"/>
              </w:rPr>
              <w:t>O</w:t>
            </w:r>
          </w:p>
        </w:tc>
        <w:tc>
          <w:tcPr>
            <w:tcW w:w="5615" w:type="dxa"/>
            <w:hideMark/>
          </w:tcPr>
          <w:p w14:paraId="7183C1AB" w14:textId="77777777" w:rsidR="00FE0F3E" w:rsidRPr="00BC49FC" w:rsidRDefault="00FE0F3E" w:rsidP="00AA1D5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Žiadame doplniť § 42a zákona o verejnom obstarávaní v Čl. VII tak, aby v plnom rozsahu pokrýval požiadavky prílohy IV EED alebo preukázať, že príloha IV EED je plne transponovaná.   Odôvodnenie: Z predkladaného materiálu nie je jasné, či materiál pokrýva požiadavky na zelené verejné obstarávanie na základnej úrovni pre relevantné produkty a služby a na obstarávanie alebo prenájom budov spĺňajúcich aspoň úroveň budov s takmer nulovou potrebou energie alebo príslušnú úroveň podľa aktuálnej EPBD.</w:t>
            </w:r>
          </w:p>
        </w:tc>
        <w:tc>
          <w:tcPr>
            <w:tcW w:w="2264" w:type="dxa"/>
            <w:vAlign w:val="center"/>
            <w:hideMark/>
          </w:tcPr>
          <w:p w14:paraId="66A9AEC9" w14:textId="33AC7AE8" w:rsidR="00FE0F3E" w:rsidRPr="00BC49FC" w:rsidRDefault="003F51A0" w:rsidP="00AA1D59">
            <w:pPr>
              <w:rPr>
                <w:rFonts w:ascii="Times New Roman" w:hAnsi="Times New Roman" w:cs="Times New Roman"/>
                <w:b/>
                <w:bCs/>
              </w:rPr>
            </w:pPr>
            <w:r>
              <w:rPr>
                <w:rFonts w:ascii="Times New Roman" w:hAnsi="Times New Roman" w:cs="Times New Roman"/>
                <w:b/>
                <w:bCs/>
                <w:color w:val="000000"/>
              </w:rPr>
              <w:t>ČA</w:t>
            </w:r>
          </w:p>
        </w:tc>
        <w:tc>
          <w:tcPr>
            <w:tcW w:w="2753" w:type="dxa"/>
            <w:vAlign w:val="center"/>
            <w:hideMark/>
          </w:tcPr>
          <w:p w14:paraId="6C1C01DA" w14:textId="29532167" w:rsidR="00BF381B" w:rsidRPr="00BF381B" w:rsidRDefault="00BF381B" w:rsidP="00BF381B">
            <w:pPr>
              <w:rPr>
                <w:rFonts w:ascii="Times New Roman" w:hAnsi="Times New Roman" w:cs="Times New Roman"/>
              </w:rPr>
            </w:pPr>
            <w:r w:rsidRPr="00BF381B">
              <w:rPr>
                <w:rFonts w:ascii="Times New Roman" w:hAnsi="Times New Roman" w:cs="Times New Roman"/>
              </w:rPr>
              <w:t xml:space="preserve">Predmetná požiadavka si vyžaduje ďalšiu odbornú diskusiu a posúdenie rozsahu jej zapracovania v rámci ďalších rokovaní s </w:t>
            </w:r>
            <w:r>
              <w:rPr>
                <w:rFonts w:ascii="Times New Roman" w:hAnsi="Times New Roman" w:cs="Times New Roman"/>
              </w:rPr>
              <w:t>MŽPSR</w:t>
            </w:r>
            <w:r w:rsidRPr="00BF381B">
              <w:rPr>
                <w:rFonts w:ascii="Times New Roman" w:hAnsi="Times New Roman" w:cs="Times New Roman"/>
              </w:rPr>
              <w:t>.</w:t>
            </w:r>
          </w:p>
          <w:p w14:paraId="16A343FE" w14:textId="4AC7BFF5" w:rsidR="00FE0F3E" w:rsidRPr="00A9327E" w:rsidRDefault="00FE0F3E" w:rsidP="00AA1D59">
            <w:pPr>
              <w:rPr>
                <w:rFonts w:ascii="Times New Roman" w:hAnsi="Times New Roman" w:cs="Times New Roman"/>
              </w:rPr>
            </w:pPr>
          </w:p>
        </w:tc>
      </w:tr>
      <w:tr w:rsidR="00FE0F3E" w:rsidRPr="006278D2" w14:paraId="1F05FFC6" w14:textId="17A6C9CA" w:rsidTr="00725D29">
        <w:trPr>
          <w:trHeight w:val="1275"/>
        </w:trPr>
        <w:tc>
          <w:tcPr>
            <w:tcW w:w="975" w:type="dxa"/>
            <w:hideMark/>
          </w:tcPr>
          <w:p w14:paraId="514168C6"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315.</w:t>
            </w:r>
          </w:p>
        </w:tc>
        <w:tc>
          <w:tcPr>
            <w:tcW w:w="2656" w:type="dxa"/>
            <w:hideMark/>
          </w:tcPr>
          <w:p w14:paraId="555D5F13"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7A15525C" w14:textId="77777777" w:rsidR="00FE0F3E" w:rsidRPr="00BC49FC" w:rsidRDefault="00FE0F3E" w:rsidP="00064878">
            <w:pPr>
              <w:rPr>
                <w:rFonts w:ascii="Times New Roman" w:hAnsi="Times New Roman" w:cs="Times New Roman"/>
              </w:rPr>
            </w:pPr>
            <w:r w:rsidRPr="00BC49FC">
              <w:rPr>
                <w:rFonts w:ascii="Times New Roman" w:hAnsi="Times New Roman" w:cs="Times New Roman"/>
              </w:rPr>
              <w:t>O</w:t>
            </w:r>
          </w:p>
        </w:tc>
        <w:tc>
          <w:tcPr>
            <w:tcW w:w="5615" w:type="dxa"/>
            <w:hideMark/>
          </w:tcPr>
          <w:p w14:paraId="1F059A4C" w14:textId="77777777" w:rsidR="00FE0F3E" w:rsidRPr="00BC49FC" w:rsidRDefault="00FE0F3E" w:rsidP="00064878">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 xml:space="preserve">Žiadame doplniť § 24 návrhu zákona o základné procesné pravidlá uplatňovania princípu prvoradosti energetickej efektívnosti alebo jednoznačne určiť, v ktorom vykonávacom predpise budú tieto pravidlá záväzne upravené.   Odôvodnenie: Zo súčasného znenia návrhu zákona nie je zrejmé, aké konkrétne povinnosti vznikajú pri plánovaní, politikách a dôležitých investíciách podľa § 24 ods. 1, najmä kto má posúdenie vykonať, aké alternatívne riešenia sa </w:t>
            </w:r>
            <w:r w:rsidRPr="00BC49FC">
              <w:rPr>
                <w:rFonts w:ascii="Times New Roman" w:hAnsi="Times New Roman" w:cs="Times New Roman"/>
              </w:rPr>
              <w:lastRenderedPageBreak/>
              <w:t>majú hodnotiť, ako sa má posúdenie zdokumentovať a ktorý orgán má plnenie tejto povinnosti kontrolovať. Samotné metodické usmernenie podľa § 45 ods. 2 nemusí byť dostatočné, ak má ísť o právne vynútiteľnú povinnosť.</w:t>
            </w:r>
          </w:p>
        </w:tc>
        <w:tc>
          <w:tcPr>
            <w:tcW w:w="2264" w:type="dxa"/>
            <w:hideMark/>
          </w:tcPr>
          <w:p w14:paraId="34FD074A" w14:textId="30EFCEF9" w:rsidR="00FE0F3E" w:rsidRPr="00BC49FC" w:rsidRDefault="00FE0F3E" w:rsidP="00064878">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ČA</w:t>
            </w:r>
          </w:p>
        </w:tc>
        <w:tc>
          <w:tcPr>
            <w:tcW w:w="2753" w:type="dxa"/>
            <w:hideMark/>
          </w:tcPr>
          <w:p w14:paraId="6A0D65C4" w14:textId="21B7EC39" w:rsidR="00FE0F3E" w:rsidRPr="00BC49FC" w:rsidRDefault="00FE0F3E" w:rsidP="00064878">
            <w:pPr>
              <w:rPr>
                <w:rFonts w:ascii="Times New Roman" w:hAnsi="Times New Roman" w:cs="Times New Roman"/>
              </w:rPr>
            </w:pPr>
            <w:r w:rsidRPr="00BC49FC">
              <w:rPr>
                <w:rFonts w:ascii="Times New Roman" w:hAnsi="Times New Roman" w:cs="Times New Roman"/>
              </w:rPr>
              <w:t>Bude pripravená samostatná vyhláška podľa § 45  ods. 1   písm. v).</w:t>
            </w:r>
          </w:p>
        </w:tc>
      </w:tr>
      <w:tr w:rsidR="00FE0F3E" w:rsidRPr="006278D2" w14:paraId="08E7A903" w14:textId="45664664" w:rsidTr="00725D29">
        <w:trPr>
          <w:trHeight w:val="960"/>
        </w:trPr>
        <w:tc>
          <w:tcPr>
            <w:tcW w:w="975" w:type="dxa"/>
            <w:hideMark/>
          </w:tcPr>
          <w:p w14:paraId="4432142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316.</w:t>
            </w:r>
          </w:p>
        </w:tc>
        <w:tc>
          <w:tcPr>
            <w:tcW w:w="2656" w:type="dxa"/>
            <w:hideMark/>
          </w:tcPr>
          <w:p w14:paraId="503C62C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37A7409E"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2666C7B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Žiadame preukázať, že povinnosti vyplývajúce z EED čl. 25 ods. 6 na vypracovanie miestnych plánov vykurovania a chladenia v obciach s celkovým počtom obyvateľov vyšším ako 45 000 sú už splnené.   Odôvodnenie: Vyhláška komplexného posúdenia sa venuje posúdeniu na národnej úrovni, nie na lokálnej. Vypracovanie miestnych plánov vykurovania a chladenia tak ako to  požaduje EED nie je v návrhu pokrytý a preto je potrebné preukázať, že existujúce lokálne koncepcie budú spĺňať požiadavky EED.</w:t>
            </w:r>
          </w:p>
        </w:tc>
        <w:tc>
          <w:tcPr>
            <w:tcW w:w="2264" w:type="dxa"/>
            <w:vAlign w:val="bottom"/>
            <w:hideMark/>
          </w:tcPr>
          <w:p w14:paraId="5007800E" w14:textId="3E841B90" w:rsidR="00FE0F3E" w:rsidRPr="00BC49FC" w:rsidRDefault="00FE0F3E" w:rsidP="00BD7B69">
            <w:pPr>
              <w:rPr>
                <w:rFonts w:ascii="Times New Roman" w:hAnsi="Times New Roman" w:cs="Times New Roman"/>
                <w:b/>
                <w:bCs/>
              </w:rPr>
            </w:pPr>
          </w:p>
        </w:tc>
        <w:tc>
          <w:tcPr>
            <w:tcW w:w="2753" w:type="dxa"/>
            <w:vAlign w:val="bottom"/>
            <w:hideMark/>
          </w:tcPr>
          <w:p w14:paraId="4AC8801D" w14:textId="13B894F1" w:rsidR="00FE0F3E" w:rsidRPr="00BC49FC" w:rsidRDefault="008763FE" w:rsidP="00BD7B69">
            <w:pPr>
              <w:rPr>
                <w:rFonts w:ascii="Times New Roman" w:hAnsi="Times New Roman" w:cs="Times New Roman"/>
                <w:b/>
                <w:bCs/>
              </w:rPr>
            </w:pPr>
            <w:r>
              <w:rPr>
                <w:rFonts w:ascii="Times New Roman" w:hAnsi="Times New Roman" w:cs="Times New Roman"/>
                <w:color w:val="000000"/>
                <w:sz w:val="22"/>
                <w:szCs w:val="22"/>
              </w:rPr>
              <w:t>J</w:t>
            </w:r>
            <w:r w:rsidR="00FE0F3E">
              <w:rPr>
                <w:rFonts w:ascii="Times New Roman" w:hAnsi="Times New Roman" w:cs="Times New Roman"/>
                <w:color w:val="000000"/>
                <w:sz w:val="22"/>
                <w:szCs w:val="22"/>
              </w:rPr>
              <w:t>e už</w:t>
            </w:r>
            <w:r>
              <w:rPr>
                <w:rFonts w:ascii="Times New Roman" w:hAnsi="Times New Roman" w:cs="Times New Roman"/>
                <w:color w:val="000000"/>
                <w:sz w:val="22"/>
                <w:szCs w:val="22"/>
              </w:rPr>
              <w:t xml:space="preserve"> upravené</w:t>
            </w:r>
            <w:r w:rsidR="00FE0F3E">
              <w:rPr>
                <w:rFonts w:ascii="Times New Roman" w:hAnsi="Times New Roman" w:cs="Times New Roman"/>
                <w:color w:val="000000"/>
                <w:sz w:val="22"/>
                <w:szCs w:val="22"/>
              </w:rPr>
              <w:t xml:space="preserve"> v zákone č. 657/2004 Z.</w:t>
            </w:r>
            <w:r>
              <w:rPr>
                <w:rFonts w:ascii="Times New Roman" w:hAnsi="Times New Roman" w:cs="Times New Roman"/>
                <w:color w:val="000000"/>
                <w:sz w:val="22"/>
                <w:szCs w:val="22"/>
              </w:rPr>
              <w:t xml:space="preserve"> </w:t>
            </w:r>
            <w:r w:rsidR="00FE0F3E">
              <w:rPr>
                <w:rFonts w:ascii="Times New Roman" w:hAnsi="Times New Roman" w:cs="Times New Roman"/>
                <w:color w:val="000000"/>
                <w:sz w:val="22"/>
                <w:szCs w:val="22"/>
              </w:rPr>
              <w:t>z.</w:t>
            </w:r>
          </w:p>
        </w:tc>
      </w:tr>
      <w:tr w:rsidR="00FE0F3E" w:rsidRPr="006278D2" w14:paraId="6FE8B9FC" w14:textId="16DADE74" w:rsidTr="00725D29">
        <w:trPr>
          <w:trHeight w:val="960"/>
        </w:trPr>
        <w:tc>
          <w:tcPr>
            <w:tcW w:w="975" w:type="dxa"/>
            <w:hideMark/>
          </w:tcPr>
          <w:p w14:paraId="3A4B8EB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317.</w:t>
            </w:r>
          </w:p>
        </w:tc>
        <w:tc>
          <w:tcPr>
            <w:tcW w:w="2656" w:type="dxa"/>
            <w:hideMark/>
          </w:tcPr>
          <w:p w14:paraId="7FAEC5E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6EEB8E20"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DB8660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Dôvodová správa </w:t>
            </w:r>
            <w:r w:rsidRPr="00BC49FC">
              <w:rPr>
                <w:rFonts w:ascii="Times New Roman" w:hAnsi="Times New Roman" w:cs="Times New Roman"/>
              </w:rPr>
              <w:t>Žiadame doplniť osobitnú dôvodovú správu k vypusteniu ustanovení v § 25 zákona o tepelnej energetike označených ako goldplating tak, aby bolo zrejmé, aká povinnosť sa vypúšťa, a prečo presahovala požiadavky EED.  Odôvodnenie: Vyššie uvedené v znení pripomienky.</w:t>
            </w:r>
          </w:p>
        </w:tc>
        <w:tc>
          <w:tcPr>
            <w:tcW w:w="2264" w:type="dxa"/>
            <w:vAlign w:val="bottom"/>
            <w:hideMark/>
          </w:tcPr>
          <w:p w14:paraId="062ECC86" w14:textId="1145126D"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sz w:val="22"/>
                <w:szCs w:val="22"/>
              </w:rPr>
              <w:t>N</w:t>
            </w:r>
          </w:p>
        </w:tc>
        <w:tc>
          <w:tcPr>
            <w:tcW w:w="2753" w:type="dxa"/>
            <w:vAlign w:val="bottom"/>
            <w:hideMark/>
          </w:tcPr>
          <w:p w14:paraId="4C68EA13" w14:textId="3ABB8572" w:rsidR="00FE0F3E" w:rsidRPr="00BC49FC" w:rsidRDefault="00FE0F3E" w:rsidP="00BD7B69">
            <w:pPr>
              <w:rPr>
                <w:rFonts w:ascii="Times New Roman" w:hAnsi="Times New Roman" w:cs="Times New Roman"/>
                <w:b/>
                <w:bCs/>
              </w:rPr>
            </w:pPr>
          </w:p>
        </w:tc>
      </w:tr>
      <w:tr w:rsidR="00FE0F3E" w:rsidRPr="006278D2" w14:paraId="2B16EB9C" w14:textId="670E236F" w:rsidTr="00725D29">
        <w:trPr>
          <w:trHeight w:val="2850"/>
        </w:trPr>
        <w:tc>
          <w:tcPr>
            <w:tcW w:w="975" w:type="dxa"/>
            <w:hideMark/>
          </w:tcPr>
          <w:p w14:paraId="4E33E5A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318.</w:t>
            </w:r>
          </w:p>
        </w:tc>
        <w:tc>
          <w:tcPr>
            <w:tcW w:w="2656" w:type="dxa"/>
            <w:hideMark/>
          </w:tcPr>
          <w:p w14:paraId="37FDB06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1A652182"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34C333A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 xml:space="preserve">Odporúčame vykonať dôslednú jazykovú, gramatickú a legislatívno-technickú úpravu návrhu zákona a všetkých vykonávacích vyhlášok vrátane príloh. Žiadame najmä zjednotiť terminológiu, opraviť odkazy na ustanovenia, odstrániť duplicitu v číslovaní, opraviť skloňovanie odborných pojmov a dôsledne odstrániť všetky pracovné poznámky a inštrukcie pre spracovateľa.  Odôvodnenie: Predložené materiály (všetky prílohy, vrátane návrhov vyhlášok) obsahujú množstvo formálnych a technických chýb, ktoré znižujú právnu istotu. textoch vyhlášok zostali interné pracovné poznámky predkladateľa (napr. „ÚLOHA TEXT PREPÍSAŤ DO FORMY VÝPOČTU CIEĽA“ v prílohách vyhlášky k cieľom alebo „doplniť vyhlášku“ vo vyhláške k auditu). Materiály obsahujú </w:t>
            </w:r>
            <w:r w:rsidRPr="00BC49FC">
              <w:rPr>
                <w:rFonts w:ascii="Times New Roman" w:hAnsi="Times New Roman" w:cs="Times New Roman"/>
              </w:rPr>
              <w:lastRenderedPageBreak/>
              <w:t>prázdne alebo neúplné odkazy na paragrafy a prílohy (napr. „§x odseku y“ vo vyhláške k CZT či „podľa prílohy č. [prázdne]“ vo vyhláške k registrom) a duplicitné číslovanie (dvakrát uvedený § 7 vo vyhláške k registrom). Zároveň je v materiáloch aplikovaná nekonzistentná terminológia (napr. používanie pojmu „centrálne“ namiesto zákonného „centralizované“ zásobovanie teplom) a vyskytujú sa chyby v skloňovaní kľúčových výrazov ako „trajektória“ či „aktualizácia“. Z nášho pohľadu takéto nedostatky sťažujú výklad predpisov a môžu viesť k chybám pri následnom reportovaní údajov voči orgánom EÚ napr. v rámci Integrovaných národných energetických a klimatických správ. Metodická neúplnosť materiálu v oblasti faktorov primárnej energie a štruktúry údajov o opatreniach vytvára systémovú prekážku pre sledovanie prínosov energetickej efektívnosti k ochrane ovzdušia . Bez doplnenia týchto technických parametrov nebude možné v aplikačnej praxi preukázať, ako konkrétne opatrenia prispeli k zníženiu emisií znečisťujúcich látok, čo je v priamom rozpore s potrebou sledovať environmentálne vplyvy energetických politík.</w:t>
            </w:r>
          </w:p>
        </w:tc>
        <w:tc>
          <w:tcPr>
            <w:tcW w:w="2264" w:type="dxa"/>
            <w:hideMark/>
          </w:tcPr>
          <w:p w14:paraId="3FA11C5B" w14:textId="6E1DC568"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ČA</w:t>
            </w:r>
          </w:p>
        </w:tc>
        <w:tc>
          <w:tcPr>
            <w:tcW w:w="2753" w:type="dxa"/>
            <w:hideMark/>
          </w:tcPr>
          <w:p w14:paraId="22C9999D" w14:textId="46FB2DBF" w:rsidR="00FE0F3E" w:rsidRPr="00BC49FC" w:rsidRDefault="00FE0F3E" w:rsidP="00BD7B69">
            <w:pPr>
              <w:rPr>
                <w:rFonts w:ascii="Times New Roman" w:hAnsi="Times New Roman" w:cs="Times New Roman"/>
              </w:rPr>
            </w:pPr>
            <w:r w:rsidRPr="00BC49FC">
              <w:rPr>
                <w:rFonts w:ascii="Times New Roman" w:hAnsi="Times New Roman" w:cs="Times New Roman"/>
              </w:rPr>
              <w:t xml:space="preserve">Návrhy vyhlášok majú informatívny charakter, nie sú predmetom pripomienkovania. </w:t>
            </w:r>
          </w:p>
        </w:tc>
      </w:tr>
      <w:tr w:rsidR="00FE0F3E" w:rsidRPr="006278D2" w14:paraId="22547AB5" w14:textId="4E868849" w:rsidTr="00725D29">
        <w:trPr>
          <w:trHeight w:val="1905"/>
        </w:trPr>
        <w:tc>
          <w:tcPr>
            <w:tcW w:w="975" w:type="dxa"/>
            <w:hideMark/>
          </w:tcPr>
          <w:p w14:paraId="295995C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319.</w:t>
            </w:r>
          </w:p>
        </w:tc>
        <w:tc>
          <w:tcPr>
            <w:tcW w:w="2656" w:type="dxa"/>
            <w:hideMark/>
          </w:tcPr>
          <w:p w14:paraId="6CD34EB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01801D33"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2AECE91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 xml:space="preserve">Návrh zákona o energetickej efektívnosti; Návrh vyhlášky k energetickej efektívnosti dátových centier.  Návrh zákona: § 13 ods. 1, § 13 ods. 2 písm. c) a d) a § 10 ods. 15. Návrh vyhlášky: § 2 ods. 1, § 3 ods. 1, § 4 ods. 2, § 7 a § 8 ods. 1. Odporúčame v návrhu zákona aj v návrhu vyhlášky nahradiť formuláciu „väčším ako 500 kW“ formuláciou „najmenej 500 kW“, a to najmä v § 13 ods. 1 návrhu zákona a v § 2 ods. 1, § 3 ods. 1 a § 4 ods. 2 návrhu vyhlášky. Zároveň odporúčame zosúladiť termíny poskytovania, vkladania, zverejňovania a zasielania údajov tak, aby povinnosť prevádzkovateľa dátového centra umožnila následné zverejnenie a zaslanie údajov do 15. mája.  Odôvodnenie: Citované delegované nariadenie (EÚ)  2024/1364 (článok 1)  pracuje s </w:t>
            </w:r>
            <w:r w:rsidRPr="00BC49FC">
              <w:rPr>
                <w:rFonts w:ascii="Times New Roman" w:hAnsi="Times New Roman" w:cs="Times New Roman"/>
              </w:rPr>
              <w:lastRenderedPageBreak/>
              <w:t>hranicou „najmenej 500 kW“. Navrhovaná formulácia „väčším ako 500 kW“ by mohla zúžiť okruh povinných subjektov a vylúčiť dátové centrá presne na hranici 500 kW. Zároveň je vhodné odstrániť aplikačnú nejasnosť medzi termínom 30. júna pre poskytnutie údajov prevádzkovateľovi monitorovacieho systému a termínom 15. mája na zverejnenie a zaslanie údajov.</w:t>
            </w:r>
          </w:p>
        </w:tc>
        <w:tc>
          <w:tcPr>
            <w:tcW w:w="2264" w:type="dxa"/>
            <w:hideMark/>
          </w:tcPr>
          <w:p w14:paraId="5DB72711" w14:textId="6154BA7C"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5662AB5A" w14:textId="2D16CF3B" w:rsidR="00FE0F3E" w:rsidRPr="00BC49FC" w:rsidRDefault="00FE0F3E" w:rsidP="00BD7B69">
            <w:pPr>
              <w:rPr>
                <w:rFonts w:ascii="Times New Roman" w:hAnsi="Times New Roman" w:cs="Times New Roman"/>
              </w:rPr>
            </w:pPr>
            <w:r w:rsidRPr="00BC49FC">
              <w:rPr>
                <w:rFonts w:ascii="Times New Roman" w:hAnsi="Times New Roman" w:cs="Times New Roman"/>
              </w:rPr>
              <w:t>Bude upravené v rámci samostatného legislatívneho procesu k návrhu vyhlášky.</w:t>
            </w:r>
          </w:p>
        </w:tc>
      </w:tr>
      <w:tr w:rsidR="00FE0F3E" w:rsidRPr="006278D2" w14:paraId="2BDCB457" w14:textId="2E23B4B5" w:rsidTr="00725D29">
        <w:trPr>
          <w:trHeight w:val="1590"/>
        </w:trPr>
        <w:tc>
          <w:tcPr>
            <w:tcW w:w="975" w:type="dxa"/>
            <w:hideMark/>
          </w:tcPr>
          <w:p w14:paraId="1DF4318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320.</w:t>
            </w:r>
          </w:p>
        </w:tc>
        <w:tc>
          <w:tcPr>
            <w:tcW w:w="2656" w:type="dxa"/>
            <w:hideMark/>
          </w:tcPr>
          <w:p w14:paraId="3C1C84E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2D232D45"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398C6F0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Návrh vyhlášky k energetickej efektívnosti dátových centier § 10 a príloha č. 3 návrhu vyhlášky; poznámka pod čiarou k odkazu na delegované nariadenie Komisie (EÚ) 2024/1364. Odporúčame legislatívno-technicky preveriť § 10 a prílohu č. 3 návrhu vyhlášky tak, aby bolo zrejmé, ktoré právne akty EÚ sa vyhláškou preberajú a ktoré sú iba priamo uplatniteľným právnym základom alebo osobitným predpisom. Delegované nariadenie Komisie (EÚ) 2024/1364 odporúčame uvádzať ako priamo uplatniteľný osobitný predpis, nie ako transponovaný právny akt.  Odôvodnenie: Delegované nariadenie EÚ sa ako nariadenie netransponuje do vnútroštátneho práva. Vnútroštátna úprava má zabezpečiť jeho praktickú vykonateľnosť, najmä procesné pravidlá, registráciu, kontrolu, validáciu a zasielanie údajov. Takáto úprava znižuje riziko nesprávneho výkladu zoznamu preberaných právne záväzných aktov EÚ.</w:t>
            </w:r>
          </w:p>
        </w:tc>
        <w:tc>
          <w:tcPr>
            <w:tcW w:w="2264" w:type="dxa"/>
            <w:hideMark/>
          </w:tcPr>
          <w:p w14:paraId="5B8B6961" w14:textId="58F56879"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0E569D49" w14:textId="02218439"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2585E232" w14:textId="14D0891A" w:rsidTr="00725D29">
        <w:trPr>
          <w:trHeight w:val="960"/>
        </w:trPr>
        <w:tc>
          <w:tcPr>
            <w:tcW w:w="975" w:type="dxa"/>
            <w:hideMark/>
          </w:tcPr>
          <w:p w14:paraId="4CFF37A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321.</w:t>
            </w:r>
          </w:p>
        </w:tc>
        <w:tc>
          <w:tcPr>
            <w:tcW w:w="2656" w:type="dxa"/>
            <w:hideMark/>
          </w:tcPr>
          <w:p w14:paraId="76062D5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66078873"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A0A963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Návrh vyhlášky k cieľom, plánom a opatreniam energetickej efektívnosti § 1 a nadväzujúce ustanovenia Odporúčame vykonať jazykovú a legislatívno-technickú kontrolu ustanovení upravujúcich ciele a trajektórie, najmä skloňovanie pojmov „trajektória“ a „aktualizácia“ odstrániť gramatické chyby, neúplné ustanovenia a formálne nepresnosti v texte a prílohách.  Odôvodnenie: Vyhláška upravuje zložité výpočtové a reportingové procesy, kde terminologická nejednotnosť môže sťažiť následnú aplikáciu a reportovanie údajov.</w:t>
            </w:r>
          </w:p>
        </w:tc>
        <w:tc>
          <w:tcPr>
            <w:tcW w:w="2264" w:type="dxa"/>
            <w:hideMark/>
          </w:tcPr>
          <w:p w14:paraId="1330BDA8" w14:textId="6B9B73B6"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FE88011" w14:textId="5ADA2598"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71CAB486" w14:textId="0E728244" w:rsidTr="00725D29">
        <w:trPr>
          <w:trHeight w:val="1275"/>
        </w:trPr>
        <w:tc>
          <w:tcPr>
            <w:tcW w:w="975" w:type="dxa"/>
            <w:hideMark/>
          </w:tcPr>
          <w:p w14:paraId="1C435FB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322.</w:t>
            </w:r>
          </w:p>
        </w:tc>
        <w:tc>
          <w:tcPr>
            <w:tcW w:w="2656" w:type="dxa"/>
            <w:hideMark/>
          </w:tcPr>
          <w:p w14:paraId="5FBC019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4A95DF56"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2A5CC2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Návrh vyhlášky k cieľom, plánom a opatreniam energetickej efektívnosti § 6 ods. 8 a 9 návrhu vyhlášky; nadväzne § 45 ods. 1 písm. a) bod 6 a 11 návrhu zákona. Odporúčame formulačne spresniť § 6 ods. 8 a 9 návrhu vyhlášky tak, aby bolo jednoznačné, ako sa pri plnení cieľa úspory energie u konečného spotrebiteľa zohľadnia nedosiahnuté úspory a nadbytočné úspory energie, najmä v akom rozsahu a za akých podmienok možno preniesť nadbytočné úspory do nasledujúceho obdobia.  Odôvodnenie: Spresnenie postupu podporí transparentné a porovnateľné vyhodnocovanie plnenia cieľov energetickej efektívnosti. Zároveň zabráni nejasnostiam pri výklade pravidla, podľa ktorého možno do nasledujúceho obdobia preniesť najviac 10 % prebytku úspor energie.</w:t>
            </w:r>
          </w:p>
        </w:tc>
        <w:tc>
          <w:tcPr>
            <w:tcW w:w="2264" w:type="dxa"/>
            <w:hideMark/>
          </w:tcPr>
          <w:p w14:paraId="5D95827A" w14:textId="08D85CC4"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BBB76D5" w14:textId="7DE11C79"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3DBF8F09" w14:textId="6D83206E" w:rsidTr="00725D29">
        <w:trPr>
          <w:trHeight w:val="1590"/>
        </w:trPr>
        <w:tc>
          <w:tcPr>
            <w:tcW w:w="975" w:type="dxa"/>
            <w:hideMark/>
          </w:tcPr>
          <w:p w14:paraId="087C6F2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323.</w:t>
            </w:r>
          </w:p>
        </w:tc>
        <w:tc>
          <w:tcPr>
            <w:tcW w:w="2656" w:type="dxa"/>
            <w:hideMark/>
          </w:tcPr>
          <w:p w14:paraId="28C098A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7FAD6A66"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3AD7D78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 xml:space="preserve">Návrh vyhlášky k cieľom, plánom a opatreniam energetickej efektívnosti § 10 ods. 2 písm. h) a príloha č. 6 návrhu vyhlášky Odporúčame v § 10 ods. 2 písm. h) a v nadväzujúcom vzore metodickej tabuľky (príloha č. 6) doplniť k emisiám skleníkových </w:t>
            </w:r>
            <w:r w:rsidRPr="00BC49FC">
              <w:rPr>
                <w:rFonts w:ascii="Times New Roman" w:hAnsi="Times New Roman" w:cs="Times New Roman"/>
              </w:rPr>
              <w:lastRenderedPageBreak/>
              <w:t>plynov aj povinné vyhodnotenie základných znečisťujúcich látok (TZL/PM, NOx, SO2 a CO) pre tie opatrenia, ktoré zakladajú zmenu palivovej základne alebo zmenu zdroja tepla.  Odôvodnenie: V stanovisku Komisie pre posudzovanie vybraných vplyvov k doložke vplyvov bolo výslovne uvedené, že sa v analýze vplyvov na životné prostredie očakáva aspoň odhad zníženia produkcie znečisťujúcich látok. Bez zahrnutia týchto dátových polí do metodického vzoru (ktorý je momentálne v prílohe č. 6 len vo forme odkazu na dopracovanie) nebude mať rezort k dispozícii údaje potrebné na splnenie tejto požiadavky Komisie a na objektívne vyhodnotenie prínosu energetických úspor k ochrane ovzdušia.</w:t>
            </w:r>
          </w:p>
        </w:tc>
        <w:tc>
          <w:tcPr>
            <w:tcW w:w="2264" w:type="dxa"/>
            <w:hideMark/>
          </w:tcPr>
          <w:p w14:paraId="0574DF85" w14:textId="5B25A02C"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6FAF93A2" w14:textId="400E4026"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6FD41CB1" w14:textId="29EBC7FE" w:rsidTr="00725D29">
        <w:trPr>
          <w:trHeight w:val="1275"/>
        </w:trPr>
        <w:tc>
          <w:tcPr>
            <w:tcW w:w="975" w:type="dxa"/>
            <w:hideMark/>
          </w:tcPr>
          <w:p w14:paraId="78DF165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324.</w:t>
            </w:r>
          </w:p>
        </w:tc>
        <w:tc>
          <w:tcPr>
            <w:tcW w:w="2656" w:type="dxa"/>
            <w:hideMark/>
          </w:tcPr>
          <w:p w14:paraId="216A2D0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014D47D3"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0CC90F9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Návrh vyhlášky k energetickej účinnosti a faktorom primárnej energie § 1 písm. a) až e) návrhu vyhlášky; nadväzne § 45 ods. 1 písm. s) a t) návrhu zákona. Odporúčame dopracovať návrh vyhlášky tak, aby obsahoval konkrétne hodnoty, spôsob výpočtu a hranice posudzovania energetickej účinnosti, koeficientov premeny energie a faktorov primárnej energie vrátane faktorov neobnoviteľnej, obnoviteľnej a celkovej primárnej energie, prípadne jednoznačný odkaz na ich určenie.  Odôvodnenie: Vyhláška má podľa svojho predmetu upraviť nielen rámec, ale aj hodnoty a spôsob výpočtu uvedených faktorov. Jasnejšie nastavenie hodnôt alebo metodických odkazov prispeje k právnej istote, porovnateľnosti výpočtov a konzistentnému vyhodnocovaniu úspor energie a primárnej energetickej spotreby.</w:t>
            </w:r>
          </w:p>
        </w:tc>
        <w:tc>
          <w:tcPr>
            <w:tcW w:w="2264" w:type="dxa"/>
            <w:hideMark/>
          </w:tcPr>
          <w:p w14:paraId="18670412" w14:textId="12B90EF1"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313F613" w14:textId="2B32FA13"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74953631" w14:textId="273021C2" w:rsidTr="00725D29">
        <w:trPr>
          <w:trHeight w:val="1590"/>
        </w:trPr>
        <w:tc>
          <w:tcPr>
            <w:tcW w:w="975" w:type="dxa"/>
            <w:hideMark/>
          </w:tcPr>
          <w:p w14:paraId="375D961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325.</w:t>
            </w:r>
          </w:p>
        </w:tc>
        <w:tc>
          <w:tcPr>
            <w:tcW w:w="2656" w:type="dxa"/>
            <w:hideMark/>
          </w:tcPr>
          <w:p w14:paraId="1C54618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6C2F2C98"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68CEC34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 xml:space="preserve">Návrh vyhlášky o účinnom centralizovanom zásobovaní teplom § 2 ods. 1 písm. d) a e), § 3 ods. 1, § 4 ods. 1 a prílohy č. 6 a 7 návrhu vyhlášky; nadväzne § 18b ods. 1 a 2 zákona č. 657/2004 Z. z. Odporúčame spresniť, ako sa pri preukazovaní splnenia podmienky účinného centralizovaného zásobovania teplom zohľadní </w:t>
            </w:r>
            <w:r w:rsidRPr="00BC49FC">
              <w:rPr>
                <w:rFonts w:ascii="Times New Roman" w:hAnsi="Times New Roman" w:cs="Times New Roman"/>
              </w:rPr>
              <w:lastRenderedPageBreak/>
              <w:t>bilančné obdobie alebo mimoriadne bilančné obdobie vo vzťahu ku konkrétnym časovým kritériám podľa § 18b zákona č. 657/2004 Z. z.  Odôvodnenie: Návrh vyhlášky umožňuje bilančné obdobie v trvaní až štyroch kalendárnych rokov. Pri postupne sa sprísňujúcich kritériách účinného centralizovaného zásobovania teplom je vhodné predísť nejasnosti, či sa splnenie podmienky posudzuje podľa kritérií platných v jednotlivých rokoch bilančného obdobia, alebo podľa kritérií platných v čase preukazovania splnenia podmienky.</w:t>
            </w:r>
          </w:p>
        </w:tc>
        <w:tc>
          <w:tcPr>
            <w:tcW w:w="2264" w:type="dxa"/>
            <w:hideMark/>
          </w:tcPr>
          <w:p w14:paraId="5F26183D" w14:textId="530B049F"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537CC4C2" w14:textId="5DB074C8"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45EB36E4" w14:textId="121E7130" w:rsidTr="00725D29">
        <w:trPr>
          <w:trHeight w:val="1905"/>
        </w:trPr>
        <w:tc>
          <w:tcPr>
            <w:tcW w:w="975" w:type="dxa"/>
            <w:hideMark/>
          </w:tcPr>
          <w:p w14:paraId="1B4CEF5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326.</w:t>
            </w:r>
          </w:p>
        </w:tc>
        <w:tc>
          <w:tcPr>
            <w:tcW w:w="2656" w:type="dxa"/>
            <w:hideMark/>
          </w:tcPr>
          <w:p w14:paraId="718681B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502A6021"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04B6C38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Návrh vyhlášky o účinnom centralizovanom zásobovaní teplom § 4 ods. 1 a 3, príloha č. 3 a príloha č. 7 návrhu vyhlášky; nadväzne § 18b ods. 2 zákona č. 657/2004 Z. z. Odporúčame v § 4 ods. 1 návrhu vyhlášky nahradiť odkaz na § 18b ods. 3 zákona odkazom na § 18b ods. 2 zákona č. 657/2004 Z. z. a zároveň v celom texte ustanovenia aj nadväzujúcich príloh terminologicky zjednotiť pojem „centrálne zásobovanie teplom“ na „centralizované zásobovanie teplom“ v súlade so znením zákona. Zároveň odporúčame v prílohe č. 3 nahradiť všeobecný odkaz „§x odseku y zákona“ konkrétnym odkazom na § 18b ods. 2 zákona a primerane upraviť aj vzor potvrdenia v prílohe č. 7 tak, aby obsahoval jednoznačnú väzbu na zákonné emisné kritériá.  Odôvodnenie: Hodnoty emisného kritéria (200/150/100/50/0 g CO₂/kWh) sú v návrhu zákona ustanovené v § 18b ods. 2. Presný odkaz je potrebný na jednoznačné porovnanie vypočítanej hodnoty so zákonnými limitmi. Terminologické zjednotenie s textom zákona a spresnenie vzoru potvrdenia zvýši právnu istotu dodávateľov aj posudzujúcej organizácie a predíde rozdielnemu výkladu pri preukazovaní podmienky účinnosti.</w:t>
            </w:r>
          </w:p>
        </w:tc>
        <w:tc>
          <w:tcPr>
            <w:tcW w:w="2264" w:type="dxa"/>
            <w:hideMark/>
          </w:tcPr>
          <w:p w14:paraId="72770CD1" w14:textId="1924C462"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5C33AFC6" w14:textId="557CFA3E"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779C6305" w14:textId="7E8EC88F" w:rsidTr="00725D29">
        <w:trPr>
          <w:trHeight w:val="1590"/>
        </w:trPr>
        <w:tc>
          <w:tcPr>
            <w:tcW w:w="975" w:type="dxa"/>
            <w:hideMark/>
          </w:tcPr>
          <w:p w14:paraId="6BA59B3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327.</w:t>
            </w:r>
          </w:p>
        </w:tc>
        <w:tc>
          <w:tcPr>
            <w:tcW w:w="2656" w:type="dxa"/>
            <w:hideMark/>
          </w:tcPr>
          <w:p w14:paraId="4B41B89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33539109"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27EFDCB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Návrh vyhlášky k registrom energetickej efektívnosti § 1 úvodná veta, § 7 a § 9 návrhu vyhlášky Odporúčame legislatívno-technicky upraviť úvodnú vetu § 1 tak, aby bolo zrejmé, že vyhláška upravuje postup zápisu do jednotlivých registrov, vzory žiadostí a potvrdení, obsah registrov, postup poskytovania údajov prevádzkovateľovi monitorovacieho systému a rozsah a formu údajov poskytovaných do jednotlivých registrov podľa § 11 zákona. Zároveň navrhujeme odstrániť duplicitné číslovanie § 7, doplniť chýbajúci vecný rozsah údajov pre „register opatrení“ a opraviť neúplné odkazy na prílohy v § 9 (Register energetických služieb).  Odôvodnenie: Navrhovaná úvodná veta je formulačne neprehľadná a gramaticky pôsobí nedokončene. Úprava zvyšuje zrozumiteľnosť a legislatívnu presnosť. Oprava číslovania paragrafov a doplnenie chýbajúceho rozsahu registra opatrení je nevyhnutné pre praktickú vykonateľnosť vyhlášky, nakoľko bez jasne zadefinovaných dát v registri opatrení nebude možné efektívne sledovať úspory ani klimatické prínosy.</w:t>
            </w:r>
          </w:p>
        </w:tc>
        <w:tc>
          <w:tcPr>
            <w:tcW w:w="2264" w:type="dxa"/>
            <w:hideMark/>
          </w:tcPr>
          <w:p w14:paraId="37F409AA" w14:textId="4AB15275"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282391C8" w14:textId="3698F158"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3126AAEF" w14:textId="533B0F88" w:rsidTr="00725D29">
        <w:trPr>
          <w:trHeight w:val="960"/>
        </w:trPr>
        <w:tc>
          <w:tcPr>
            <w:tcW w:w="975" w:type="dxa"/>
            <w:hideMark/>
          </w:tcPr>
          <w:p w14:paraId="458FADF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328.</w:t>
            </w:r>
          </w:p>
        </w:tc>
        <w:tc>
          <w:tcPr>
            <w:tcW w:w="2656" w:type="dxa"/>
            <w:hideMark/>
          </w:tcPr>
          <w:p w14:paraId="34113C4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MŽPSR </w:t>
            </w:r>
            <w:r w:rsidRPr="00BC49FC">
              <w:rPr>
                <w:rFonts w:ascii="Times New Roman" w:hAnsi="Times New Roman" w:cs="Times New Roman"/>
              </w:rPr>
              <w:t>Ministerstvo životného prostredia Slovenskej republiky</w:t>
            </w:r>
          </w:p>
        </w:tc>
        <w:tc>
          <w:tcPr>
            <w:tcW w:w="612" w:type="dxa"/>
            <w:hideMark/>
          </w:tcPr>
          <w:p w14:paraId="1442A3C6"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B91A1F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Vlastný materiál </w:t>
            </w:r>
            <w:r w:rsidRPr="00BC49FC">
              <w:rPr>
                <w:rFonts w:ascii="Times New Roman" w:hAnsi="Times New Roman" w:cs="Times New Roman"/>
              </w:rPr>
              <w:t>Návrh vyhlášky k monitorovaciemu systému a súboru údajov § 1, nadväzne na § 10 ods. 5 a 9 návrhu zákona Odporúčame v rámci monitorovacieho systému zvážiť určenie minimálneho dátového štandardu (najmä polia pre palivovú základňu a znečisťujúce látky TZL/PM, NOx, SO2 a CO) pre opatrenia so zmenou zdroja tepla.  Odôvodnenie: Samotná doložka vplyvov uvádza, že v analýze vplyvov na ŽP sa očakáva aspoň odhad zníženia produkcie emisií. Bez základného prepojenia úspor energie s údajmi o zdroji a palive nebude možné tieto environmentálne prínosy spoľahlivo vyhodnotiť.</w:t>
            </w:r>
          </w:p>
        </w:tc>
        <w:tc>
          <w:tcPr>
            <w:tcW w:w="2264" w:type="dxa"/>
            <w:hideMark/>
          </w:tcPr>
          <w:p w14:paraId="7CFE9189" w14:textId="34654A5A"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D221FB1" w14:textId="246F8820" w:rsidR="00FE0F3E" w:rsidRPr="00BC49FC" w:rsidRDefault="00FE0F3E" w:rsidP="00BD7B69">
            <w:pPr>
              <w:rPr>
                <w:rFonts w:ascii="Times New Roman" w:hAnsi="Times New Roman" w:cs="Times New Roman"/>
                <w:b/>
                <w:bCs/>
              </w:rPr>
            </w:pPr>
            <w:r w:rsidRPr="00F743B5">
              <w:rPr>
                <w:rFonts w:ascii="Times New Roman" w:hAnsi="Times New Roman" w:cs="Times New Roman"/>
              </w:rPr>
              <w:t>Bude upravené v rámci samostatného legislatívneho procesu k návrhu vyhlášky.</w:t>
            </w:r>
          </w:p>
        </w:tc>
      </w:tr>
      <w:tr w:rsidR="00FE0F3E" w:rsidRPr="006278D2" w14:paraId="11185541" w14:textId="1E895062" w:rsidTr="00725D29">
        <w:trPr>
          <w:trHeight w:val="960"/>
        </w:trPr>
        <w:tc>
          <w:tcPr>
            <w:tcW w:w="975" w:type="dxa"/>
            <w:hideMark/>
          </w:tcPr>
          <w:p w14:paraId="3378604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330.</w:t>
            </w:r>
          </w:p>
        </w:tc>
        <w:tc>
          <w:tcPr>
            <w:tcW w:w="2656" w:type="dxa"/>
            <w:hideMark/>
          </w:tcPr>
          <w:p w14:paraId="2C133CC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NBS </w:t>
            </w:r>
            <w:r w:rsidRPr="00BC49FC">
              <w:rPr>
                <w:rFonts w:ascii="Times New Roman" w:hAnsi="Times New Roman" w:cs="Times New Roman"/>
              </w:rPr>
              <w:t>Národná banka Slovenska</w:t>
            </w:r>
          </w:p>
        </w:tc>
        <w:tc>
          <w:tcPr>
            <w:tcW w:w="612" w:type="dxa"/>
            <w:hideMark/>
          </w:tcPr>
          <w:p w14:paraId="790F2063"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45A797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 8 ods. 3 až 5 </w:t>
            </w:r>
            <w:r w:rsidRPr="00BC49FC">
              <w:rPr>
                <w:rFonts w:ascii="Times New Roman" w:hAnsi="Times New Roman" w:cs="Times New Roman"/>
              </w:rPr>
              <w:t xml:space="preserve">Navrhujeme nahradiť slová „alebo iná finančná inštitúcia“ slovami „,pobočka zahraničnej banky alebo iná úverová inštitúcia“. Odôvodnenie: Okruh inštitúcií poskytujúcich tzv. zelené úvery </w:t>
            </w:r>
            <w:r w:rsidRPr="00BC49FC">
              <w:rPr>
                <w:rFonts w:ascii="Times New Roman" w:hAnsi="Times New Roman" w:cs="Times New Roman"/>
              </w:rPr>
              <w:lastRenderedPageBreak/>
              <w:t>odporúčame upraviť tak, aby sa rozšíril aj na pobočky zahraničných bánk, ktoré podľa zákona č. 483/2001 Z. z. o bankách môžu vykonávať väčšinu bankových činností, vrátane poskytovania úverov a pojem „iná finančná inštitúcia“ zúžiť len na „inú úverovú inštitúciu“, nakoľko finančnou inštitúciou vo finančnej legislatíve je napr. aj poisťovňa, dôchodková správcovská spoločnosť a pod., ktoré úvery neposkytujú.</w:t>
            </w:r>
          </w:p>
        </w:tc>
        <w:tc>
          <w:tcPr>
            <w:tcW w:w="2264" w:type="dxa"/>
            <w:vAlign w:val="center"/>
            <w:hideMark/>
          </w:tcPr>
          <w:p w14:paraId="2DF29BAE" w14:textId="5F18D1EA"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vAlign w:val="center"/>
            <w:hideMark/>
          </w:tcPr>
          <w:p w14:paraId="4F4B26B2" w14:textId="5639E2C9" w:rsidR="00FE0F3E" w:rsidRPr="00BC49FC" w:rsidRDefault="00FE0F3E" w:rsidP="00BD7B69">
            <w:pPr>
              <w:rPr>
                <w:rFonts w:ascii="Times New Roman" w:hAnsi="Times New Roman" w:cs="Times New Roman"/>
                <w:b/>
                <w:bCs/>
              </w:rPr>
            </w:pPr>
          </w:p>
        </w:tc>
      </w:tr>
      <w:tr w:rsidR="00FE0F3E" w:rsidRPr="006278D2" w14:paraId="2379BFBE" w14:textId="048BEA68" w:rsidTr="00725D29">
        <w:trPr>
          <w:trHeight w:val="1590"/>
        </w:trPr>
        <w:tc>
          <w:tcPr>
            <w:tcW w:w="975" w:type="dxa"/>
            <w:hideMark/>
          </w:tcPr>
          <w:p w14:paraId="6D8B693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331</w:t>
            </w:r>
          </w:p>
        </w:tc>
        <w:tc>
          <w:tcPr>
            <w:tcW w:w="2656" w:type="dxa"/>
            <w:hideMark/>
          </w:tcPr>
          <w:p w14:paraId="1851461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NBS </w:t>
            </w:r>
            <w:r w:rsidRPr="00BC49FC">
              <w:rPr>
                <w:rFonts w:ascii="Times New Roman" w:hAnsi="Times New Roman" w:cs="Times New Roman"/>
              </w:rPr>
              <w:t>Národná banka Slovenska</w:t>
            </w:r>
          </w:p>
        </w:tc>
        <w:tc>
          <w:tcPr>
            <w:tcW w:w="612" w:type="dxa"/>
            <w:hideMark/>
          </w:tcPr>
          <w:p w14:paraId="00F9CC3A"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0A1C7C9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 8 a 10 </w:t>
            </w:r>
            <w:r w:rsidRPr="00BC49FC">
              <w:rPr>
                <w:rFonts w:ascii="Times New Roman" w:hAnsi="Times New Roman" w:cs="Times New Roman"/>
              </w:rPr>
              <w:t>Odporúčame doplniť ustanovenie, ktoré zohľadní zásady poskytovania údajov podliehajúcich bankovému tajomstvu (§ 91 zákona č. 483/2001 Z. z. o bankách a o zmene a doplnení niektorých zákonov), služobnému tajomstvu a povinnosti mlčanlivosti (§ 41 zákona Národnej rady Slovenskej republiky č. 566/1992 Zb. v znení neskorších predpisov) a tiež ustanoviť rozsah poskytovaných údajov. Odôvodnenie: Z predloženého návrhu nie je možné posúdiť, aké údaje a v akom rozsah sa vyžadujú a či poskytovanie údajov nemôže byť v rozpore s povinnosťou zachovávať bankové tajomstvo a povinnosť mlčanlivosti v oblasti právnych predpisov upravujúcich podnikanie finančných inštitúcií. Obdobne, pri poskytovateľovi údajov, ktorým má byť NBS a nedôjde k akceptovaniu zásadnej pripomienky NBS požadujúcej vypustenie NBS ako poskytovateľa údajov, by mohlo dôjsť k porušeniu služobného tajomstva alebo povinnosti zachovávať mlčanlivosť o vykonanom dohľade, ktorý je neverejný.</w:t>
            </w:r>
          </w:p>
        </w:tc>
        <w:tc>
          <w:tcPr>
            <w:tcW w:w="2264" w:type="dxa"/>
            <w:vAlign w:val="center"/>
            <w:hideMark/>
          </w:tcPr>
          <w:p w14:paraId="01E3F364" w14:textId="05BE1EA0" w:rsidR="00FE0F3E" w:rsidRPr="00BC49FC" w:rsidRDefault="00FE0F3E" w:rsidP="00BD7B69">
            <w:pPr>
              <w:rPr>
                <w:rFonts w:ascii="Times New Roman" w:hAnsi="Times New Roman" w:cs="Times New Roman"/>
                <w:b/>
                <w:bCs/>
                <w:highlight w:val="yellow"/>
              </w:rPr>
            </w:pPr>
            <w:r w:rsidRPr="00BC49FC">
              <w:rPr>
                <w:rFonts w:ascii="Times New Roman" w:hAnsi="Times New Roman" w:cs="Times New Roman"/>
                <w:b/>
                <w:bCs/>
                <w:color w:val="000000"/>
              </w:rPr>
              <w:t>ČA</w:t>
            </w:r>
          </w:p>
        </w:tc>
        <w:tc>
          <w:tcPr>
            <w:tcW w:w="2753" w:type="dxa"/>
            <w:vAlign w:val="center"/>
            <w:hideMark/>
          </w:tcPr>
          <w:p w14:paraId="20FCF618" w14:textId="69A99F4A" w:rsidR="00FE0F3E" w:rsidRPr="00BC49FC" w:rsidRDefault="00FE0F3E" w:rsidP="00BD7B69">
            <w:pPr>
              <w:rPr>
                <w:rFonts w:ascii="Times New Roman" w:hAnsi="Times New Roman" w:cs="Times New Roman"/>
                <w:b/>
                <w:bCs/>
                <w:highlight w:val="yellow"/>
              </w:rPr>
            </w:pPr>
            <w:r w:rsidRPr="00BC49FC">
              <w:rPr>
                <w:rFonts w:ascii="Times New Roman" w:hAnsi="Times New Roman" w:cs="Times New Roman"/>
                <w:color w:val="000000"/>
              </w:rPr>
              <w:t>Doplnené v § 10 ods.</w:t>
            </w:r>
            <w:r w:rsidRPr="00BC49FC">
              <w:rPr>
                <w:rFonts w:ascii="Times New Roman" w:hAnsi="Times New Roman" w:cs="Times New Roman"/>
                <w:b/>
                <w:bCs/>
                <w:color w:val="000000"/>
              </w:rPr>
              <w:t xml:space="preserve"> </w:t>
            </w:r>
            <w:r w:rsidRPr="00BC49FC">
              <w:rPr>
                <w:rFonts w:ascii="Times New Roman" w:hAnsi="Times New Roman" w:cs="Times New Roman"/>
                <w:color w:val="000000"/>
              </w:rPr>
              <w:t>21.</w:t>
            </w:r>
          </w:p>
        </w:tc>
      </w:tr>
      <w:tr w:rsidR="00FE0F3E" w:rsidRPr="006278D2" w14:paraId="5116BC4A" w14:textId="6D452033" w:rsidTr="00725D29">
        <w:trPr>
          <w:trHeight w:val="1905"/>
        </w:trPr>
        <w:tc>
          <w:tcPr>
            <w:tcW w:w="975" w:type="dxa"/>
            <w:hideMark/>
          </w:tcPr>
          <w:p w14:paraId="10BD93A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332.</w:t>
            </w:r>
          </w:p>
        </w:tc>
        <w:tc>
          <w:tcPr>
            <w:tcW w:w="2656" w:type="dxa"/>
            <w:hideMark/>
          </w:tcPr>
          <w:p w14:paraId="53D67BFE"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NBS </w:t>
            </w:r>
            <w:r w:rsidRPr="00BC49FC">
              <w:rPr>
                <w:rFonts w:ascii="Times New Roman" w:hAnsi="Times New Roman" w:cs="Times New Roman"/>
              </w:rPr>
              <w:t>Národná banka Slovenska</w:t>
            </w:r>
          </w:p>
        </w:tc>
        <w:tc>
          <w:tcPr>
            <w:tcW w:w="612" w:type="dxa"/>
            <w:hideMark/>
          </w:tcPr>
          <w:p w14:paraId="665FAD4E"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F886C63"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 2 písm. ag) § 8 ods. 2 písm. c) </w:t>
            </w:r>
            <w:r w:rsidRPr="00BC49FC">
              <w:rPr>
                <w:rFonts w:ascii="Times New Roman" w:hAnsi="Times New Roman" w:cs="Times New Roman"/>
              </w:rPr>
              <w:t xml:space="preserve">Navrhujeme vypustiť § 2 písm. ag) a § 8 ods. 2 písm. c) navrhujeme upraviť nasledovne: „c) pomer verejného a súkromného financovania opatrenia energetickej efektívnosti,“. Odôvodnenie: Pojem „pákový efekt“ sa používa v predpisoch finančného práva, napr. v zákone č. 203/2011 Z. z. o kolektívnom investovaní ako metóda, ktorou správcovská spoločnosť zvyšuje expozíciu ňou </w:t>
            </w:r>
            <w:r w:rsidRPr="00BC49FC">
              <w:rPr>
                <w:rFonts w:ascii="Times New Roman" w:hAnsi="Times New Roman" w:cs="Times New Roman"/>
              </w:rPr>
              <w:lastRenderedPageBreak/>
              <w:t>spravovaného fondu, a to prostredníctvom vypožičiavania peňažných prostriedkov alebo cenných papierov, derivátových pozícií alebo iným spôsobom alebo v zákone č. 483/2001 Z. z. o bankách s odkazom na čl. 3 bod 93 nariadenia CRR (EÚ) 575/2013 pojem „finančná páka“ v obdobnom význame ako relatívna výška aktív inštitúcie, podsúvahových záväzkov a podmienených záväzkov zaplatiť, postúpiť alebo poskytnúť kolaterál, vrátane záväzkov z prijatých finančných prostriedkov, urobených prísľubov, derivátov alebo zmlúv o repo transakciách, avšak s výnimkou prísľubov, ktoré možno uplatniť len počas likvidácie inštitúcie, a to v porovnaní s vlastnými zdrojmi inštitúcie. Používanie pojmu „pákový efekt“ pre pomenovanie jednoduchého pomeru medzi verejným a súkromným financovaním energetickej efektívnosti preto považujeme za nesprávne.</w:t>
            </w:r>
          </w:p>
        </w:tc>
        <w:tc>
          <w:tcPr>
            <w:tcW w:w="2264" w:type="dxa"/>
            <w:hideMark/>
          </w:tcPr>
          <w:p w14:paraId="2FB3171D" w14:textId="790B25B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 </w:t>
            </w:r>
            <w:r w:rsidRPr="006C0B75">
              <w:rPr>
                <w:rFonts w:ascii="Times New Roman" w:hAnsi="Times New Roman" w:cs="Times New Roman"/>
                <w:b/>
                <w:bCs/>
              </w:rPr>
              <w:t>A</w:t>
            </w:r>
          </w:p>
        </w:tc>
        <w:tc>
          <w:tcPr>
            <w:tcW w:w="2753" w:type="dxa"/>
            <w:hideMark/>
          </w:tcPr>
          <w:p w14:paraId="048A84D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0746DB5F" w14:textId="17CB3F3F" w:rsidTr="00725D29">
        <w:trPr>
          <w:trHeight w:val="1275"/>
        </w:trPr>
        <w:tc>
          <w:tcPr>
            <w:tcW w:w="975" w:type="dxa"/>
            <w:hideMark/>
          </w:tcPr>
          <w:p w14:paraId="704245B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333.</w:t>
            </w:r>
          </w:p>
        </w:tc>
        <w:tc>
          <w:tcPr>
            <w:tcW w:w="2656" w:type="dxa"/>
            <w:hideMark/>
          </w:tcPr>
          <w:p w14:paraId="3979475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NBS </w:t>
            </w:r>
            <w:r w:rsidRPr="00BC49FC">
              <w:rPr>
                <w:rFonts w:ascii="Times New Roman" w:hAnsi="Times New Roman" w:cs="Times New Roman"/>
              </w:rPr>
              <w:t>Národná banka Slovenska</w:t>
            </w:r>
          </w:p>
        </w:tc>
        <w:tc>
          <w:tcPr>
            <w:tcW w:w="612" w:type="dxa"/>
            <w:hideMark/>
          </w:tcPr>
          <w:p w14:paraId="7CB37227"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0B2F4B4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 8 ods. 3 </w:t>
            </w:r>
            <w:r w:rsidRPr="00BC49FC">
              <w:rPr>
                <w:rFonts w:ascii="Times New Roman" w:hAnsi="Times New Roman" w:cs="Times New Roman"/>
              </w:rPr>
              <w:t>Ustanovenie navrhujeme vypustiť alebo ho preformulovať tak, aby bolo zrejmé, o aké plnenie povinností zo strany banky a inej finančnej inštitúcie má ísť. Odôvodnenie: Navrhované ustanovenie odkazuje na plnenie povinností gestora energetickej efektívnosti podľa odseku 2 zasielať údaje prevádzkovateľovi monitorovacieho systému. Gestorovi zákon ukladá povinnosť zasielať napr. údaje o energetickej úspore dosiahnutej opatrením energetickej efektívnosti vyjadrenej v energetických jednotkách, objem verejného financovania opatrenia, pomer verejného a súkromného financovania opatrenia a pod. Z definície pojmu „gestor“ a jeho úloh naprieč zákonom máme za to, že takýmto subjektom banka ani iná finančná inštitúcia byť nemôžu.</w:t>
            </w:r>
          </w:p>
        </w:tc>
        <w:tc>
          <w:tcPr>
            <w:tcW w:w="2264" w:type="dxa"/>
            <w:hideMark/>
          </w:tcPr>
          <w:p w14:paraId="306818F2" w14:textId="2B50B872" w:rsidR="00FE0F3E" w:rsidRPr="00BC49FC" w:rsidRDefault="00FE0F3E" w:rsidP="00BD7B69">
            <w:pPr>
              <w:rPr>
                <w:rFonts w:ascii="Times New Roman" w:hAnsi="Times New Roman" w:cs="Times New Roman"/>
                <w:b/>
                <w:bCs/>
              </w:rPr>
            </w:pPr>
            <w:r>
              <w:rPr>
                <w:rFonts w:ascii="Times New Roman" w:hAnsi="Times New Roman" w:cs="Times New Roman"/>
                <w:b/>
                <w:bCs/>
              </w:rPr>
              <w:t>AO</w:t>
            </w:r>
          </w:p>
        </w:tc>
        <w:tc>
          <w:tcPr>
            <w:tcW w:w="2753" w:type="dxa"/>
            <w:hideMark/>
          </w:tcPr>
          <w:p w14:paraId="2491C532" w14:textId="52C0A9BB" w:rsidR="00FE0F3E" w:rsidRPr="00BC49FC" w:rsidRDefault="00FE0F3E" w:rsidP="00BD7B69">
            <w:pPr>
              <w:rPr>
                <w:rFonts w:ascii="Times New Roman" w:hAnsi="Times New Roman" w:cs="Times New Roman"/>
              </w:rPr>
            </w:pPr>
            <w:r w:rsidRPr="00BC49FC">
              <w:rPr>
                <w:rFonts w:ascii="Times New Roman" w:hAnsi="Times New Roman" w:cs="Times New Roman"/>
              </w:rPr>
              <w:t>Upravené v zmysle pripomienky.</w:t>
            </w:r>
          </w:p>
        </w:tc>
      </w:tr>
      <w:tr w:rsidR="00FE0F3E" w:rsidRPr="006278D2" w14:paraId="2103A97C" w14:textId="3DEB3227" w:rsidTr="00725D29">
        <w:trPr>
          <w:trHeight w:val="2220"/>
        </w:trPr>
        <w:tc>
          <w:tcPr>
            <w:tcW w:w="975" w:type="dxa"/>
            <w:hideMark/>
          </w:tcPr>
          <w:p w14:paraId="445A7493"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334.</w:t>
            </w:r>
          </w:p>
        </w:tc>
        <w:tc>
          <w:tcPr>
            <w:tcW w:w="2656" w:type="dxa"/>
            <w:hideMark/>
          </w:tcPr>
          <w:p w14:paraId="5D36F38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NBÚ </w:t>
            </w:r>
            <w:r w:rsidRPr="00BC49FC">
              <w:rPr>
                <w:rFonts w:ascii="Times New Roman" w:hAnsi="Times New Roman" w:cs="Times New Roman"/>
              </w:rPr>
              <w:t>Národný bezpečnostný úrad</w:t>
            </w:r>
          </w:p>
        </w:tc>
        <w:tc>
          <w:tcPr>
            <w:tcW w:w="612" w:type="dxa"/>
            <w:hideMark/>
          </w:tcPr>
          <w:p w14:paraId="202A8BB8"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1B3ED25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18 ods. 1 písm. d) </w:t>
            </w:r>
            <w:r w:rsidRPr="00BC49FC">
              <w:rPr>
                <w:rFonts w:ascii="Times New Roman" w:hAnsi="Times New Roman" w:cs="Times New Roman"/>
              </w:rPr>
              <w:t>Odporúčame preformulovať text všeobecnejšie tak, aby bol aplikovateľný na väčšie množstvo situácií. Napríklad pojem „zamestnanec“ nahradiť slovami „osoba v pracovnoprávnom vzťahu alebo obdobnom pracovnom vzťahu vrátane služobného pomeru“. Následne odporúčame poznámku pod čiarou k odkazu 53 dať do súladu s bodom 23.7 (demonštratívny výpočet právnych predpisov) prílohy č. 1 k Legislatívnym pravidlám vlády Slovenskej republiky a doplniť do nej aj ďalšie právne predpisy ako napríklad zákon č. 73/1998 Z. z. o štátnej službe príslušníkov Policajného zboru, Slovenskej informačnej služby, Zboru väzenskej a justičnej stráže Slovenskej republiky a Železničnej polície v znení neskorších predpisov a Zákonník práce (pracovný pomer, dohody o prácach vykonávaných mimo pracovného pomeru).  Odôvodnenie:   Pojem „zamestnanec“ použitý v texte indikuje, že ide o zamestnanca v pracovnom pomere podľa Zákonníka práce. Zákon č. 55/2017 Z. z. používa pojem „štátny zamestnanec“, zákon č. 73/1998 Z. z. používa pojem „príslušník“. V kontexte našej pripomienky je taktiež možné použiť pojem „pracovník“ ako obsahovo širší pojem ako je pojem „zamestnanec“, s doplnením demoštratívneho výpočtu právnych predpisov v poznámke pod čiarou k odkazu 53.</w:t>
            </w:r>
          </w:p>
        </w:tc>
        <w:tc>
          <w:tcPr>
            <w:tcW w:w="2264" w:type="dxa"/>
            <w:vAlign w:val="center"/>
            <w:hideMark/>
          </w:tcPr>
          <w:p w14:paraId="5418D5F5" w14:textId="44D70974"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57D4FD3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0A458E8B" w14:textId="35EF2F66" w:rsidTr="00725D29">
        <w:trPr>
          <w:trHeight w:val="2535"/>
        </w:trPr>
        <w:tc>
          <w:tcPr>
            <w:tcW w:w="975" w:type="dxa"/>
            <w:hideMark/>
          </w:tcPr>
          <w:p w14:paraId="2489C6D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335.</w:t>
            </w:r>
          </w:p>
        </w:tc>
        <w:tc>
          <w:tcPr>
            <w:tcW w:w="2656" w:type="dxa"/>
            <w:hideMark/>
          </w:tcPr>
          <w:p w14:paraId="549E53A3"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NBÚ </w:t>
            </w:r>
            <w:r w:rsidRPr="00BC49FC">
              <w:rPr>
                <w:rFonts w:ascii="Times New Roman" w:hAnsi="Times New Roman" w:cs="Times New Roman"/>
              </w:rPr>
              <w:t>Národný bezpečnostný úrad</w:t>
            </w:r>
          </w:p>
        </w:tc>
        <w:tc>
          <w:tcPr>
            <w:tcW w:w="612" w:type="dxa"/>
            <w:hideMark/>
          </w:tcPr>
          <w:p w14:paraId="58FB8821"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4A233C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19 ods. 2 </w:t>
            </w:r>
            <w:r w:rsidRPr="00BC49FC">
              <w:rPr>
                <w:rFonts w:ascii="Times New Roman" w:hAnsi="Times New Roman" w:cs="Times New Roman"/>
              </w:rPr>
              <w:t xml:space="preserve">Odporúčame text preformulovať tak, aby bol vykonateľný pre niektoré subjekty verejnej správy bez neprimerane vysokých nákladov na splnenie tohto ustanovenia (napr. Národný bezpečnostný úrad, Zbor väzenskej a justičnej stráže...).   Následne odporúčame poznámku pod čiarou k odkazu 54 upraviť tak, aby išlo o demoštratívny výpočet právnych predpisov a do poznámky pod čiarou k odkazu 54 doplniť aj iné právne predpisy upravujúce pracovnoprávne vzťahy, najmä zákon č. 73/1998 Z. z. o štátnej službe príslušníkov Policajného zboru, </w:t>
            </w:r>
            <w:r w:rsidRPr="00BC49FC">
              <w:rPr>
                <w:rFonts w:ascii="Times New Roman" w:hAnsi="Times New Roman" w:cs="Times New Roman"/>
              </w:rPr>
              <w:lastRenderedPageBreak/>
              <w:t>Slovenskej informačnej služby, Zboru väzenskej a justičnej stráže Slovenskej republiky a Železničnej polície v znení neskorších predpisov.  Odôvodnenie:  Národný bezpečnostný úrad nemá štátnozamestnanecké miesta, pretože jeho úlohy plnia príslušníci Národného bezpečnostného úradu, ktorí sú v služobnom pomere podľa zákona č. 73/1998 Z. z. o štátnej službe príslušníkov Policajného zboru, Slovenskej informačnej služby, Zboru väzenskej a justičnej stráže Slovenskej republiky a Železničnej polície v znení neskorších predpisov. Navrhované znenie by nútilo Národný bezpečnostný úrad vytvoriť pre energetického manažéra vo verejnej správe nielen štátnozamestnanecké miesto (podľa zákona č. 55/2017 Z. z.), ale zároveň by nútilo Národný bezpečnostný úrad plniť úlohy služobného úradu podľa zákona č. 55/2017 Z. z. (hoci Národný bezpečnostný úrad nie je služobným úradom podľa § 15 ods. 1 písm. a) zákona č. 55/2017 Z. z.). Je potrebné brať do úvahy aj tú skutočnosť, že niektoré verejné subjekty si nemusia spravovať svoje budovy, ale správu budov zverujú iným organizáciám (externým alebo aj v ich zriaďovateľskej pôsobnosti).</w:t>
            </w:r>
          </w:p>
        </w:tc>
        <w:tc>
          <w:tcPr>
            <w:tcW w:w="2264" w:type="dxa"/>
            <w:vAlign w:val="center"/>
            <w:hideMark/>
          </w:tcPr>
          <w:p w14:paraId="1DA83DD2" w14:textId="751229E2"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lastRenderedPageBreak/>
              <w:t>A</w:t>
            </w:r>
          </w:p>
        </w:tc>
        <w:tc>
          <w:tcPr>
            <w:tcW w:w="2753" w:type="dxa"/>
            <w:hideMark/>
          </w:tcPr>
          <w:p w14:paraId="5A58586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25096FC9" w14:textId="111FBAC6" w:rsidTr="00725D29">
        <w:trPr>
          <w:trHeight w:val="2535"/>
        </w:trPr>
        <w:tc>
          <w:tcPr>
            <w:tcW w:w="975" w:type="dxa"/>
            <w:hideMark/>
          </w:tcPr>
          <w:p w14:paraId="297A136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336.</w:t>
            </w:r>
          </w:p>
        </w:tc>
        <w:tc>
          <w:tcPr>
            <w:tcW w:w="2656" w:type="dxa"/>
            <w:hideMark/>
          </w:tcPr>
          <w:p w14:paraId="4B475D5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NBÚ </w:t>
            </w:r>
            <w:r w:rsidRPr="00BC49FC">
              <w:rPr>
                <w:rFonts w:ascii="Times New Roman" w:hAnsi="Times New Roman" w:cs="Times New Roman"/>
              </w:rPr>
              <w:t>Národný bezpečnostný úrad</w:t>
            </w:r>
          </w:p>
        </w:tc>
        <w:tc>
          <w:tcPr>
            <w:tcW w:w="612" w:type="dxa"/>
            <w:hideMark/>
          </w:tcPr>
          <w:p w14:paraId="0BD597CC"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1C2D2CE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35 ods. 5 písm. a) </w:t>
            </w:r>
            <w:r w:rsidRPr="00BC49FC">
              <w:rPr>
                <w:rFonts w:ascii="Times New Roman" w:hAnsi="Times New Roman" w:cs="Times New Roman"/>
              </w:rPr>
              <w:t xml:space="preserve">Odporúčame text preformulovať tak, aby povinnosť uvedená v odseku 5 písmene a) bola formulovaná alternatívne (išlo by o dve povinnosti ustanovené alternatívne). Prvá by bola povinnosť zriadiť si funkciu energetického manažéra pre verejnú správu. Druhá alternatívna povinnosť by bola možnosť využívať služby energetického manažéra podľa § 18 ods. 1 (išlo by o možnosť tzv. outsourcingu služby energetického manažéra).  Odôvodnenie:  Národný bezpečnostný úrad má za to, že povinnosť vytvoriť výlučne štátnozamestnanecké (pracovné) miesto nemá opodstatnenie z hľadiska hospodárneho a efektívneho nakladania s verejnými prostriedkami. Niektorým verejným subjektom, ktoré plnia prioritne iné úlohy im zverejné zákonom, by alternatívne znenie </w:t>
            </w:r>
            <w:r w:rsidRPr="00BC49FC">
              <w:rPr>
                <w:rFonts w:ascii="Times New Roman" w:hAnsi="Times New Roman" w:cs="Times New Roman"/>
              </w:rPr>
              <w:lastRenderedPageBreak/>
              <w:t>povinnosti zjednodušilo situáciu, ak by si tieto služby odborne spôsobilých osôb mohli zazmluvniť externe. Aplikácia navrhovaného znenia odseku 5 písmena a) by napríklad nielen nútila Národný bezpečnostný úrad vytvoriť pre energetického manažéra vo verejnej správe štátnozamestnanecké miesto (podľa zákona č. 55/2017 Z. z.), ale by nepriamo nútila Národný bezpečnostný úrad aj plniť úlohy služobného úradu podľa zákona č. 55/2017 Z. z. (hoci Národný bezpečnostný úrad nie je služobným úradom podľa § 15 ods. 1 písm. a) zákona č. 55/2017 Z. z.), čím sa tieto právne predpisy dostávajú do kolízie. Záverom je potrebné brať do úvahy aj tú skutočnosť, že niektoré verejné subjekty si nemusia spravovať svoje budovy, ale správu budov zverujú iným organizáciám (externým alebo aj v ich zriaďovateľskej pôsobnosti).</w:t>
            </w:r>
          </w:p>
        </w:tc>
        <w:tc>
          <w:tcPr>
            <w:tcW w:w="2264" w:type="dxa"/>
            <w:hideMark/>
          </w:tcPr>
          <w:p w14:paraId="0C1F56F5" w14:textId="187CEE11" w:rsidR="00FE0F3E" w:rsidRPr="00BC49FC" w:rsidRDefault="00FE0F3E" w:rsidP="00BD7B69">
            <w:pPr>
              <w:rPr>
                <w:rFonts w:ascii="Times New Roman" w:hAnsi="Times New Roman" w:cs="Times New Roman"/>
                <w:b/>
                <w:bCs/>
              </w:rPr>
            </w:pPr>
            <w:r w:rsidRPr="00BC49FC">
              <w:rPr>
                <w:rFonts w:ascii="Times New Roman" w:hAnsi="Times New Roman" w:cs="Times New Roman"/>
                <w:b/>
                <w:bCs/>
              </w:rPr>
              <w:lastRenderedPageBreak/>
              <w:t> </w:t>
            </w:r>
            <w:r>
              <w:rPr>
                <w:rFonts w:ascii="Times New Roman" w:hAnsi="Times New Roman" w:cs="Times New Roman"/>
                <w:b/>
                <w:bCs/>
              </w:rPr>
              <w:t>A</w:t>
            </w:r>
          </w:p>
        </w:tc>
        <w:tc>
          <w:tcPr>
            <w:tcW w:w="2753" w:type="dxa"/>
            <w:hideMark/>
          </w:tcPr>
          <w:p w14:paraId="2957B6B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7E4D9DF9" w14:textId="32DBF6A7" w:rsidTr="00725D29">
        <w:trPr>
          <w:trHeight w:val="1590"/>
        </w:trPr>
        <w:tc>
          <w:tcPr>
            <w:tcW w:w="975" w:type="dxa"/>
            <w:hideMark/>
          </w:tcPr>
          <w:p w14:paraId="76123BA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337.</w:t>
            </w:r>
          </w:p>
        </w:tc>
        <w:tc>
          <w:tcPr>
            <w:tcW w:w="2656" w:type="dxa"/>
            <w:hideMark/>
          </w:tcPr>
          <w:p w14:paraId="3488248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5EE305F"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DC2AAD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 K Čl. I § 2: Žiadame prepracovať navrhované znenie ustanovenia § 2 písm. i), ktorý predstavuje transpozičné opatrenie čl. 2 ods. 13 smernice (EÚ) 2023/1791 tak, aby bola zabezpečená jej úplná a správna transpozícia, a to v kontexte vypočítania celkovej úžitkovej podlahovej plochy.</w:t>
            </w:r>
          </w:p>
        </w:tc>
        <w:tc>
          <w:tcPr>
            <w:tcW w:w="2264" w:type="dxa"/>
            <w:vAlign w:val="center"/>
            <w:hideMark/>
          </w:tcPr>
          <w:p w14:paraId="3020DD63" w14:textId="2F43D13B"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77D9EC5D" w14:textId="443C4D3D" w:rsidR="00FE0F3E" w:rsidRPr="00BC49FC" w:rsidRDefault="00FE0F3E" w:rsidP="00BD7B69">
            <w:pPr>
              <w:rPr>
                <w:rFonts w:ascii="Times New Roman" w:hAnsi="Times New Roman" w:cs="Times New Roman"/>
              </w:rPr>
            </w:pPr>
            <w:r w:rsidRPr="00BC49FC">
              <w:rPr>
                <w:rFonts w:ascii="Times New Roman" w:hAnsi="Times New Roman" w:cs="Times New Roman"/>
                <w:color w:val="000000"/>
              </w:rPr>
              <w:t>Upravené znenie § 2 písm. i).</w:t>
            </w:r>
          </w:p>
        </w:tc>
      </w:tr>
      <w:tr w:rsidR="00725D29" w:rsidRPr="006278D2" w14:paraId="1A597CB3" w14:textId="414BDBA0" w:rsidTr="00725D29">
        <w:trPr>
          <w:trHeight w:val="1590"/>
        </w:trPr>
        <w:tc>
          <w:tcPr>
            <w:tcW w:w="975" w:type="dxa"/>
            <w:hideMark/>
          </w:tcPr>
          <w:p w14:paraId="02B252C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338.</w:t>
            </w:r>
          </w:p>
        </w:tc>
        <w:tc>
          <w:tcPr>
            <w:tcW w:w="2656" w:type="dxa"/>
            <w:hideMark/>
          </w:tcPr>
          <w:p w14:paraId="0E1E060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0DA898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AD9B22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2. K Čl. I § 4: V poznámke pod čiarou k odkazu 22 žiadame upraviť názov nariadenia (EÚ) 2018/1999 v platnom znení nasledovne: „nariadenie (EÚ) 2018/1999 v platnom znení“. Zároveň odporúčame na tomto mieste odkazovať na ustanovenie, ktoré upravuje náležitosti integrovaného národného energetického a klimatického plánu, a to konkrétne na čl. 3 ods. 2 nariadenia (EÚ) 2018/1999 v platnom znení.</w:t>
            </w:r>
          </w:p>
        </w:tc>
        <w:tc>
          <w:tcPr>
            <w:tcW w:w="2264" w:type="dxa"/>
            <w:vAlign w:val="center"/>
            <w:hideMark/>
          </w:tcPr>
          <w:p w14:paraId="1C93E33A" w14:textId="2B156F0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080DADE" w14:textId="70514DFC" w:rsidR="00725D29" w:rsidRPr="00BC49FC" w:rsidRDefault="00725D29" w:rsidP="00725D29">
            <w:pPr>
              <w:rPr>
                <w:rFonts w:ascii="Times New Roman" w:hAnsi="Times New Roman" w:cs="Times New Roman"/>
                <w:b/>
                <w:bCs/>
              </w:rPr>
            </w:pPr>
            <w:r>
              <w:rPr>
                <w:b/>
                <w:bCs/>
                <w:color w:val="000000"/>
              </w:rPr>
              <w:t>upravené znenie § 2 písm. i)</w:t>
            </w:r>
          </w:p>
        </w:tc>
      </w:tr>
      <w:tr w:rsidR="00725D29" w:rsidRPr="006278D2" w14:paraId="4FCFA372" w14:textId="7FEE70F7" w:rsidTr="00725D29">
        <w:trPr>
          <w:trHeight w:val="1590"/>
        </w:trPr>
        <w:tc>
          <w:tcPr>
            <w:tcW w:w="975" w:type="dxa"/>
            <w:hideMark/>
          </w:tcPr>
          <w:p w14:paraId="761190D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339.</w:t>
            </w:r>
          </w:p>
        </w:tc>
        <w:tc>
          <w:tcPr>
            <w:tcW w:w="2656" w:type="dxa"/>
            <w:hideMark/>
          </w:tcPr>
          <w:p w14:paraId="1AEEF36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BFBB79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2BDFBA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3. K Čl. I § 7: Žiadame prepracovať navrhované znenie ustanovenia § 7 ods. 7 písm. b) tak, aby bola zabezpečená úplná a správna transpozícia smernice (EÚ) 2023/1791, konkrétne jej čl. 4 ods. 6 druhej vety písm. d), ktorý stanovuje dobrovoľnosť finančného príspevku, pričom navrhovaný § 7 ods. 7 písm. b) hovorí o povinnom zvyšovaní financovania.</w:t>
            </w:r>
          </w:p>
        </w:tc>
        <w:tc>
          <w:tcPr>
            <w:tcW w:w="2264" w:type="dxa"/>
            <w:vAlign w:val="center"/>
            <w:hideMark/>
          </w:tcPr>
          <w:p w14:paraId="2D6C4EE6" w14:textId="2CB9B4D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F1B927D" w14:textId="1B0B39F1" w:rsidR="00725D29" w:rsidRPr="00BC49FC" w:rsidRDefault="00725D29" w:rsidP="00725D29">
            <w:pPr>
              <w:rPr>
                <w:rFonts w:ascii="Times New Roman" w:hAnsi="Times New Roman" w:cs="Times New Roman"/>
              </w:rPr>
            </w:pPr>
            <w:r>
              <w:rPr>
                <w:b/>
                <w:bCs/>
                <w:color w:val="000000"/>
              </w:rPr>
              <w:t>upravené v zmysle pripomienky</w:t>
            </w:r>
          </w:p>
        </w:tc>
      </w:tr>
      <w:tr w:rsidR="00725D29" w:rsidRPr="006278D2" w14:paraId="4D77F8FF" w14:textId="2BD0C416" w:rsidTr="00725D29">
        <w:trPr>
          <w:trHeight w:val="1590"/>
        </w:trPr>
        <w:tc>
          <w:tcPr>
            <w:tcW w:w="975" w:type="dxa"/>
            <w:hideMark/>
          </w:tcPr>
          <w:p w14:paraId="6BBE24A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340.</w:t>
            </w:r>
          </w:p>
        </w:tc>
        <w:tc>
          <w:tcPr>
            <w:tcW w:w="2656" w:type="dxa"/>
            <w:hideMark/>
          </w:tcPr>
          <w:p w14:paraId="7891FFF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416E34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D1A0E8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4. K Čl. I § 8: V poznámke pod čiarou k odkazu 26 žiadame upraviť názov vykonávacieho nariadenia (EÚ) 2022/2299 nasledovne: „vykonávacie nariadenie (EÚ) 2022/2299“.</w:t>
            </w:r>
          </w:p>
        </w:tc>
        <w:tc>
          <w:tcPr>
            <w:tcW w:w="2264" w:type="dxa"/>
            <w:vAlign w:val="center"/>
            <w:hideMark/>
          </w:tcPr>
          <w:p w14:paraId="7BAD4FC6" w14:textId="4B82D4D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2DA583D" w14:textId="59E26885"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42A2012" w14:textId="797B0E49" w:rsidTr="00725D29">
        <w:trPr>
          <w:trHeight w:val="1590"/>
        </w:trPr>
        <w:tc>
          <w:tcPr>
            <w:tcW w:w="975" w:type="dxa"/>
            <w:hideMark/>
          </w:tcPr>
          <w:p w14:paraId="0E982A8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341.</w:t>
            </w:r>
          </w:p>
        </w:tc>
        <w:tc>
          <w:tcPr>
            <w:tcW w:w="2656" w:type="dxa"/>
            <w:hideMark/>
          </w:tcPr>
          <w:p w14:paraId="7EA33E7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7A191B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C5FCB7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5. K Čl. I § 8: V poznámke pod čiarou k odkazu 27 žiadame upraviť publikačný zdroj delegovaného nariadenia (EÚ) 2021/2178 v platnom znení nasledovne: „(Ú. v. EÚ L 443, 10.12.2021)“.</w:t>
            </w:r>
          </w:p>
        </w:tc>
        <w:tc>
          <w:tcPr>
            <w:tcW w:w="2264" w:type="dxa"/>
            <w:vAlign w:val="center"/>
            <w:hideMark/>
          </w:tcPr>
          <w:p w14:paraId="320D2743" w14:textId="27310972"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3DA81493" w14:textId="1F44110A" w:rsidR="00725D29" w:rsidRPr="00BC49FC" w:rsidRDefault="00725D29" w:rsidP="00725D29">
            <w:pPr>
              <w:rPr>
                <w:rFonts w:ascii="Times New Roman" w:hAnsi="Times New Roman" w:cs="Times New Roman"/>
              </w:rPr>
            </w:pPr>
            <w:r>
              <w:rPr>
                <w:b/>
                <w:bCs/>
                <w:color w:val="000000"/>
              </w:rPr>
              <w:t>upravené v zmysle pripomienky a na konci textu doplnené v platnom znení z dôvodu vydania nového vykonávacieho nariadenia 2026/1807</w:t>
            </w:r>
          </w:p>
        </w:tc>
      </w:tr>
      <w:tr w:rsidR="00725D29" w:rsidRPr="006278D2" w14:paraId="7D1004B3" w14:textId="23099D01" w:rsidTr="00725D29">
        <w:trPr>
          <w:trHeight w:val="1590"/>
        </w:trPr>
        <w:tc>
          <w:tcPr>
            <w:tcW w:w="975" w:type="dxa"/>
            <w:hideMark/>
          </w:tcPr>
          <w:p w14:paraId="0F1D361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342.</w:t>
            </w:r>
          </w:p>
        </w:tc>
        <w:tc>
          <w:tcPr>
            <w:tcW w:w="2656" w:type="dxa"/>
            <w:hideMark/>
          </w:tcPr>
          <w:p w14:paraId="6EB2062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EA3A7B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76505B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6. K Čl. I § 8: V poznámke pod čiarou k odkazu 28 žiadame upraviť názov nariadenia (EÚ) č. 575/2013 v platnom znení nasledovne: „nariadenie Európskeho parlamentu a Rady (EÚ) č. 575/2013 z  26. júna 2013 o prudenciálnych požiadavkách na úverové inštitúcie a investičné spoločnosti a o zmene nariadenia (EÚ) č. 648/2012 (Ú. v. EÚ L 176, 27.6.2013) v platnom znení“.</w:t>
            </w:r>
          </w:p>
        </w:tc>
        <w:tc>
          <w:tcPr>
            <w:tcW w:w="2264" w:type="dxa"/>
            <w:vAlign w:val="center"/>
            <w:hideMark/>
          </w:tcPr>
          <w:p w14:paraId="699A3F0F" w14:textId="092E284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D721803" w14:textId="4ACCC992" w:rsidR="00725D29" w:rsidRPr="00BC49FC" w:rsidRDefault="00725D29" w:rsidP="00725D29">
            <w:pPr>
              <w:rPr>
                <w:rFonts w:ascii="Times New Roman" w:hAnsi="Times New Roman" w:cs="Times New Roman"/>
              </w:rPr>
            </w:pPr>
            <w:r>
              <w:rPr>
                <w:b/>
                <w:bCs/>
                <w:color w:val="000000"/>
              </w:rPr>
              <w:t>upravené v zmysle pripomienky</w:t>
            </w:r>
          </w:p>
        </w:tc>
      </w:tr>
      <w:tr w:rsidR="00725D29" w:rsidRPr="006278D2" w14:paraId="78468CD3" w14:textId="317A860A" w:rsidTr="00725D29">
        <w:trPr>
          <w:trHeight w:val="1590"/>
        </w:trPr>
        <w:tc>
          <w:tcPr>
            <w:tcW w:w="975" w:type="dxa"/>
            <w:hideMark/>
          </w:tcPr>
          <w:p w14:paraId="6A91508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343.</w:t>
            </w:r>
          </w:p>
        </w:tc>
        <w:tc>
          <w:tcPr>
            <w:tcW w:w="2656" w:type="dxa"/>
            <w:hideMark/>
          </w:tcPr>
          <w:p w14:paraId="63CAE42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99F338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B87FAC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7. K Čl. I § 10: Upozorňujeme, že navrhovaný § 10 upravuje zber údajov, avšak chýba definovanie doby uchovávania osobných údajov a taktiež vymedzený rozsah zbieraných údajov. Domnievame sa, že takéto spracovanie osobných údajov môže byť v rozpore s nariadením (EÚ) 2016/679. V zmysle uvedeného preto odporúčame do predkladaného návrhu zákona doplniť a konkrétne špecifikovať, ktoré údaje sa budú zbierať, a dobu spracovania osobných údajov.</w:t>
            </w:r>
          </w:p>
        </w:tc>
        <w:tc>
          <w:tcPr>
            <w:tcW w:w="2264" w:type="dxa"/>
            <w:vAlign w:val="center"/>
            <w:hideMark/>
          </w:tcPr>
          <w:p w14:paraId="5AACD4E6" w14:textId="7F4F3B2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3705A57" w14:textId="31610BF5" w:rsidR="00725D29" w:rsidRPr="00BC49FC" w:rsidRDefault="00725D29" w:rsidP="00725D29">
            <w:pPr>
              <w:rPr>
                <w:rFonts w:ascii="Times New Roman" w:hAnsi="Times New Roman" w:cs="Times New Roman"/>
              </w:rPr>
            </w:pPr>
            <w:r>
              <w:rPr>
                <w:b/>
                <w:bCs/>
                <w:color w:val="000000"/>
              </w:rPr>
              <w:t>upravené v zmysle pripomienky</w:t>
            </w:r>
          </w:p>
        </w:tc>
      </w:tr>
      <w:tr w:rsidR="00725D29" w:rsidRPr="006278D2" w14:paraId="0B343283" w14:textId="51C057A0" w:rsidTr="00725D29">
        <w:trPr>
          <w:trHeight w:val="1590"/>
        </w:trPr>
        <w:tc>
          <w:tcPr>
            <w:tcW w:w="975" w:type="dxa"/>
            <w:hideMark/>
          </w:tcPr>
          <w:p w14:paraId="459576F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344.</w:t>
            </w:r>
          </w:p>
        </w:tc>
        <w:tc>
          <w:tcPr>
            <w:tcW w:w="2656" w:type="dxa"/>
            <w:hideMark/>
          </w:tcPr>
          <w:p w14:paraId="12017C0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E000F6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35AD93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8. K Čl. I § 13: V poznámke pod čiarou k odkazu 38 žiadame upraviť názov delegovaného nariadenia (EÚ) 2024/1364 nasledovne: „delegované nariadenie Komisie (EÚ) 2024/1364 zo 14. marca 2024 o prvej fáze stanovenia spoločnej schémy Únie na hodnotenie dátových centier (Ú. v. EÚ L, 2024/1364, 17.5.2024)“.</w:t>
            </w:r>
          </w:p>
        </w:tc>
        <w:tc>
          <w:tcPr>
            <w:tcW w:w="2264" w:type="dxa"/>
            <w:vAlign w:val="center"/>
            <w:hideMark/>
          </w:tcPr>
          <w:p w14:paraId="0F4C4982" w14:textId="72BA72D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CACC5FB" w14:textId="75D553E3" w:rsidR="00725D29" w:rsidRPr="00BC49FC" w:rsidRDefault="00725D29" w:rsidP="00725D29">
            <w:pPr>
              <w:rPr>
                <w:rFonts w:ascii="Times New Roman" w:hAnsi="Times New Roman" w:cs="Times New Roman"/>
              </w:rPr>
            </w:pPr>
            <w:r>
              <w:rPr>
                <w:b/>
                <w:bCs/>
                <w:color w:val="000000"/>
              </w:rPr>
              <w:t>upravené v zmysle pripomienky</w:t>
            </w:r>
          </w:p>
        </w:tc>
      </w:tr>
      <w:tr w:rsidR="00725D29" w:rsidRPr="006278D2" w14:paraId="0FD4BE38" w14:textId="05E6FEE8" w:rsidTr="00725D29">
        <w:trPr>
          <w:trHeight w:val="1590"/>
        </w:trPr>
        <w:tc>
          <w:tcPr>
            <w:tcW w:w="975" w:type="dxa"/>
            <w:hideMark/>
          </w:tcPr>
          <w:p w14:paraId="6C8276A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345.</w:t>
            </w:r>
          </w:p>
        </w:tc>
        <w:tc>
          <w:tcPr>
            <w:tcW w:w="2656" w:type="dxa"/>
            <w:hideMark/>
          </w:tcPr>
          <w:p w14:paraId="640F8F5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3FA8A9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DA4A7F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9. K Čl. I § 14: V poznámkach pod čiarou k odkazom 43, 44 a 45 žiadame vypustiť slovo „č.“ v názve nariadenia (EÚ) 2018/1999 v platnom znení.</w:t>
            </w:r>
          </w:p>
        </w:tc>
        <w:tc>
          <w:tcPr>
            <w:tcW w:w="2264" w:type="dxa"/>
            <w:vAlign w:val="center"/>
            <w:hideMark/>
          </w:tcPr>
          <w:p w14:paraId="30CC7D08" w14:textId="617080B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FE56EB4" w14:textId="3406E976" w:rsidR="00725D29" w:rsidRPr="00BC49FC" w:rsidRDefault="00725D29" w:rsidP="00725D29">
            <w:pPr>
              <w:rPr>
                <w:rFonts w:ascii="Times New Roman" w:hAnsi="Times New Roman" w:cs="Times New Roman"/>
              </w:rPr>
            </w:pPr>
            <w:r>
              <w:rPr>
                <w:b/>
                <w:bCs/>
                <w:color w:val="000000"/>
              </w:rPr>
              <w:t>upravené v zmysle pripomienky</w:t>
            </w:r>
          </w:p>
        </w:tc>
      </w:tr>
      <w:tr w:rsidR="00725D29" w:rsidRPr="006278D2" w14:paraId="543F4749" w14:textId="2BB64E37" w:rsidTr="00725D29">
        <w:trPr>
          <w:trHeight w:val="1590"/>
        </w:trPr>
        <w:tc>
          <w:tcPr>
            <w:tcW w:w="975" w:type="dxa"/>
            <w:hideMark/>
          </w:tcPr>
          <w:p w14:paraId="6F92211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346.</w:t>
            </w:r>
          </w:p>
        </w:tc>
        <w:tc>
          <w:tcPr>
            <w:tcW w:w="2656" w:type="dxa"/>
            <w:hideMark/>
          </w:tcPr>
          <w:p w14:paraId="540D4D4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D5A341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88D695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10. K Čl. I § 38: Upozorňujeme, že navrhované znenie ustanovenia § 38 ods. 1 obsahuje nesprávny odkaz na § 45 ods. 1 v kontexte rozsahu údajov. Žiadame predmetné ustanovenie prepracovať.</w:t>
            </w:r>
          </w:p>
        </w:tc>
        <w:tc>
          <w:tcPr>
            <w:tcW w:w="2264" w:type="dxa"/>
            <w:vAlign w:val="center"/>
            <w:hideMark/>
          </w:tcPr>
          <w:p w14:paraId="540FFD29" w14:textId="47BECBF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46FE8B6" w14:textId="1B91C5B4"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3505CD1B" w14:textId="5C3644F1" w:rsidTr="00725D29">
        <w:trPr>
          <w:trHeight w:val="1590"/>
        </w:trPr>
        <w:tc>
          <w:tcPr>
            <w:tcW w:w="975" w:type="dxa"/>
            <w:hideMark/>
          </w:tcPr>
          <w:p w14:paraId="1A9EAC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347.</w:t>
            </w:r>
          </w:p>
        </w:tc>
        <w:tc>
          <w:tcPr>
            <w:tcW w:w="2656" w:type="dxa"/>
            <w:hideMark/>
          </w:tcPr>
          <w:p w14:paraId="543BB4E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19812F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21CF3D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11. K Čl. I § 38: Upozorňujeme, že navrhovaný § 38 upravuje zbieranie a spracovanie údajov na stanovený účel, avšak chýba definovanie doby uchovávania osobných údajov. Domnievame sa, že takéto spracovanie osobných údajov môže byť v rozpore s nariadením (EÚ) 2016/679. V zmysle uvedeného preto odporúčame do predkladaného návrhu zákona doplniť a konkrétne špecifikovať dobu spracovania osobných údajov, napr. maximálnou dobou uchovávania osobných údajov.</w:t>
            </w:r>
          </w:p>
        </w:tc>
        <w:tc>
          <w:tcPr>
            <w:tcW w:w="2264" w:type="dxa"/>
            <w:vAlign w:val="center"/>
            <w:hideMark/>
          </w:tcPr>
          <w:p w14:paraId="7BC32B9C" w14:textId="1F3D0EB2"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096CFBD5" w14:textId="6055AD2D" w:rsidR="00725D29" w:rsidRPr="00BC49FC" w:rsidRDefault="00725D29" w:rsidP="00725D29">
            <w:pPr>
              <w:rPr>
                <w:rFonts w:ascii="Times New Roman" w:hAnsi="Times New Roman" w:cs="Times New Roman"/>
              </w:rPr>
            </w:pPr>
            <w:r>
              <w:rPr>
                <w:b/>
                <w:bCs/>
                <w:color w:val="000000"/>
              </w:rPr>
              <w:t>Upravené</w:t>
            </w:r>
          </w:p>
        </w:tc>
      </w:tr>
      <w:tr w:rsidR="00725D29" w:rsidRPr="006278D2" w14:paraId="0FD3E425" w14:textId="0BEED02C" w:rsidTr="00725D29">
        <w:trPr>
          <w:trHeight w:val="1590"/>
        </w:trPr>
        <w:tc>
          <w:tcPr>
            <w:tcW w:w="975" w:type="dxa"/>
            <w:hideMark/>
          </w:tcPr>
          <w:p w14:paraId="3A9A5D8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348.</w:t>
            </w:r>
          </w:p>
        </w:tc>
        <w:tc>
          <w:tcPr>
            <w:tcW w:w="2656" w:type="dxa"/>
            <w:hideMark/>
          </w:tcPr>
          <w:p w14:paraId="4F02B9E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6A336D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E7C11C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12. K Čl. I § 39: V poznámke pod čiarou k odkazu 38 žiadame upraviť názov nariadenia (EÚ) 2017/1369 v platnom znení nasledovne: „nariadenie Európskeho parlamentu a Rady (EÚ) 2017/1369 zo 4. júla 2017, ktorým sa stanovuje rámec pre energetické označovanie a zrušuje smernica 2010/30/EÚ (Ú. v. EÚ L 198, 28.7.2017) v platnom znení“.</w:t>
            </w:r>
          </w:p>
        </w:tc>
        <w:tc>
          <w:tcPr>
            <w:tcW w:w="2264" w:type="dxa"/>
            <w:vAlign w:val="center"/>
            <w:hideMark/>
          </w:tcPr>
          <w:p w14:paraId="68C3BFAF" w14:textId="516C885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89D9117" w14:textId="4BB7AD00"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47081CFC" w14:textId="661513AB" w:rsidTr="00725D29">
        <w:trPr>
          <w:trHeight w:val="1590"/>
        </w:trPr>
        <w:tc>
          <w:tcPr>
            <w:tcW w:w="975" w:type="dxa"/>
            <w:hideMark/>
          </w:tcPr>
          <w:p w14:paraId="4EE4092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349.</w:t>
            </w:r>
          </w:p>
        </w:tc>
        <w:tc>
          <w:tcPr>
            <w:tcW w:w="2656" w:type="dxa"/>
            <w:hideMark/>
          </w:tcPr>
          <w:p w14:paraId="1D40E3D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D72209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E5977D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13. K Čl. I § 44: Žiadame prepracovať navrhované znenie ustanovenia § 44 ods. 1 ktorý predstavuje transpozičné opatrenie čl. 5 ods. 2 prvej vety smernice (EÚ) 2023/1791 tak, aby bola zabezpečená jej úplná a správna transpozícia, a to v kontexte stanovenia záväzného cieľa zníženia energetickej spotreby verejných subjektov, ktorý by sa mal uplatňovať od 12. októbra 2027, nakoľko prechodné obdobie končí 11. októbra 2027.</w:t>
            </w:r>
          </w:p>
        </w:tc>
        <w:tc>
          <w:tcPr>
            <w:tcW w:w="2264" w:type="dxa"/>
            <w:vAlign w:val="center"/>
            <w:hideMark/>
          </w:tcPr>
          <w:p w14:paraId="4956EF95" w14:textId="799E810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73212CD" w14:textId="3D9B1F5A"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49E44447" w14:textId="0C4B2DA0" w:rsidTr="00725D29">
        <w:trPr>
          <w:trHeight w:val="1590"/>
        </w:trPr>
        <w:tc>
          <w:tcPr>
            <w:tcW w:w="975" w:type="dxa"/>
            <w:hideMark/>
          </w:tcPr>
          <w:p w14:paraId="1D4CD99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350.</w:t>
            </w:r>
          </w:p>
        </w:tc>
        <w:tc>
          <w:tcPr>
            <w:tcW w:w="2656" w:type="dxa"/>
            <w:hideMark/>
          </w:tcPr>
          <w:p w14:paraId="284390B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3131AF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EFF2E5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14. K Čl. I § 44: Žiadame upraviť navrhované znenie ustanovenia  § 44 ods. 3 tak, aby bolo zrejmé, že sa uplatňuje iba do 31. decembra 2029.</w:t>
            </w:r>
          </w:p>
        </w:tc>
        <w:tc>
          <w:tcPr>
            <w:tcW w:w="2264" w:type="dxa"/>
            <w:vAlign w:val="center"/>
            <w:hideMark/>
          </w:tcPr>
          <w:p w14:paraId="2EA1453A" w14:textId="6056234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BE98D72" w14:textId="3255E9A2"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01482753" w14:textId="4DABAD70" w:rsidTr="00725D29">
        <w:trPr>
          <w:trHeight w:val="1590"/>
        </w:trPr>
        <w:tc>
          <w:tcPr>
            <w:tcW w:w="975" w:type="dxa"/>
            <w:hideMark/>
          </w:tcPr>
          <w:p w14:paraId="551C26F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351.</w:t>
            </w:r>
          </w:p>
        </w:tc>
        <w:tc>
          <w:tcPr>
            <w:tcW w:w="2656" w:type="dxa"/>
            <w:hideMark/>
          </w:tcPr>
          <w:p w14:paraId="3410B7E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06B629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2B246F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15. K Čl. I § 44: Žiadame vysvetliť navrhované znenie ustanovenia § 44 ods. 18, ktorý hovorí o spotrebe verejného subjektu spätne, za kalendárny rok 2021. Máme za to, že povinnosť sa má viazať na iný kalendárny rok.</w:t>
            </w:r>
          </w:p>
        </w:tc>
        <w:tc>
          <w:tcPr>
            <w:tcW w:w="2264" w:type="dxa"/>
            <w:vAlign w:val="center"/>
            <w:hideMark/>
          </w:tcPr>
          <w:p w14:paraId="7C598B8E" w14:textId="44DF9D5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24BCEC5" w14:textId="0F0A924F" w:rsidR="00725D29" w:rsidRPr="00BC49FC" w:rsidRDefault="00725D29" w:rsidP="00725D29">
            <w:pPr>
              <w:rPr>
                <w:rFonts w:ascii="Times New Roman" w:hAnsi="Times New Roman" w:cs="Times New Roman"/>
              </w:rPr>
            </w:pPr>
            <w:r>
              <w:rPr>
                <w:b/>
                <w:bCs/>
                <w:color w:val="000000"/>
              </w:rPr>
              <w:t>upravené v zmysle pripomienky</w:t>
            </w:r>
          </w:p>
        </w:tc>
      </w:tr>
      <w:tr w:rsidR="00725D29" w:rsidRPr="006278D2" w14:paraId="6FF840B8" w14:textId="00D94EA9" w:rsidTr="00725D29">
        <w:trPr>
          <w:trHeight w:val="1590"/>
        </w:trPr>
        <w:tc>
          <w:tcPr>
            <w:tcW w:w="975" w:type="dxa"/>
            <w:hideMark/>
          </w:tcPr>
          <w:p w14:paraId="481940C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352.</w:t>
            </w:r>
          </w:p>
        </w:tc>
        <w:tc>
          <w:tcPr>
            <w:tcW w:w="2656" w:type="dxa"/>
            <w:hideMark/>
          </w:tcPr>
          <w:p w14:paraId="0BD6801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EFCABF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E5E637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16. K Čl. IV bodu 4: Z transpozičnej prílohy žiadame v súlade s bodom 62.14. Prílohy č. 1 Legislatívnych pravidiel vlády Slovenskej republiky vypustiť tretí bod, v ktorom sa nachádza už neúčinná smernica (EÚ) 2015/652.</w:t>
            </w:r>
          </w:p>
        </w:tc>
        <w:tc>
          <w:tcPr>
            <w:tcW w:w="2264" w:type="dxa"/>
            <w:vAlign w:val="center"/>
            <w:hideMark/>
          </w:tcPr>
          <w:p w14:paraId="0619ED26" w14:textId="24B27B7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BAB9177" w14:textId="43B4CF01" w:rsidR="00725D29" w:rsidRPr="00BC49FC" w:rsidRDefault="00725D29" w:rsidP="00725D29">
            <w:pPr>
              <w:rPr>
                <w:rFonts w:ascii="Times New Roman" w:hAnsi="Times New Roman" w:cs="Times New Roman"/>
              </w:rPr>
            </w:pPr>
            <w:r>
              <w:rPr>
                <w:b/>
                <w:bCs/>
                <w:color w:val="000000"/>
              </w:rPr>
              <w:t>odsek vypustený</w:t>
            </w:r>
          </w:p>
        </w:tc>
      </w:tr>
      <w:tr w:rsidR="00725D29" w:rsidRPr="006278D2" w14:paraId="5BC5FEDB" w14:textId="021CEF0F" w:rsidTr="00725D29">
        <w:trPr>
          <w:trHeight w:val="1590"/>
        </w:trPr>
        <w:tc>
          <w:tcPr>
            <w:tcW w:w="975" w:type="dxa"/>
            <w:hideMark/>
          </w:tcPr>
          <w:p w14:paraId="21D7BF6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353.</w:t>
            </w:r>
          </w:p>
        </w:tc>
        <w:tc>
          <w:tcPr>
            <w:tcW w:w="2656" w:type="dxa"/>
            <w:hideMark/>
          </w:tcPr>
          <w:p w14:paraId="6CD726F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4FF9DD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D560F9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17. K Čl. V bodu 17: Z transpozičnej prílohy žiadame v súlade s bodom 62.14. Prílohy č. 1 Legislatívnych pravidiel vlády Slovenskej republiky vypustiť prvý a tretí bod, v ktorom sa nachádzajú už neúčinné smernice 2009/73/ES a (EÚ) 2019/692.</w:t>
            </w:r>
          </w:p>
        </w:tc>
        <w:tc>
          <w:tcPr>
            <w:tcW w:w="2264" w:type="dxa"/>
            <w:vAlign w:val="center"/>
            <w:hideMark/>
          </w:tcPr>
          <w:p w14:paraId="59A15505" w14:textId="74B696A1"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1D4784FF" w14:textId="50282FF7" w:rsidR="00725D29" w:rsidRPr="00BC49FC" w:rsidRDefault="00725D29" w:rsidP="00725D29">
            <w:pPr>
              <w:rPr>
                <w:rFonts w:ascii="Times New Roman" w:hAnsi="Times New Roman" w:cs="Times New Roman"/>
              </w:rPr>
            </w:pPr>
            <w:r>
              <w:rPr>
                <w:b/>
                <w:bCs/>
                <w:color w:val="000000"/>
              </w:rPr>
              <w:t>podľa dohody sa táto pripomienka vykoná v materiáli LP2026/320</w:t>
            </w:r>
          </w:p>
        </w:tc>
      </w:tr>
      <w:tr w:rsidR="00725D29" w:rsidRPr="006278D2" w14:paraId="76DB0DF3" w14:textId="694C66FB" w:rsidTr="00725D29">
        <w:trPr>
          <w:trHeight w:val="1590"/>
        </w:trPr>
        <w:tc>
          <w:tcPr>
            <w:tcW w:w="975" w:type="dxa"/>
            <w:hideMark/>
          </w:tcPr>
          <w:p w14:paraId="55CEF7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354.</w:t>
            </w:r>
          </w:p>
        </w:tc>
        <w:tc>
          <w:tcPr>
            <w:tcW w:w="2656" w:type="dxa"/>
            <w:hideMark/>
          </w:tcPr>
          <w:p w14:paraId="00011CD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5BD22C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3EBF3A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18. K Čl. VI: Žiadame doplniť ďalší novelizačný bod, ktorým sa upraví poznámka pod čiarou k odkazu 79d, tak, že sa v nej uvedie skrátená citácia nariadenia (EÚ) 2018/1999 v platnom znení.</w:t>
            </w:r>
          </w:p>
        </w:tc>
        <w:tc>
          <w:tcPr>
            <w:tcW w:w="2264" w:type="dxa"/>
            <w:vAlign w:val="center"/>
            <w:hideMark/>
          </w:tcPr>
          <w:p w14:paraId="0DEE25D5" w14:textId="11F418AF"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042E14A7" w14:textId="5C63A7F9" w:rsidR="00725D29" w:rsidRPr="00BC49FC" w:rsidRDefault="00725D29" w:rsidP="00725D29">
            <w:pPr>
              <w:rPr>
                <w:rFonts w:ascii="Times New Roman" w:hAnsi="Times New Roman" w:cs="Times New Roman"/>
                <w:b/>
                <w:bCs/>
              </w:rPr>
            </w:pPr>
            <w:r>
              <w:rPr>
                <w:b/>
                <w:bCs/>
                <w:color w:val="000000"/>
              </w:rPr>
              <w:t>podľa dohody sa táto pripomienka vykoná v materiáli LP2026/320</w:t>
            </w:r>
          </w:p>
        </w:tc>
      </w:tr>
      <w:tr w:rsidR="00725D29" w:rsidRPr="006278D2" w14:paraId="542BFADD" w14:textId="055CE94B" w:rsidTr="00725D29">
        <w:trPr>
          <w:trHeight w:val="1590"/>
        </w:trPr>
        <w:tc>
          <w:tcPr>
            <w:tcW w:w="975" w:type="dxa"/>
            <w:hideMark/>
          </w:tcPr>
          <w:p w14:paraId="4CB327D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355.</w:t>
            </w:r>
          </w:p>
        </w:tc>
        <w:tc>
          <w:tcPr>
            <w:tcW w:w="2656" w:type="dxa"/>
            <w:hideMark/>
          </w:tcPr>
          <w:p w14:paraId="100BAFE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B6914F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9569AA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19. K Čl. VI bodu 19: Z transpozičnej prílohy žiadame v súlade s bodom 62.14. Prílohy č. 1 Legislatívnych pravidiel vlády Slovenskej republiky vypustiť prvý, štvrtý a siedmy bod, v ktorom sa nachádzajú už neúčinné smernice 2009/73/ES, 2014/94/EÚ a (EÚ) 2019/692.</w:t>
            </w:r>
          </w:p>
        </w:tc>
        <w:tc>
          <w:tcPr>
            <w:tcW w:w="2264" w:type="dxa"/>
            <w:vAlign w:val="center"/>
            <w:hideMark/>
          </w:tcPr>
          <w:p w14:paraId="0A77DEB9" w14:textId="2358DED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3A821F8" w14:textId="07B718B5"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54632B1C" w14:textId="3449FAC2" w:rsidTr="00725D29">
        <w:trPr>
          <w:trHeight w:val="1590"/>
        </w:trPr>
        <w:tc>
          <w:tcPr>
            <w:tcW w:w="975" w:type="dxa"/>
            <w:hideMark/>
          </w:tcPr>
          <w:p w14:paraId="3643CCF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356.</w:t>
            </w:r>
          </w:p>
        </w:tc>
        <w:tc>
          <w:tcPr>
            <w:tcW w:w="2656" w:type="dxa"/>
            <w:hideMark/>
          </w:tcPr>
          <w:p w14:paraId="621B3A6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99B97D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11D15E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20. K Čl. VII bodu 3: V poznámke pod čiarou k odkazu 53d žiadame v súlade s bodom 23.6. Prílohy č. 1 Legislatívnych pravidiel vlády Slovenskej republiky uvádzať ako prvé nariadenie (EÚ) 2024/1781 v platnom znení.</w:t>
            </w:r>
          </w:p>
        </w:tc>
        <w:tc>
          <w:tcPr>
            <w:tcW w:w="2264" w:type="dxa"/>
            <w:vAlign w:val="center"/>
            <w:hideMark/>
          </w:tcPr>
          <w:p w14:paraId="03DF2AD9" w14:textId="0392FC8B"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237B8327" w14:textId="38EF1279" w:rsidR="00725D29" w:rsidRPr="00BC49FC" w:rsidRDefault="00725D29" w:rsidP="00725D29">
            <w:pPr>
              <w:rPr>
                <w:rFonts w:ascii="Times New Roman" w:hAnsi="Times New Roman" w:cs="Times New Roman"/>
                <w:b/>
                <w:bCs/>
              </w:rPr>
            </w:pPr>
            <w:r>
              <w:rPr>
                <w:b/>
                <w:bCs/>
                <w:color w:val="000000"/>
              </w:rPr>
              <w:t>podľa dohody sa táto pripomienka vykoná v materiáli LP2026/320</w:t>
            </w:r>
          </w:p>
        </w:tc>
      </w:tr>
      <w:tr w:rsidR="00725D29" w:rsidRPr="006278D2" w14:paraId="4C72D2DC" w14:textId="77E5AC94" w:rsidTr="00725D29">
        <w:trPr>
          <w:trHeight w:val="1590"/>
        </w:trPr>
        <w:tc>
          <w:tcPr>
            <w:tcW w:w="975" w:type="dxa"/>
            <w:hideMark/>
          </w:tcPr>
          <w:p w14:paraId="7B79B6F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357.</w:t>
            </w:r>
          </w:p>
        </w:tc>
        <w:tc>
          <w:tcPr>
            <w:tcW w:w="2656" w:type="dxa"/>
            <w:hideMark/>
          </w:tcPr>
          <w:p w14:paraId="076E4F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DC37E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458CAD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návrhu zákona: </w:t>
            </w:r>
            <w:r w:rsidRPr="00BC49FC">
              <w:rPr>
                <w:rFonts w:ascii="Times New Roman" w:hAnsi="Times New Roman" w:cs="Times New Roman"/>
              </w:rPr>
              <w:t>21. K prílohe: Druhý bod prílohy predkladaného návrhu zákona žiadame upraviť nasledovne: „Smernica Európskeho parlamentu a Rady (EÚ) 2024/1275 z 24. apríla 2024 o energetickej hospodárnosti budov (prepracované znenie) (Ú. v. EÚ L, 2024/1275, 8.5.2024) v znení – delegovaného nariadenia Komisie (EÚ) 2025/2273 z 30. júna 2025 (Ú. v. EÚ L, 2025/2273, 6.11.2025) – delegovaného nariadenia Komisie (EÚ) 2026/52 zo 16. decembra 2025 (Ú. v. EÚ L, 2026/52, 4.5.2026)".</w:t>
            </w:r>
          </w:p>
        </w:tc>
        <w:tc>
          <w:tcPr>
            <w:tcW w:w="2264" w:type="dxa"/>
            <w:vAlign w:val="center"/>
            <w:hideMark/>
          </w:tcPr>
          <w:p w14:paraId="0D6A8FF9" w14:textId="3190CA9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C21EC4B" w14:textId="1AB7E369"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4F04687A" w14:textId="2F21907B" w:rsidTr="00725D29">
        <w:trPr>
          <w:trHeight w:val="1590"/>
        </w:trPr>
        <w:tc>
          <w:tcPr>
            <w:tcW w:w="975" w:type="dxa"/>
            <w:hideMark/>
          </w:tcPr>
          <w:p w14:paraId="6C1025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358.</w:t>
            </w:r>
          </w:p>
        </w:tc>
        <w:tc>
          <w:tcPr>
            <w:tcW w:w="2656" w:type="dxa"/>
            <w:hideMark/>
          </w:tcPr>
          <w:p w14:paraId="426A497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2919A9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6E3B74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 Žiadame upraviť citáciu smernice (EÚ) 2023/1791 uvádzanej v ľavom záhlaví tabuľky zhody tak, že dôjde k vypusteniu slov „(Text s významom pre EHP)“.</w:t>
            </w:r>
          </w:p>
        </w:tc>
        <w:tc>
          <w:tcPr>
            <w:tcW w:w="2264" w:type="dxa"/>
            <w:vAlign w:val="center"/>
            <w:hideMark/>
          </w:tcPr>
          <w:p w14:paraId="08FB9371" w14:textId="499D146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653FC57" w14:textId="4CFD255E"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6D4BFE1C" w14:textId="7640295E" w:rsidTr="00725D29">
        <w:trPr>
          <w:trHeight w:val="1590"/>
        </w:trPr>
        <w:tc>
          <w:tcPr>
            <w:tcW w:w="975" w:type="dxa"/>
            <w:hideMark/>
          </w:tcPr>
          <w:p w14:paraId="7728E61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359.</w:t>
            </w:r>
          </w:p>
        </w:tc>
        <w:tc>
          <w:tcPr>
            <w:tcW w:w="2656" w:type="dxa"/>
            <w:hideMark/>
          </w:tcPr>
          <w:p w14:paraId="7710BF8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89155F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A9BEB8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 V celej tabuľke zhody žiadame náležite vypĺňať stĺpce štyri a päť a uvádzať relevantnú vnútroštátnu úpravu, ktorá má byť transpozičným opatrením príslušných článkov smernice (EÚ) 2023/1791.</w:t>
            </w:r>
          </w:p>
        </w:tc>
        <w:tc>
          <w:tcPr>
            <w:tcW w:w="2264" w:type="dxa"/>
            <w:vAlign w:val="center"/>
            <w:hideMark/>
          </w:tcPr>
          <w:p w14:paraId="2AA76B1E" w14:textId="68FDF3B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3C525E7" w14:textId="5F1746FE"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09D7E950" w14:textId="5949088A" w:rsidTr="00725D29">
        <w:trPr>
          <w:trHeight w:val="1590"/>
        </w:trPr>
        <w:tc>
          <w:tcPr>
            <w:tcW w:w="975" w:type="dxa"/>
            <w:hideMark/>
          </w:tcPr>
          <w:p w14:paraId="1760674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360.</w:t>
            </w:r>
          </w:p>
        </w:tc>
        <w:tc>
          <w:tcPr>
            <w:tcW w:w="2656" w:type="dxa"/>
            <w:hideMark/>
          </w:tcPr>
          <w:p w14:paraId="68676A1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25E810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E89912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 Upozorňujeme, že na viacerých miestach tabuľky zhody sa v ôsmom stĺpci tabuľky zhody uvádzajú vnútroštátne právne predpisy bez bližšieho kontextu. V prípade, že daný právny predpis má byť transpozičným opatrením smernice (EÚ) 2023/1791, žiadame tento uvádzať v stĺpcoch 4 – 6 tabuľky zhody. V prípade, že ide iba o poznámku vysvetľujúcu transpozíciu, žiadame doplniť ôsmy stĺpec tabuľky zhody o ďalšie vysvetlenia.</w:t>
            </w:r>
          </w:p>
        </w:tc>
        <w:tc>
          <w:tcPr>
            <w:tcW w:w="2264" w:type="dxa"/>
            <w:vAlign w:val="center"/>
            <w:hideMark/>
          </w:tcPr>
          <w:p w14:paraId="5E91B525" w14:textId="1F510A6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6DF2695" w14:textId="14FD417B"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012A2EE7" w14:textId="48F04D9F" w:rsidTr="00725D29">
        <w:trPr>
          <w:trHeight w:val="1590"/>
        </w:trPr>
        <w:tc>
          <w:tcPr>
            <w:tcW w:w="975" w:type="dxa"/>
            <w:hideMark/>
          </w:tcPr>
          <w:p w14:paraId="3B1E6AF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361.</w:t>
            </w:r>
          </w:p>
        </w:tc>
        <w:tc>
          <w:tcPr>
            <w:tcW w:w="2656" w:type="dxa"/>
            <w:hideMark/>
          </w:tcPr>
          <w:p w14:paraId="18FA7BD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C6CE4F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898514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 Pri preukazovaní transpozície čl. 2 ods. 7, 14 až 18, 22, 26, 34 až 45 a 50 smernice (EÚ) 2023/1791 žiadame doplniť stĺpce 4 a 5 o informáciu, akým právnym predpisom sa transpozícia zabezpečuje.</w:t>
            </w:r>
          </w:p>
        </w:tc>
        <w:tc>
          <w:tcPr>
            <w:tcW w:w="2264" w:type="dxa"/>
            <w:vAlign w:val="center"/>
            <w:hideMark/>
          </w:tcPr>
          <w:p w14:paraId="667345E5" w14:textId="05C801A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F4D3D00" w14:textId="7744A111"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1CF96871" w14:textId="6A6F6F80" w:rsidTr="00725D29">
        <w:trPr>
          <w:trHeight w:val="1590"/>
        </w:trPr>
        <w:tc>
          <w:tcPr>
            <w:tcW w:w="975" w:type="dxa"/>
            <w:hideMark/>
          </w:tcPr>
          <w:p w14:paraId="4A55F7C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362.</w:t>
            </w:r>
          </w:p>
        </w:tc>
        <w:tc>
          <w:tcPr>
            <w:tcW w:w="2656" w:type="dxa"/>
            <w:hideMark/>
          </w:tcPr>
          <w:p w14:paraId="5F109A4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AFAEE6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797EA9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 Pri preukazovaní transpozície čl. 2 ods. 19 smernice (EÚ) 2023/1791 žiadame v ôsmom stĺpci tabuľky zhody vysvetliť, akým spôsobom je zabezpečená transpozícia s ohľadom na maloobchodné energetické spoločnosti.</w:t>
            </w:r>
          </w:p>
        </w:tc>
        <w:tc>
          <w:tcPr>
            <w:tcW w:w="2264" w:type="dxa"/>
            <w:vAlign w:val="center"/>
            <w:hideMark/>
          </w:tcPr>
          <w:p w14:paraId="0A1047AE" w14:textId="2BD5D0B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D9A8BFE" w14:textId="12009C1F"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41C8AB7A" w14:textId="42113302" w:rsidTr="00725D29">
        <w:trPr>
          <w:trHeight w:val="1590"/>
        </w:trPr>
        <w:tc>
          <w:tcPr>
            <w:tcW w:w="975" w:type="dxa"/>
            <w:hideMark/>
          </w:tcPr>
          <w:p w14:paraId="2728705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363.</w:t>
            </w:r>
          </w:p>
        </w:tc>
        <w:tc>
          <w:tcPr>
            <w:tcW w:w="2656" w:type="dxa"/>
            <w:hideMark/>
          </w:tcPr>
          <w:p w14:paraId="556BC4A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2631F5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FB638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 Pri preukazovaní transpozície čl. 2 ods. 27 smernice (EÚ) 2023/1791 žiadame uvádzať ako relevantné transpozičné opatrenie aj ustanovenie § 3 písm. b) zákona č. 251/2012 Z. z. a relevantné ustanovenie zákona č. 657/2004 Z. z.</w:t>
            </w:r>
          </w:p>
        </w:tc>
        <w:tc>
          <w:tcPr>
            <w:tcW w:w="2264" w:type="dxa"/>
            <w:vAlign w:val="center"/>
            <w:hideMark/>
          </w:tcPr>
          <w:p w14:paraId="1C9136B2" w14:textId="0003D79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9EC1AB1" w14:textId="1E4D3E98"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42AFB9C7" w14:textId="045507E1" w:rsidTr="00725D29">
        <w:trPr>
          <w:trHeight w:val="1590"/>
        </w:trPr>
        <w:tc>
          <w:tcPr>
            <w:tcW w:w="975" w:type="dxa"/>
            <w:hideMark/>
          </w:tcPr>
          <w:p w14:paraId="4A6743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364.</w:t>
            </w:r>
          </w:p>
        </w:tc>
        <w:tc>
          <w:tcPr>
            <w:tcW w:w="2656" w:type="dxa"/>
            <w:hideMark/>
          </w:tcPr>
          <w:p w14:paraId="7694AF8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11FCDA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C223FA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 Pri preukazovaní transpozície čl. 3 ods. 3 smernice (EÚ) 2023/1791 žiadame uviesť vysvetlenie priamo v ôsmom stĺpci tabuľky zhody a nie v dôvodovej správe k návrhu zákona.</w:t>
            </w:r>
          </w:p>
        </w:tc>
        <w:tc>
          <w:tcPr>
            <w:tcW w:w="2264" w:type="dxa"/>
            <w:vAlign w:val="center"/>
            <w:hideMark/>
          </w:tcPr>
          <w:p w14:paraId="48F2149C" w14:textId="52FD9B7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A0D7E37" w14:textId="713E96E6" w:rsidR="00725D29" w:rsidRPr="00BC49FC" w:rsidRDefault="00725D29" w:rsidP="00725D29">
            <w:pPr>
              <w:rPr>
                <w:rFonts w:ascii="Times New Roman" w:hAnsi="Times New Roman" w:cs="Times New Roman"/>
                <w:b/>
                <w:bCs/>
              </w:rPr>
            </w:pPr>
            <w:r>
              <w:rPr>
                <w:b/>
                <w:bCs/>
                <w:color w:val="000000"/>
              </w:rPr>
              <w:t>4 a 5 stlpec TZ boli posunuté v súlade s textom v 6 stlpci</w:t>
            </w:r>
          </w:p>
        </w:tc>
      </w:tr>
      <w:tr w:rsidR="00725D29" w:rsidRPr="006278D2" w14:paraId="211C0E1F" w14:textId="57103CFF" w:rsidTr="00725D29">
        <w:trPr>
          <w:trHeight w:val="1590"/>
        </w:trPr>
        <w:tc>
          <w:tcPr>
            <w:tcW w:w="975" w:type="dxa"/>
            <w:hideMark/>
          </w:tcPr>
          <w:p w14:paraId="6A76F12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365.</w:t>
            </w:r>
          </w:p>
        </w:tc>
        <w:tc>
          <w:tcPr>
            <w:tcW w:w="2656" w:type="dxa"/>
            <w:hideMark/>
          </w:tcPr>
          <w:p w14:paraId="700ECB5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29BEF2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3333CB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 Pri preukazovaní transpozície čl. 3 ods. 4 a 5 smernice (EÚ) 2023/1791 žiadame uvádzať v šiestom stĺpci tabuľky zhody celé znenie ustanovenia § 24 ods. 3.</w:t>
            </w:r>
          </w:p>
        </w:tc>
        <w:tc>
          <w:tcPr>
            <w:tcW w:w="2264" w:type="dxa"/>
            <w:vAlign w:val="center"/>
            <w:hideMark/>
          </w:tcPr>
          <w:p w14:paraId="4FADB24B" w14:textId="10895E8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59DC85A" w14:textId="3CC94CD3"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6704D5A6" w14:textId="02FF6F13" w:rsidTr="00725D29">
        <w:trPr>
          <w:trHeight w:val="1590"/>
        </w:trPr>
        <w:tc>
          <w:tcPr>
            <w:tcW w:w="975" w:type="dxa"/>
            <w:hideMark/>
          </w:tcPr>
          <w:p w14:paraId="4C56848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366.</w:t>
            </w:r>
          </w:p>
        </w:tc>
        <w:tc>
          <w:tcPr>
            <w:tcW w:w="2656" w:type="dxa"/>
            <w:hideMark/>
          </w:tcPr>
          <w:p w14:paraId="2E2794B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F80667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BE7384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 Upozorňujeme, že znenie transpozičného opatrenia uvádzaného v šiestom stĺpci tabuľky zhody pri preukazovaní transpozície čl. 3 ods. 5 písm. d) smernice (EÚ) 2023/1791 nesedí so znením návrhu zákona. Text žiadame zosúladiť.</w:t>
            </w:r>
          </w:p>
        </w:tc>
        <w:tc>
          <w:tcPr>
            <w:tcW w:w="2264" w:type="dxa"/>
            <w:vAlign w:val="center"/>
            <w:hideMark/>
          </w:tcPr>
          <w:p w14:paraId="30679261" w14:textId="1E7F6B9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06753C1" w14:textId="7D0F5DBE"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21FE906F" w14:textId="6FDCA1B6" w:rsidTr="00725D29">
        <w:trPr>
          <w:trHeight w:val="1590"/>
        </w:trPr>
        <w:tc>
          <w:tcPr>
            <w:tcW w:w="975" w:type="dxa"/>
            <w:hideMark/>
          </w:tcPr>
          <w:p w14:paraId="3F85268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367.</w:t>
            </w:r>
          </w:p>
        </w:tc>
        <w:tc>
          <w:tcPr>
            <w:tcW w:w="2656" w:type="dxa"/>
            <w:hideMark/>
          </w:tcPr>
          <w:p w14:paraId="7224187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DCB0D4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1CA4A3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 Žiadame preukázať transpozíciu čl. 4 ods. 1 prvej aj druhej vety smernice (EÚ) 2023/1791 do vnútroštátneho právneho poriadku. Uvádzané transpozičné opatrenia sú nesúvisiace.</w:t>
            </w:r>
          </w:p>
        </w:tc>
        <w:tc>
          <w:tcPr>
            <w:tcW w:w="2264" w:type="dxa"/>
            <w:vAlign w:val="center"/>
            <w:hideMark/>
          </w:tcPr>
          <w:p w14:paraId="688E1AF0" w14:textId="0E6DAA7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EAC45CD" w14:textId="1210BD6B"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4CCB0A59" w14:textId="2D3917E9" w:rsidTr="00725D29">
        <w:trPr>
          <w:trHeight w:val="1590"/>
        </w:trPr>
        <w:tc>
          <w:tcPr>
            <w:tcW w:w="975" w:type="dxa"/>
            <w:hideMark/>
          </w:tcPr>
          <w:p w14:paraId="3DF7A65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368.</w:t>
            </w:r>
          </w:p>
        </w:tc>
        <w:tc>
          <w:tcPr>
            <w:tcW w:w="2656" w:type="dxa"/>
            <w:hideMark/>
          </w:tcPr>
          <w:p w14:paraId="60B49A3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B8DF91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098D20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 Upozorňujeme, že znenie transpozičného opatrenia uvádzaného v šiestom stĺpci tabuľky zhody pri preukazovaní transpozície čl. 4 ods. 2 druhej vety smernice (EÚ) 2023/1791 nesedí so znením návrhu zákona. Text žiadame zosúladiť.</w:t>
            </w:r>
          </w:p>
        </w:tc>
        <w:tc>
          <w:tcPr>
            <w:tcW w:w="2264" w:type="dxa"/>
            <w:vAlign w:val="center"/>
            <w:hideMark/>
          </w:tcPr>
          <w:p w14:paraId="61BE09A4" w14:textId="499DD0C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284D422" w14:textId="57A82D66" w:rsidR="00725D29" w:rsidRPr="00BC49FC" w:rsidRDefault="00725D29" w:rsidP="00725D29">
            <w:pPr>
              <w:rPr>
                <w:rFonts w:ascii="Times New Roman" w:hAnsi="Times New Roman" w:cs="Times New Roman"/>
                <w:b/>
                <w:bCs/>
              </w:rPr>
            </w:pPr>
            <w:r>
              <w:rPr>
                <w:b/>
                <w:bCs/>
                <w:color w:val="000000"/>
              </w:rPr>
              <w:t>doplnené v stĺpci 8</w:t>
            </w:r>
          </w:p>
        </w:tc>
      </w:tr>
      <w:tr w:rsidR="00725D29" w:rsidRPr="006278D2" w14:paraId="1CD482F2" w14:textId="430A4980" w:rsidTr="00725D29">
        <w:trPr>
          <w:trHeight w:val="1590"/>
        </w:trPr>
        <w:tc>
          <w:tcPr>
            <w:tcW w:w="975" w:type="dxa"/>
            <w:hideMark/>
          </w:tcPr>
          <w:p w14:paraId="2458C4B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369.</w:t>
            </w:r>
          </w:p>
        </w:tc>
        <w:tc>
          <w:tcPr>
            <w:tcW w:w="2656" w:type="dxa"/>
            <w:hideMark/>
          </w:tcPr>
          <w:p w14:paraId="7C7E4AE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40D991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8B7520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 Pri preukazovaní transpozície čl. 4 ods. 2 piatej vety smernice (EÚ) 2023/1791 žiadame doplniť stĺpce 4 a 5 o informáciu, akým právnym predpisom sa transpozícia zabezpečuje.</w:t>
            </w:r>
          </w:p>
        </w:tc>
        <w:tc>
          <w:tcPr>
            <w:tcW w:w="2264" w:type="dxa"/>
            <w:vAlign w:val="center"/>
            <w:hideMark/>
          </w:tcPr>
          <w:p w14:paraId="5BD30A12" w14:textId="31336C4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A363678" w14:textId="3FF507CB" w:rsidR="00725D29" w:rsidRPr="00BC49FC" w:rsidRDefault="00725D29" w:rsidP="00725D29">
            <w:pPr>
              <w:rPr>
                <w:rFonts w:ascii="Times New Roman" w:hAnsi="Times New Roman" w:cs="Times New Roman"/>
                <w:b/>
                <w:bCs/>
              </w:rPr>
            </w:pPr>
            <w:r>
              <w:rPr>
                <w:b/>
                <w:bCs/>
                <w:color w:val="000000"/>
              </w:rPr>
              <w:t>doplnené v stĺpci 8</w:t>
            </w:r>
          </w:p>
        </w:tc>
      </w:tr>
      <w:tr w:rsidR="00725D29" w:rsidRPr="006278D2" w14:paraId="7729B997" w14:textId="450FD557" w:rsidTr="00725D29">
        <w:trPr>
          <w:trHeight w:val="1590"/>
        </w:trPr>
        <w:tc>
          <w:tcPr>
            <w:tcW w:w="975" w:type="dxa"/>
            <w:hideMark/>
          </w:tcPr>
          <w:p w14:paraId="1FB0403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370.</w:t>
            </w:r>
          </w:p>
        </w:tc>
        <w:tc>
          <w:tcPr>
            <w:tcW w:w="2656" w:type="dxa"/>
            <w:hideMark/>
          </w:tcPr>
          <w:p w14:paraId="479CC16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3B40EB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DA65AB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 Žiadame preukázať transpozíciu čl. 4 ods. 4 smernice (EÚ) 2023/1791 do vnútroštátneho právneho poriadku. Uvádzané transpozičné opatrenia sú nesúvisiace.</w:t>
            </w:r>
          </w:p>
        </w:tc>
        <w:tc>
          <w:tcPr>
            <w:tcW w:w="2264" w:type="dxa"/>
            <w:vAlign w:val="center"/>
            <w:hideMark/>
          </w:tcPr>
          <w:p w14:paraId="41F27066" w14:textId="3AD810F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CCEDE10" w14:textId="28E20DE3"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37D04E06" w14:textId="419D713D" w:rsidTr="00725D29">
        <w:trPr>
          <w:trHeight w:val="1590"/>
        </w:trPr>
        <w:tc>
          <w:tcPr>
            <w:tcW w:w="975" w:type="dxa"/>
            <w:hideMark/>
          </w:tcPr>
          <w:p w14:paraId="16C1D56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371.</w:t>
            </w:r>
          </w:p>
        </w:tc>
        <w:tc>
          <w:tcPr>
            <w:tcW w:w="2656" w:type="dxa"/>
            <w:hideMark/>
          </w:tcPr>
          <w:p w14:paraId="2523F07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ECBB86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86D23D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 Žiadame preukázať transpozíciu čl. 4 ods. 5 štvrtej vety smernice (EÚ) 2023/1791 do vnútroštátneho právneho poriadku, a to pokiaľ ide o oznamovaciu povinnosť.</w:t>
            </w:r>
          </w:p>
        </w:tc>
        <w:tc>
          <w:tcPr>
            <w:tcW w:w="2264" w:type="dxa"/>
            <w:vAlign w:val="center"/>
            <w:hideMark/>
          </w:tcPr>
          <w:p w14:paraId="2E05281B" w14:textId="1CC723F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6E05958" w14:textId="711BEA17"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1C12869D" w14:textId="2B944EEA" w:rsidTr="00725D29">
        <w:trPr>
          <w:trHeight w:val="1590"/>
        </w:trPr>
        <w:tc>
          <w:tcPr>
            <w:tcW w:w="975" w:type="dxa"/>
            <w:hideMark/>
          </w:tcPr>
          <w:p w14:paraId="4D4E19D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372.</w:t>
            </w:r>
          </w:p>
        </w:tc>
        <w:tc>
          <w:tcPr>
            <w:tcW w:w="2656" w:type="dxa"/>
            <w:hideMark/>
          </w:tcPr>
          <w:p w14:paraId="484228E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27A03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43A8C0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 Žiadame preukázať transpozíciu čl. 4 ods. 5 piatej vety smernice (EÚ) 2023/1791 do vnútroštátneho právneho poriadku. Uvádzané transpozičné opatrenia sú nesúvisiace.</w:t>
            </w:r>
          </w:p>
        </w:tc>
        <w:tc>
          <w:tcPr>
            <w:tcW w:w="2264" w:type="dxa"/>
            <w:vAlign w:val="center"/>
            <w:hideMark/>
          </w:tcPr>
          <w:p w14:paraId="351B339A" w14:textId="61DCA1E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F9757DC" w14:textId="463F071F"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1F15C92C" w14:textId="25BAF1C2" w:rsidTr="00725D29">
        <w:trPr>
          <w:trHeight w:val="1590"/>
        </w:trPr>
        <w:tc>
          <w:tcPr>
            <w:tcW w:w="975" w:type="dxa"/>
            <w:hideMark/>
          </w:tcPr>
          <w:p w14:paraId="0DC2F9E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373.</w:t>
            </w:r>
          </w:p>
        </w:tc>
        <w:tc>
          <w:tcPr>
            <w:tcW w:w="2656" w:type="dxa"/>
            <w:hideMark/>
          </w:tcPr>
          <w:p w14:paraId="0BF99D4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212C95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5C3CD3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 Žiadame preukázať transpozíciu čl. 4 ods. 5 šiestej vety smernice (EÚ) 2023/1791 do vnútroštátneho právneho poriadku. Uvádzané transpozičné opatrenia sú nesúvisiace.</w:t>
            </w:r>
          </w:p>
        </w:tc>
        <w:tc>
          <w:tcPr>
            <w:tcW w:w="2264" w:type="dxa"/>
            <w:vAlign w:val="center"/>
            <w:hideMark/>
          </w:tcPr>
          <w:p w14:paraId="63A40441" w14:textId="73FB617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6442395" w14:textId="7414F328" w:rsidR="00725D29" w:rsidRPr="00BC49FC" w:rsidRDefault="00725D29" w:rsidP="00725D29">
            <w:pPr>
              <w:rPr>
                <w:rFonts w:ascii="Times New Roman" w:hAnsi="Times New Roman" w:cs="Times New Roman"/>
                <w:b/>
                <w:bCs/>
              </w:rPr>
            </w:pPr>
            <w:r>
              <w:rPr>
                <w:b/>
                <w:bCs/>
                <w:color w:val="000000"/>
              </w:rPr>
              <w:t>doplnené v stĺpci 8</w:t>
            </w:r>
          </w:p>
        </w:tc>
      </w:tr>
      <w:tr w:rsidR="00725D29" w:rsidRPr="006278D2" w14:paraId="14ACE348" w14:textId="24092FE6" w:rsidTr="00725D29">
        <w:trPr>
          <w:trHeight w:val="1590"/>
        </w:trPr>
        <w:tc>
          <w:tcPr>
            <w:tcW w:w="975" w:type="dxa"/>
            <w:hideMark/>
          </w:tcPr>
          <w:p w14:paraId="21D35FB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374.</w:t>
            </w:r>
          </w:p>
        </w:tc>
        <w:tc>
          <w:tcPr>
            <w:tcW w:w="2656" w:type="dxa"/>
            <w:hideMark/>
          </w:tcPr>
          <w:p w14:paraId="450CF62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D4C393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03BE74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 Upozorňujeme, že znenie transpozičného opatrenia uvádzaného v šiestom stĺpci tabuľky zhody pri preukazovaní transpozície čl. 4 ods. 5 druhej až ôsmej vety smernice (EÚ) 2023/1791 nesedí so znením návrhu zákona. Texty žiadame zosúladiť.</w:t>
            </w:r>
          </w:p>
        </w:tc>
        <w:tc>
          <w:tcPr>
            <w:tcW w:w="2264" w:type="dxa"/>
            <w:vAlign w:val="center"/>
            <w:hideMark/>
          </w:tcPr>
          <w:p w14:paraId="6524184F" w14:textId="2B15F50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4C56B29" w14:textId="715FBEBD" w:rsidR="00725D29" w:rsidRPr="00BC49FC" w:rsidRDefault="00725D29" w:rsidP="00725D29">
            <w:pPr>
              <w:rPr>
                <w:rFonts w:ascii="Times New Roman" w:hAnsi="Times New Roman" w:cs="Times New Roman"/>
                <w:b/>
                <w:bCs/>
              </w:rPr>
            </w:pPr>
            <w:r>
              <w:rPr>
                <w:b/>
                <w:bCs/>
                <w:color w:val="000000"/>
              </w:rPr>
              <w:t>doplnené v stĺpci 8</w:t>
            </w:r>
          </w:p>
        </w:tc>
      </w:tr>
      <w:tr w:rsidR="00725D29" w:rsidRPr="006278D2" w14:paraId="11135E24" w14:textId="2D879B1F" w:rsidTr="00725D29">
        <w:trPr>
          <w:trHeight w:val="1590"/>
        </w:trPr>
        <w:tc>
          <w:tcPr>
            <w:tcW w:w="975" w:type="dxa"/>
            <w:hideMark/>
          </w:tcPr>
          <w:p w14:paraId="4797FD6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375.</w:t>
            </w:r>
          </w:p>
        </w:tc>
        <w:tc>
          <w:tcPr>
            <w:tcW w:w="2656" w:type="dxa"/>
            <w:hideMark/>
          </w:tcPr>
          <w:p w14:paraId="2CE10D6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0CB9F4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EAA3A7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 Žiadame preukázať transpozíciu čl. 4 ods. 6 prvej vety smernice (EÚ) 2023/1791 do vnútroštátneho právneho poriadku. Uvádzané transpozičné opatrenia sú nesúvisiace.</w:t>
            </w:r>
          </w:p>
        </w:tc>
        <w:tc>
          <w:tcPr>
            <w:tcW w:w="2264" w:type="dxa"/>
            <w:vAlign w:val="center"/>
            <w:hideMark/>
          </w:tcPr>
          <w:p w14:paraId="5392A321" w14:textId="10814B7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B88FB09" w14:textId="4A6F35F1"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3EE120B9" w14:textId="00028861" w:rsidTr="00725D29">
        <w:trPr>
          <w:trHeight w:val="1590"/>
        </w:trPr>
        <w:tc>
          <w:tcPr>
            <w:tcW w:w="975" w:type="dxa"/>
            <w:hideMark/>
          </w:tcPr>
          <w:p w14:paraId="2F0F44B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376.</w:t>
            </w:r>
          </w:p>
        </w:tc>
        <w:tc>
          <w:tcPr>
            <w:tcW w:w="2656" w:type="dxa"/>
            <w:hideMark/>
          </w:tcPr>
          <w:p w14:paraId="77CB54A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E7B6B6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FD415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 Pri preukazovaní transpozície čl. 4 ods. 6 prvej vety smernice (EÚ) 2023/1791, žiadame uvádzať znenie transpozičných opatrení uvádzaných v šiestom stĺpci tabuľky zhody vrátane poznámok pod čiarou.</w:t>
            </w:r>
          </w:p>
        </w:tc>
        <w:tc>
          <w:tcPr>
            <w:tcW w:w="2264" w:type="dxa"/>
            <w:vAlign w:val="center"/>
            <w:hideMark/>
          </w:tcPr>
          <w:p w14:paraId="36395EC2" w14:textId="59D8654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1F4FED5" w14:textId="1C5CB8DB" w:rsidR="00725D29" w:rsidRPr="00BC49FC" w:rsidRDefault="00725D29" w:rsidP="00725D29">
            <w:pPr>
              <w:rPr>
                <w:rFonts w:ascii="Times New Roman" w:hAnsi="Times New Roman" w:cs="Times New Roman"/>
                <w:b/>
                <w:bCs/>
              </w:rPr>
            </w:pPr>
            <w:r>
              <w:rPr>
                <w:b/>
                <w:bCs/>
                <w:color w:val="000000"/>
              </w:rPr>
              <w:t>doplnené v stĺpci 8</w:t>
            </w:r>
          </w:p>
        </w:tc>
      </w:tr>
      <w:tr w:rsidR="00725D29" w:rsidRPr="006278D2" w14:paraId="2101F807" w14:textId="0ECF572E" w:rsidTr="00725D29">
        <w:trPr>
          <w:trHeight w:val="1590"/>
        </w:trPr>
        <w:tc>
          <w:tcPr>
            <w:tcW w:w="975" w:type="dxa"/>
            <w:hideMark/>
          </w:tcPr>
          <w:p w14:paraId="5DB12FE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377.</w:t>
            </w:r>
          </w:p>
        </w:tc>
        <w:tc>
          <w:tcPr>
            <w:tcW w:w="2656" w:type="dxa"/>
            <w:hideMark/>
          </w:tcPr>
          <w:p w14:paraId="71876A7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30C1DE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2E3726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 Žiadame preukázať transpozíciu čl. 4 ods. 6 druhej vety písm. a) smernice (EÚ) 2023/1791 do vnútroštátneho právneho poriadku. Uvádzané transpozičné opatrenia sú nesúvisiace.</w:t>
            </w:r>
          </w:p>
        </w:tc>
        <w:tc>
          <w:tcPr>
            <w:tcW w:w="2264" w:type="dxa"/>
            <w:vAlign w:val="center"/>
            <w:hideMark/>
          </w:tcPr>
          <w:p w14:paraId="5AA859F1" w14:textId="3F52B8E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78F56CF" w14:textId="27728F28"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7CD2F536" w14:textId="0946488E" w:rsidTr="00725D29">
        <w:trPr>
          <w:trHeight w:val="1590"/>
        </w:trPr>
        <w:tc>
          <w:tcPr>
            <w:tcW w:w="975" w:type="dxa"/>
            <w:hideMark/>
          </w:tcPr>
          <w:p w14:paraId="6394DA3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378.</w:t>
            </w:r>
          </w:p>
        </w:tc>
        <w:tc>
          <w:tcPr>
            <w:tcW w:w="2656" w:type="dxa"/>
            <w:hideMark/>
          </w:tcPr>
          <w:p w14:paraId="608365B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BE2D8A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89D719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 Žiadame preukázať transpozíciu čl. 4 ods. 6 druhej vety písm. b) smernice (EÚ) 2023/1791 do vnútroštátneho právneho poriadku. Uvádzané transpozičné opatrenia sú nesúvisiace.</w:t>
            </w:r>
          </w:p>
        </w:tc>
        <w:tc>
          <w:tcPr>
            <w:tcW w:w="2264" w:type="dxa"/>
            <w:vAlign w:val="center"/>
            <w:hideMark/>
          </w:tcPr>
          <w:p w14:paraId="0B1B137C" w14:textId="775B51C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8C731EC" w14:textId="6798A304" w:rsidR="00725D29" w:rsidRPr="00BC49FC" w:rsidRDefault="00725D29" w:rsidP="00725D29">
            <w:pPr>
              <w:rPr>
                <w:rFonts w:ascii="Times New Roman" w:hAnsi="Times New Roman" w:cs="Times New Roman"/>
                <w:b/>
                <w:bCs/>
              </w:rPr>
            </w:pPr>
            <w:r>
              <w:rPr>
                <w:b/>
                <w:bCs/>
                <w:color w:val="000000"/>
              </w:rPr>
              <w:t>doplnené v stĺpci 8</w:t>
            </w:r>
          </w:p>
        </w:tc>
      </w:tr>
      <w:tr w:rsidR="00725D29" w:rsidRPr="006278D2" w14:paraId="3701B423" w14:textId="5E2F88F0" w:rsidTr="00725D29">
        <w:trPr>
          <w:trHeight w:val="1590"/>
        </w:trPr>
        <w:tc>
          <w:tcPr>
            <w:tcW w:w="975" w:type="dxa"/>
            <w:hideMark/>
          </w:tcPr>
          <w:p w14:paraId="4416079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379.</w:t>
            </w:r>
          </w:p>
        </w:tc>
        <w:tc>
          <w:tcPr>
            <w:tcW w:w="2656" w:type="dxa"/>
            <w:hideMark/>
          </w:tcPr>
          <w:p w14:paraId="1C2DDFC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6EED0C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2CC22F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 Pri preukazovaní transpozície čl. 4 ods. 6 tretej vety smernice (EÚ) 2023/1791, žiadame uvádzať znenie transpozičných opatrení uvádzaných v šiestom stĺpci tabuľky zhody vrátane poznámok pod čiarou.</w:t>
            </w:r>
          </w:p>
        </w:tc>
        <w:tc>
          <w:tcPr>
            <w:tcW w:w="2264" w:type="dxa"/>
            <w:vAlign w:val="center"/>
            <w:hideMark/>
          </w:tcPr>
          <w:p w14:paraId="5C65E17A" w14:textId="162CC38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B87E24E" w14:textId="4D281E3C"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1E4768B8" w14:textId="610D5343" w:rsidTr="00725D29">
        <w:trPr>
          <w:trHeight w:val="1590"/>
        </w:trPr>
        <w:tc>
          <w:tcPr>
            <w:tcW w:w="975" w:type="dxa"/>
            <w:hideMark/>
          </w:tcPr>
          <w:p w14:paraId="5768687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380.</w:t>
            </w:r>
          </w:p>
        </w:tc>
        <w:tc>
          <w:tcPr>
            <w:tcW w:w="2656" w:type="dxa"/>
            <w:hideMark/>
          </w:tcPr>
          <w:p w14:paraId="5B7CC7E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D0E53A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9ACA40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 Upozorňujeme, že čl. 5 ods. 1 druhá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3F1DA9BD" w14:textId="47026C9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0058189" w14:textId="67236291"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5F98D324" w14:textId="3C82EFAF" w:rsidTr="00725D29">
        <w:trPr>
          <w:trHeight w:val="1590"/>
        </w:trPr>
        <w:tc>
          <w:tcPr>
            <w:tcW w:w="975" w:type="dxa"/>
            <w:hideMark/>
          </w:tcPr>
          <w:p w14:paraId="34892FB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381.</w:t>
            </w:r>
          </w:p>
        </w:tc>
        <w:tc>
          <w:tcPr>
            <w:tcW w:w="2656" w:type="dxa"/>
            <w:hideMark/>
          </w:tcPr>
          <w:p w14:paraId="0DF937C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CDDD07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4944DA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 Upozorňujeme, že znenie transpozičného opatrenia uvádzaného v šiestom stĺpci tabuľky zhody pri preukazovaní transpozície čl. 5 ods. 2 druhej vety smernice (EÚ) 2023/1791 nesedí so znením návrhu zákona. Text žiadame zosúladiť.</w:t>
            </w:r>
          </w:p>
        </w:tc>
        <w:tc>
          <w:tcPr>
            <w:tcW w:w="2264" w:type="dxa"/>
            <w:vAlign w:val="center"/>
            <w:hideMark/>
          </w:tcPr>
          <w:p w14:paraId="58733437" w14:textId="524E5E2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6A6FF31" w14:textId="683C8F8D"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3E47824" w14:textId="7C272E7D" w:rsidTr="00725D29">
        <w:trPr>
          <w:trHeight w:val="1590"/>
        </w:trPr>
        <w:tc>
          <w:tcPr>
            <w:tcW w:w="975" w:type="dxa"/>
            <w:hideMark/>
          </w:tcPr>
          <w:p w14:paraId="04E8EBD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382.</w:t>
            </w:r>
          </w:p>
        </w:tc>
        <w:tc>
          <w:tcPr>
            <w:tcW w:w="2656" w:type="dxa"/>
            <w:hideMark/>
          </w:tcPr>
          <w:p w14:paraId="76AC4FD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B7F3EB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B97113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 Upozorňujeme, že čl. 5 ods. 4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1D7C06B5" w14:textId="412A3D9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A1A0953" w14:textId="04D2CAB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66F94E6" w14:textId="3EB4B5E2" w:rsidTr="00725D29">
        <w:trPr>
          <w:trHeight w:val="1590"/>
        </w:trPr>
        <w:tc>
          <w:tcPr>
            <w:tcW w:w="975" w:type="dxa"/>
            <w:hideMark/>
          </w:tcPr>
          <w:p w14:paraId="3EE1BF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383.</w:t>
            </w:r>
          </w:p>
        </w:tc>
        <w:tc>
          <w:tcPr>
            <w:tcW w:w="2656" w:type="dxa"/>
            <w:hideMark/>
          </w:tcPr>
          <w:p w14:paraId="75782FA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EC8E8B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C94A69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 Pri preukazovaní transpozície čl. 5 ods. 5 prvej vety smernice (EÚ) 2023/1791 žiadame uvádzať znenie transpozičných opatrení uvádzaných v šiestom stĺpci tabuľky zhody vrátane poznámok pod čiarou.</w:t>
            </w:r>
          </w:p>
        </w:tc>
        <w:tc>
          <w:tcPr>
            <w:tcW w:w="2264" w:type="dxa"/>
            <w:vAlign w:val="center"/>
            <w:hideMark/>
          </w:tcPr>
          <w:p w14:paraId="0DC80790" w14:textId="1E998F8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DD6D9D5" w14:textId="5EDFFD2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456269C" w14:textId="4DFFF95B" w:rsidTr="00725D29">
        <w:trPr>
          <w:trHeight w:val="1590"/>
        </w:trPr>
        <w:tc>
          <w:tcPr>
            <w:tcW w:w="975" w:type="dxa"/>
            <w:hideMark/>
          </w:tcPr>
          <w:p w14:paraId="41B0113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384.</w:t>
            </w:r>
          </w:p>
        </w:tc>
        <w:tc>
          <w:tcPr>
            <w:tcW w:w="2656" w:type="dxa"/>
            <w:hideMark/>
          </w:tcPr>
          <w:p w14:paraId="1A909C9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8D4C04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4E2033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 Pri preukazovaní transpozície čl. 5 ods. 5 druhej vety smernice (EÚ) 2023/1791 žiadame uvádzať znenie transpozičných opatrení uvádzaných v šiestom stĺpci tabuľky zhody vrátane poznámok pod čiarou.</w:t>
            </w:r>
          </w:p>
        </w:tc>
        <w:tc>
          <w:tcPr>
            <w:tcW w:w="2264" w:type="dxa"/>
            <w:vAlign w:val="center"/>
            <w:hideMark/>
          </w:tcPr>
          <w:p w14:paraId="7DA24C7D" w14:textId="6AB5FDE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65D4CBF" w14:textId="57FF0A29"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013283C3" w14:textId="741ABA37" w:rsidTr="00725D29">
        <w:trPr>
          <w:trHeight w:val="1590"/>
        </w:trPr>
        <w:tc>
          <w:tcPr>
            <w:tcW w:w="975" w:type="dxa"/>
            <w:hideMark/>
          </w:tcPr>
          <w:p w14:paraId="081405B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385.</w:t>
            </w:r>
          </w:p>
        </w:tc>
        <w:tc>
          <w:tcPr>
            <w:tcW w:w="2656" w:type="dxa"/>
            <w:hideMark/>
          </w:tcPr>
          <w:p w14:paraId="032D00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067A4C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32926A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 Pri preukazovaní transpozície čl. 5 ods. 5 až 9 smernice (EÚ) 2023/1791 žiadame doplniť stĺpce 4 a 5 o informáciu, akým právnym predpisom sa transpozícia zabezpečuje.</w:t>
            </w:r>
          </w:p>
        </w:tc>
        <w:tc>
          <w:tcPr>
            <w:tcW w:w="2264" w:type="dxa"/>
            <w:vAlign w:val="center"/>
            <w:hideMark/>
          </w:tcPr>
          <w:p w14:paraId="6CBCECFF" w14:textId="1DFBF49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6DCD70B" w14:textId="4D2A3FE6"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6C7291D9" w14:textId="68A5036C" w:rsidTr="00725D29">
        <w:trPr>
          <w:trHeight w:val="1590"/>
        </w:trPr>
        <w:tc>
          <w:tcPr>
            <w:tcW w:w="975" w:type="dxa"/>
            <w:hideMark/>
          </w:tcPr>
          <w:p w14:paraId="09F57D4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386.</w:t>
            </w:r>
          </w:p>
        </w:tc>
        <w:tc>
          <w:tcPr>
            <w:tcW w:w="2656" w:type="dxa"/>
            <w:hideMark/>
          </w:tcPr>
          <w:p w14:paraId="29D2B69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3B2FED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4E6EFE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 Žiadame preukázať transpozíciu čl. 6 ods. 1 prvej vety smernice (EÚ) 2023/1791 do vnútroštátneho právneho poriadku. Uvádzané transpozičné opatrenia sú nesúvisiace.</w:t>
            </w:r>
          </w:p>
        </w:tc>
        <w:tc>
          <w:tcPr>
            <w:tcW w:w="2264" w:type="dxa"/>
            <w:vAlign w:val="center"/>
            <w:hideMark/>
          </w:tcPr>
          <w:p w14:paraId="3A8E7428" w14:textId="4940158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60AEEAA" w14:textId="4F550E0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8D3133B" w14:textId="4D374EDE" w:rsidTr="00725D29">
        <w:trPr>
          <w:trHeight w:val="1590"/>
        </w:trPr>
        <w:tc>
          <w:tcPr>
            <w:tcW w:w="975" w:type="dxa"/>
            <w:hideMark/>
          </w:tcPr>
          <w:p w14:paraId="0252247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387.</w:t>
            </w:r>
          </w:p>
        </w:tc>
        <w:tc>
          <w:tcPr>
            <w:tcW w:w="2656" w:type="dxa"/>
            <w:hideMark/>
          </w:tcPr>
          <w:p w14:paraId="244E0C8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1425C7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9E273D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30. Žiadame preukázať transpozíciu čl. 6 ods. 1 druhej vety smernice (EÚ) 2023/1791 do vnútroštátneho právneho poriadku. Uvádzané transpozičné opatrenia sú nesúvisiace.</w:t>
            </w:r>
          </w:p>
        </w:tc>
        <w:tc>
          <w:tcPr>
            <w:tcW w:w="2264" w:type="dxa"/>
            <w:vAlign w:val="center"/>
            <w:hideMark/>
          </w:tcPr>
          <w:p w14:paraId="0F8399F7" w14:textId="0FB0627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6B64071" w14:textId="15828101"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2F717B80" w14:textId="25BC2C7F" w:rsidTr="00725D29">
        <w:trPr>
          <w:trHeight w:val="1590"/>
        </w:trPr>
        <w:tc>
          <w:tcPr>
            <w:tcW w:w="975" w:type="dxa"/>
            <w:hideMark/>
          </w:tcPr>
          <w:p w14:paraId="349592A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388.</w:t>
            </w:r>
          </w:p>
        </w:tc>
        <w:tc>
          <w:tcPr>
            <w:tcW w:w="2656" w:type="dxa"/>
            <w:hideMark/>
          </w:tcPr>
          <w:p w14:paraId="6927F0C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C4DC40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E6665C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31. Pri preukazovaní transpozície čl. 6 ods. 1 a 2 smernice (EÚ) 2023/1791 žiadame doplniť stĺpce 4 a 5 o informáciu, akým právnym predpisom sa transpozícia zabezpečuje.</w:t>
            </w:r>
          </w:p>
        </w:tc>
        <w:tc>
          <w:tcPr>
            <w:tcW w:w="2264" w:type="dxa"/>
            <w:vAlign w:val="center"/>
            <w:hideMark/>
          </w:tcPr>
          <w:p w14:paraId="095AB12D" w14:textId="51AE343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74BBBD3" w14:textId="7CA6B255"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6CFCB7CB" w14:textId="6EF06571" w:rsidTr="00725D29">
        <w:trPr>
          <w:trHeight w:val="1590"/>
        </w:trPr>
        <w:tc>
          <w:tcPr>
            <w:tcW w:w="975" w:type="dxa"/>
            <w:hideMark/>
          </w:tcPr>
          <w:p w14:paraId="2F9B9C1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389.</w:t>
            </w:r>
          </w:p>
        </w:tc>
        <w:tc>
          <w:tcPr>
            <w:tcW w:w="2656" w:type="dxa"/>
            <w:hideMark/>
          </w:tcPr>
          <w:p w14:paraId="7FBF055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E3D2AF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BA6BE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32. Pri preukazovaní transpozície čl. 6 ods. 2 prvej vety písm. b) smernice (EÚ) 2023/1791 nie je zrejmé, či dochádza k využitiu transpozície s možnosťou voľby. V prípade, že je zámer transpozíciu realizovať, žiadame náležite vyplniť 4 – 6 stĺpec tabuľky zhody. V prípade, že sa táto transpozícia nerealizuje, žiadame v siedmom stĺpci tabuľky zhody uviesť označenie „n.a.“.</w:t>
            </w:r>
          </w:p>
        </w:tc>
        <w:tc>
          <w:tcPr>
            <w:tcW w:w="2264" w:type="dxa"/>
            <w:vAlign w:val="center"/>
            <w:hideMark/>
          </w:tcPr>
          <w:p w14:paraId="76E9A347" w14:textId="0093071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C29DC7E" w14:textId="2908175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E984ABC" w14:textId="49CB3AC0" w:rsidTr="00725D29">
        <w:trPr>
          <w:trHeight w:val="1590"/>
        </w:trPr>
        <w:tc>
          <w:tcPr>
            <w:tcW w:w="975" w:type="dxa"/>
            <w:hideMark/>
          </w:tcPr>
          <w:p w14:paraId="3623E7D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390.</w:t>
            </w:r>
          </w:p>
        </w:tc>
        <w:tc>
          <w:tcPr>
            <w:tcW w:w="2656" w:type="dxa"/>
            <w:hideMark/>
          </w:tcPr>
          <w:p w14:paraId="1A82487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3231F3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571C2A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33. Pri preukazovaní transpozície čl. 6 ods. 2 druhej vety smernice (EÚ) 2023/1791  žiadame v treťom stĺpci tabuľky zhody uviesť označenie „D“ ako dobrovoľná transpozícia.</w:t>
            </w:r>
          </w:p>
        </w:tc>
        <w:tc>
          <w:tcPr>
            <w:tcW w:w="2264" w:type="dxa"/>
            <w:vAlign w:val="center"/>
            <w:hideMark/>
          </w:tcPr>
          <w:p w14:paraId="384608B7" w14:textId="0220A98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1C93237" w14:textId="48E08E2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17C93FF" w14:textId="11E7F883" w:rsidTr="00725D29">
        <w:trPr>
          <w:trHeight w:val="1590"/>
        </w:trPr>
        <w:tc>
          <w:tcPr>
            <w:tcW w:w="975" w:type="dxa"/>
            <w:hideMark/>
          </w:tcPr>
          <w:p w14:paraId="4377F7B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391.</w:t>
            </w:r>
          </w:p>
        </w:tc>
        <w:tc>
          <w:tcPr>
            <w:tcW w:w="2656" w:type="dxa"/>
            <w:hideMark/>
          </w:tcPr>
          <w:p w14:paraId="6C673D7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FAEB09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BBA468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34. Žiadame preukázať transpozíciu čl. 6 ods. 3 prvej vety smernice (EÚ) 2023/1791 do vnútroštátneho právneho poriadku. Uvádzané transpozičné opatrenia sú nesúvisiace.</w:t>
            </w:r>
          </w:p>
        </w:tc>
        <w:tc>
          <w:tcPr>
            <w:tcW w:w="2264" w:type="dxa"/>
            <w:vAlign w:val="center"/>
            <w:hideMark/>
          </w:tcPr>
          <w:p w14:paraId="3430C4E5" w14:textId="58DFEF3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DFE57D6" w14:textId="30409AB0"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A251BDC" w14:textId="103A8627" w:rsidTr="00725D29">
        <w:trPr>
          <w:trHeight w:val="1590"/>
        </w:trPr>
        <w:tc>
          <w:tcPr>
            <w:tcW w:w="975" w:type="dxa"/>
            <w:hideMark/>
          </w:tcPr>
          <w:p w14:paraId="13465CA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392.</w:t>
            </w:r>
          </w:p>
        </w:tc>
        <w:tc>
          <w:tcPr>
            <w:tcW w:w="2656" w:type="dxa"/>
            <w:hideMark/>
          </w:tcPr>
          <w:p w14:paraId="0D5D434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DEB58C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8BAB8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35. Žiadame preukázať transpozíciu čl. 6 ods. 3 druhej vety smernice (EÚ) 2023/1791 do vnútroštátneho právneho poriadku. Uvádzané transpozičné opatrenia sú nesúvisiace.</w:t>
            </w:r>
          </w:p>
        </w:tc>
        <w:tc>
          <w:tcPr>
            <w:tcW w:w="2264" w:type="dxa"/>
            <w:vAlign w:val="center"/>
            <w:hideMark/>
          </w:tcPr>
          <w:p w14:paraId="0E40C134" w14:textId="440391B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5409871" w14:textId="20D1D760" w:rsidR="00725D29" w:rsidRPr="00BC49FC" w:rsidRDefault="00725D29" w:rsidP="00725D29">
            <w:pPr>
              <w:rPr>
                <w:rFonts w:ascii="Times New Roman" w:hAnsi="Times New Roman" w:cs="Times New Roman"/>
                <w:b/>
                <w:bCs/>
              </w:rPr>
            </w:pPr>
            <w:r>
              <w:rPr>
                <w:b/>
                <w:bCs/>
                <w:color w:val="000000"/>
              </w:rPr>
              <w:t>upravené v stĺpci 8</w:t>
            </w:r>
          </w:p>
        </w:tc>
      </w:tr>
      <w:tr w:rsidR="00725D29" w:rsidRPr="006278D2" w14:paraId="65B8259B" w14:textId="45D86C57" w:rsidTr="00725D29">
        <w:trPr>
          <w:trHeight w:val="1590"/>
        </w:trPr>
        <w:tc>
          <w:tcPr>
            <w:tcW w:w="975" w:type="dxa"/>
            <w:hideMark/>
          </w:tcPr>
          <w:p w14:paraId="7CAACDF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393.</w:t>
            </w:r>
          </w:p>
        </w:tc>
        <w:tc>
          <w:tcPr>
            <w:tcW w:w="2656" w:type="dxa"/>
            <w:hideMark/>
          </w:tcPr>
          <w:p w14:paraId="3FAB7CA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0DAE8D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924555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36. Upozorňujeme, že čl. 6 ods. 4 prvá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61EA58B2" w14:textId="1341D4E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659950E" w14:textId="69122C7E" w:rsidR="00725D29" w:rsidRPr="00BC49FC" w:rsidRDefault="00725D29" w:rsidP="00725D29">
            <w:pPr>
              <w:rPr>
                <w:rFonts w:ascii="Times New Roman" w:hAnsi="Times New Roman" w:cs="Times New Roman"/>
                <w:b/>
                <w:bCs/>
              </w:rPr>
            </w:pPr>
            <w:r>
              <w:rPr>
                <w:b/>
                <w:bCs/>
                <w:color w:val="000000"/>
              </w:rPr>
              <w:t>upravené v stĺpci 8</w:t>
            </w:r>
          </w:p>
        </w:tc>
      </w:tr>
      <w:tr w:rsidR="00725D29" w:rsidRPr="006278D2" w14:paraId="19381CDB" w14:textId="077E31CA" w:rsidTr="00725D29">
        <w:trPr>
          <w:trHeight w:val="1590"/>
        </w:trPr>
        <w:tc>
          <w:tcPr>
            <w:tcW w:w="975" w:type="dxa"/>
            <w:hideMark/>
          </w:tcPr>
          <w:p w14:paraId="64879E5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394.</w:t>
            </w:r>
          </w:p>
        </w:tc>
        <w:tc>
          <w:tcPr>
            <w:tcW w:w="2656" w:type="dxa"/>
            <w:hideMark/>
          </w:tcPr>
          <w:p w14:paraId="41D1A90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34E20F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753C97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37. Upozorňujeme, že znenie transpozičného opatrenia uvádzaného v šiestom stĺpci tabuľky zhody pri preukazovaní transpozície čl. 6 ods. 5 prvej vety smernice (EÚ) 2023/1791  nesedí so znením návrhu zákona. Text žiadame zosúladiť.</w:t>
            </w:r>
          </w:p>
        </w:tc>
        <w:tc>
          <w:tcPr>
            <w:tcW w:w="2264" w:type="dxa"/>
            <w:vAlign w:val="center"/>
            <w:hideMark/>
          </w:tcPr>
          <w:p w14:paraId="3464F8B4" w14:textId="6F2CCEA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0A5F1C0" w14:textId="1F7EC605" w:rsidR="00725D29" w:rsidRPr="00BC49FC" w:rsidRDefault="00725D29" w:rsidP="00725D29">
            <w:pPr>
              <w:rPr>
                <w:rFonts w:ascii="Times New Roman" w:hAnsi="Times New Roman" w:cs="Times New Roman"/>
                <w:b/>
                <w:bCs/>
              </w:rPr>
            </w:pPr>
            <w:r>
              <w:rPr>
                <w:b/>
                <w:bCs/>
                <w:color w:val="000000"/>
              </w:rPr>
              <w:t>upravené v stĺpci 8</w:t>
            </w:r>
          </w:p>
        </w:tc>
      </w:tr>
      <w:tr w:rsidR="00725D29" w:rsidRPr="006278D2" w14:paraId="28F294F1" w14:textId="6028BFC2" w:rsidTr="00725D29">
        <w:trPr>
          <w:trHeight w:val="1590"/>
        </w:trPr>
        <w:tc>
          <w:tcPr>
            <w:tcW w:w="975" w:type="dxa"/>
            <w:hideMark/>
          </w:tcPr>
          <w:p w14:paraId="18B7C9B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395.</w:t>
            </w:r>
          </w:p>
        </w:tc>
        <w:tc>
          <w:tcPr>
            <w:tcW w:w="2656" w:type="dxa"/>
            <w:hideMark/>
          </w:tcPr>
          <w:p w14:paraId="5DC12D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6F747F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790CB7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38. Upozorňujeme na oneskorenú transpozíciu čl. 6 ods. 5 prvej vety smernice (EÚ) 2023/1791 do vnútroštátneho právneho poriadku. Predmetný článok smernice stanovuje povinnosť do 11. októbra 2025, pričom navrhovaná účinnosť návrh zákona je 1. január 2027.</w:t>
            </w:r>
          </w:p>
        </w:tc>
        <w:tc>
          <w:tcPr>
            <w:tcW w:w="2264" w:type="dxa"/>
            <w:vAlign w:val="center"/>
            <w:hideMark/>
          </w:tcPr>
          <w:p w14:paraId="38DB3E72" w14:textId="7F56374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DF7728E" w14:textId="20D13C9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7230994" w14:textId="5AE47582" w:rsidTr="00725D29">
        <w:trPr>
          <w:trHeight w:val="1590"/>
        </w:trPr>
        <w:tc>
          <w:tcPr>
            <w:tcW w:w="975" w:type="dxa"/>
            <w:hideMark/>
          </w:tcPr>
          <w:p w14:paraId="7D48B5D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396.</w:t>
            </w:r>
          </w:p>
        </w:tc>
        <w:tc>
          <w:tcPr>
            <w:tcW w:w="2656" w:type="dxa"/>
            <w:hideMark/>
          </w:tcPr>
          <w:p w14:paraId="697506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989E67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A5BD58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39.  Upozorňujeme, že navrhovaným znením ustanovenia § 10 ods. 6 dochádza ku goldplatingu podľa písmena d) „prísnejšie vymáhanie“ vo vzťahu k čl. 6 ods. 5 druhej vety smernice (EÚ) 2023/1791, nakoľko zvádza povinnosť zasielať súbor údajov pre monitorovací systém každoročne do 30. júna, pričom čl. 6 ods. 5 druhá veta smernice stanovuje túto povinnosť každé dva roky. Žiadame preto náležite vyplniť stĺpce 9 a 10 tabuľky zhody, rozšíriť tabuľku zhody o „Vyjadrenie k opodstatnenosti goldplatingu a jeho odôvodnenie“. Túto pripomienku primerane vzťahujeme aj na siedmy bod doložky vybraných vplyvov.</w:t>
            </w:r>
          </w:p>
        </w:tc>
        <w:tc>
          <w:tcPr>
            <w:tcW w:w="2264" w:type="dxa"/>
            <w:vAlign w:val="center"/>
            <w:hideMark/>
          </w:tcPr>
          <w:p w14:paraId="401C4608" w14:textId="3E4A7A5C"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17B78982" w14:textId="52D53943" w:rsidR="00725D29" w:rsidRPr="00BC49FC" w:rsidRDefault="00725D29" w:rsidP="00725D29">
            <w:pPr>
              <w:rPr>
                <w:rFonts w:ascii="Times New Roman" w:hAnsi="Times New Roman" w:cs="Times New Roman"/>
                <w:b/>
                <w:bCs/>
              </w:rPr>
            </w:pPr>
            <w:r>
              <w:rPr>
                <w:b/>
                <w:bCs/>
                <w:color w:val="000000"/>
              </w:rPr>
              <w:t xml:space="preserve">Databáza budov ÚOŠS, ktorá obsahuje aj energetický certifikát a podlahovú plochu je vytvorená podľa zákona </w:t>
            </w:r>
            <w:r>
              <w:rPr>
                <w:b/>
                <w:bCs/>
                <w:color w:val="FF0000"/>
              </w:rPr>
              <w:t>xxx</w:t>
            </w:r>
            <w:r>
              <w:rPr>
                <w:b/>
                <w:bCs/>
                <w:color w:val="000000"/>
              </w:rPr>
              <w:t xml:space="preserve"> v znení zákona č. 315/2014. Monitorvací systéme enrgetickej efektívnosti podľa § 24 zákona č. 321/2014 Z.z. o enegetickej efektívnosti má integrovanú aj túto databázu. Návrh zákona o energetickej efektívnosti v § 36 rozširuje súčasný stav aj na budovy samosprávy. </w:t>
            </w:r>
          </w:p>
        </w:tc>
      </w:tr>
      <w:tr w:rsidR="00725D29" w:rsidRPr="006278D2" w14:paraId="45B07A88" w14:textId="07FCA508" w:rsidTr="00725D29">
        <w:trPr>
          <w:trHeight w:val="1590"/>
        </w:trPr>
        <w:tc>
          <w:tcPr>
            <w:tcW w:w="975" w:type="dxa"/>
            <w:hideMark/>
          </w:tcPr>
          <w:p w14:paraId="16336C4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397.</w:t>
            </w:r>
          </w:p>
        </w:tc>
        <w:tc>
          <w:tcPr>
            <w:tcW w:w="2656" w:type="dxa"/>
            <w:hideMark/>
          </w:tcPr>
          <w:p w14:paraId="4DCE916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8ADD91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06D2C2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40. Upozorňujeme, že znenie transpozičného opatrenia uvádzaného v šiestom stĺpci tabuľky zhody pri preukazovaní transpozície čl. 6 ods. 5 prvej a druhej vety smernice (EÚ) 2023/1791 nesedí so znením návrhu zákona. Texty žiadame zosúladiť.</w:t>
            </w:r>
          </w:p>
        </w:tc>
        <w:tc>
          <w:tcPr>
            <w:tcW w:w="2264" w:type="dxa"/>
            <w:vAlign w:val="center"/>
            <w:hideMark/>
          </w:tcPr>
          <w:p w14:paraId="4744B3BB" w14:textId="530073CA" w:rsidR="00725D29" w:rsidRPr="00BC49FC" w:rsidRDefault="00725D29" w:rsidP="00725D29">
            <w:pPr>
              <w:rPr>
                <w:rFonts w:ascii="Times New Roman" w:hAnsi="Times New Roman" w:cs="Times New Roman"/>
                <w:b/>
                <w:bCs/>
              </w:rPr>
            </w:pPr>
            <w:r>
              <w:rPr>
                <w:b/>
                <w:bCs/>
                <w:color w:val="000000"/>
              </w:rPr>
              <w:t>N</w:t>
            </w:r>
          </w:p>
        </w:tc>
        <w:tc>
          <w:tcPr>
            <w:tcW w:w="2753" w:type="dxa"/>
            <w:vAlign w:val="center"/>
            <w:hideMark/>
          </w:tcPr>
          <w:p w14:paraId="31AFF0AA" w14:textId="2D6FCC52" w:rsidR="00725D29" w:rsidRPr="00BC49FC" w:rsidRDefault="00725D29" w:rsidP="00725D29">
            <w:pPr>
              <w:rPr>
                <w:rFonts w:ascii="Times New Roman" w:hAnsi="Times New Roman" w:cs="Times New Roman"/>
                <w:b/>
                <w:bCs/>
              </w:rPr>
            </w:pPr>
            <w:r>
              <w:rPr>
                <w:b/>
                <w:bCs/>
                <w:color w:val="000000"/>
              </w:rPr>
              <w:t xml:space="preserve">Požiadavka čl. 5 smernice EED je ročné reportovanie plnenia energetickej spotreby verejného subjektu, z čoho väčšina spotreby energie prináleži práve enregtickej spotrebe budovy, ktorá sa musí reportovať na ročnej báze. Preto nemôže byť toto považované za goldplating. </w:t>
            </w:r>
          </w:p>
        </w:tc>
      </w:tr>
      <w:tr w:rsidR="00725D29" w:rsidRPr="006278D2" w14:paraId="60708434" w14:textId="4C2B4B6D" w:rsidTr="00725D29">
        <w:trPr>
          <w:trHeight w:val="1590"/>
        </w:trPr>
        <w:tc>
          <w:tcPr>
            <w:tcW w:w="975" w:type="dxa"/>
            <w:hideMark/>
          </w:tcPr>
          <w:p w14:paraId="1E5985E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398.</w:t>
            </w:r>
          </w:p>
        </w:tc>
        <w:tc>
          <w:tcPr>
            <w:tcW w:w="2656" w:type="dxa"/>
            <w:hideMark/>
          </w:tcPr>
          <w:p w14:paraId="6B72C83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786D0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FFC820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41. Upozorňujeme, že čl. 6 ods. 6 smernice (EÚ) 2023/1791 predstavuje dobrovoľnú transpozíciu a nie transpozíciu s možnosťou voľby, čo žiadame upraviť v tabuľke zhody. Zároveň, z uvádzaných transpozičných opatrení nie je zrejmé, či je zámer dobrovoľnú transpozíciu, a teda alternatívne riešenie,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151565D8" w14:textId="168E8FA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0F0C989" w14:textId="5A71082D"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42C0D24" w14:textId="5323993F" w:rsidTr="00725D29">
        <w:trPr>
          <w:trHeight w:val="1590"/>
        </w:trPr>
        <w:tc>
          <w:tcPr>
            <w:tcW w:w="975" w:type="dxa"/>
            <w:hideMark/>
          </w:tcPr>
          <w:p w14:paraId="578CAD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399.</w:t>
            </w:r>
          </w:p>
        </w:tc>
        <w:tc>
          <w:tcPr>
            <w:tcW w:w="2656" w:type="dxa"/>
            <w:hideMark/>
          </w:tcPr>
          <w:p w14:paraId="4AE56BE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E69B08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7A5C73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42. Domnievame sa, že navrhovaným znením ustanovenia § 42a ods. 2 dochádza ku goldplatingu typu b) „navýšenie požiadaviek“ vo vzťahu k čl. 7 ods. 1 druhej vety smernice (EÚ) 2023/1791, nakoľko dochádza k zavedeniu povinnosti uplatňovania zásady prvoradosti energetickej efektívnosti pre verejného obstarávateľa a objednávateľa tovarov, služieb stavebných prác a koncesií vo všeobecnosti, a nie len v prípade, že hodnota je rovnaká alebo vyššia ako prahové hodnoty stanovené smernicou. Žiadame preto náležite vyplniť stĺpce 9 a 10 tabuľky zhody, rozšíriť tabuľku zhody o „Vyjadrenie k opodstatnenosti goldplatingu a jeho odôvodnenie“. Túto pripomienku primerane vzťahujeme aj na siedmy bod doložky vybraných vplyvov.</w:t>
            </w:r>
          </w:p>
        </w:tc>
        <w:tc>
          <w:tcPr>
            <w:tcW w:w="2264" w:type="dxa"/>
            <w:vAlign w:val="center"/>
            <w:hideMark/>
          </w:tcPr>
          <w:p w14:paraId="4DD86E35" w14:textId="4A04651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308D04F" w14:textId="29ACEB95"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6077142" w14:textId="771C2B1E" w:rsidTr="00725D29">
        <w:trPr>
          <w:trHeight w:val="1590"/>
        </w:trPr>
        <w:tc>
          <w:tcPr>
            <w:tcW w:w="975" w:type="dxa"/>
            <w:hideMark/>
          </w:tcPr>
          <w:p w14:paraId="2900D88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400.</w:t>
            </w:r>
          </w:p>
        </w:tc>
        <w:tc>
          <w:tcPr>
            <w:tcW w:w="2656" w:type="dxa"/>
            <w:hideMark/>
          </w:tcPr>
          <w:p w14:paraId="207F713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4277F8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A53F1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43. Pri preukazovaní transpozície čl. 7 ods. 5 prvej, druhej a štvrtej vety smernice (EÚ) 2023/1791 žiadame doplniť stĺpce 4 a 5 o informáciu, akým právnym predpisom sa transpozícia zabezpečuje.</w:t>
            </w:r>
          </w:p>
        </w:tc>
        <w:tc>
          <w:tcPr>
            <w:tcW w:w="2264" w:type="dxa"/>
            <w:vAlign w:val="center"/>
            <w:hideMark/>
          </w:tcPr>
          <w:p w14:paraId="51613471" w14:textId="631983BC" w:rsidR="00725D29" w:rsidRPr="00BC49FC" w:rsidRDefault="00725D29" w:rsidP="00725D29">
            <w:pPr>
              <w:rPr>
                <w:rFonts w:ascii="Times New Roman" w:hAnsi="Times New Roman" w:cs="Times New Roman"/>
                <w:b/>
                <w:bCs/>
              </w:rPr>
            </w:pPr>
            <w:r>
              <w:rPr>
                <w:b/>
                <w:bCs/>
                <w:color w:val="000000"/>
              </w:rPr>
              <w:t>N</w:t>
            </w:r>
          </w:p>
        </w:tc>
        <w:tc>
          <w:tcPr>
            <w:tcW w:w="2753" w:type="dxa"/>
            <w:vAlign w:val="center"/>
            <w:hideMark/>
          </w:tcPr>
          <w:p w14:paraId="1925B117" w14:textId="748D3780" w:rsidR="00725D29" w:rsidRPr="00BC49FC" w:rsidRDefault="00725D29" w:rsidP="00725D29">
            <w:pPr>
              <w:rPr>
                <w:rFonts w:ascii="Times New Roman" w:hAnsi="Times New Roman" w:cs="Times New Roman"/>
                <w:b/>
                <w:bCs/>
              </w:rPr>
            </w:pPr>
            <w:r>
              <w:rPr>
                <w:b/>
                <w:bCs/>
                <w:color w:val="000000"/>
              </w:rPr>
              <w:t>nejedná sa o goldplating</w:t>
            </w:r>
          </w:p>
        </w:tc>
      </w:tr>
      <w:tr w:rsidR="00725D29" w:rsidRPr="006278D2" w14:paraId="1433247F" w14:textId="512E78E0" w:rsidTr="00725D29">
        <w:trPr>
          <w:trHeight w:val="1590"/>
        </w:trPr>
        <w:tc>
          <w:tcPr>
            <w:tcW w:w="975" w:type="dxa"/>
            <w:hideMark/>
          </w:tcPr>
          <w:p w14:paraId="7690C9C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401.</w:t>
            </w:r>
          </w:p>
        </w:tc>
        <w:tc>
          <w:tcPr>
            <w:tcW w:w="2656" w:type="dxa"/>
            <w:hideMark/>
          </w:tcPr>
          <w:p w14:paraId="2B9947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2554D8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D8B16D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44. Žiadame preukázať transpozíciu čl. 7 ods. 5 štvrtej vety smernice (EÚ) 2023/1791 do vnútroštátneho právneho poriadku. Uvádzané transpozičné opatrenia sú nesúvisiace.</w:t>
            </w:r>
          </w:p>
        </w:tc>
        <w:tc>
          <w:tcPr>
            <w:tcW w:w="2264" w:type="dxa"/>
            <w:vAlign w:val="center"/>
            <w:hideMark/>
          </w:tcPr>
          <w:p w14:paraId="2BF8332A" w14:textId="0941BA7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BCF8BCD" w14:textId="2F7F05C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739F570" w14:textId="628810FB" w:rsidTr="00725D29">
        <w:trPr>
          <w:trHeight w:val="1590"/>
        </w:trPr>
        <w:tc>
          <w:tcPr>
            <w:tcW w:w="975" w:type="dxa"/>
            <w:hideMark/>
          </w:tcPr>
          <w:p w14:paraId="090BDAB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402.</w:t>
            </w:r>
          </w:p>
        </w:tc>
        <w:tc>
          <w:tcPr>
            <w:tcW w:w="2656" w:type="dxa"/>
            <w:hideMark/>
          </w:tcPr>
          <w:p w14:paraId="26D1F89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039AFF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0204FA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45. Žiadame preukázať transpozíciu čl. 7 ods. 5 piatej vety smernice (EÚ) 2023/1791 do vnútroštátneho právneho poriadku. Uvádzané transpozičné opatrenia sú nesúvisiace. Zároveň, žiadame doplniť stĺpce 4 a 5 o informáciu, akým právnym predpisom sa transpozícia zabezpečuje.</w:t>
            </w:r>
          </w:p>
        </w:tc>
        <w:tc>
          <w:tcPr>
            <w:tcW w:w="2264" w:type="dxa"/>
            <w:vAlign w:val="center"/>
            <w:hideMark/>
          </w:tcPr>
          <w:p w14:paraId="129D7B7D" w14:textId="26F1AF8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E972382" w14:textId="4863DB7A"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3EB7B4C9" w14:textId="4D09BC31" w:rsidTr="00725D29">
        <w:trPr>
          <w:trHeight w:val="1590"/>
        </w:trPr>
        <w:tc>
          <w:tcPr>
            <w:tcW w:w="975" w:type="dxa"/>
            <w:hideMark/>
          </w:tcPr>
          <w:p w14:paraId="1589A0E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403.</w:t>
            </w:r>
          </w:p>
        </w:tc>
        <w:tc>
          <w:tcPr>
            <w:tcW w:w="2656" w:type="dxa"/>
            <w:hideMark/>
          </w:tcPr>
          <w:p w14:paraId="5BEEA83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DB922B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274EE2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46. Žiadame preukázať transpozíciu čl. 7 ods. 5 šiestej vety smernice (EÚ) 2023/1791 do vnútroštátneho právneho poriadku. Uvádzané transpozičné opatrenia sú nesúvisiace. Zároveň, žiadame doplniť stĺpce 4 a 5 o informáciu, akým právnym predpisom sa transpozícia zabezpečuje.</w:t>
            </w:r>
          </w:p>
        </w:tc>
        <w:tc>
          <w:tcPr>
            <w:tcW w:w="2264" w:type="dxa"/>
            <w:vAlign w:val="center"/>
            <w:hideMark/>
          </w:tcPr>
          <w:p w14:paraId="0AE0AF14" w14:textId="0A19915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8A93734" w14:textId="3BEEE5F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DFFCC23" w14:textId="211B4073" w:rsidTr="00725D29">
        <w:trPr>
          <w:trHeight w:val="1590"/>
        </w:trPr>
        <w:tc>
          <w:tcPr>
            <w:tcW w:w="975" w:type="dxa"/>
            <w:hideMark/>
          </w:tcPr>
          <w:p w14:paraId="289F564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404.</w:t>
            </w:r>
          </w:p>
        </w:tc>
        <w:tc>
          <w:tcPr>
            <w:tcW w:w="2656" w:type="dxa"/>
            <w:hideMark/>
          </w:tcPr>
          <w:p w14:paraId="03BD40F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E727B3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8EE5A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47. Žiadame preukázať transpozíciu čl. 7 ods. 7 smernice (EÚ) 2023/1791 do vnútroštátneho právneho poriadku. Uvádzané transpozičné opatrenia sú nesúvisiace.</w:t>
            </w:r>
          </w:p>
        </w:tc>
        <w:tc>
          <w:tcPr>
            <w:tcW w:w="2264" w:type="dxa"/>
            <w:vAlign w:val="center"/>
            <w:hideMark/>
          </w:tcPr>
          <w:p w14:paraId="4B0199D6" w14:textId="5225EDC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7777CEA" w14:textId="16BF9AE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E946856" w14:textId="1E84D87B" w:rsidTr="00725D29">
        <w:trPr>
          <w:trHeight w:val="1590"/>
        </w:trPr>
        <w:tc>
          <w:tcPr>
            <w:tcW w:w="975" w:type="dxa"/>
            <w:hideMark/>
          </w:tcPr>
          <w:p w14:paraId="39473E3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405.</w:t>
            </w:r>
          </w:p>
        </w:tc>
        <w:tc>
          <w:tcPr>
            <w:tcW w:w="2656" w:type="dxa"/>
            <w:hideMark/>
          </w:tcPr>
          <w:p w14:paraId="7D2ACC9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DF7024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81E9CA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48. Žiadame preukázať transpozíciu čl. 7 ods. 8 prvej vety smernice (EÚ) 2023/1791 do vnútroštátneho právneho poriadku. Uvádzané transpozičné opatrenia sú nesúvisiace.</w:t>
            </w:r>
          </w:p>
        </w:tc>
        <w:tc>
          <w:tcPr>
            <w:tcW w:w="2264" w:type="dxa"/>
            <w:vAlign w:val="center"/>
            <w:hideMark/>
          </w:tcPr>
          <w:p w14:paraId="096D9F0C" w14:textId="6202CCB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D7B4F0C" w14:textId="3F95F303" w:rsidR="00725D29" w:rsidRPr="00BC49FC" w:rsidRDefault="00725D29" w:rsidP="00725D29">
            <w:pPr>
              <w:rPr>
                <w:rFonts w:ascii="Times New Roman" w:hAnsi="Times New Roman" w:cs="Times New Roman"/>
                <w:b/>
                <w:bCs/>
              </w:rPr>
            </w:pPr>
            <w:r>
              <w:rPr>
                <w:b/>
                <w:bCs/>
                <w:color w:val="000000"/>
              </w:rPr>
              <w:t>upravené v stĺpci 8</w:t>
            </w:r>
          </w:p>
        </w:tc>
      </w:tr>
      <w:tr w:rsidR="00725D29" w:rsidRPr="006278D2" w14:paraId="5924655F" w14:textId="0EEB9C57" w:rsidTr="00725D29">
        <w:trPr>
          <w:trHeight w:val="1590"/>
        </w:trPr>
        <w:tc>
          <w:tcPr>
            <w:tcW w:w="975" w:type="dxa"/>
            <w:hideMark/>
          </w:tcPr>
          <w:p w14:paraId="6E7371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406.</w:t>
            </w:r>
          </w:p>
        </w:tc>
        <w:tc>
          <w:tcPr>
            <w:tcW w:w="2656" w:type="dxa"/>
            <w:hideMark/>
          </w:tcPr>
          <w:p w14:paraId="5DC5CAD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8031AA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A2176B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49. Pri preukazovaní transpozície čl. 7 ods. 8 druhej vety smernice (EÚ) 2023/1791, žiadame uvádzať znenie transpozičných opatrení uvádzaných v šiestom stĺpci tabuľky zhody vrátane poznámok pod čiarou.</w:t>
            </w:r>
          </w:p>
        </w:tc>
        <w:tc>
          <w:tcPr>
            <w:tcW w:w="2264" w:type="dxa"/>
            <w:vAlign w:val="center"/>
            <w:hideMark/>
          </w:tcPr>
          <w:p w14:paraId="70D53235" w14:textId="55D1CA3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DF41DB4" w14:textId="3A81B3F8" w:rsidR="00725D29" w:rsidRPr="00BC49FC" w:rsidRDefault="00725D29" w:rsidP="00725D29">
            <w:pPr>
              <w:rPr>
                <w:rFonts w:ascii="Times New Roman" w:hAnsi="Times New Roman" w:cs="Times New Roman"/>
                <w:b/>
                <w:bCs/>
              </w:rPr>
            </w:pPr>
            <w:r>
              <w:rPr>
                <w:b/>
                <w:bCs/>
                <w:color w:val="000000"/>
              </w:rPr>
              <w:t>upravené v stĺpci 8</w:t>
            </w:r>
          </w:p>
        </w:tc>
      </w:tr>
      <w:tr w:rsidR="00725D29" w:rsidRPr="006278D2" w14:paraId="385A5BDD" w14:textId="329E2751" w:rsidTr="00725D29">
        <w:trPr>
          <w:trHeight w:val="1590"/>
        </w:trPr>
        <w:tc>
          <w:tcPr>
            <w:tcW w:w="975" w:type="dxa"/>
            <w:hideMark/>
          </w:tcPr>
          <w:p w14:paraId="6451C55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407.</w:t>
            </w:r>
          </w:p>
        </w:tc>
        <w:tc>
          <w:tcPr>
            <w:tcW w:w="2656" w:type="dxa"/>
            <w:hideMark/>
          </w:tcPr>
          <w:p w14:paraId="300BFCD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6F0597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DA5FAE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50. Pri preukazovaní transpozície čl. 8 ods. 1 prvej vety písm. a) smernice (EÚ) 2023/1791 žiadame uviesť doplňujúce vysvetlenie k transpozícii do ôsmeho stĺpca tabuľky zhody.</w:t>
            </w:r>
          </w:p>
        </w:tc>
        <w:tc>
          <w:tcPr>
            <w:tcW w:w="2264" w:type="dxa"/>
            <w:vAlign w:val="center"/>
            <w:hideMark/>
          </w:tcPr>
          <w:p w14:paraId="43968E36" w14:textId="245D606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1DA8CDB" w14:textId="6DBB7E78"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70D841F7" w14:textId="1D0DF4D2" w:rsidTr="00725D29">
        <w:trPr>
          <w:trHeight w:val="1590"/>
        </w:trPr>
        <w:tc>
          <w:tcPr>
            <w:tcW w:w="975" w:type="dxa"/>
            <w:hideMark/>
          </w:tcPr>
          <w:p w14:paraId="7D8310D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408.</w:t>
            </w:r>
          </w:p>
        </w:tc>
        <w:tc>
          <w:tcPr>
            <w:tcW w:w="2656" w:type="dxa"/>
            <w:hideMark/>
          </w:tcPr>
          <w:p w14:paraId="282AEE7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20C032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1E1F5E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51. Žiadame preukázať transpozíciu čl. 8 ods. 1 prvej vety písm. b) smernice (EÚ) 2023/1791 do vnútroštátneho právneho poriadku. Uvádzané transpozičné opatrenia sú nesúvisiace.</w:t>
            </w:r>
          </w:p>
        </w:tc>
        <w:tc>
          <w:tcPr>
            <w:tcW w:w="2264" w:type="dxa"/>
            <w:vAlign w:val="center"/>
            <w:hideMark/>
          </w:tcPr>
          <w:p w14:paraId="04A2F5F0" w14:textId="21D1248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AC19E06" w14:textId="51675683"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45240E0A" w14:textId="02DC92F3" w:rsidTr="00725D29">
        <w:trPr>
          <w:trHeight w:val="1590"/>
        </w:trPr>
        <w:tc>
          <w:tcPr>
            <w:tcW w:w="975" w:type="dxa"/>
            <w:hideMark/>
          </w:tcPr>
          <w:p w14:paraId="33678F4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409.</w:t>
            </w:r>
          </w:p>
        </w:tc>
        <w:tc>
          <w:tcPr>
            <w:tcW w:w="2656" w:type="dxa"/>
            <w:hideMark/>
          </w:tcPr>
          <w:p w14:paraId="26EF611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86C9D3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9D7924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52. Pri preukazovaní transpozície čl. 8 ods. 1 prvej vety písm. b) bod i) a ii) smernice (EÚ) 2023/1791 žiadame uviesť doplňujúce vysvetlenie k transpozícii do ôsmeho stĺpca tabuľky zhody.</w:t>
            </w:r>
          </w:p>
        </w:tc>
        <w:tc>
          <w:tcPr>
            <w:tcW w:w="2264" w:type="dxa"/>
            <w:vAlign w:val="center"/>
            <w:hideMark/>
          </w:tcPr>
          <w:p w14:paraId="2E149FF1" w14:textId="26AFC3E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8489FB7" w14:textId="49E3A8B8"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6BED1D7D" w14:textId="36552BF5" w:rsidTr="00725D29">
        <w:trPr>
          <w:trHeight w:val="1590"/>
        </w:trPr>
        <w:tc>
          <w:tcPr>
            <w:tcW w:w="975" w:type="dxa"/>
            <w:hideMark/>
          </w:tcPr>
          <w:p w14:paraId="133B785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410.</w:t>
            </w:r>
          </w:p>
        </w:tc>
        <w:tc>
          <w:tcPr>
            <w:tcW w:w="2656" w:type="dxa"/>
            <w:hideMark/>
          </w:tcPr>
          <w:p w14:paraId="6B83775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8736F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754E8F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53. Žiadame preukázať transpozíciu čl. 8 ods. 1 prvej vety písm. b) bod iii) a iv) smernice (EÚ) 2023/1791 do vnútroštátneho právneho poriadku. Uvádzané transpozičné opatrenia sú nesúvisiace.</w:t>
            </w:r>
          </w:p>
        </w:tc>
        <w:tc>
          <w:tcPr>
            <w:tcW w:w="2264" w:type="dxa"/>
            <w:vAlign w:val="center"/>
            <w:hideMark/>
          </w:tcPr>
          <w:p w14:paraId="4F7A24E5" w14:textId="6ACFCAC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BE644E1" w14:textId="48A19446"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4A079DD7" w14:textId="2C577413" w:rsidTr="00725D29">
        <w:trPr>
          <w:trHeight w:val="1590"/>
        </w:trPr>
        <w:tc>
          <w:tcPr>
            <w:tcW w:w="975" w:type="dxa"/>
            <w:hideMark/>
          </w:tcPr>
          <w:p w14:paraId="029135A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411.</w:t>
            </w:r>
          </w:p>
        </w:tc>
        <w:tc>
          <w:tcPr>
            <w:tcW w:w="2656" w:type="dxa"/>
            <w:hideMark/>
          </w:tcPr>
          <w:p w14:paraId="17C326A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4AE7AE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4AD130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54. Pri preukazovaní transpozície čl. 8 ods. 1 štvrtú a piatu vetu smernice (EÚ) 2023/1791 žiadame doplniť stĺpce 4 a 5 o informáciu, akým právnym predpisom sa transpozícia zabezpečuje.</w:t>
            </w:r>
          </w:p>
        </w:tc>
        <w:tc>
          <w:tcPr>
            <w:tcW w:w="2264" w:type="dxa"/>
            <w:vAlign w:val="center"/>
            <w:hideMark/>
          </w:tcPr>
          <w:p w14:paraId="1EBF0494" w14:textId="26329C8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11F54DE" w14:textId="181FF452"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5D69336D" w14:textId="018D91F1" w:rsidTr="00725D29">
        <w:trPr>
          <w:trHeight w:val="1590"/>
        </w:trPr>
        <w:tc>
          <w:tcPr>
            <w:tcW w:w="975" w:type="dxa"/>
            <w:hideMark/>
          </w:tcPr>
          <w:p w14:paraId="213F2F1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412.</w:t>
            </w:r>
          </w:p>
        </w:tc>
        <w:tc>
          <w:tcPr>
            <w:tcW w:w="2656" w:type="dxa"/>
            <w:hideMark/>
          </w:tcPr>
          <w:p w14:paraId="0FFEC4C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BD0A37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E1C18D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55. Pri preukazovaní transpozície čl. 8 ods. 2 smernice (EÚ) 2023/1791 žiadame doplniť stĺpce 4 a 5 o informáciu, akým právnym predpisom sa transpozícia zabezpečuje.</w:t>
            </w:r>
          </w:p>
        </w:tc>
        <w:tc>
          <w:tcPr>
            <w:tcW w:w="2264" w:type="dxa"/>
            <w:vAlign w:val="center"/>
            <w:hideMark/>
          </w:tcPr>
          <w:p w14:paraId="26F2FA88" w14:textId="3C80848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281ECE0" w14:textId="5BE8F9D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C257863" w14:textId="24B77886" w:rsidTr="00725D29">
        <w:trPr>
          <w:trHeight w:val="1590"/>
        </w:trPr>
        <w:tc>
          <w:tcPr>
            <w:tcW w:w="975" w:type="dxa"/>
            <w:hideMark/>
          </w:tcPr>
          <w:p w14:paraId="27E6C59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413.</w:t>
            </w:r>
          </w:p>
        </w:tc>
        <w:tc>
          <w:tcPr>
            <w:tcW w:w="2656" w:type="dxa"/>
            <w:hideMark/>
          </w:tcPr>
          <w:p w14:paraId="5B365E3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FCA08B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4BD94C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56. Žiadame preukázať transpozíciu čl. 8 ods. 2 smernice (EÚ) 2023/1791 do vnútroštátneho právneho poriadku. Uvádzané transpozičné opatrenia sú nesúvisiace.</w:t>
            </w:r>
          </w:p>
        </w:tc>
        <w:tc>
          <w:tcPr>
            <w:tcW w:w="2264" w:type="dxa"/>
            <w:vAlign w:val="center"/>
            <w:hideMark/>
          </w:tcPr>
          <w:p w14:paraId="480040AC" w14:textId="7B18BCB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CBDE5CB" w14:textId="0AAA5F2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31367DD" w14:textId="566F931E" w:rsidTr="00725D29">
        <w:trPr>
          <w:trHeight w:val="1590"/>
        </w:trPr>
        <w:tc>
          <w:tcPr>
            <w:tcW w:w="975" w:type="dxa"/>
            <w:hideMark/>
          </w:tcPr>
          <w:p w14:paraId="348827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414.</w:t>
            </w:r>
          </w:p>
        </w:tc>
        <w:tc>
          <w:tcPr>
            <w:tcW w:w="2656" w:type="dxa"/>
            <w:hideMark/>
          </w:tcPr>
          <w:p w14:paraId="664F540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C57416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A74AA0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57. Upozorňujeme, že čl. 8 ods. 2 druhá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38AB2BA1" w14:textId="2646C9A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9B5809B" w14:textId="34286110"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725487B4" w14:textId="68816697" w:rsidTr="00725D29">
        <w:trPr>
          <w:trHeight w:val="1590"/>
        </w:trPr>
        <w:tc>
          <w:tcPr>
            <w:tcW w:w="975" w:type="dxa"/>
            <w:hideMark/>
          </w:tcPr>
          <w:p w14:paraId="7A8473E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415.</w:t>
            </w:r>
          </w:p>
        </w:tc>
        <w:tc>
          <w:tcPr>
            <w:tcW w:w="2656" w:type="dxa"/>
            <w:hideMark/>
          </w:tcPr>
          <w:p w14:paraId="465F775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771A8A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E60186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58. Žiadame preukázať transpozíciu čl. 8 ods. 2 tretej vety smernice (EÚ) 2023/1791 do vnútroštátneho právneho poriadku. Uvádzané transpozičné opatrenia sú nesúvisiace.</w:t>
            </w:r>
          </w:p>
        </w:tc>
        <w:tc>
          <w:tcPr>
            <w:tcW w:w="2264" w:type="dxa"/>
            <w:vAlign w:val="center"/>
            <w:hideMark/>
          </w:tcPr>
          <w:p w14:paraId="07946243" w14:textId="516CD19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28A6513" w14:textId="03817BE6" w:rsidR="00725D29" w:rsidRPr="00BC49FC" w:rsidRDefault="00725D29" w:rsidP="00725D29">
            <w:pPr>
              <w:rPr>
                <w:rFonts w:ascii="Times New Roman" w:hAnsi="Times New Roman" w:cs="Times New Roman"/>
                <w:b/>
                <w:bCs/>
              </w:rPr>
            </w:pPr>
            <w:r>
              <w:rPr>
                <w:b/>
                <w:bCs/>
                <w:color w:val="000000"/>
              </w:rPr>
              <w:t>bude doplnené vo vyhláške, keďže sa jedná o možnosť zníženia výšky cieľa, neaplikovanie tohto ustanovenia by spôsobilo goldplating</w:t>
            </w:r>
          </w:p>
        </w:tc>
      </w:tr>
      <w:tr w:rsidR="00725D29" w:rsidRPr="006278D2" w14:paraId="60D4BEF8" w14:textId="4EE20034" w:rsidTr="00725D29">
        <w:trPr>
          <w:trHeight w:val="1590"/>
        </w:trPr>
        <w:tc>
          <w:tcPr>
            <w:tcW w:w="975" w:type="dxa"/>
            <w:hideMark/>
          </w:tcPr>
          <w:p w14:paraId="2FE7039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416.</w:t>
            </w:r>
          </w:p>
        </w:tc>
        <w:tc>
          <w:tcPr>
            <w:tcW w:w="2656" w:type="dxa"/>
            <w:hideMark/>
          </w:tcPr>
          <w:p w14:paraId="4C82AEB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C75BF6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C3BD3B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59. Žiadame preukázať transpozíciu čl. 8 ods. 3 štvrtej vety smernice (EÚ) 2023/1791 do vnútroštátneho právneho poriadku, nakoľko ide o ustanovenie predstavujúce bežnú transpozíciu. Zároveň, uvádzané transpozičné opatrenia sú nesúvisiace a žiadame upraviť označenie v treťom stĺpci tabuľky zhody písmenom „N“.</w:t>
            </w:r>
          </w:p>
        </w:tc>
        <w:tc>
          <w:tcPr>
            <w:tcW w:w="2264" w:type="dxa"/>
            <w:vAlign w:val="center"/>
            <w:hideMark/>
          </w:tcPr>
          <w:p w14:paraId="7E35E766" w14:textId="17AC865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4FB1EAD" w14:textId="52238505"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7AB2503C" w14:textId="309DD024" w:rsidTr="00725D29">
        <w:trPr>
          <w:trHeight w:val="1590"/>
        </w:trPr>
        <w:tc>
          <w:tcPr>
            <w:tcW w:w="975" w:type="dxa"/>
            <w:hideMark/>
          </w:tcPr>
          <w:p w14:paraId="5CAF0E2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417.</w:t>
            </w:r>
          </w:p>
        </w:tc>
        <w:tc>
          <w:tcPr>
            <w:tcW w:w="2656" w:type="dxa"/>
            <w:hideMark/>
          </w:tcPr>
          <w:p w14:paraId="42BDE04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950F66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209B0A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60. Pri preukazovaní transpozície čl. 8 ods. 3 piatej až ôsmej vety smernice (EÚ) 2023/1791 žiadame uviesť vysvetlenia k transpozícii v ôsmom stĺpci tabuľky zhody. Z uvádzaných informácií nie je zrejmé, či a akým spôsobom je transpozícia realizovaná a uvádzané transpozičné opatrenia nie sú dostatočné.</w:t>
            </w:r>
          </w:p>
        </w:tc>
        <w:tc>
          <w:tcPr>
            <w:tcW w:w="2264" w:type="dxa"/>
            <w:vAlign w:val="center"/>
            <w:hideMark/>
          </w:tcPr>
          <w:p w14:paraId="48C9B07C" w14:textId="64E9CBD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C844E07" w14:textId="60D41F71"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49D1A2F9" w14:textId="4167F8D3" w:rsidTr="00725D29">
        <w:trPr>
          <w:trHeight w:val="1590"/>
        </w:trPr>
        <w:tc>
          <w:tcPr>
            <w:tcW w:w="975" w:type="dxa"/>
            <w:hideMark/>
          </w:tcPr>
          <w:p w14:paraId="25BD0B0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418.</w:t>
            </w:r>
          </w:p>
        </w:tc>
        <w:tc>
          <w:tcPr>
            <w:tcW w:w="2656" w:type="dxa"/>
            <w:hideMark/>
          </w:tcPr>
          <w:p w14:paraId="605BECE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19CDF1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A28636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61. Žiadame preukázať transpozíciu čl. 8 ods. 4 až 10 smernice (EÚ) 2023/1791 do vnútroštátneho poriadku a uviesť doplňujúce vysvetlenia k transpozícii v ôsmom stĺpci tabuľky zhody. Túto pripomienku vzťahujeme na všetky vety, písmena aj odseky čl. 8 ods. 4 až 10, t. j. strany 119 až 143 predloženej tabuľky zhody.</w:t>
            </w:r>
          </w:p>
        </w:tc>
        <w:tc>
          <w:tcPr>
            <w:tcW w:w="2264" w:type="dxa"/>
            <w:vAlign w:val="center"/>
            <w:hideMark/>
          </w:tcPr>
          <w:p w14:paraId="3A796624" w14:textId="262DD85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E504E1D" w14:textId="2D5BCE35"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147F9CC4" w14:textId="699E9B42" w:rsidTr="00725D29">
        <w:trPr>
          <w:trHeight w:val="1590"/>
        </w:trPr>
        <w:tc>
          <w:tcPr>
            <w:tcW w:w="975" w:type="dxa"/>
            <w:hideMark/>
          </w:tcPr>
          <w:p w14:paraId="0A660EA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419.</w:t>
            </w:r>
          </w:p>
        </w:tc>
        <w:tc>
          <w:tcPr>
            <w:tcW w:w="2656" w:type="dxa"/>
            <w:hideMark/>
          </w:tcPr>
          <w:p w14:paraId="084C577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3C31D7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F4DED1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62. Čl. 8 ods. 12 smernice (EÚ) 2023/1791 predstavuje ustanovenie, ktorého transpozícia sa nerealizuje, preto žiadame uvádzať v treťom stĺpci tabuľky zhody označenie „n.a.“ a vypustiť uvádzané transpozičné opatrenia.</w:t>
            </w:r>
          </w:p>
        </w:tc>
        <w:tc>
          <w:tcPr>
            <w:tcW w:w="2264" w:type="dxa"/>
            <w:vAlign w:val="center"/>
            <w:hideMark/>
          </w:tcPr>
          <w:p w14:paraId="0B8C7DD2" w14:textId="1BFC7DA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7C39032" w14:textId="21973E32"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2584D956" w14:textId="07392EBF" w:rsidTr="00725D29">
        <w:trPr>
          <w:trHeight w:val="1590"/>
        </w:trPr>
        <w:tc>
          <w:tcPr>
            <w:tcW w:w="975" w:type="dxa"/>
            <w:hideMark/>
          </w:tcPr>
          <w:p w14:paraId="7EADD3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420.</w:t>
            </w:r>
          </w:p>
        </w:tc>
        <w:tc>
          <w:tcPr>
            <w:tcW w:w="2656" w:type="dxa"/>
            <w:hideMark/>
          </w:tcPr>
          <w:p w14:paraId="6D95270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E084D4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F898D1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63. Žiadame preukázať transpozíciu čl. 8 ods. 13 a 14 smernice (EÚ) 2023/1791 do vnútroštátneho právneho poriadku. Uvádzané transpozičné opatrenia sú nedostatočné.</w:t>
            </w:r>
          </w:p>
        </w:tc>
        <w:tc>
          <w:tcPr>
            <w:tcW w:w="2264" w:type="dxa"/>
            <w:vAlign w:val="center"/>
            <w:hideMark/>
          </w:tcPr>
          <w:p w14:paraId="0AF74FBB" w14:textId="3DB3C45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CBA636B" w14:textId="0D559D9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6B6D2B8" w14:textId="4B04C49E" w:rsidTr="00725D29">
        <w:trPr>
          <w:trHeight w:val="1590"/>
        </w:trPr>
        <w:tc>
          <w:tcPr>
            <w:tcW w:w="975" w:type="dxa"/>
            <w:hideMark/>
          </w:tcPr>
          <w:p w14:paraId="74928D6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421.</w:t>
            </w:r>
          </w:p>
        </w:tc>
        <w:tc>
          <w:tcPr>
            <w:tcW w:w="2656" w:type="dxa"/>
            <w:hideMark/>
          </w:tcPr>
          <w:p w14:paraId="3548C95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4601B2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5FE117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64. Pri preukazovaní transpozície čl. 10 ods. 2 prvej vety smernice (EÚ) 2023/1791 nie je zrejmé, či a akým spôsobom je transpozícia realizovaná, nakoľko nadväzuje na transpozíciu s možnosťou voľby a uvádzané transpozičné opatrenia nie sú dostatočné. Transpozíciu žiadame buď preukázať, alebo vysvetliť v ôsmom stĺpci tabuľky zhody.</w:t>
            </w:r>
          </w:p>
        </w:tc>
        <w:tc>
          <w:tcPr>
            <w:tcW w:w="2264" w:type="dxa"/>
            <w:vAlign w:val="center"/>
            <w:hideMark/>
          </w:tcPr>
          <w:p w14:paraId="6EEFDBF6" w14:textId="1B67DBA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2D66A40" w14:textId="0391C14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55151BD" w14:textId="6A56A6E3" w:rsidTr="00725D29">
        <w:trPr>
          <w:trHeight w:val="1590"/>
        </w:trPr>
        <w:tc>
          <w:tcPr>
            <w:tcW w:w="975" w:type="dxa"/>
            <w:hideMark/>
          </w:tcPr>
          <w:p w14:paraId="5EBEC2E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422.</w:t>
            </w:r>
          </w:p>
        </w:tc>
        <w:tc>
          <w:tcPr>
            <w:tcW w:w="2656" w:type="dxa"/>
            <w:hideMark/>
          </w:tcPr>
          <w:p w14:paraId="5747CB3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84CF39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B2AFC6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65. Pri preukazovaní transpozície čl. 10 ods. 2 prvej vety smernice (EÚ) 2023/1791 žiadame doplniť stĺpce 4 a 5 o informáciu, akým právnym predpisom sa transpozícia zabezpečuje.</w:t>
            </w:r>
          </w:p>
        </w:tc>
        <w:tc>
          <w:tcPr>
            <w:tcW w:w="2264" w:type="dxa"/>
            <w:vAlign w:val="center"/>
            <w:hideMark/>
          </w:tcPr>
          <w:p w14:paraId="7B217C3D" w14:textId="2DD6E67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EA83049" w14:textId="21F3E696"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E0064B9" w14:textId="477E4859" w:rsidTr="00725D29">
        <w:trPr>
          <w:trHeight w:val="1590"/>
        </w:trPr>
        <w:tc>
          <w:tcPr>
            <w:tcW w:w="975" w:type="dxa"/>
            <w:hideMark/>
          </w:tcPr>
          <w:p w14:paraId="3BB984B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423.</w:t>
            </w:r>
          </w:p>
        </w:tc>
        <w:tc>
          <w:tcPr>
            <w:tcW w:w="2656" w:type="dxa"/>
            <w:hideMark/>
          </w:tcPr>
          <w:p w14:paraId="572658F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530FEA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3A672E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66. Pri preukazovaní transpozície čl. 10 ods. 3 smernice (EÚ) 2023/1791, žiadame uvádzať znenie transpozičných opatrení uvádzaných v šiestom stĺpci tabuľky zhody vrátane poznámok pod čiarou.</w:t>
            </w:r>
          </w:p>
        </w:tc>
        <w:tc>
          <w:tcPr>
            <w:tcW w:w="2264" w:type="dxa"/>
            <w:vAlign w:val="center"/>
            <w:hideMark/>
          </w:tcPr>
          <w:p w14:paraId="5394170F" w14:textId="05844D4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3458B5D" w14:textId="66CF15A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9BB77F0" w14:textId="0A5EE80A" w:rsidTr="00725D29">
        <w:trPr>
          <w:trHeight w:val="1590"/>
        </w:trPr>
        <w:tc>
          <w:tcPr>
            <w:tcW w:w="975" w:type="dxa"/>
            <w:hideMark/>
          </w:tcPr>
          <w:p w14:paraId="0024E37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424.</w:t>
            </w:r>
          </w:p>
        </w:tc>
        <w:tc>
          <w:tcPr>
            <w:tcW w:w="2656" w:type="dxa"/>
            <w:hideMark/>
          </w:tcPr>
          <w:p w14:paraId="22368F3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221F68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BFC237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67. Pri preukazovaní transpozície čl. 10 ods. 3 smernice (EÚ) 2023/1791, žiadame uvádzať aj ďalšie relevantné transpozičné opatrenia v záujme úplnej a správnej transpozície.</w:t>
            </w:r>
          </w:p>
        </w:tc>
        <w:tc>
          <w:tcPr>
            <w:tcW w:w="2264" w:type="dxa"/>
            <w:vAlign w:val="center"/>
            <w:hideMark/>
          </w:tcPr>
          <w:p w14:paraId="62EA48F3" w14:textId="7E04B04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0FD8A9D" w14:textId="176C234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4C46B02" w14:textId="555046B9" w:rsidTr="00725D29">
        <w:trPr>
          <w:trHeight w:val="1590"/>
        </w:trPr>
        <w:tc>
          <w:tcPr>
            <w:tcW w:w="975" w:type="dxa"/>
            <w:hideMark/>
          </w:tcPr>
          <w:p w14:paraId="17F4EFE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425.</w:t>
            </w:r>
          </w:p>
        </w:tc>
        <w:tc>
          <w:tcPr>
            <w:tcW w:w="2656" w:type="dxa"/>
            <w:hideMark/>
          </w:tcPr>
          <w:p w14:paraId="2AA54AB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2300C6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85773B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68. Pri preukazovaní transpozície čl. 10 ods. 4 prvej a druhej vety smernice (EÚ) 2023/1791 nie je zrejmé, či a akým spôsobom je transpozícia realizovaná, nakoľko nadväzuje na transpozíciu s možnosťou voľby a uvádzané transpozičné opatrenia nie sú dostatočné. Transpozíciu žiadame buď preukázať, alebo vysvetliť v ôsmom stĺpci tabuľky zhody.</w:t>
            </w:r>
          </w:p>
        </w:tc>
        <w:tc>
          <w:tcPr>
            <w:tcW w:w="2264" w:type="dxa"/>
            <w:vAlign w:val="center"/>
            <w:hideMark/>
          </w:tcPr>
          <w:p w14:paraId="3DFE760A" w14:textId="5BA2E30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6033991" w14:textId="37B529E7"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3A5B5CB" w14:textId="4C536D13" w:rsidTr="00725D29">
        <w:trPr>
          <w:trHeight w:val="1590"/>
        </w:trPr>
        <w:tc>
          <w:tcPr>
            <w:tcW w:w="975" w:type="dxa"/>
            <w:hideMark/>
          </w:tcPr>
          <w:p w14:paraId="1E4A04D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426.</w:t>
            </w:r>
          </w:p>
        </w:tc>
        <w:tc>
          <w:tcPr>
            <w:tcW w:w="2656" w:type="dxa"/>
            <w:hideMark/>
          </w:tcPr>
          <w:p w14:paraId="18A79EA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17DD5D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3807D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69. Žiadame preukázať transpozíciu čl. 11 ods. 1 druhej vety smernice (EÚ) 2023/1791 do vnútroštátneho právneho poriadku a to s ohľadom na súlad s európskymi a medzinárodnými normami.</w:t>
            </w:r>
          </w:p>
        </w:tc>
        <w:tc>
          <w:tcPr>
            <w:tcW w:w="2264" w:type="dxa"/>
            <w:vAlign w:val="center"/>
            <w:hideMark/>
          </w:tcPr>
          <w:p w14:paraId="7357C789" w14:textId="1807CD8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98EBAEC" w14:textId="524A7D5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C197F81" w14:textId="65CAA659" w:rsidTr="00725D29">
        <w:trPr>
          <w:trHeight w:val="1590"/>
        </w:trPr>
        <w:tc>
          <w:tcPr>
            <w:tcW w:w="975" w:type="dxa"/>
            <w:hideMark/>
          </w:tcPr>
          <w:p w14:paraId="473C003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427.</w:t>
            </w:r>
          </w:p>
        </w:tc>
        <w:tc>
          <w:tcPr>
            <w:tcW w:w="2656" w:type="dxa"/>
            <w:hideMark/>
          </w:tcPr>
          <w:p w14:paraId="63E1252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F5B4DF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CC9EB4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70. Upozorňujeme, že znenie transpozičného opatrenia uvádzaného v šiestom stĺpci tabuľky zhody pri preukazovaní transpozície čl. 11 ods. 1 tretej vety smernice (EÚ) 2023/1791 nesedí so znením návrhu zákona. Text žiadame zosúladiť.</w:t>
            </w:r>
          </w:p>
        </w:tc>
        <w:tc>
          <w:tcPr>
            <w:tcW w:w="2264" w:type="dxa"/>
            <w:vAlign w:val="center"/>
            <w:hideMark/>
          </w:tcPr>
          <w:p w14:paraId="695486CB" w14:textId="4872D8B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AC3FEF9" w14:textId="46B6A1F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823114F" w14:textId="547EBFD7" w:rsidTr="00725D29">
        <w:trPr>
          <w:trHeight w:val="1590"/>
        </w:trPr>
        <w:tc>
          <w:tcPr>
            <w:tcW w:w="975" w:type="dxa"/>
            <w:hideMark/>
          </w:tcPr>
          <w:p w14:paraId="793D6B0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428.</w:t>
            </w:r>
          </w:p>
        </w:tc>
        <w:tc>
          <w:tcPr>
            <w:tcW w:w="2656" w:type="dxa"/>
            <w:hideMark/>
          </w:tcPr>
          <w:p w14:paraId="443FCC6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E92463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C9BA2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71. Pri preukazovaní transpozície čl. 11 ods. 2 druhá veta písm. a) a b) smernice (EÚ) 2023/1791, žiadame uvádzať znenie transpozičných opatrení uvádzaných v šiestom stĺpci tabuľky zhody vrátane poznámok pod čiarou.</w:t>
            </w:r>
          </w:p>
        </w:tc>
        <w:tc>
          <w:tcPr>
            <w:tcW w:w="2264" w:type="dxa"/>
            <w:vAlign w:val="center"/>
            <w:hideMark/>
          </w:tcPr>
          <w:p w14:paraId="69B28376" w14:textId="6FFB822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06A4699" w14:textId="32BBF3C6"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D6DD826" w14:textId="5A80AFF0" w:rsidTr="00725D29">
        <w:trPr>
          <w:trHeight w:val="1590"/>
        </w:trPr>
        <w:tc>
          <w:tcPr>
            <w:tcW w:w="975" w:type="dxa"/>
            <w:hideMark/>
          </w:tcPr>
          <w:p w14:paraId="445BC03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429.</w:t>
            </w:r>
          </w:p>
        </w:tc>
        <w:tc>
          <w:tcPr>
            <w:tcW w:w="2656" w:type="dxa"/>
            <w:hideMark/>
          </w:tcPr>
          <w:p w14:paraId="0EEAE6E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4A7E12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775CE2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72. Upozorňujeme, že transpozícia čl. 11 ods. 2 tretej vety smernice (EÚ) 2023/1791 nie je predkladaným návrhom zákona zabezpečená. Predmetný článok smernice sa vzťahuje na audity do 11. októbra 2026, pričom oneskorená transpozícia smernice a účinnosť návrhu zákona od 1. januára 2027 nezabezpečí jeho transpozíciu spätne. Z uvedeného dôvodu preto žiadame v siedmom stĺpci tabuľky zhody uviesť označenie „Ž“, ako žiadna transpozícia.</w:t>
            </w:r>
          </w:p>
        </w:tc>
        <w:tc>
          <w:tcPr>
            <w:tcW w:w="2264" w:type="dxa"/>
            <w:vAlign w:val="center"/>
            <w:hideMark/>
          </w:tcPr>
          <w:p w14:paraId="1D730D28" w14:textId="2E3F542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1CC8096" w14:textId="6705D1E6"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66BB0F0" w14:textId="680B0AA6" w:rsidTr="00725D29">
        <w:trPr>
          <w:trHeight w:val="1590"/>
        </w:trPr>
        <w:tc>
          <w:tcPr>
            <w:tcW w:w="975" w:type="dxa"/>
            <w:hideMark/>
          </w:tcPr>
          <w:p w14:paraId="7A0A2B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430.</w:t>
            </w:r>
          </w:p>
        </w:tc>
        <w:tc>
          <w:tcPr>
            <w:tcW w:w="2656" w:type="dxa"/>
            <w:hideMark/>
          </w:tcPr>
          <w:p w14:paraId="73451D1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D7AA38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4E10CC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73. Pri preukazovaní transpozície čl. 11 ods. 2 piatej až siedmej vety smernice (EÚ) 2023/1791 žiadame doplniť stĺpce 4 a 5 o informáciu, akým právnym predpisom sa transpozícia zabezpečuje.</w:t>
            </w:r>
          </w:p>
        </w:tc>
        <w:tc>
          <w:tcPr>
            <w:tcW w:w="2264" w:type="dxa"/>
            <w:vAlign w:val="center"/>
            <w:hideMark/>
          </w:tcPr>
          <w:p w14:paraId="68B2E1E3" w14:textId="2027AF3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190ADE3" w14:textId="56694D0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725BE37" w14:textId="1E2E700A" w:rsidTr="00725D29">
        <w:trPr>
          <w:trHeight w:val="1590"/>
        </w:trPr>
        <w:tc>
          <w:tcPr>
            <w:tcW w:w="975" w:type="dxa"/>
            <w:hideMark/>
          </w:tcPr>
          <w:p w14:paraId="3C6FA80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431.</w:t>
            </w:r>
          </w:p>
        </w:tc>
        <w:tc>
          <w:tcPr>
            <w:tcW w:w="2656" w:type="dxa"/>
            <w:hideMark/>
          </w:tcPr>
          <w:p w14:paraId="228CE6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2701EE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25DD50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74. Žiadame preukázať transpozíciu čl. 11 ods. 2 šiestej vety smernice (EÚ) 2023/1791 do vnútroštátneho právneho poriadku. Uvádzané transpozičné opatrenia sú nedostatočné.</w:t>
            </w:r>
          </w:p>
        </w:tc>
        <w:tc>
          <w:tcPr>
            <w:tcW w:w="2264" w:type="dxa"/>
            <w:vAlign w:val="center"/>
            <w:hideMark/>
          </w:tcPr>
          <w:p w14:paraId="14C1B92C" w14:textId="70525E7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6E981CF" w14:textId="21B48E2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21AD59A" w14:textId="13316FAF" w:rsidTr="00725D29">
        <w:trPr>
          <w:trHeight w:val="1590"/>
        </w:trPr>
        <w:tc>
          <w:tcPr>
            <w:tcW w:w="975" w:type="dxa"/>
            <w:hideMark/>
          </w:tcPr>
          <w:p w14:paraId="6DFEF98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432.</w:t>
            </w:r>
          </w:p>
        </w:tc>
        <w:tc>
          <w:tcPr>
            <w:tcW w:w="2656" w:type="dxa"/>
            <w:hideMark/>
          </w:tcPr>
          <w:p w14:paraId="69B8918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8B4CDD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B48FE4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75. Žiadame preukázať transpozíciu čl. 11 ods. 3 prvej vety smernice (EÚ) 2023/1791 do vnútroštátneho právneho poriadku. Uvádzané transpozičné opatrenia sú nedostatočné.</w:t>
            </w:r>
          </w:p>
        </w:tc>
        <w:tc>
          <w:tcPr>
            <w:tcW w:w="2264" w:type="dxa"/>
            <w:vAlign w:val="center"/>
            <w:hideMark/>
          </w:tcPr>
          <w:p w14:paraId="3A50CA55" w14:textId="6D86DEC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86EEA2F" w14:textId="7462AF9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7424B83" w14:textId="3246C2B6" w:rsidTr="00725D29">
        <w:trPr>
          <w:trHeight w:val="1590"/>
        </w:trPr>
        <w:tc>
          <w:tcPr>
            <w:tcW w:w="975" w:type="dxa"/>
            <w:hideMark/>
          </w:tcPr>
          <w:p w14:paraId="3A816E8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433.</w:t>
            </w:r>
          </w:p>
        </w:tc>
        <w:tc>
          <w:tcPr>
            <w:tcW w:w="2656" w:type="dxa"/>
            <w:hideMark/>
          </w:tcPr>
          <w:p w14:paraId="127B0FD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61C2F5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250A38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76. Upozorňujeme, že čl. 11 ods. 3 druhá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7A9D343F" w14:textId="1B53827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BEA516A" w14:textId="3BEE61D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6E27C88" w14:textId="7682D7A2" w:rsidTr="00725D29">
        <w:trPr>
          <w:trHeight w:val="1590"/>
        </w:trPr>
        <w:tc>
          <w:tcPr>
            <w:tcW w:w="975" w:type="dxa"/>
            <w:hideMark/>
          </w:tcPr>
          <w:p w14:paraId="7557D21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434.</w:t>
            </w:r>
          </w:p>
        </w:tc>
        <w:tc>
          <w:tcPr>
            <w:tcW w:w="2656" w:type="dxa"/>
            <w:hideMark/>
          </w:tcPr>
          <w:p w14:paraId="452436C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955D8D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D6C8F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77. Upozorňujeme, že čl. 11 ods. 4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18CC70E4" w14:textId="704B5C4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6138BAE" w14:textId="11BD8FF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1E868B6" w14:textId="43909E79" w:rsidTr="00725D29">
        <w:trPr>
          <w:trHeight w:val="1590"/>
        </w:trPr>
        <w:tc>
          <w:tcPr>
            <w:tcW w:w="975" w:type="dxa"/>
            <w:hideMark/>
          </w:tcPr>
          <w:p w14:paraId="19D0640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435.</w:t>
            </w:r>
          </w:p>
        </w:tc>
        <w:tc>
          <w:tcPr>
            <w:tcW w:w="2656" w:type="dxa"/>
            <w:hideMark/>
          </w:tcPr>
          <w:p w14:paraId="6A99DBE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B95D65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E4D25B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78. Pri preukazovaní transpozície čl. 11 ods. 5 prvej až piatej vety smernice (EÚ) 2023/1791 žiadame doplniť stĺpce 4 a 5 o informáciu, akým právnym predpisom sa transpozícia zabezpečuje.</w:t>
            </w:r>
          </w:p>
        </w:tc>
        <w:tc>
          <w:tcPr>
            <w:tcW w:w="2264" w:type="dxa"/>
            <w:vAlign w:val="center"/>
            <w:hideMark/>
          </w:tcPr>
          <w:p w14:paraId="60ABDFD3" w14:textId="5786AFF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CB68A67" w14:textId="37AE03E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605606F" w14:textId="1B4719AD" w:rsidTr="00725D29">
        <w:trPr>
          <w:trHeight w:val="1590"/>
        </w:trPr>
        <w:tc>
          <w:tcPr>
            <w:tcW w:w="975" w:type="dxa"/>
            <w:hideMark/>
          </w:tcPr>
          <w:p w14:paraId="0C05D9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436.</w:t>
            </w:r>
          </w:p>
        </w:tc>
        <w:tc>
          <w:tcPr>
            <w:tcW w:w="2656" w:type="dxa"/>
            <w:hideMark/>
          </w:tcPr>
          <w:p w14:paraId="57646D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2C63CF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A1ED30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79. Pri preukazovaní transpozície čl. 11 ods. 5 prvej vety smernice (EÚ) 2023/1791, žiadame uvádzať znenie transpozičných opatrení uvádzaných v šiestom stĺpci tabuľky zhody vrátane poznámok pod čiarou.</w:t>
            </w:r>
          </w:p>
        </w:tc>
        <w:tc>
          <w:tcPr>
            <w:tcW w:w="2264" w:type="dxa"/>
            <w:vAlign w:val="center"/>
            <w:hideMark/>
          </w:tcPr>
          <w:p w14:paraId="1B92D64A" w14:textId="11C4C24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B339C70" w14:textId="5A7AA08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7E73869" w14:textId="24D06725" w:rsidTr="00725D29">
        <w:trPr>
          <w:trHeight w:val="1590"/>
        </w:trPr>
        <w:tc>
          <w:tcPr>
            <w:tcW w:w="975" w:type="dxa"/>
            <w:hideMark/>
          </w:tcPr>
          <w:p w14:paraId="075163F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437.</w:t>
            </w:r>
          </w:p>
        </w:tc>
        <w:tc>
          <w:tcPr>
            <w:tcW w:w="2656" w:type="dxa"/>
            <w:hideMark/>
          </w:tcPr>
          <w:p w14:paraId="58747B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7B1F07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0636D8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80. Upozorňujeme, že znenie transpozičného opatrenia uvádzaného v šiestom stĺpci tabuľky zhody pri preukazovaní transpozície čl. 11 ods. 5 prvej vety písm. a) smernice (EÚ) 2023/1791 nesedí so znením návrhu zákona. Text žiadame zosúladiť.</w:t>
            </w:r>
          </w:p>
        </w:tc>
        <w:tc>
          <w:tcPr>
            <w:tcW w:w="2264" w:type="dxa"/>
            <w:vAlign w:val="center"/>
            <w:hideMark/>
          </w:tcPr>
          <w:p w14:paraId="116CF15E" w14:textId="6BB386D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B744E29" w14:textId="3392DBDA"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17EACFE6" w14:textId="309562D5" w:rsidTr="00725D29">
        <w:trPr>
          <w:trHeight w:val="1590"/>
        </w:trPr>
        <w:tc>
          <w:tcPr>
            <w:tcW w:w="975" w:type="dxa"/>
            <w:hideMark/>
          </w:tcPr>
          <w:p w14:paraId="5C6BF2D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438.</w:t>
            </w:r>
          </w:p>
        </w:tc>
        <w:tc>
          <w:tcPr>
            <w:tcW w:w="2656" w:type="dxa"/>
            <w:hideMark/>
          </w:tcPr>
          <w:p w14:paraId="345085D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02A56A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34A1EB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81. Pri preukazovaní transpozície čl. 11 ods. 5 prvej vety písm. a) a b) smernice (EÚ) 2023/1791, žiadame uvádzať znenie transpozičných opatrení uvádzaných v šiestom stĺpci tabuľky zhody vrátane poznámok pod čiarou.</w:t>
            </w:r>
          </w:p>
        </w:tc>
        <w:tc>
          <w:tcPr>
            <w:tcW w:w="2264" w:type="dxa"/>
            <w:vAlign w:val="center"/>
            <w:hideMark/>
          </w:tcPr>
          <w:p w14:paraId="0D88AC6C" w14:textId="0B720D8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F4B5438" w14:textId="35B41A0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8D33931" w14:textId="3BF5BB0C" w:rsidTr="00725D29">
        <w:trPr>
          <w:trHeight w:val="1590"/>
        </w:trPr>
        <w:tc>
          <w:tcPr>
            <w:tcW w:w="975" w:type="dxa"/>
            <w:hideMark/>
          </w:tcPr>
          <w:p w14:paraId="26365F1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439.</w:t>
            </w:r>
          </w:p>
        </w:tc>
        <w:tc>
          <w:tcPr>
            <w:tcW w:w="2656" w:type="dxa"/>
            <w:hideMark/>
          </w:tcPr>
          <w:p w14:paraId="0EEA68C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1C213A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D77B49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82. Žiadame preukázať transpozíciu čl. 11 ods. 5 druhej vety smernice (EÚ) 2023/1791 do vnútroštátneho právneho poriadku. Uvádzané transpozičné opatrenia sú nedostatočné.</w:t>
            </w:r>
          </w:p>
        </w:tc>
        <w:tc>
          <w:tcPr>
            <w:tcW w:w="2264" w:type="dxa"/>
            <w:vAlign w:val="center"/>
            <w:hideMark/>
          </w:tcPr>
          <w:p w14:paraId="14581266" w14:textId="67FCFD4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1C68B1B" w14:textId="4B0A074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7194B84" w14:textId="28553994" w:rsidTr="00725D29">
        <w:trPr>
          <w:trHeight w:val="1590"/>
        </w:trPr>
        <w:tc>
          <w:tcPr>
            <w:tcW w:w="975" w:type="dxa"/>
            <w:hideMark/>
          </w:tcPr>
          <w:p w14:paraId="2A45D0F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440.</w:t>
            </w:r>
          </w:p>
        </w:tc>
        <w:tc>
          <w:tcPr>
            <w:tcW w:w="2656" w:type="dxa"/>
            <w:hideMark/>
          </w:tcPr>
          <w:p w14:paraId="536F38A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CDC2D3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5C0523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83. Upozorňujeme, že znenie transpozičného opatrenia uvádzaného v šiestom stĺpci tabuľky zhody pri preukazovaní transpozície čl. 11 ods. 5 druhej vety smernice (EÚ) 2023/1791 nesedí so znením návrhu zákona. Text žiadame zosúladiť.</w:t>
            </w:r>
          </w:p>
        </w:tc>
        <w:tc>
          <w:tcPr>
            <w:tcW w:w="2264" w:type="dxa"/>
            <w:vAlign w:val="center"/>
            <w:hideMark/>
          </w:tcPr>
          <w:p w14:paraId="4E1E7506" w14:textId="190A1E2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17C42BF" w14:textId="551A625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6C30FBF" w14:textId="60B35EFA" w:rsidTr="00725D29">
        <w:trPr>
          <w:trHeight w:val="1590"/>
        </w:trPr>
        <w:tc>
          <w:tcPr>
            <w:tcW w:w="975" w:type="dxa"/>
            <w:hideMark/>
          </w:tcPr>
          <w:p w14:paraId="4072CE4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441.</w:t>
            </w:r>
          </w:p>
        </w:tc>
        <w:tc>
          <w:tcPr>
            <w:tcW w:w="2656" w:type="dxa"/>
            <w:hideMark/>
          </w:tcPr>
          <w:p w14:paraId="0F60A8D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A3AFC7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3F3C3A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84. Pri preukazovaní transpozície čl. 11 ods. 5 druhej vety smernice (EÚ) 2023/1791, žiadame uvádzať znenie transpozičných opatrení uvádzaných v šiestom stĺpci tabuľky zhody vrátane poznámok pod čiarou.</w:t>
            </w:r>
          </w:p>
        </w:tc>
        <w:tc>
          <w:tcPr>
            <w:tcW w:w="2264" w:type="dxa"/>
            <w:vAlign w:val="center"/>
            <w:hideMark/>
          </w:tcPr>
          <w:p w14:paraId="09A5015C" w14:textId="3BA906A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A31E24B" w14:textId="0FA571B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AD9676E" w14:textId="533F5294" w:rsidTr="00725D29">
        <w:trPr>
          <w:trHeight w:val="1590"/>
        </w:trPr>
        <w:tc>
          <w:tcPr>
            <w:tcW w:w="975" w:type="dxa"/>
            <w:hideMark/>
          </w:tcPr>
          <w:p w14:paraId="043FC43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442.</w:t>
            </w:r>
          </w:p>
        </w:tc>
        <w:tc>
          <w:tcPr>
            <w:tcW w:w="2656" w:type="dxa"/>
            <w:hideMark/>
          </w:tcPr>
          <w:p w14:paraId="1D5743C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7D0F6C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698DC7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85. Žiadame preukázať transpozíciu čl. 11 ods. 5 piatej vety smernice (EÚ) 2023/1791 do vnútroštátneho právneho poriadku. Uvádzané transpozičné opatrenia sú nedostatočné.</w:t>
            </w:r>
          </w:p>
        </w:tc>
        <w:tc>
          <w:tcPr>
            <w:tcW w:w="2264" w:type="dxa"/>
            <w:vAlign w:val="center"/>
            <w:hideMark/>
          </w:tcPr>
          <w:p w14:paraId="114E4102" w14:textId="5387E2C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220AEAA" w14:textId="011BD7E6"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3B77C53F" w14:textId="2D24866A" w:rsidTr="00725D29">
        <w:trPr>
          <w:trHeight w:val="1590"/>
        </w:trPr>
        <w:tc>
          <w:tcPr>
            <w:tcW w:w="975" w:type="dxa"/>
            <w:hideMark/>
          </w:tcPr>
          <w:p w14:paraId="4161BF3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443.</w:t>
            </w:r>
          </w:p>
        </w:tc>
        <w:tc>
          <w:tcPr>
            <w:tcW w:w="2656" w:type="dxa"/>
            <w:hideMark/>
          </w:tcPr>
          <w:p w14:paraId="5DF203D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88B0F6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9DB8FC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86. Žiadame preukázať transpozíciu čl. 11 ods. 6 prvej vety smernice (EÚ) 2023/1791 do vnútroštátneho právneho poriadku. Uvádzané transpozičné opatrenia sú nedostatočné.</w:t>
            </w:r>
          </w:p>
        </w:tc>
        <w:tc>
          <w:tcPr>
            <w:tcW w:w="2264" w:type="dxa"/>
            <w:vAlign w:val="center"/>
            <w:hideMark/>
          </w:tcPr>
          <w:p w14:paraId="7727B48F" w14:textId="4ED94D3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946C81C" w14:textId="64DB8C2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B11E61D" w14:textId="2B999AC5" w:rsidTr="00725D29">
        <w:trPr>
          <w:trHeight w:val="1590"/>
        </w:trPr>
        <w:tc>
          <w:tcPr>
            <w:tcW w:w="975" w:type="dxa"/>
            <w:hideMark/>
          </w:tcPr>
          <w:p w14:paraId="7CD6CB0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444.</w:t>
            </w:r>
          </w:p>
        </w:tc>
        <w:tc>
          <w:tcPr>
            <w:tcW w:w="2656" w:type="dxa"/>
            <w:hideMark/>
          </w:tcPr>
          <w:p w14:paraId="57373D1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D2F265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4DFD8E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87. Upozorňujeme, že čl. 11 ods. 6 druhá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 Zároveň, žiadame uviesť v treťom stĺpci tabuľky zhody označenie „D“, ako dobrovoľná transpozícia.</w:t>
            </w:r>
          </w:p>
        </w:tc>
        <w:tc>
          <w:tcPr>
            <w:tcW w:w="2264" w:type="dxa"/>
            <w:vAlign w:val="center"/>
            <w:hideMark/>
          </w:tcPr>
          <w:p w14:paraId="6A90564D" w14:textId="0F942B3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E4BC002" w14:textId="4C1A10F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FE45A3A" w14:textId="6843F89A" w:rsidTr="00725D29">
        <w:trPr>
          <w:trHeight w:val="1590"/>
        </w:trPr>
        <w:tc>
          <w:tcPr>
            <w:tcW w:w="975" w:type="dxa"/>
            <w:hideMark/>
          </w:tcPr>
          <w:p w14:paraId="78B5DB1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445.</w:t>
            </w:r>
          </w:p>
        </w:tc>
        <w:tc>
          <w:tcPr>
            <w:tcW w:w="2656" w:type="dxa"/>
            <w:hideMark/>
          </w:tcPr>
          <w:p w14:paraId="73A4266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B61234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893B5C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88. Pri preukazovaní transpozície čl. 11 ods. 6 prvej až tretej vety smernice (EÚ) 2023/1791 žiadame doplniť stĺpce 4 a 5 o informáciu, akým právnym predpisom sa transpozícia zabezpečuje.</w:t>
            </w:r>
          </w:p>
        </w:tc>
        <w:tc>
          <w:tcPr>
            <w:tcW w:w="2264" w:type="dxa"/>
            <w:vAlign w:val="center"/>
            <w:hideMark/>
          </w:tcPr>
          <w:p w14:paraId="35B29DA4" w14:textId="013E03E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0567572" w14:textId="614A80A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2697AC1" w14:textId="64350914" w:rsidTr="00725D29">
        <w:trPr>
          <w:trHeight w:val="1590"/>
        </w:trPr>
        <w:tc>
          <w:tcPr>
            <w:tcW w:w="975" w:type="dxa"/>
            <w:hideMark/>
          </w:tcPr>
          <w:p w14:paraId="6666254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446.</w:t>
            </w:r>
          </w:p>
        </w:tc>
        <w:tc>
          <w:tcPr>
            <w:tcW w:w="2656" w:type="dxa"/>
            <w:hideMark/>
          </w:tcPr>
          <w:p w14:paraId="77B211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545194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6E6C4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89. Upozorňujeme, že čl. 11 ods. 6 tretia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1E0A866E" w14:textId="0239DB2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4D3F4F8" w14:textId="242EC54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8044440" w14:textId="0801C685" w:rsidTr="00725D29">
        <w:trPr>
          <w:trHeight w:val="1590"/>
        </w:trPr>
        <w:tc>
          <w:tcPr>
            <w:tcW w:w="975" w:type="dxa"/>
            <w:hideMark/>
          </w:tcPr>
          <w:p w14:paraId="4396FB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447.</w:t>
            </w:r>
          </w:p>
        </w:tc>
        <w:tc>
          <w:tcPr>
            <w:tcW w:w="2656" w:type="dxa"/>
            <w:hideMark/>
          </w:tcPr>
          <w:p w14:paraId="123A6E7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6AC50F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BAC465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90. Pri preukazovaní transpozície čl. 11 ods. 7 prvej a druhej vety smernice (EÚ) 2023/1791 žiadame doplniť stĺpce 4 a 5 o informáciu, akým právnym predpisom sa transpozícia zabezpečuje.</w:t>
            </w:r>
          </w:p>
        </w:tc>
        <w:tc>
          <w:tcPr>
            <w:tcW w:w="2264" w:type="dxa"/>
            <w:vAlign w:val="center"/>
            <w:hideMark/>
          </w:tcPr>
          <w:p w14:paraId="1B1258AF" w14:textId="66F0938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9E10186" w14:textId="1A763B2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427E4C6" w14:textId="49418BDB" w:rsidTr="00725D29">
        <w:trPr>
          <w:trHeight w:val="1590"/>
        </w:trPr>
        <w:tc>
          <w:tcPr>
            <w:tcW w:w="975" w:type="dxa"/>
            <w:hideMark/>
          </w:tcPr>
          <w:p w14:paraId="16BB2B8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448.</w:t>
            </w:r>
          </w:p>
        </w:tc>
        <w:tc>
          <w:tcPr>
            <w:tcW w:w="2656" w:type="dxa"/>
            <w:hideMark/>
          </w:tcPr>
          <w:p w14:paraId="2581E9E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3F7398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E66DE7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91. Žiadame preukázať transpozíciu čl. 11 ods. 8 smernice (EÚ) 2023/1791 do vnútroštátneho právneho poriadku. Uvádzané transpozičné opatrenia sú nesúvisiace.</w:t>
            </w:r>
          </w:p>
        </w:tc>
        <w:tc>
          <w:tcPr>
            <w:tcW w:w="2264" w:type="dxa"/>
            <w:vAlign w:val="center"/>
            <w:hideMark/>
          </w:tcPr>
          <w:p w14:paraId="0B723136" w14:textId="27BBC4A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6D6A941" w14:textId="785F55F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D0F84FB" w14:textId="1562B66A" w:rsidTr="00725D29">
        <w:trPr>
          <w:trHeight w:val="1590"/>
        </w:trPr>
        <w:tc>
          <w:tcPr>
            <w:tcW w:w="975" w:type="dxa"/>
            <w:hideMark/>
          </w:tcPr>
          <w:p w14:paraId="698068A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449.</w:t>
            </w:r>
          </w:p>
        </w:tc>
        <w:tc>
          <w:tcPr>
            <w:tcW w:w="2656" w:type="dxa"/>
            <w:hideMark/>
          </w:tcPr>
          <w:p w14:paraId="7E3CB28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998C9C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5823CC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92. Pri preukazovaní transpozície čl. 11 ods. 9 až 12 smernice (EÚ) 2023/1791 žiadame doplniť stĺpce 4 a 5 o informáciu, akým právnym predpisom sa transpozícia zabezpečuje.</w:t>
            </w:r>
          </w:p>
        </w:tc>
        <w:tc>
          <w:tcPr>
            <w:tcW w:w="2264" w:type="dxa"/>
            <w:vAlign w:val="center"/>
            <w:hideMark/>
          </w:tcPr>
          <w:p w14:paraId="2063460A" w14:textId="12D0A78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B829EB7" w14:textId="707ECF2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6A7406A" w14:textId="509FEB67" w:rsidTr="00725D29">
        <w:trPr>
          <w:trHeight w:val="1590"/>
        </w:trPr>
        <w:tc>
          <w:tcPr>
            <w:tcW w:w="975" w:type="dxa"/>
            <w:hideMark/>
          </w:tcPr>
          <w:p w14:paraId="576D7B5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450.</w:t>
            </w:r>
          </w:p>
        </w:tc>
        <w:tc>
          <w:tcPr>
            <w:tcW w:w="2656" w:type="dxa"/>
            <w:hideMark/>
          </w:tcPr>
          <w:p w14:paraId="1E223AB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2340E9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221B8D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93. Žiadame preukázať transpozíciu čl. 11 ods. 9 prvej vety písm. a) a b) smernice (EÚ) 2023/1791 do vnútroštátneho právneho poriadku. Uvádzané transpozičné opatrenia sú nesúvisiace.</w:t>
            </w:r>
          </w:p>
        </w:tc>
        <w:tc>
          <w:tcPr>
            <w:tcW w:w="2264" w:type="dxa"/>
            <w:vAlign w:val="center"/>
            <w:hideMark/>
          </w:tcPr>
          <w:p w14:paraId="22BBCF3E" w14:textId="30E88F2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A0A4289" w14:textId="7C2DA06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5B88210" w14:textId="786C3480" w:rsidTr="00725D29">
        <w:trPr>
          <w:trHeight w:val="1590"/>
        </w:trPr>
        <w:tc>
          <w:tcPr>
            <w:tcW w:w="975" w:type="dxa"/>
            <w:hideMark/>
          </w:tcPr>
          <w:p w14:paraId="295ED04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451.</w:t>
            </w:r>
          </w:p>
        </w:tc>
        <w:tc>
          <w:tcPr>
            <w:tcW w:w="2656" w:type="dxa"/>
            <w:hideMark/>
          </w:tcPr>
          <w:p w14:paraId="3569800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B622C0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0407A1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94. Žiadame preukázať transpozíciu čl. 11 ods. 9 druhej vety smernice (EÚ) 2023/1791 do vnútroštátneho právneho poriadku. Uvádzané transpozičné opatrenia sú nesúvisiace.</w:t>
            </w:r>
          </w:p>
        </w:tc>
        <w:tc>
          <w:tcPr>
            <w:tcW w:w="2264" w:type="dxa"/>
            <w:vAlign w:val="center"/>
            <w:hideMark/>
          </w:tcPr>
          <w:p w14:paraId="74997563" w14:textId="45AD47F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E39427D" w14:textId="5AD0D5F7"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005F970" w14:textId="6A6F5C0C" w:rsidTr="00725D29">
        <w:trPr>
          <w:trHeight w:val="1590"/>
        </w:trPr>
        <w:tc>
          <w:tcPr>
            <w:tcW w:w="975" w:type="dxa"/>
            <w:hideMark/>
          </w:tcPr>
          <w:p w14:paraId="026272B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452.</w:t>
            </w:r>
          </w:p>
        </w:tc>
        <w:tc>
          <w:tcPr>
            <w:tcW w:w="2656" w:type="dxa"/>
            <w:hideMark/>
          </w:tcPr>
          <w:p w14:paraId="15D6795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FFAE42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710080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95. Žiadame preukázať transpozíciu čl. 11 ods. 10 smernice (EÚ) 2023/1791 do vnútroštátneho právneho poriadku. Uvádzané transpozičné opatrenia sú nesúvisiace.</w:t>
            </w:r>
          </w:p>
        </w:tc>
        <w:tc>
          <w:tcPr>
            <w:tcW w:w="2264" w:type="dxa"/>
            <w:vAlign w:val="center"/>
            <w:hideMark/>
          </w:tcPr>
          <w:p w14:paraId="7D100C04" w14:textId="4CAA51A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BA9E6BE" w14:textId="78CE21A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282816D" w14:textId="79D09F42" w:rsidTr="00725D29">
        <w:trPr>
          <w:trHeight w:val="1590"/>
        </w:trPr>
        <w:tc>
          <w:tcPr>
            <w:tcW w:w="975" w:type="dxa"/>
            <w:hideMark/>
          </w:tcPr>
          <w:p w14:paraId="303F259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453.</w:t>
            </w:r>
          </w:p>
        </w:tc>
        <w:tc>
          <w:tcPr>
            <w:tcW w:w="2656" w:type="dxa"/>
            <w:hideMark/>
          </w:tcPr>
          <w:p w14:paraId="0192CF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82E542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460794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96. Žiadame preukázať transpozíciu čl. 11 ods. 12 prvej a druhej vety smernice (EÚ) 2023/1791 do vnútroštátneho právneho poriadku. Uvádzané transpozičné opatrenia sú nesúvisiace.</w:t>
            </w:r>
          </w:p>
        </w:tc>
        <w:tc>
          <w:tcPr>
            <w:tcW w:w="2264" w:type="dxa"/>
            <w:vAlign w:val="center"/>
            <w:hideMark/>
          </w:tcPr>
          <w:p w14:paraId="24185A1A" w14:textId="719107F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54566B8" w14:textId="7C39C60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48309D6" w14:textId="0A8EF007" w:rsidTr="00725D29">
        <w:trPr>
          <w:trHeight w:val="1590"/>
        </w:trPr>
        <w:tc>
          <w:tcPr>
            <w:tcW w:w="975" w:type="dxa"/>
            <w:hideMark/>
          </w:tcPr>
          <w:p w14:paraId="43AC119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454.</w:t>
            </w:r>
          </w:p>
        </w:tc>
        <w:tc>
          <w:tcPr>
            <w:tcW w:w="2656" w:type="dxa"/>
            <w:hideMark/>
          </w:tcPr>
          <w:p w14:paraId="3B2C4D7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A38B4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62297C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97. Pri preukazovaní transpozície čl. 11 ods. 12 tretej vety smernice (EÚ) 2023/1791 žiadame uvádzať v siedmom stĺpci tabuľky zhody označenie písmenami „n.a.“.</w:t>
            </w:r>
          </w:p>
        </w:tc>
        <w:tc>
          <w:tcPr>
            <w:tcW w:w="2264" w:type="dxa"/>
            <w:vAlign w:val="center"/>
            <w:hideMark/>
          </w:tcPr>
          <w:p w14:paraId="28259299" w14:textId="0B8EA11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475C13D" w14:textId="2AC79634"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166F7ED" w14:textId="2C2E0A06" w:rsidTr="00725D29">
        <w:trPr>
          <w:trHeight w:val="1590"/>
        </w:trPr>
        <w:tc>
          <w:tcPr>
            <w:tcW w:w="975" w:type="dxa"/>
            <w:hideMark/>
          </w:tcPr>
          <w:p w14:paraId="621D5E4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455.</w:t>
            </w:r>
          </w:p>
        </w:tc>
        <w:tc>
          <w:tcPr>
            <w:tcW w:w="2656" w:type="dxa"/>
            <w:hideMark/>
          </w:tcPr>
          <w:p w14:paraId="1BB706F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793E40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FA01C1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98. Pri preukazovaní transpozície všetkých odsekov čl. 12 smernice (EÚ) 2023/1791 žiadame doplniť stĺpce 4 a 5 o informáciu, akým právnym predpisom sa transpozícia zabezpečuje.</w:t>
            </w:r>
          </w:p>
        </w:tc>
        <w:tc>
          <w:tcPr>
            <w:tcW w:w="2264" w:type="dxa"/>
            <w:vAlign w:val="center"/>
            <w:hideMark/>
          </w:tcPr>
          <w:p w14:paraId="1C626AA3" w14:textId="5C61F26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6A19F3F" w14:textId="6EE9200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EEFDA81" w14:textId="38CCF327" w:rsidTr="00725D29">
        <w:trPr>
          <w:trHeight w:val="1590"/>
        </w:trPr>
        <w:tc>
          <w:tcPr>
            <w:tcW w:w="975" w:type="dxa"/>
            <w:hideMark/>
          </w:tcPr>
          <w:p w14:paraId="6641EFE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456.</w:t>
            </w:r>
          </w:p>
        </w:tc>
        <w:tc>
          <w:tcPr>
            <w:tcW w:w="2656" w:type="dxa"/>
            <w:hideMark/>
          </w:tcPr>
          <w:p w14:paraId="0A9C47B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878B0B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91F556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99. Pri preukazovaní transpozície čl. 12 ods. 1 smernice (EÚ) 2023/1791 žiadame uvádzať znenie transpozičných opatrení uvádzaných v šiestom stĺpci tabuľky zhody vrátane poznámok pod čiarou.</w:t>
            </w:r>
          </w:p>
        </w:tc>
        <w:tc>
          <w:tcPr>
            <w:tcW w:w="2264" w:type="dxa"/>
            <w:vAlign w:val="center"/>
            <w:hideMark/>
          </w:tcPr>
          <w:p w14:paraId="021B7DB4" w14:textId="1D83DEC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3B2017C" w14:textId="61F5239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1EEDB9B" w14:textId="68241F04" w:rsidTr="00725D29">
        <w:trPr>
          <w:trHeight w:val="1590"/>
        </w:trPr>
        <w:tc>
          <w:tcPr>
            <w:tcW w:w="975" w:type="dxa"/>
            <w:hideMark/>
          </w:tcPr>
          <w:p w14:paraId="229E330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457.</w:t>
            </w:r>
          </w:p>
        </w:tc>
        <w:tc>
          <w:tcPr>
            <w:tcW w:w="2656" w:type="dxa"/>
            <w:hideMark/>
          </w:tcPr>
          <w:p w14:paraId="2A1739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8170CE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756A36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100. Pri preukazovaní transpozície čl. 12 ods. 2 smernice (EÚ) 2023/1791 žiadame uvádzať znenie transpozičných opatrení uvádzaných v šiestom stĺpci tabuľky zhody vrátane poznámok pod čiarou.</w:t>
            </w:r>
          </w:p>
        </w:tc>
        <w:tc>
          <w:tcPr>
            <w:tcW w:w="2264" w:type="dxa"/>
            <w:vAlign w:val="center"/>
            <w:hideMark/>
          </w:tcPr>
          <w:p w14:paraId="21C87E91" w14:textId="4A3D4CA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3AC3EB8" w14:textId="576AACD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D587456" w14:textId="12B15D7C" w:rsidTr="00725D29">
        <w:trPr>
          <w:trHeight w:val="1590"/>
        </w:trPr>
        <w:tc>
          <w:tcPr>
            <w:tcW w:w="975" w:type="dxa"/>
            <w:hideMark/>
          </w:tcPr>
          <w:p w14:paraId="636B9D1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458.</w:t>
            </w:r>
          </w:p>
        </w:tc>
        <w:tc>
          <w:tcPr>
            <w:tcW w:w="2656" w:type="dxa"/>
            <w:hideMark/>
          </w:tcPr>
          <w:p w14:paraId="3275E4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FDD329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3E9BAE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101. Žiadame preukázať transpozíciu čl. 12 ods. 4 smernice (EÚ) 2023/1791 do vnútroštátneho právneho poriadku. Máme za to, že ide o ustanovenie predstavujúce bežnú transpozíciu.</w:t>
            </w:r>
          </w:p>
        </w:tc>
        <w:tc>
          <w:tcPr>
            <w:tcW w:w="2264" w:type="dxa"/>
            <w:vAlign w:val="center"/>
            <w:hideMark/>
          </w:tcPr>
          <w:p w14:paraId="08B4A5E9" w14:textId="10CE5D0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54D9BA3" w14:textId="418AFFA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BF4D729" w14:textId="30FB5B96" w:rsidTr="00725D29">
        <w:trPr>
          <w:trHeight w:val="1590"/>
        </w:trPr>
        <w:tc>
          <w:tcPr>
            <w:tcW w:w="975" w:type="dxa"/>
            <w:hideMark/>
          </w:tcPr>
          <w:p w14:paraId="2573E2F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459.</w:t>
            </w:r>
          </w:p>
        </w:tc>
        <w:tc>
          <w:tcPr>
            <w:tcW w:w="2656" w:type="dxa"/>
            <w:hideMark/>
          </w:tcPr>
          <w:p w14:paraId="69D6911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7881EA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C0BDE1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102. Pri preukazovaní transpozície čl. 12 ods. 4 smernice (EÚ) 2023/1791 žiadame uviesť vysvetlenie priamo v ôsmom stĺpci tabuľky zhody a nie v dôvodovej správe k návrhu zákona.</w:t>
            </w:r>
          </w:p>
        </w:tc>
        <w:tc>
          <w:tcPr>
            <w:tcW w:w="2264" w:type="dxa"/>
            <w:vAlign w:val="center"/>
            <w:hideMark/>
          </w:tcPr>
          <w:p w14:paraId="1E538C12" w14:textId="70B253EA"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06314A1C" w14:textId="2F21985E" w:rsidR="00725D29" w:rsidRPr="00BC49FC" w:rsidRDefault="00725D29" w:rsidP="00725D29">
            <w:pPr>
              <w:rPr>
                <w:rFonts w:ascii="Times New Roman" w:hAnsi="Times New Roman" w:cs="Times New Roman"/>
                <w:b/>
                <w:bCs/>
              </w:rPr>
            </w:pPr>
            <w:r>
              <w:rPr>
                <w:b/>
                <w:bCs/>
                <w:color w:val="000000"/>
              </w:rPr>
              <w:t>V súčasnosti sa na území SK nachádza veľmi malý počet dátových centier s predmetnou kapacitou. Z tohto dôvodu sa domnievame, že administratívne náklady na zavedenie a kontrolu predmetnej legislatívnej úpravy by neboli proporcionálne k jej dosiahnutým prínosom. Z tohto dôvodu bol text predmetného ustanovenia doplnený do Dôvodovej správy.</w:t>
            </w:r>
          </w:p>
        </w:tc>
      </w:tr>
      <w:tr w:rsidR="00725D29" w:rsidRPr="006278D2" w14:paraId="0AE05534" w14:textId="33EBC006" w:rsidTr="00725D29">
        <w:trPr>
          <w:trHeight w:val="1590"/>
        </w:trPr>
        <w:tc>
          <w:tcPr>
            <w:tcW w:w="975" w:type="dxa"/>
            <w:hideMark/>
          </w:tcPr>
          <w:p w14:paraId="6AEF023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460.</w:t>
            </w:r>
          </w:p>
        </w:tc>
        <w:tc>
          <w:tcPr>
            <w:tcW w:w="2656" w:type="dxa"/>
            <w:hideMark/>
          </w:tcPr>
          <w:p w14:paraId="6E347B9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E75ABD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34D3CA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103. Pri preukazovaní transpozície všetkých odsekov čl. 13 smernice (EÚ) 2023/1791 žiadame doplniť stĺpce 4 a 5 o informáciu, akým právnym predpisom sa transpozícia zabezpečuje.</w:t>
            </w:r>
          </w:p>
        </w:tc>
        <w:tc>
          <w:tcPr>
            <w:tcW w:w="2264" w:type="dxa"/>
            <w:vAlign w:val="center"/>
            <w:hideMark/>
          </w:tcPr>
          <w:p w14:paraId="351DAB44" w14:textId="279E22A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E401131" w14:textId="459DAF8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FD5708D" w14:textId="49C5BBEB" w:rsidTr="00725D29">
        <w:trPr>
          <w:trHeight w:val="1590"/>
        </w:trPr>
        <w:tc>
          <w:tcPr>
            <w:tcW w:w="975" w:type="dxa"/>
            <w:hideMark/>
          </w:tcPr>
          <w:p w14:paraId="5B315B8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461.</w:t>
            </w:r>
          </w:p>
        </w:tc>
        <w:tc>
          <w:tcPr>
            <w:tcW w:w="2656" w:type="dxa"/>
            <w:hideMark/>
          </w:tcPr>
          <w:p w14:paraId="0F91D16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81BBB4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AEB8E1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104. Žiadame preukázať transpozíciu čl. 13 ods. 1 druhej vety písm. a) smernice (EÚ) 2023/1791 do vnútroštátneho právneho poriadku. Uvádzané transpozičné opatrenia sú nedostatočné.</w:t>
            </w:r>
          </w:p>
        </w:tc>
        <w:tc>
          <w:tcPr>
            <w:tcW w:w="2264" w:type="dxa"/>
            <w:vAlign w:val="center"/>
            <w:hideMark/>
          </w:tcPr>
          <w:p w14:paraId="09B714A0" w14:textId="179BEF6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F9EF2CD" w14:textId="1E18440D"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3BFD6D3" w14:textId="25691A0A" w:rsidTr="00725D29">
        <w:trPr>
          <w:trHeight w:val="1590"/>
        </w:trPr>
        <w:tc>
          <w:tcPr>
            <w:tcW w:w="975" w:type="dxa"/>
            <w:hideMark/>
          </w:tcPr>
          <w:p w14:paraId="5A4B8F0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462.</w:t>
            </w:r>
          </w:p>
        </w:tc>
        <w:tc>
          <w:tcPr>
            <w:tcW w:w="2656" w:type="dxa"/>
            <w:hideMark/>
          </w:tcPr>
          <w:p w14:paraId="1FBB46D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E99F95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3FEE71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105. Žiadame preukázať transpozíciu čl. 13 ods. 2 písm. a) smernice (EÚ) 2023/1791 do vnútroštátneho právneho poriadku. Uvádzané transpozičné opatrenia sú nesúvisiace.</w:t>
            </w:r>
          </w:p>
        </w:tc>
        <w:tc>
          <w:tcPr>
            <w:tcW w:w="2264" w:type="dxa"/>
            <w:vAlign w:val="center"/>
            <w:hideMark/>
          </w:tcPr>
          <w:p w14:paraId="04F3C2E9" w14:textId="668802F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689138D" w14:textId="3A5D10FE" w:rsidR="00725D29" w:rsidRPr="00BC49FC" w:rsidRDefault="00725D29" w:rsidP="00725D29">
            <w:pPr>
              <w:rPr>
                <w:rFonts w:ascii="Times New Roman" w:hAnsi="Times New Roman" w:cs="Times New Roman"/>
                <w:b/>
                <w:bCs/>
              </w:rPr>
            </w:pPr>
            <w:r>
              <w:rPr>
                <w:b/>
                <w:bCs/>
                <w:color w:val="000000"/>
              </w:rPr>
              <w:t>Zákon 251</w:t>
            </w:r>
          </w:p>
        </w:tc>
      </w:tr>
      <w:tr w:rsidR="00725D29" w:rsidRPr="006278D2" w14:paraId="22DFB667" w14:textId="435E70D6" w:rsidTr="00725D29">
        <w:trPr>
          <w:trHeight w:val="1590"/>
        </w:trPr>
        <w:tc>
          <w:tcPr>
            <w:tcW w:w="975" w:type="dxa"/>
            <w:hideMark/>
          </w:tcPr>
          <w:p w14:paraId="11A124E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463.</w:t>
            </w:r>
          </w:p>
        </w:tc>
        <w:tc>
          <w:tcPr>
            <w:tcW w:w="2656" w:type="dxa"/>
            <w:hideMark/>
          </w:tcPr>
          <w:p w14:paraId="6E10CFD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602278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BB21C8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106. Pri preukazovaní transpozície čl. 13 ods. 2 písm. a) a b) smernice (EÚ) 2023/1791 žiadame uvádzať znenie transpozičných opatrení uvádzaných v šiestom stĺpci tabuľky zhody vrátane poznámok pod čiarou.</w:t>
            </w:r>
          </w:p>
        </w:tc>
        <w:tc>
          <w:tcPr>
            <w:tcW w:w="2264" w:type="dxa"/>
            <w:vAlign w:val="center"/>
            <w:hideMark/>
          </w:tcPr>
          <w:p w14:paraId="2AFE8998" w14:textId="044D2F4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1F15893" w14:textId="5832DA71" w:rsidR="00725D29" w:rsidRPr="00BC49FC" w:rsidRDefault="00725D29" w:rsidP="00725D29">
            <w:pPr>
              <w:rPr>
                <w:rFonts w:ascii="Times New Roman" w:hAnsi="Times New Roman" w:cs="Times New Roman"/>
                <w:b/>
                <w:bCs/>
              </w:rPr>
            </w:pPr>
            <w:r>
              <w:rPr>
                <w:b/>
                <w:bCs/>
                <w:color w:val="000000"/>
              </w:rPr>
              <w:t>Zákon 251</w:t>
            </w:r>
          </w:p>
        </w:tc>
      </w:tr>
      <w:tr w:rsidR="00725D29" w:rsidRPr="006278D2" w14:paraId="5C732BD6" w14:textId="778ACB76" w:rsidTr="00725D29">
        <w:trPr>
          <w:trHeight w:val="1590"/>
        </w:trPr>
        <w:tc>
          <w:tcPr>
            <w:tcW w:w="975" w:type="dxa"/>
            <w:hideMark/>
          </w:tcPr>
          <w:p w14:paraId="7B654D5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464.</w:t>
            </w:r>
          </w:p>
        </w:tc>
        <w:tc>
          <w:tcPr>
            <w:tcW w:w="2656" w:type="dxa"/>
            <w:hideMark/>
          </w:tcPr>
          <w:p w14:paraId="7854A46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233B3E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489461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107. Pri preukazovaní transpozície čl. 14 ods. 1 a 2 smernice (EÚ) 2023/1791 žiadame uvádzať znenie transpozičných opatrení uvádzaných v šiestom stĺpci tabuľky zhody vrátane poznámok pod čiarou.</w:t>
            </w:r>
          </w:p>
        </w:tc>
        <w:tc>
          <w:tcPr>
            <w:tcW w:w="2264" w:type="dxa"/>
            <w:vAlign w:val="center"/>
            <w:hideMark/>
          </w:tcPr>
          <w:p w14:paraId="51538BEB" w14:textId="542AB07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D2B9802" w14:textId="1B02F119"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AA1615D" w14:textId="59D0A141" w:rsidTr="00725D29">
        <w:trPr>
          <w:trHeight w:val="1590"/>
        </w:trPr>
        <w:tc>
          <w:tcPr>
            <w:tcW w:w="975" w:type="dxa"/>
            <w:hideMark/>
          </w:tcPr>
          <w:p w14:paraId="4965A9E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465.</w:t>
            </w:r>
          </w:p>
        </w:tc>
        <w:tc>
          <w:tcPr>
            <w:tcW w:w="2656" w:type="dxa"/>
            <w:hideMark/>
          </w:tcPr>
          <w:p w14:paraId="5C33D1B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B02432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0D74D4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108. Pri preukazovaní  transpozície všetkých odsekov čl. 15 smernice (EÚ) 2023/1791 žiadame doplniť stĺpce 4 a 5 o informáciu, akým právnym predpisom sa transpozícia zabezpečuje.</w:t>
            </w:r>
          </w:p>
        </w:tc>
        <w:tc>
          <w:tcPr>
            <w:tcW w:w="2264" w:type="dxa"/>
            <w:vAlign w:val="center"/>
            <w:hideMark/>
          </w:tcPr>
          <w:p w14:paraId="4EBC0D95" w14:textId="13324C6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F61EBD7" w14:textId="6A7FD444"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4FED769F" w14:textId="2C070A1C" w:rsidTr="00725D29">
        <w:trPr>
          <w:trHeight w:val="1590"/>
        </w:trPr>
        <w:tc>
          <w:tcPr>
            <w:tcW w:w="975" w:type="dxa"/>
            <w:hideMark/>
          </w:tcPr>
          <w:p w14:paraId="6C20E07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466.</w:t>
            </w:r>
          </w:p>
        </w:tc>
        <w:tc>
          <w:tcPr>
            <w:tcW w:w="2656" w:type="dxa"/>
            <w:hideMark/>
          </w:tcPr>
          <w:p w14:paraId="4450DBA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D06563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726C5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109. Žiadame preukázať transpozíciu čl. 15 ods. 3 prvej vety smernice (EÚ) 2023/1791 do vnútroštátneho právneho poriadku. Uvádzané transpozičné opatrenia sú nedostatočné.</w:t>
            </w:r>
          </w:p>
        </w:tc>
        <w:tc>
          <w:tcPr>
            <w:tcW w:w="2264" w:type="dxa"/>
            <w:vAlign w:val="center"/>
            <w:hideMark/>
          </w:tcPr>
          <w:p w14:paraId="156F4A66" w14:textId="0CB7844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985DFF4" w14:textId="03DD73EA"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171F001" w14:textId="7472FDA8" w:rsidTr="00725D29">
        <w:trPr>
          <w:trHeight w:val="1590"/>
        </w:trPr>
        <w:tc>
          <w:tcPr>
            <w:tcW w:w="975" w:type="dxa"/>
            <w:hideMark/>
          </w:tcPr>
          <w:p w14:paraId="63EC899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467.</w:t>
            </w:r>
          </w:p>
        </w:tc>
        <w:tc>
          <w:tcPr>
            <w:tcW w:w="2656" w:type="dxa"/>
            <w:hideMark/>
          </w:tcPr>
          <w:p w14:paraId="0466C81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617AFB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5BDD02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110. Žiadame preukázať transpozíciu čl. 15 ods. 3 druhej vety smernice (EÚ) 2023/1791 do vnútroštátneho právneho poriadku. Uvádzané transpozičné opatrenia sú nedostatočné.</w:t>
            </w:r>
          </w:p>
        </w:tc>
        <w:tc>
          <w:tcPr>
            <w:tcW w:w="2264" w:type="dxa"/>
            <w:vAlign w:val="center"/>
            <w:hideMark/>
          </w:tcPr>
          <w:p w14:paraId="5DE68689" w14:textId="6635674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FC41BF8" w14:textId="6B4D1296" w:rsidR="00725D29" w:rsidRPr="00BC49FC" w:rsidRDefault="00725D29" w:rsidP="00725D29">
            <w:pPr>
              <w:rPr>
                <w:rFonts w:ascii="Times New Roman" w:hAnsi="Times New Roman" w:cs="Times New Roman"/>
                <w:b/>
                <w:bCs/>
              </w:rPr>
            </w:pPr>
            <w:r>
              <w:rPr>
                <w:b/>
                <w:bCs/>
                <w:color w:val="000000"/>
              </w:rPr>
              <w:t>Ustanovenie je upravené</w:t>
            </w:r>
          </w:p>
        </w:tc>
      </w:tr>
      <w:tr w:rsidR="00725D29" w:rsidRPr="006278D2" w14:paraId="29016289" w14:textId="28AE7FFE" w:rsidTr="00725D29">
        <w:trPr>
          <w:trHeight w:val="1590"/>
        </w:trPr>
        <w:tc>
          <w:tcPr>
            <w:tcW w:w="975" w:type="dxa"/>
            <w:hideMark/>
          </w:tcPr>
          <w:p w14:paraId="1B113A6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468.</w:t>
            </w:r>
          </w:p>
        </w:tc>
        <w:tc>
          <w:tcPr>
            <w:tcW w:w="2656" w:type="dxa"/>
            <w:hideMark/>
          </w:tcPr>
          <w:p w14:paraId="7EF9FAF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71E0AD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692684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111. Pri preukazovaní  transpozície čl. 16 ods. 1 druhej vety smernice (EÚ) 2023/1791 žiadame doplniť stĺpce 4 a 5 o informáciu, akým právnym predpisom sa transpozícia zabezpečuje.</w:t>
            </w:r>
          </w:p>
        </w:tc>
        <w:tc>
          <w:tcPr>
            <w:tcW w:w="2264" w:type="dxa"/>
            <w:vAlign w:val="center"/>
            <w:hideMark/>
          </w:tcPr>
          <w:p w14:paraId="29B6DF35" w14:textId="4D6D040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79DBA4F" w14:textId="18553165" w:rsidR="00725D29" w:rsidRPr="00BC49FC" w:rsidRDefault="00725D29" w:rsidP="00725D29">
            <w:pPr>
              <w:rPr>
                <w:rFonts w:ascii="Times New Roman" w:hAnsi="Times New Roman" w:cs="Times New Roman"/>
                <w:b/>
                <w:bCs/>
              </w:rPr>
            </w:pPr>
            <w:r>
              <w:rPr>
                <w:b/>
                <w:bCs/>
                <w:color w:val="000000"/>
              </w:rPr>
              <w:t>Ustanovenie je upravené</w:t>
            </w:r>
          </w:p>
        </w:tc>
      </w:tr>
      <w:tr w:rsidR="00725D29" w:rsidRPr="006278D2" w14:paraId="09457AAD" w14:textId="665A9826" w:rsidTr="00725D29">
        <w:trPr>
          <w:trHeight w:val="1590"/>
        </w:trPr>
        <w:tc>
          <w:tcPr>
            <w:tcW w:w="975" w:type="dxa"/>
            <w:hideMark/>
          </w:tcPr>
          <w:p w14:paraId="352DE29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469.</w:t>
            </w:r>
          </w:p>
        </w:tc>
        <w:tc>
          <w:tcPr>
            <w:tcW w:w="2656" w:type="dxa"/>
            <w:hideMark/>
          </w:tcPr>
          <w:p w14:paraId="3C5A4C8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F371EE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0A861E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112. V ďalšom štádiu legislatívneho procesu žiadame vypustiť z tabuľky zhody preukazovanie transpozície čl. 17 smernice (EÚ) 2023/1791, nakoľko tento bude s účinnosťou od 5. augusta 2026 vypustený.</w:t>
            </w:r>
          </w:p>
        </w:tc>
        <w:tc>
          <w:tcPr>
            <w:tcW w:w="2264" w:type="dxa"/>
            <w:vAlign w:val="center"/>
            <w:hideMark/>
          </w:tcPr>
          <w:p w14:paraId="46C17FF6" w14:textId="25BF51E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856E96C" w14:textId="411F609F"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7C245A9A" w14:textId="5F2A3EDB" w:rsidTr="00725D29">
        <w:trPr>
          <w:trHeight w:val="1590"/>
        </w:trPr>
        <w:tc>
          <w:tcPr>
            <w:tcW w:w="975" w:type="dxa"/>
            <w:hideMark/>
          </w:tcPr>
          <w:p w14:paraId="497FF94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470.</w:t>
            </w:r>
          </w:p>
        </w:tc>
        <w:tc>
          <w:tcPr>
            <w:tcW w:w="2656" w:type="dxa"/>
            <w:hideMark/>
          </w:tcPr>
          <w:p w14:paraId="4D8B7FC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BB28ED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C1FF21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113. Pri preukazovaní transpozície čl. 18 ods. 1 tretej vety smernice (EÚ) 2023/1791 žiadame uviesť doplňujúce vysvetlenia k transpozícii v ôsmom stĺpci tabuľky zhody.</w:t>
            </w:r>
          </w:p>
        </w:tc>
        <w:tc>
          <w:tcPr>
            <w:tcW w:w="2264" w:type="dxa"/>
            <w:vAlign w:val="center"/>
            <w:hideMark/>
          </w:tcPr>
          <w:p w14:paraId="4096C6DA" w14:textId="52BB94B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3576E03" w14:textId="69B99CCE"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396593B1" w14:textId="13FF0B30" w:rsidTr="00725D29">
        <w:trPr>
          <w:trHeight w:val="1590"/>
        </w:trPr>
        <w:tc>
          <w:tcPr>
            <w:tcW w:w="975" w:type="dxa"/>
            <w:hideMark/>
          </w:tcPr>
          <w:p w14:paraId="19B4CD5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471.</w:t>
            </w:r>
          </w:p>
        </w:tc>
        <w:tc>
          <w:tcPr>
            <w:tcW w:w="2656" w:type="dxa"/>
            <w:hideMark/>
          </w:tcPr>
          <w:p w14:paraId="4836652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9D2C41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5B947B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114. Žiadame preukázať transpozíciu čl. 18 ods. 2 druhej vety písm. b) smernice (EÚ) 2023/1791 do vnútroštátneho právneho poriadku. Uvádzané transpozičné opatrenia sú nedostatočné.</w:t>
            </w:r>
          </w:p>
        </w:tc>
        <w:tc>
          <w:tcPr>
            <w:tcW w:w="2264" w:type="dxa"/>
            <w:vAlign w:val="center"/>
            <w:hideMark/>
          </w:tcPr>
          <w:p w14:paraId="40007159" w14:textId="6787CF3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C093C92" w14:textId="37435B5E"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7705AF05" w14:textId="18A7EAEA" w:rsidTr="00725D29">
        <w:trPr>
          <w:trHeight w:val="1590"/>
        </w:trPr>
        <w:tc>
          <w:tcPr>
            <w:tcW w:w="975" w:type="dxa"/>
            <w:hideMark/>
          </w:tcPr>
          <w:p w14:paraId="08DFC17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472.</w:t>
            </w:r>
          </w:p>
        </w:tc>
        <w:tc>
          <w:tcPr>
            <w:tcW w:w="2656" w:type="dxa"/>
            <w:hideMark/>
          </w:tcPr>
          <w:p w14:paraId="0B0D0B9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E820C7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E246FE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115. Pri preukazovaní transpozície čl. 18 ods. 2 prvej vety písm. d) smernice (EÚ) 2023/1791 žiadame uvádzať ako relevantné transpozičné opatrenia aj ustanovenia zákona č. 69/2018 Z. z. a zákona č. 18/2018 Z. z..</w:t>
            </w:r>
          </w:p>
        </w:tc>
        <w:tc>
          <w:tcPr>
            <w:tcW w:w="2264" w:type="dxa"/>
            <w:vAlign w:val="center"/>
            <w:hideMark/>
          </w:tcPr>
          <w:p w14:paraId="46E56F0B" w14:textId="7495B7F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AE1E471" w14:textId="6FC0AB76" w:rsidR="00725D29" w:rsidRPr="00BC49FC" w:rsidRDefault="00725D29" w:rsidP="00725D29">
            <w:pPr>
              <w:rPr>
                <w:rFonts w:ascii="Times New Roman" w:hAnsi="Times New Roman" w:cs="Times New Roman"/>
                <w:b/>
                <w:bCs/>
              </w:rPr>
            </w:pPr>
            <w:r>
              <w:rPr>
                <w:b/>
                <w:bCs/>
                <w:color w:val="000000"/>
              </w:rPr>
              <w:t>Ustanovenie článku predstavuje dobrovoľnú transpozíciu a nebolo zohľadnené do vnútroštátneho poriadku.</w:t>
            </w:r>
          </w:p>
        </w:tc>
      </w:tr>
      <w:tr w:rsidR="00725D29" w:rsidRPr="006278D2" w14:paraId="071CE291" w14:textId="149DC62A" w:rsidTr="00725D29">
        <w:trPr>
          <w:trHeight w:val="1590"/>
        </w:trPr>
        <w:tc>
          <w:tcPr>
            <w:tcW w:w="975" w:type="dxa"/>
            <w:hideMark/>
          </w:tcPr>
          <w:p w14:paraId="3018494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423.</w:t>
            </w:r>
          </w:p>
        </w:tc>
        <w:tc>
          <w:tcPr>
            <w:tcW w:w="2656" w:type="dxa"/>
            <w:hideMark/>
          </w:tcPr>
          <w:p w14:paraId="2EC0096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83486E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227723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116. Žiadame vyplniť zhodu transpozície pri preukazovaní transpozície čl. 18 ods. 2 druhej a tretej vety smernice (EÚ) 2023/1791 v predloženej tabuľke zhody.</w:t>
            </w:r>
          </w:p>
        </w:tc>
        <w:tc>
          <w:tcPr>
            <w:tcW w:w="2264" w:type="dxa"/>
            <w:vAlign w:val="center"/>
            <w:hideMark/>
          </w:tcPr>
          <w:p w14:paraId="2E560B04" w14:textId="11E89A9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5F15A2B" w14:textId="42CE233F"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95B6536" w14:textId="6B21B0C8" w:rsidTr="00725D29">
        <w:trPr>
          <w:trHeight w:val="1590"/>
        </w:trPr>
        <w:tc>
          <w:tcPr>
            <w:tcW w:w="975" w:type="dxa"/>
            <w:hideMark/>
          </w:tcPr>
          <w:p w14:paraId="7A2C77F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474.</w:t>
            </w:r>
          </w:p>
        </w:tc>
        <w:tc>
          <w:tcPr>
            <w:tcW w:w="2656" w:type="dxa"/>
            <w:hideMark/>
          </w:tcPr>
          <w:p w14:paraId="17032DC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FFFE64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731704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117. V ďalšom štádiu legislatívneho procesu žiadame vypustiť z tabuľky zhody preukazovanie transpozície čl. 19 smernice (EÚ) 2023/1791, nakoľko tento bude s účinnosťou od 5. augusta 2026 vypustený.</w:t>
            </w:r>
          </w:p>
        </w:tc>
        <w:tc>
          <w:tcPr>
            <w:tcW w:w="2264" w:type="dxa"/>
            <w:vAlign w:val="center"/>
            <w:hideMark/>
          </w:tcPr>
          <w:p w14:paraId="4EAE43C4" w14:textId="7F1C8EB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E6A9178" w14:textId="35DBD149" w:rsidR="00725D29" w:rsidRPr="00BC49FC" w:rsidRDefault="00725D29" w:rsidP="00725D29">
            <w:pPr>
              <w:rPr>
                <w:rFonts w:ascii="Times New Roman" w:hAnsi="Times New Roman" w:cs="Times New Roman"/>
                <w:b/>
                <w:bCs/>
              </w:rPr>
            </w:pPr>
            <w:r>
              <w:rPr>
                <w:b/>
                <w:bCs/>
                <w:color w:val="000000"/>
              </w:rPr>
              <w:t>Ustanovenie článku predstavuje dobrovoľnú transpozíciu a nebolo zohľadnené do vnútroštátneho poriadku.</w:t>
            </w:r>
          </w:p>
        </w:tc>
      </w:tr>
      <w:tr w:rsidR="00725D29" w:rsidRPr="006278D2" w14:paraId="2050B181" w14:textId="13B8939B" w:rsidTr="00725D29">
        <w:trPr>
          <w:trHeight w:val="1590"/>
        </w:trPr>
        <w:tc>
          <w:tcPr>
            <w:tcW w:w="975" w:type="dxa"/>
            <w:hideMark/>
          </w:tcPr>
          <w:p w14:paraId="3246A06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475.</w:t>
            </w:r>
          </w:p>
        </w:tc>
        <w:tc>
          <w:tcPr>
            <w:tcW w:w="2656" w:type="dxa"/>
            <w:hideMark/>
          </w:tcPr>
          <w:p w14:paraId="5A8597A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21850B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9DC5A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118. Pri preukazovaní  transpozície čl. 20 ods. 2 smernice (EÚ) 2023/1791 žiadame doplniť stĺpce 4 a 5 o informáciu, akým právnym predpisom sa transpozícia zabezpečuje.</w:t>
            </w:r>
          </w:p>
        </w:tc>
        <w:tc>
          <w:tcPr>
            <w:tcW w:w="2264" w:type="dxa"/>
            <w:vAlign w:val="center"/>
            <w:hideMark/>
          </w:tcPr>
          <w:p w14:paraId="65854C41" w14:textId="7B2C46C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5CB38D9" w14:textId="6DA8463D"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FB781B2" w14:textId="01FC4239" w:rsidTr="00725D29">
        <w:trPr>
          <w:trHeight w:val="1590"/>
        </w:trPr>
        <w:tc>
          <w:tcPr>
            <w:tcW w:w="975" w:type="dxa"/>
            <w:hideMark/>
          </w:tcPr>
          <w:p w14:paraId="52B65F1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476.</w:t>
            </w:r>
          </w:p>
        </w:tc>
        <w:tc>
          <w:tcPr>
            <w:tcW w:w="2656" w:type="dxa"/>
            <w:hideMark/>
          </w:tcPr>
          <w:p w14:paraId="396A6B7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2A98EF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DDE98A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119. Pri preukazovaní  transpozície čl. 20 ods. 3 smernice (EÚ) 2023/1791 žiadame uviesť v siedmom stĺpci tabuľky zhody označenie písmenami „n.a.“.</w:t>
            </w:r>
          </w:p>
        </w:tc>
        <w:tc>
          <w:tcPr>
            <w:tcW w:w="2264" w:type="dxa"/>
            <w:vAlign w:val="center"/>
            <w:hideMark/>
          </w:tcPr>
          <w:p w14:paraId="5F9359B1" w14:textId="47486E3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2E4D476" w14:textId="739C12D5"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5EA4790" w14:textId="31A43BDC" w:rsidTr="00725D29">
        <w:trPr>
          <w:trHeight w:val="1590"/>
        </w:trPr>
        <w:tc>
          <w:tcPr>
            <w:tcW w:w="975" w:type="dxa"/>
            <w:hideMark/>
          </w:tcPr>
          <w:p w14:paraId="0DF7407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477.</w:t>
            </w:r>
          </w:p>
        </w:tc>
        <w:tc>
          <w:tcPr>
            <w:tcW w:w="2656" w:type="dxa"/>
            <w:hideMark/>
          </w:tcPr>
          <w:p w14:paraId="616FDA0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B0D555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98F563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120. Pri preukazovaní  transpozície čl. 21 ods. 1 a 2 smernice (EÚ) 2023/1791 žiadame doplniť stĺpce 4 a 5 o informáciu, akým právnym predpisom sa transpozícia zabezpečuje.</w:t>
            </w:r>
          </w:p>
        </w:tc>
        <w:tc>
          <w:tcPr>
            <w:tcW w:w="2264" w:type="dxa"/>
            <w:vAlign w:val="center"/>
            <w:hideMark/>
          </w:tcPr>
          <w:p w14:paraId="3AEBB953" w14:textId="12F3DDD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0317F38" w14:textId="60B64798"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78ECCAF" w14:textId="60F81413" w:rsidTr="00725D29">
        <w:trPr>
          <w:trHeight w:val="1590"/>
        </w:trPr>
        <w:tc>
          <w:tcPr>
            <w:tcW w:w="975" w:type="dxa"/>
            <w:hideMark/>
          </w:tcPr>
          <w:p w14:paraId="07C805F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478.</w:t>
            </w:r>
          </w:p>
        </w:tc>
        <w:tc>
          <w:tcPr>
            <w:tcW w:w="2656" w:type="dxa"/>
            <w:hideMark/>
          </w:tcPr>
          <w:p w14:paraId="1F9A258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79F115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C69E00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121. Žiadame preukázať transpozíciu čl. 21 ods. 2 šiestej vety smernice (EÚ) 2023/1791 do vnútroštátneho právneho poriadku. Uvádzané transpozičné opatrenia sú nedostatočné.</w:t>
            </w:r>
          </w:p>
        </w:tc>
        <w:tc>
          <w:tcPr>
            <w:tcW w:w="2264" w:type="dxa"/>
            <w:vAlign w:val="center"/>
            <w:hideMark/>
          </w:tcPr>
          <w:p w14:paraId="74C480D3" w14:textId="3CAE5EC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18F0A67" w14:textId="4087D667"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38DA916" w14:textId="14583955" w:rsidTr="00725D29">
        <w:trPr>
          <w:trHeight w:val="1590"/>
        </w:trPr>
        <w:tc>
          <w:tcPr>
            <w:tcW w:w="975" w:type="dxa"/>
            <w:hideMark/>
          </w:tcPr>
          <w:p w14:paraId="1C4F49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479.</w:t>
            </w:r>
          </w:p>
        </w:tc>
        <w:tc>
          <w:tcPr>
            <w:tcW w:w="2656" w:type="dxa"/>
            <w:hideMark/>
          </w:tcPr>
          <w:p w14:paraId="28C03A4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189912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592AF0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122. Pri preukazovaní transpozície čl. 21 ods. 3 tretej vety smernice (EÚ) 2023/1791 žiadame uvádzať ako relevantné transpozičné opatrenie aj ustanovenie § 19 ods. 3 písm. d) a f) zákona č. 657/2004 Z. z.</w:t>
            </w:r>
          </w:p>
        </w:tc>
        <w:tc>
          <w:tcPr>
            <w:tcW w:w="2264" w:type="dxa"/>
            <w:vAlign w:val="center"/>
            <w:hideMark/>
          </w:tcPr>
          <w:p w14:paraId="2751975B" w14:textId="41A5058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028428C" w14:textId="5A66A619"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7D075BB" w14:textId="21AE61E7" w:rsidTr="00725D29">
        <w:trPr>
          <w:trHeight w:val="1590"/>
        </w:trPr>
        <w:tc>
          <w:tcPr>
            <w:tcW w:w="975" w:type="dxa"/>
            <w:hideMark/>
          </w:tcPr>
          <w:p w14:paraId="0C9C7BA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480.</w:t>
            </w:r>
          </w:p>
        </w:tc>
        <w:tc>
          <w:tcPr>
            <w:tcW w:w="2656" w:type="dxa"/>
            <w:hideMark/>
          </w:tcPr>
          <w:p w14:paraId="6A3F67B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D79BE7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28D2B9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123. Pri preukazovaní  transpozície všetkých súčastí čl. 21 ods. 6 až 9 smernice (EÚ) 2023/1791 žiadame doplniť stĺpce 4 a 5 o informáciu, akým právnym predpisom sa transpozícia zabezpečuje.</w:t>
            </w:r>
          </w:p>
        </w:tc>
        <w:tc>
          <w:tcPr>
            <w:tcW w:w="2264" w:type="dxa"/>
            <w:vAlign w:val="center"/>
            <w:hideMark/>
          </w:tcPr>
          <w:p w14:paraId="5CCEB89E" w14:textId="088288A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18D610A" w14:textId="0BB3F0F1"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7B5216D" w14:textId="5D2A4243" w:rsidTr="00725D29">
        <w:trPr>
          <w:trHeight w:val="1590"/>
        </w:trPr>
        <w:tc>
          <w:tcPr>
            <w:tcW w:w="975" w:type="dxa"/>
            <w:hideMark/>
          </w:tcPr>
          <w:p w14:paraId="03414A2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481.</w:t>
            </w:r>
          </w:p>
        </w:tc>
        <w:tc>
          <w:tcPr>
            <w:tcW w:w="2656" w:type="dxa"/>
            <w:hideMark/>
          </w:tcPr>
          <w:p w14:paraId="7AC6502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4FE078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072C77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124. Žiadame preukázať transpozíciu čl. 21 ods. 6 prvej vety smernice (EÚ) 2023/1791 do vnútroštátneho právneho poriadku. Uvádzané transpozičné opatrenia sú nedostatočné.</w:t>
            </w:r>
          </w:p>
        </w:tc>
        <w:tc>
          <w:tcPr>
            <w:tcW w:w="2264" w:type="dxa"/>
            <w:vAlign w:val="center"/>
            <w:hideMark/>
          </w:tcPr>
          <w:p w14:paraId="0E5BE845" w14:textId="544FAF5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6EA5B15" w14:textId="41178B64"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4DBF4ACB" w14:textId="44F8514E" w:rsidTr="00725D29">
        <w:trPr>
          <w:trHeight w:val="1590"/>
        </w:trPr>
        <w:tc>
          <w:tcPr>
            <w:tcW w:w="975" w:type="dxa"/>
            <w:hideMark/>
          </w:tcPr>
          <w:p w14:paraId="1AD0228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482.</w:t>
            </w:r>
          </w:p>
        </w:tc>
        <w:tc>
          <w:tcPr>
            <w:tcW w:w="2656" w:type="dxa"/>
            <w:hideMark/>
          </w:tcPr>
          <w:p w14:paraId="3DCA27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F57873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BEC3F0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125. Žiadame preukázať transpozíciu čl. 21 ods. 6 druhej vety smernice (EÚ) 2023/1791 do vnútroštátneho právneho poriadku. Uvádzané transpozičné opatrenia sú nedostatočné.</w:t>
            </w:r>
          </w:p>
        </w:tc>
        <w:tc>
          <w:tcPr>
            <w:tcW w:w="2264" w:type="dxa"/>
            <w:vAlign w:val="center"/>
            <w:hideMark/>
          </w:tcPr>
          <w:p w14:paraId="213A996E" w14:textId="492317E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01CD90A" w14:textId="603E90E7"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C9BA957" w14:textId="73F8516E" w:rsidTr="00725D29">
        <w:trPr>
          <w:trHeight w:val="1590"/>
        </w:trPr>
        <w:tc>
          <w:tcPr>
            <w:tcW w:w="975" w:type="dxa"/>
            <w:hideMark/>
          </w:tcPr>
          <w:p w14:paraId="3EA538B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483.</w:t>
            </w:r>
          </w:p>
        </w:tc>
        <w:tc>
          <w:tcPr>
            <w:tcW w:w="2656" w:type="dxa"/>
            <w:hideMark/>
          </w:tcPr>
          <w:p w14:paraId="637EB98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FA1189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239EFF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126. Žiadame preukázať transpozíciu čl. 21 ods. 6 tretej vety smernice (EÚ) 2023/1791 do vnútroštátneho právneho poriadku. Uvádzané transpozičné opatrenia sú nedostatočné.</w:t>
            </w:r>
          </w:p>
        </w:tc>
        <w:tc>
          <w:tcPr>
            <w:tcW w:w="2264" w:type="dxa"/>
            <w:vAlign w:val="center"/>
            <w:hideMark/>
          </w:tcPr>
          <w:p w14:paraId="73B7A1A8" w14:textId="3D3878D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6C19C72" w14:textId="68C7478D"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309FF648" w14:textId="65B830EC" w:rsidTr="00725D29">
        <w:trPr>
          <w:trHeight w:val="1590"/>
        </w:trPr>
        <w:tc>
          <w:tcPr>
            <w:tcW w:w="975" w:type="dxa"/>
            <w:hideMark/>
          </w:tcPr>
          <w:p w14:paraId="6ABC45F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484.</w:t>
            </w:r>
          </w:p>
        </w:tc>
        <w:tc>
          <w:tcPr>
            <w:tcW w:w="2656" w:type="dxa"/>
            <w:hideMark/>
          </w:tcPr>
          <w:p w14:paraId="53D5335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51FF1F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5935F2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127. Žiadame preukázať transpozíciu čl. 21 ods. 6 štvrtej vety smernice (EÚ) 2023/1791 do vnútroštátneho právneho poriadku. Uvádzané transpozičné opatrenia sú nedostatočné.</w:t>
            </w:r>
          </w:p>
        </w:tc>
        <w:tc>
          <w:tcPr>
            <w:tcW w:w="2264" w:type="dxa"/>
            <w:vAlign w:val="center"/>
            <w:hideMark/>
          </w:tcPr>
          <w:p w14:paraId="21B58E98" w14:textId="5EFE204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D2C1EA1" w14:textId="345A2206"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34386AEB" w14:textId="71734201" w:rsidTr="00725D29">
        <w:trPr>
          <w:trHeight w:val="1590"/>
        </w:trPr>
        <w:tc>
          <w:tcPr>
            <w:tcW w:w="975" w:type="dxa"/>
            <w:hideMark/>
          </w:tcPr>
          <w:p w14:paraId="03B8024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485.</w:t>
            </w:r>
          </w:p>
        </w:tc>
        <w:tc>
          <w:tcPr>
            <w:tcW w:w="2656" w:type="dxa"/>
            <w:hideMark/>
          </w:tcPr>
          <w:p w14:paraId="453CE4C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C2208A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0B2BE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128. Žiadame preukázať transpozíciu čl. 21 ods. 7 prvej vety smernice (EÚ) 2023/1791 do vnútroštátneho právneho poriadku. Uvádzané transpozičné opatrenia sú nedostatočné.</w:t>
            </w:r>
          </w:p>
        </w:tc>
        <w:tc>
          <w:tcPr>
            <w:tcW w:w="2264" w:type="dxa"/>
            <w:vAlign w:val="center"/>
            <w:hideMark/>
          </w:tcPr>
          <w:p w14:paraId="743EE65B" w14:textId="7D31861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C181DB5" w14:textId="1AE26D42"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6272F8C" w14:textId="564CE508" w:rsidTr="00725D29">
        <w:trPr>
          <w:trHeight w:val="1590"/>
        </w:trPr>
        <w:tc>
          <w:tcPr>
            <w:tcW w:w="975" w:type="dxa"/>
            <w:hideMark/>
          </w:tcPr>
          <w:p w14:paraId="736A7BC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486.</w:t>
            </w:r>
          </w:p>
        </w:tc>
        <w:tc>
          <w:tcPr>
            <w:tcW w:w="2656" w:type="dxa"/>
            <w:hideMark/>
          </w:tcPr>
          <w:p w14:paraId="571A98C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263889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F7B1C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129. Žiadame preukázať transpozíciu čl. 21 ods. 7 druhej vety smernice (EÚ) 2023/1791 do vnútroštátneho právneho poriadku. Uvádzané transpozičné opatrenia sú nedostatočné.</w:t>
            </w:r>
          </w:p>
        </w:tc>
        <w:tc>
          <w:tcPr>
            <w:tcW w:w="2264" w:type="dxa"/>
            <w:vAlign w:val="center"/>
            <w:hideMark/>
          </w:tcPr>
          <w:p w14:paraId="20F04F2E" w14:textId="69957A6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E1A687C" w14:textId="14ACCE7F"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C385FEE" w14:textId="361CB6E5" w:rsidTr="00725D29">
        <w:trPr>
          <w:trHeight w:val="1590"/>
        </w:trPr>
        <w:tc>
          <w:tcPr>
            <w:tcW w:w="975" w:type="dxa"/>
            <w:hideMark/>
          </w:tcPr>
          <w:p w14:paraId="7857C0C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487.</w:t>
            </w:r>
          </w:p>
        </w:tc>
        <w:tc>
          <w:tcPr>
            <w:tcW w:w="2656" w:type="dxa"/>
            <w:hideMark/>
          </w:tcPr>
          <w:p w14:paraId="598CB2D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5B4F23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9BDE0B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130. Žiadame preukázať transpozíciu čl. 21 ods. 9 smernice (EÚ) 2023/1791 do vnútroštátneho právneho poriadku. Uvádzané transpozičné opatrenia sú nedostatočné.</w:t>
            </w:r>
          </w:p>
        </w:tc>
        <w:tc>
          <w:tcPr>
            <w:tcW w:w="2264" w:type="dxa"/>
            <w:vAlign w:val="center"/>
            <w:hideMark/>
          </w:tcPr>
          <w:p w14:paraId="54634637" w14:textId="2D7042D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F89957A" w14:textId="174AA021"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CA12823" w14:textId="5AADAC82" w:rsidTr="00725D29">
        <w:trPr>
          <w:trHeight w:val="1590"/>
        </w:trPr>
        <w:tc>
          <w:tcPr>
            <w:tcW w:w="975" w:type="dxa"/>
            <w:hideMark/>
          </w:tcPr>
          <w:p w14:paraId="79C51BFA" w14:textId="36D2BD7F" w:rsidR="00725D29" w:rsidRPr="00BC49FC" w:rsidRDefault="00725D29" w:rsidP="00725D29">
            <w:pPr>
              <w:rPr>
                <w:rFonts w:ascii="Times New Roman" w:hAnsi="Times New Roman" w:cs="Times New Roman"/>
                <w:b/>
                <w:bCs/>
              </w:rPr>
            </w:pPr>
          </w:p>
        </w:tc>
        <w:tc>
          <w:tcPr>
            <w:tcW w:w="2656" w:type="dxa"/>
            <w:hideMark/>
          </w:tcPr>
          <w:p w14:paraId="19CF42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F484B4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37DBFC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131. Žiadame preukázať transpozíciu čl. 22 ods. 2 tretej vety písm. a) smernice (EÚ) 2023/1791 do vnútroštátneho právneho poriadku. Uvádzané transpozičné opatrenia sú nedostatočné.</w:t>
            </w:r>
          </w:p>
        </w:tc>
        <w:tc>
          <w:tcPr>
            <w:tcW w:w="2264" w:type="dxa"/>
            <w:vAlign w:val="center"/>
            <w:hideMark/>
          </w:tcPr>
          <w:p w14:paraId="1A344530" w14:textId="5443CF4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24F05DF" w14:textId="31C66E98"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7AD60F86" w14:textId="3652DFCB" w:rsidTr="00725D29">
        <w:trPr>
          <w:trHeight w:val="1590"/>
        </w:trPr>
        <w:tc>
          <w:tcPr>
            <w:tcW w:w="975" w:type="dxa"/>
            <w:hideMark/>
          </w:tcPr>
          <w:p w14:paraId="1D8D7E5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489.</w:t>
            </w:r>
          </w:p>
        </w:tc>
        <w:tc>
          <w:tcPr>
            <w:tcW w:w="2656" w:type="dxa"/>
            <w:hideMark/>
          </w:tcPr>
          <w:p w14:paraId="5833945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DCF6A5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92F21B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132. Žiadame preukázať transpozíciu čl. 22 ods. 2 tretej vety písm. b) smernice (EÚ) 2023/1791 do vnútroštátneho právneho poriadku. Uvádzané transpozičné opatrenia sú nedostatočné.</w:t>
            </w:r>
          </w:p>
        </w:tc>
        <w:tc>
          <w:tcPr>
            <w:tcW w:w="2264" w:type="dxa"/>
            <w:vAlign w:val="center"/>
            <w:hideMark/>
          </w:tcPr>
          <w:p w14:paraId="102D0D00" w14:textId="65CF38C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B587039" w14:textId="1D1B3306"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D65291D" w14:textId="58CD9B4D" w:rsidTr="00725D29">
        <w:trPr>
          <w:trHeight w:val="1590"/>
        </w:trPr>
        <w:tc>
          <w:tcPr>
            <w:tcW w:w="975" w:type="dxa"/>
            <w:hideMark/>
          </w:tcPr>
          <w:p w14:paraId="011E793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490.</w:t>
            </w:r>
          </w:p>
        </w:tc>
        <w:tc>
          <w:tcPr>
            <w:tcW w:w="2656" w:type="dxa"/>
            <w:hideMark/>
          </w:tcPr>
          <w:p w14:paraId="091C543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ED6E4A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50D80A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133. Žiadame preukázať transpozíciu čl. 22 ods. 2 tretej vety písm. c) smernice (EÚ) 2023/1791 do vnútroštátneho právneho poriadku. Uvádzané transpozičné opatrenia sú nedostatočné.</w:t>
            </w:r>
          </w:p>
        </w:tc>
        <w:tc>
          <w:tcPr>
            <w:tcW w:w="2264" w:type="dxa"/>
            <w:vAlign w:val="center"/>
            <w:hideMark/>
          </w:tcPr>
          <w:p w14:paraId="620DD43B" w14:textId="736C350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793D528" w14:textId="3DAB003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62B7EC1" w14:textId="1584D13E" w:rsidTr="00725D29">
        <w:trPr>
          <w:trHeight w:val="1590"/>
        </w:trPr>
        <w:tc>
          <w:tcPr>
            <w:tcW w:w="975" w:type="dxa"/>
            <w:hideMark/>
          </w:tcPr>
          <w:p w14:paraId="7CE6FF3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491.</w:t>
            </w:r>
          </w:p>
        </w:tc>
        <w:tc>
          <w:tcPr>
            <w:tcW w:w="2656" w:type="dxa"/>
            <w:hideMark/>
          </w:tcPr>
          <w:p w14:paraId="44DAF93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F96967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F16CF2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134. Žiadame preukázať transpozíciu čl. 22 ods. 2 tretej vety písm. d) smernice (EÚ) 2023/1791 do vnútroštátneho právneho poriadku. Uvádzané transpozičné opatrenia sú nedostatočné.</w:t>
            </w:r>
          </w:p>
        </w:tc>
        <w:tc>
          <w:tcPr>
            <w:tcW w:w="2264" w:type="dxa"/>
            <w:vAlign w:val="center"/>
            <w:hideMark/>
          </w:tcPr>
          <w:p w14:paraId="59171F41" w14:textId="6CF9224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716F114" w14:textId="6CF40BC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6AE389A" w14:textId="09717A54" w:rsidTr="00725D29">
        <w:trPr>
          <w:trHeight w:val="1590"/>
        </w:trPr>
        <w:tc>
          <w:tcPr>
            <w:tcW w:w="975" w:type="dxa"/>
            <w:hideMark/>
          </w:tcPr>
          <w:p w14:paraId="7DAAA0E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492.</w:t>
            </w:r>
          </w:p>
        </w:tc>
        <w:tc>
          <w:tcPr>
            <w:tcW w:w="2656" w:type="dxa"/>
            <w:hideMark/>
          </w:tcPr>
          <w:p w14:paraId="15ECBD2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62244C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BB599E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135. Žiadame preukázať transpozíciu čl. 22 ods. 2 tretej vety písm. e) smernice (EÚ) 2023/1791 do vnútroštátneho právneho poriadku. Uvádzané transpozičné opatrenia sú nedostatočné.</w:t>
            </w:r>
          </w:p>
        </w:tc>
        <w:tc>
          <w:tcPr>
            <w:tcW w:w="2264" w:type="dxa"/>
            <w:vAlign w:val="center"/>
            <w:hideMark/>
          </w:tcPr>
          <w:p w14:paraId="60DE0650" w14:textId="5652F81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0A50B45" w14:textId="70F1055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622CE43" w14:textId="6C297C8E" w:rsidTr="00725D29">
        <w:trPr>
          <w:trHeight w:val="1590"/>
        </w:trPr>
        <w:tc>
          <w:tcPr>
            <w:tcW w:w="975" w:type="dxa"/>
            <w:hideMark/>
          </w:tcPr>
          <w:p w14:paraId="34BE19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493.</w:t>
            </w:r>
          </w:p>
        </w:tc>
        <w:tc>
          <w:tcPr>
            <w:tcW w:w="2656" w:type="dxa"/>
            <w:hideMark/>
          </w:tcPr>
          <w:p w14:paraId="7BF66D5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7CDC2A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BB159E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136. Žiadame preukázať transpozíciu čl. 22 ods. 2 tretej vety písm. f) smernice (EÚ) 2023/1791 do vnútroštátneho právneho poriadku. Uvádzané transpozičné opatrenia sú nedostatočné.</w:t>
            </w:r>
          </w:p>
        </w:tc>
        <w:tc>
          <w:tcPr>
            <w:tcW w:w="2264" w:type="dxa"/>
            <w:vAlign w:val="center"/>
            <w:hideMark/>
          </w:tcPr>
          <w:p w14:paraId="0DD2FFF0" w14:textId="52BB928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2B147F7" w14:textId="27EDAB1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9C35402" w14:textId="7096B6FD" w:rsidTr="00725D29">
        <w:trPr>
          <w:trHeight w:val="1590"/>
        </w:trPr>
        <w:tc>
          <w:tcPr>
            <w:tcW w:w="975" w:type="dxa"/>
            <w:hideMark/>
          </w:tcPr>
          <w:p w14:paraId="504F99C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494.</w:t>
            </w:r>
          </w:p>
        </w:tc>
        <w:tc>
          <w:tcPr>
            <w:tcW w:w="2656" w:type="dxa"/>
            <w:hideMark/>
          </w:tcPr>
          <w:p w14:paraId="18CC804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861003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C5276E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137. Žiadame preukázať transpozíciu čl. 22 ods. 2 tretej vety písm. g) smernice (EÚ) 2023/1791 do vnútroštátneho právneho poriadku. Uvádzané transpozičné opatrenia sú nedostatočné.</w:t>
            </w:r>
          </w:p>
        </w:tc>
        <w:tc>
          <w:tcPr>
            <w:tcW w:w="2264" w:type="dxa"/>
            <w:vAlign w:val="center"/>
            <w:hideMark/>
          </w:tcPr>
          <w:p w14:paraId="42A860D9" w14:textId="56CB20D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0983202" w14:textId="5053A8DD"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B239AC4" w14:textId="3E306CAB" w:rsidTr="00725D29">
        <w:trPr>
          <w:trHeight w:val="1590"/>
        </w:trPr>
        <w:tc>
          <w:tcPr>
            <w:tcW w:w="975" w:type="dxa"/>
            <w:hideMark/>
          </w:tcPr>
          <w:p w14:paraId="557AD66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495.</w:t>
            </w:r>
          </w:p>
        </w:tc>
        <w:tc>
          <w:tcPr>
            <w:tcW w:w="2656" w:type="dxa"/>
            <w:hideMark/>
          </w:tcPr>
          <w:p w14:paraId="647FE2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9287FC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1BA1F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138. Žiadame preukázať transpozíciu čl. 22 ods. 2 tretej vety písm. h) smernice (EÚ) 2023/1791 do vnútroštátneho právneho poriadku. Uvádzané transpozičné opatrenia sú nedostatočné.</w:t>
            </w:r>
          </w:p>
        </w:tc>
        <w:tc>
          <w:tcPr>
            <w:tcW w:w="2264" w:type="dxa"/>
            <w:vAlign w:val="center"/>
            <w:hideMark/>
          </w:tcPr>
          <w:p w14:paraId="1C460CF1" w14:textId="7D2E5C0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66B3D83" w14:textId="56CCC07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5B4795A" w14:textId="6312BC97" w:rsidTr="00725D29">
        <w:trPr>
          <w:trHeight w:val="1590"/>
        </w:trPr>
        <w:tc>
          <w:tcPr>
            <w:tcW w:w="975" w:type="dxa"/>
            <w:hideMark/>
          </w:tcPr>
          <w:p w14:paraId="3FF5125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496.</w:t>
            </w:r>
          </w:p>
        </w:tc>
        <w:tc>
          <w:tcPr>
            <w:tcW w:w="2656" w:type="dxa"/>
            <w:hideMark/>
          </w:tcPr>
          <w:p w14:paraId="37CC815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B8AF79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D4947E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139. Žiadame preukázať transpozíciu čl. 22 ods. 2 tretej vety písm. i) smernice (EÚ) 2023/1791 do vnútroštátneho právneho poriadku. Uvádzané transpozičné opatrenia sú nedostatočné.</w:t>
            </w:r>
          </w:p>
        </w:tc>
        <w:tc>
          <w:tcPr>
            <w:tcW w:w="2264" w:type="dxa"/>
            <w:vAlign w:val="center"/>
            <w:hideMark/>
          </w:tcPr>
          <w:p w14:paraId="5F583FE8" w14:textId="32C6713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798A310" w14:textId="61EEA835"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30FC355" w14:textId="0BC6BC95" w:rsidTr="00725D29">
        <w:trPr>
          <w:trHeight w:val="1590"/>
        </w:trPr>
        <w:tc>
          <w:tcPr>
            <w:tcW w:w="975" w:type="dxa"/>
            <w:hideMark/>
          </w:tcPr>
          <w:p w14:paraId="47A031A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497.</w:t>
            </w:r>
          </w:p>
        </w:tc>
        <w:tc>
          <w:tcPr>
            <w:tcW w:w="2656" w:type="dxa"/>
            <w:hideMark/>
          </w:tcPr>
          <w:p w14:paraId="679EE50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5C64C2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364A75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140. Žiadame preukázať transpozíciu čl. 22 ods. 2 tretej vety písm. j) smernice (EÚ) 2023/1791 do vnútroštátneho právneho poriadku. Uvádzané transpozičné opatrenia sú nedostatočné.</w:t>
            </w:r>
          </w:p>
        </w:tc>
        <w:tc>
          <w:tcPr>
            <w:tcW w:w="2264" w:type="dxa"/>
            <w:vAlign w:val="center"/>
            <w:hideMark/>
          </w:tcPr>
          <w:p w14:paraId="3773DA3E" w14:textId="794384B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288541D" w14:textId="672E8F77"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57FE1E3" w14:textId="74F58EC9" w:rsidTr="00725D29">
        <w:trPr>
          <w:trHeight w:val="1590"/>
        </w:trPr>
        <w:tc>
          <w:tcPr>
            <w:tcW w:w="975" w:type="dxa"/>
            <w:hideMark/>
          </w:tcPr>
          <w:p w14:paraId="3EC59C2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498.</w:t>
            </w:r>
          </w:p>
        </w:tc>
        <w:tc>
          <w:tcPr>
            <w:tcW w:w="2656" w:type="dxa"/>
            <w:hideMark/>
          </w:tcPr>
          <w:p w14:paraId="3E052D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7ABDE6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780C7C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141. Žiadame preukázať transpozíciu čl. 22 ods. 3 písm. b) smernice (EÚ) 2023/1791 do vnútroštátneho právneho poriadku. Uvádzané transpozičné opatrenia sú nedostatočné.</w:t>
            </w:r>
          </w:p>
        </w:tc>
        <w:tc>
          <w:tcPr>
            <w:tcW w:w="2264" w:type="dxa"/>
            <w:vAlign w:val="center"/>
            <w:hideMark/>
          </w:tcPr>
          <w:p w14:paraId="327DD2E6" w14:textId="19026AA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01089B7" w14:textId="44F1D2F0"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39FB270" w14:textId="583FD171" w:rsidTr="00725D29">
        <w:trPr>
          <w:trHeight w:val="1590"/>
        </w:trPr>
        <w:tc>
          <w:tcPr>
            <w:tcW w:w="975" w:type="dxa"/>
            <w:hideMark/>
          </w:tcPr>
          <w:p w14:paraId="060981F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499.</w:t>
            </w:r>
          </w:p>
        </w:tc>
        <w:tc>
          <w:tcPr>
            <w:tcW w:w="2656" w:type="dxa"/>
            <w:hideMark/>
          </w:tcPr>
          <w:p w14:paraId="35CC3CB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742441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43A4F9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142. Žiadame preukázať transpozíciu čl. 22 ods. 3 písm. c) smernice (EÚ) 2023/1791 do vnútroštátneho právneho poriadku. Uvádzané transpozičné opatrenia sú nedostatočné.</w:t>
            </w:r>
          </w:p>
        </w:tc>
        <w:tc>
          <w:tcPr>
            <w:tcW w:w="2264" w:type="dxa"/>
            <w:vAlign w:val="center"/>
            <w:hideMark/>
          </w:tcPr>
          <w:p w14:paraId="0C0C20CF" w14:textId="11DC7F1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8536D94" w14:textId="7334F1B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1AAF2D3" w14:textId="75362434" w:rsidTr="00725D29">
        <w:trPr>
          <w:trHeight w:val="1590"/>
        </w:trPr>
        <w:tc>
          <w:tcPr>
            <w:tcW w:w="975" w:type="dxa"/>
            <w:hideMark/>
          </w:tcPr>
          <w:p w14:paraId="608D4D3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500.</w:t>
            </w:r>
          </w:p>
        </w:tc>
        <w:tc>
          <w:tcPr>
            <w:tcW w:w="2656" w:type="dxa"/>
            <w:hideMark/>
          </w:tcPr>
          <w:p w14:paraId="27D7878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27806E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1AD04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143. Žiadame preukázať transpozíciu čl. 22 ods. 3 písm. d) smernice (EÚ) 2023/1791 do vnútroštátneho právneho poriadku. Uvádzané transpozičné opatrenia sú nedostatočné.</w:t>
            </w:r>
          </w:p>
        </w:tc>
        <w:tc>
          <w:tcPr>
            <w:tcW w:w="2264" w:type="dxa"/>
            <w:vAlign w:val="center"/>
            <w:hideMark/>
          </w:tcPr>
          <w:p w14:paraId="0581AC3D" w14:textId="7E40E6B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AB94C24" w14:textId="12917CC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78B2228" w14:textId="4DCB55F9" w:rsidTr="00725D29">
        <w:trPr>
          <w:trHeight w:val="1590"/>
        </w:trPr>
        <w:tc>
          <w:tcPr>
            <w:tcW w:w="975" w:type="dxa"/>
            <w:hideMark/>
          </w:tcPr>
          <w:p w14:paraId="663231C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501.</w:t>
            </w:r>
          </w:p>
        </w:tc>
        <w:tc>
          <w:tcPr>
            <w:tcW w:w="2656" w:type="dxa"/>
            <w:hideMark/>
          </w:tcPr>
          <w:p w14:paraId="2EACE18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9540AE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831F44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144. Žiadame preukázať transpozíciu čl. 22 ods. 3 písm. e) smernice (EÚ) 2023/1791 do vnútroštátneho právneho poriadku. Uvádzané transpozičné opatrenia sú nedostatočné.</w:t>
            </w:r>
          </w:p>
        </w:tc>
        <w:tc>
          <w:tcPr>
            <w:tcW w:w="2264" w:type="dxa"/>
            <w:vAlign w:val="center"/>
            <w:hideMark/>
          </w:tcPr>
          <w:p w14:paraId="5F7493B7" w14:textId="568F151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653CA78" w14:textId="088EACC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793245A" w14:textId="1CD76ED5" w:rsidTr="00725D29">
        <w:trPr>
          <w:trHeight w:val="1590"/>
        </w:trPr>
        <w:tc>
          <w:tcPr>
            <w:tcW w:w="975" w:type="dxa"/>
            <w:hideMark/>
          </w:tcPr>
          <w:p w14:paraId="1FAA13B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502.</w:t>
            </w:r>
          </w:p>
        </w:tc>
        <w:tc>
          <w:tcPr>
            <w:tcW w:w="2656" w:type="dxa"/>
            <w:hideMark/>
          </w:tcPr>
          <w:p w14:paraId="5AC38D1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B080F2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F3B4C8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145. Žiadame preukázať transpozíciu čl. 22 ods. 4 prvej vety smernice (EÚ) 2023/1791 do vnútroštátneho právneho poriadku. Uvádzané transpozičné opatrenia sú nedostatočné.</w:t>
            </w:r>
          </w:p>
        </w:tc>
        <w:tc>
          <w:tcPr>
            <w:tcW w:w="2264" w:type="dxa"/>
            <w:vAlign w:val="center"/>
            <w:hideMark/>
          </w:tcPr>
          <w:p w14:paraId="40F39156" w14:textId="3551360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B1B7638" w14:textId="0A82F25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2497CEA" w14:textId="75F25B90" w:rsidTr="00725D29">
        <w:trPr>
          <w:trHeight w:val="1590"/>
        </w:trPr>
        <w:tc>
          <w:tcPr>
            <w:tcW w:w="975" w:type="dxa"/>
            <w:hideMark/>
          </w:tcPr>
          <w:p w14:paraId="72E65AA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503.</w:t>
            </w:r>
          </w:p>
        </w:tc>
        <w:tc>
          <w:tcPr>
            <w:tcW w:w="2656" w:type="dxa"/>
            <w:hideMark/>
          </w:tcPr>
          <w:p w14:paraId="0A3076D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04CA6C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7A6AD0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146. Žiadame preukázať transpozíciu čl. 22 ods. 4 druhej vety smernice (EÚ) 2023/1791 do vnútroštátneho právneho poriadku. Uvádzané transpozičné opatrenia sú nedostatočné.</w:t>
            </w:r>
          </w:p>
        </w:tc>
        <w:tc>
          <w:tcPr>
            <w:tcW w:w="2264" w:type="dxa"/>
            <w:vAlign w:val="center"/>
            <w:hideMark/>
          </w:tcPr>
          <w:p w14:paraId="7048E119" w14:textId="526A591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6F07872" w14:textId="5DD2628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DC21D5A" w14:textId="3B7E4F06" w:rsidTr="00725D29">
        <w:trPr>
          <w:trHeight w:val="1590"/>
        </w:trPr>
        <w:tc>
          <w:tcPr>
            <w:tcW w:w="975" w:type="dxa"/>
            <w:hideMark/>
          </w:tcPr>
          <w:p w14:paraId="1849EC2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504..</w:t>
            </w:r>
          </w:p>
        </w:tc>
        <w:tc>
          <w:tcPr>
            <w:tcW w:w="2656" w:type="dxa"/>
            <w:hideMark/>
          </w:tcPr>
          <w:p w14:paraId="66F4A6F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2B76BE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1B2C8D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147. Žiadame preukázať transpozíciu čl. 22 ods. 4 druhej vety písm. a) smernice (EÚ) 2023/1791 do vnútroštátneho právneho poriadku. Uvádzané transpozičné opatrenia sú nedostatočné.</w:t>
            </w:r>
          </w:p>
        </w:tc>
        <w:tc>
          <w:tcPr>
            <w:tcW w:w="2264" w:type="dxa"/>
            <w:vAlign w:val="center"/>
            <w:hideMark/>
          </w:tcPr>
          <w:p w14:paraId="22CFD718" w14:textId="6749B9D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A7B7848" w14:textId="61BD293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264588F" w14:textId="32ECA0BE" w:rsidTr="00725D29">
        <w:trPr>
          <w:trHeight w:val="1590"/>
        </w:trPr>
        <w:tc>
          <w:tcPr>
            <w:tcW w:w="975" w:type="dxa"/>
            <w:hideMark/>
          </w:tcPr>
          <w:p w14:paraId="6AECCC3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505.</w:t>
            </w:r>
          </w:p>
        </w:tc>
        <w:tc>
          <w:tcPr>
            <w:tcW w:w="2656" w:type="dxa"/>
            <w:hideMark/>
          </w:tcPr>
          <w:p w14:paraId="1962BDC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C187CA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272CCF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148. Žiadame preukázať transpozíciu čl. 22 ods. 4 druhej vety písm. b) smernice (EÚ) 2023/1791 do vnútroštátneho právneho poriadku. Uvádzané transpozičné opatrenia sú nedostatočné.</w:t>
            </w:r>
          </w:p>
        </w:tc>
        <w:tc>
          <w:tcPr>
            <w:tcW w:w="2264" w:type="dxa"/>
            <w:vAlign w:val="center"/>
            <w:hideMark/>
          </w:tcPr>
          <w:p w14:paraId="192DDF7F" w14:textId="1495D61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FE3D4B8" w14:textId="3678FFD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FBBEB85" w14:textId="2B7872F3" w:rsidTr="00725D29">
        <w:trPr>
          <w:trHeight w:val="1590"/>
        </w:trPr>
        <w:tc>
          <w:tcPr>
            <w:tcW w:w="975" w:type="dxa"/>
            <w:hideMark/>
          </w:tcPr>
          <w:p w14:paraId="4EA624E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506.</w:t>
            </w:r>
          </w:p>
        </w:tc>
        <w:tc>
          <w:tcPr>
            <w:tcW w:w="2656" w:type="dxa"/>
            <w:hideMark/>
          </w:tcPr>
          <w:p w14:paraId="56E208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86C45B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CBBD1C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149. Žiadame preukázať transpozíciu čl. 22 ods. 4 druhej vety písm. c) smernice (EÚ) 2023/1791 do vnútroštátneho právneho poriadku. Uvádzané transpozičné opatrenia sú nedostatočné.</w:t>
            </w:r>
          </w:p>
        </w:tc>
        <w:tc>
          <w:tcPr>
            <w:tcW w:w="2264" w:type="dxa"/>
            <w:vAlign w:val="center"/>
            <w:hideMark/>
          </w:tcPr>
          <w:p w14:paraId="3C6AA325" w14:textId="2F3B573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2018799" w14:textId="4BD368A5"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E31507C" w14:textId="175B8A14" w:rsidTr="00725D29">
        <w:trPr>
          <w:trHeight w:val="1590"/>
        </w:trPr>
        <w:tc>
          <w:tcPr>
            <w:tcW w:w="975" w:type="dxa"/>
            <w:hideMark/>
          </w:tcPr>
          <w:p w14:paraId="17473F9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507.</w:t>
            </w:r>
          </w:p>
        </w:tc>
        <w:tc>
          <w:tcPr>
            <w:tcW w:w="2656" w:type="dxa"/>
            <w:hideMark/>
          </w:tcPr>
          <w:p w14:paraId="235F111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1208B8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894CB6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150. Žiadame preukázať transpozíciu čl. 22 ods. 5 prvej vety smernice (EÚ) 2023/1791 do vnútroštátneho právneho poriadku. Uvádzané transpozičné opatrenia sú nedostatočné.</w:t>
            </w:r>
          </w:p>
        </w:tc>
        <w:tc>
          <w:tcPr>
            <w:tcW w:w="2264" w:type="dxa"/>
            <w:vAlign w:val="center"/>
            <w:hideMark/>
          </w:tcPr>
          <w:p w14:paraId="6F4AF0D9" w14:textId="41BB0A1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9069FE8" w14:textId="62D23E6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FDDC105" w14:textId="047CB2F2" w:rsidTr="00725D29">
        <w:trPr>
          <w:trHeight w:val="1590"/>
        </w:trPr>
        <w:tc>
          <w:tcPr>
            <w:tcW w:w="975" w:type="dxa"/>
            <w:hideMark/>
          </w:tcPr>
          <w:p w14:paraId="44E990A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508.</w:t>
            </w:r>
          </w:p>
        </w:tc>
        <w:tc>
          <w:tcPr>
            <w:tcW w:w="2656" w:type="dxa"/>
            <w:hideMark/>
          </w:tcPr>
          <w:p w14:paraId="4F5EDD7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563CC3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09D4E1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151. Žiadame preukázať transpozíciu čl. 22 ods. 5 prvej vety písm. a) smernice (EÚ) 2023/1791 do vnútroštátneho právneho poriadku. Uvádzané transpozičné opatrenia sú nedostatočné.</w:t>
            </w:r>
          </w:p>
        </w:tc>
        <w:tc>
          <w:tcPr>
            <w:tcW w:w="2264" w:type="dxa"/>
            <w:vAlign w:val="center"/>
            <w:hideMark/>
          </w:tcPr>
          <w:p w14:paraId="0DC99D7A" w14:textId="64E4A41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AAB11FD" w14:textId="698E21B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1BB3558" w14:textId="5BF1A2FF" w:rsidTr="00725D29">
        <w:trPr>
          <w:trHeight w:val="1590"/>
        </w:trPr>
        <w:tc>
          <w:tcPr>
            <w:tcW w:w="975" w:type="dxa"/>
            <w:hideMark/>
          </w:tcPr>
          <w:p w14:paraId="5942B9C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509.</w:t>
            </w:r>
          </w:p>
        </w:tc>
        <w:tc>
          <w:tcPr>
            <w:tcW w:w="2656" w:type="dxa"/>
            <w:hideMark/>
          </w:tcPr>
          <w:p w14:paraId="6FDED74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2F55E3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A2B357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152. Žiadame preukázať transpozíciu čl. 22 ods. 5 prvej vety písm. b) smernice (EÚ) 2023/1791 do vnútroštátneho právneho poriadku. Uvádzané transpozičné opatrenia sú nedostatočné.</w:t>
            </w:r>
          </w:p>
        </w:tc>
        <w:tc>
          <w:tcPr>
            <w:tcW w:w="2264" w:type="dxa"/>
            <w:vAlign w:val="center"/>
            <w:hideMark/>
          </w:tcPr>
          <w:p w14:paraId="56AF3B39" w14:textId="038C256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B7FD280" w14:textId="2BF66AB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0171865" w14:textId="23C9A394" w:rsidTr="00725D29">
        <w:trPr>
          <w:trHeight w:val="1590"/>
        </w:trPr>
        <w:tc>
          <w:tcPr>
            <w:tcW w:w="975" w:type="dxa"/>
            <w:hideMark/>
          </w:tcPr>
          <w:p w14:paraId="55FA375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510.</w:t>
            </w:r>
          </w:p>
        </w:tc>
        <w:tc>
          <w:tcPr>
            <w:tcW w:w="2656" w:type="dxa"/>
            <w:hideMark/>
          </w:tcPr>
          <w:p w14:paraId="7B295A7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C8190D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19DF50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153. Žiadame preukázať transpozíciu čl. 22 ods. 5 prvej vety písm. c) smernice (EÚ) 2023/1791 do vnútroštátneho právneho poriadku. Uvádzané transpozičné opatrenia sú nedostatočné.</w:t>
            </w:r>
          </w:p>
        </w:tc>
        <w:tc>
          <w:tcPr>
            <w:tcW w:w="2264" w:type="dxa"/>
            <w:vAlign w:val="center"/>
            <w:hideMark/>
          </w:tcPr>
          <w:p w14:paraId="73CCCEB3" w14:textId="5C0CDAB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32290BB" w14:textId="3A27BB0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A1661D1" w14:textId="7D8CFD32" w:rsidTr="00725D29">
        <w:trPr>
          <w:trHeight w:val="1590"/>
        </w:trPr>
        <w:tc>
          <w:tcPr>
            <w:tcW w:w="975" w:type="dxa"/>
            <w:hideMark/>
          </w:tcPr>
          <w:p w14:paraId="010FB8F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511.</w:t>
            </w:r>
          </w:p>
        </w:tc>
        <w:tc>
          <w:tcPr>
            <w:tcW w:w="2656" w:type="dxa"/>
            <w:hideMark/>
          </w:tcPr>
          <w:p w14:paraId="53372F7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7241B3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F3489B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154. Žiadame preukázať transpozíciu čl. 22 ods. 6 prvej vety smernice (EÚ) 2023/1791 do vnútroštátneho právneho poriadku. Uvádzané transpozičné opatrenia sú nedostatočné.</w:t>
            </w:r>
          </w:p>
        </w:tc>
        <w:tc>
          <w:tcPr>
            <w:tcW w:w="2264" w:type="dxa"/>
            <w:vAlign w:val="center"/>
            <w:hideMark/>
          </w:tcPr>
          <w:p w14:paraId="6D92D8B6" w14:textId="3211BEF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590ABAA" w14:textId="106FD0A0"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AED7C2F" w14:textId="0C39D85E" w:rsidTr="00725D29">
        <w:trPr>
          <w:trHeight w:val="1590"/>
        </w:trPr>
        <w:tc>
          <w:tcPr>
            <w:tcW w:w="975" w:type="dxa"/>
            <w:hideMark/>
          </w:tcPr>
          <w:p w14:paraId="17B3463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512.</w:t>
            </w:r>
          </w:p>
        </w:tc>
        <w:tc>
          <w:tcPr>
            <w:tcW w:w="2656" w:type="dxa"/>
            <w:hideMark/>
          </w:tcPr>
          <w:p w14:paraId="5399D47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F79D32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FA6F9F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155. Žiadame preukázať transpozíciu čl. 22 ods. 7 smernice (EÚ) 2023/1791 do vnútroštátneho právneho poriadku. Uvádzané transpozičné opatrenia sú nedostatočné.</w:t>
            </w:r>
          </w:p>
        </w:tc>
        <w:tc>
          <w:tcPr>
            <w:tcW w:w="2264" w:type="dxa"/>
            <w:vAlign w:val="center"/>
            <w:hideMark/>
          </w:tcPr>
          <w:p w14:paraId="13CFDD9C" w14:textId="0E5984C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8756697" w14:textId="36138F05"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1F43DF1" w14:textId="465EE426" w:rsidTr="00725D29">
        <w:trPr>
          <w:trHeight w:val="1590"/>
        </w:trPr>
        <w:tc>
          <w:tcPr>
            <w:tcW w:w="975" w:type="dxa"/>
            <w:hideMark/>
          </w:tcPr>
          <w:p w14:paraId="43C1DBE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513.</w:t>
            </w:r>
          </w:p>
        </w:tc>
        <w:tc>
          <w:tcPr>
            <w:tcW w:w="2656" w:type="dxa"/>
            <w:hideMark/>
          </w:tcPr>
          <w:p w14:paraId="7F1F36E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B89A53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A94077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156. Pri preukazovaní transpozície čl. 22 ods. 8 prvej vety smernice (EÚ) 2023/1791 žiadame uvádzať ako relevantné transpozičné opatrenie aj vo štvrtom a piatom stĺpci tabuľky zhody aj ustanovenie § 9 písm. m) zákona č. 250/2012 Z. z.</w:t>
            </w:r>
          </w:p>
        </w:tc>
        <w:tc>
          <w:tcPr>
            <w:tcW w:w="2264" w:type="dxa"/>
            <w:vAlign w:val="center"/>
            <w:hideMark/>
          </w:tcPr>
          <w:p w14:paraId="3BEF745D" w14:textId="08C0F17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C4FF198" w14:textId="22FE173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30AD9B2" w14:textId="1DF1A64E" w:rsidTr="00725D29">
        <w:trPr>
          <w:trHeight w:val="1590"/>
        </w:trPr>
        <w:tc>
          <w:tcPr>
            <w:tcW w:w="975" w:type="dxa"/>
            <w:hideMark/>
          </w:tcPr>
          <w:p w14:paraId="21F92BC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514.</w:t>
            </w:r>
          </w:p>
        </w:tc>
        <w:tc>
          <w:tcPr>
            <w:tcW w:w="2656" w:type="dxa"/>
            <w:hideMark/>
          </w:tcPr>
          <w:p w14:paraId="6F115A5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7C3AEC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9149C7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157. Pri preukazovaní transpozície čl. 22 ods. 8 druhej vety smernice (EÚ) 2023/1791 žiadame uvádzať ako relevantné transpozičné opatrenie aj vo štvrtom a piatom stĺpci tabuľky zhody aj ustanovenie § 9 písm. m) zákona č. 250/2012 Z. z.</w:t>
            </w:r>
          </w:p>
        </w:tc>
        <w:tc>
          <w:tcPr>
            <w:tcW w:w="2264" w:type="dxa"/>
            <w:vAlign w:val="center"/>
            <w:hideMark/>
          </w:tcPr>
          <w:p w14:paraId="26C2BC4C" w14:textId="2EC58D0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7BE8541" w14:textId="1FA6ACB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5633F59" w14:textId="3E4A2A2D" w:rsidTr="00725D29">
        <w:trPr>
          <w:trHeight w:val="1590"/>
        </w:trPr>
        <w:tc>
          <w:tcPr>
            <w:tcW w:w="975" w:type="dxa"/>
            <w:hideMark/>
          </w:tcPr>
          <w:p w14:paraId="524E354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515.</w:t>
            </w:r>
          </w:p>
        </w:tc>
        <w:tc>
          <w:tcPr>
            <w:tcW w:w="2656" w:type="dxa"/>
            <w:hideMark/>
          </w:tcPr>
          <w:p w14:paraId="1D5F377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8E0C4E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1EF7E0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158. Upozorňujeme, že čl. 22 ods. 8 tretia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2BC1D843" w14:textId="36DC2F0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6924B65" w14:textId="3CDB37C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99994EA" w14:textId="7F1AEA3D" w:rsidTr="00725D29">
        <w:trPr>
          <w:trHeight w:val="1590"/>
        </w:trPr>
        <w:tc>
          <w:tcPr>
            <w:tcW w:w="975" w:type="dxa"/>
            <w:hideMark/>
          </w:tcPr>
          <w:p w14:paraId="7B823B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516.</w:t>
            </w:r>
          </w:p>
        </w:tc>
        <w:tc>
          <w:tcPr>
            <w:tcW w:w="2656" w:type="dxa"/>
            <w:hideMark/>
          </w:tcPr>
          <w:p w14:paraId="4E30CB2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0EE7F8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89FD25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159. Pri preukazovaní transpozície čl. 22 ods. 8 štvrtej vety smernice (EÚ) 2023/1791 žiadame uvádzať ako relevantné transpozičné opatrenie aj vo štvrtom a piatom stĺpci tabuľky zhody aj ustanovenie § 9 písm. m) zákona č. 250/2012 Z. z.</w:t>
            </w:r>
          </w:p>
        </w:tc>
        <w:tc>
          <w:tcPr>
            <w:tcW w:w="2264" w:type="dxa"/>
            <w:vAlign w:val="center"/>
            <w:hideMark/>
          </w:tcPr>
          <w:p w14:paraId="4654003C" w14:textId="0E6B10D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F99C7FA" w14:textId="5A62673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AD997F3" w14:textId="44A0FA42" w:rsidTr="00725D29">
        <w:trPr>
          <w:trHeight w:val="1590"/>
        </w:trPr>
        <w:tc>
          <w:tcPr>
            <w:tcW w:w="975" w:type="dxa"/>
            <w:hideMark/>
          </w:tcPr>
          <w:p w14:paraId="43F2BFB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517.</w:t>
            </w:r>
          </w:p>
        </w:tc>
        <w:tc>
          <w:tcPr>
            <w:tcW w:w="2656" w:type="dxa"/>
            <w:hideMark/>
          </w:tcPr>
          <w:p w14:paraId="52B14F6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7401BA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171AB7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160. Žiadame preukázať transpozíciu čl. 22 ods. 8 piatej vety smernice (EÚ) 2023/1791 do vnútroštátneho právneho poriadku. Uvádzané transpozičné opatrenia sú nedostatočné.</w:t>
            </w:r>
          </w:p>
        </w:tc>
        <w:tc>
          <w:tcPr>
            <w:tcW w:w="2264" w:type="dxa"/>
            <w:vAlign w:val="center"/>
            <w:hideMark/>
          </w:tcPr>
          <w:p w14:paraId="30CBA6F5" w14:textId="20307F3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FD0DDCC" w14:textId="0D07727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BBCE94D" w14:textId="38700F2E" w:rsidTr="00725D29">
        <w:trPr>
          <w:trHeight w:val="1590"/>
        </w:trPr>
        <w:tc>
          <w:tcPr>
            <w:tcW w:w="975" w:type="dxa"/>
            <w:hideMark/>
          </w:tcPr>
          <w:p w14:paraId="68A731F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518.</w:t>
            </w:r>
          </w:p>
        </w:tc>
        <w:tc>
          <w:tcPr>
            <w:tcW w:w="2656" w:type="dxa"/>
            <w:hideMark/>
          </w:tcPr>
          <w:p w14:paraId="7135F2F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DB75DE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E993A5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161. Pri preukazovaní transpozície čl. 22 ods. 8 prvej až piatej vety smernice (EÚ) 2023/1791 žiadame uvádzať znenie transpozičných opatrení uvádzaných v šiestom stĺpci tabuľky zhody vrátane poznámok pod čiarou.</w:t>
            </w:r>
          </w:p>
        </w:tc>
        <w:tc>
          <w:tcPr>
            <w:tcW w:w="2264" w:type="dxa"/>
            <w:vAlign w:val="center"/>
            <w:hideMark/>
          </w:tcPr>
          <w:p w14:paraId="1760A90D" w14:textId="5FB82CC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2421217" w14:textId="69473B5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D060CB5" w14:textId="3EE02F98" w:rsidTr="00725D29">
        <w:trPr>
          <w:trHeight w:val="1590"/>
        </w:trPr>
        <w:tc>
          <w:tcPr>
            <w:tcW w:w="975" w:type="dxa"/>
            <w:hideMark/>
          </w:tcPr>
          <w:p w14:paraId="494F0D0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519.</w:t>
            </w:r>
          </w:p>
        </w:tc>
        <w:tc>
          <w:tcPr>
            <w:tcW w:w="2656" w:type="dxa"/>
            <w:hideMark/>
          </w:tcPr>
          <w:p w14:paraId="78B2DE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0FE11F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E02DD0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162. Žiadame preukázať transpozíciu čl. 22 ods. 9 prvej vety smernice (EÚ) 2023/1791 do vnútroštátneho právneho poriadku. Uvádzané transpozičné opatrenia sú nedostatočné.</w:t>
            </w:r>
          </w:p>
        </w:tc>
        <w:tc>
          <w:tcPr>
            <w:tcW w:w="2264" w:type="dxa"/>
            <w:vAlign w:val="center"/>
            <w:hideMark/>
          </w:tcPr>
          <w:p w14:paraId="3EE75D1F" w14:textId="1EB9C40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CEC36FB" w14:textId="1F15172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920C670" w14:textId="4670936F" w:rsidTr="00725D29">
        <w:trPr>
          <w:trHeight w:val="1590"/>
        </w:trPr>
        <w:tc>
          <w:tcPr>
            <w:tcW w:w="975" w:type="dxa"/>
            <w:hideMark/>
          </w:tcPr>
          <w:p w14:paraId="0C22473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520.</w:t>
            </w:r>
          </w:p>
        </w:tc>
        <w:tc>
          <w:tcPr>
            <w:tcW w:w="2656" w:type="dxa"/>
            <w:hideMark/>
          </w:tcPr>
          <w:p w14:paraId="1A1292B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5938E3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8C380A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163. Žiadame preukázať transpozíciu čl. 22 ods. 9 druhej vety smernice (EÚ) 2023/1791 do vnútroštátneho právneho poriadku. Máme za to, že ide o ustanovenie predstavujúce bežnú transpozíciu.</w:t>
            </w:r>
          </w:p>
        </w:tc>
        <w:tc>
          <w:tcPr>
            <w:tcW w:w="2264" w:type="dxa"/>
            <w:vAlign w:val="center"/>
            <w:hideMark/>
          </w:tcPr>
          <w:p w14:paraId="1F2AD0F2" w14:textId="3635B15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89EA4B0" w14:textId="2DC1E9D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639FCAD" w14:textId="175CB768" w:rsidTr="00725D29">
        <w:trPr>
          <w:trHeight w:val="1590"/>
        </w:trPr>
        <w:tc>
          <w:tcPr>
            <w:tcW w:w="975" w:type="dxa"/>
            <w:hideMark/>
          </w:tcPr>
          <w:p w14:paraId="496969A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521.</w:t>
            </w:r>
          </w:p>
        </w:tc>
        <w:tc>
          <w:tcPr>
            <w:tcW w:w="2656" w:type="dxa"/>
            <w:hideMark/>
          </w:tcPr>
          <w:p w14:paraId="6C067FD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063049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1B4ED2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164. Upozorňujeme, že čl. 22 ods. 9 tretia veta smernice (EÚ) 2023/1791 predstavuje dobrovoľnú transpozíciu, pričom nie je zrejmé, či je zámer dobrovoľnú transpozíciu realizovať. V prípade, že je zámer transponovať predmetné ustanovenie smernice, žiadame uvádzať relevantné transpozičné opatrenia v tabuľke zhody. V prípade, že sa dobrovoľná transpozícia nerealizuje, žiadame ponechať stĺpce 4 – 6 prázdne, a v siedmom stĺpci tabuľky zhody uviesť označenie „n.a.“.</w:t>
            </w:r>
          </w:p>
        </w:tc>
        <w:tc>
          <w:tcPr>
            <w:tcW w:w="2264" w:type="dxa"/>
            <w:vAlign w:val="center"/>
            <w:hideMark/>
          </w:tcPr>
          <w:p w14:paraId="14FABD26" w14:textId="4436FA7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2371553" w14:textId="08F7AD57"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6BD003F" w14:textId="353B60E9" w:rsidTr="00725D29">
        <w:trPr>
          <w:trHeight w:val="1590"/>
        </w:trPr>
        <w:tc>
          <w:tcPr>
            <w:tcW w:w="975" w:type="dxa"/>
            <w:hideMark/>
          </w:tcPr>
          <w:p w14:paraId="399F458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522.</w:t>
            </w:r>
          </w:p>
        </w:tc>
        <w:tc>
          <w:tcPr>
            <w:tcW w:w="2656" w:type="dxa"/>
            <w:hideMark/>
          </w:tcPr>
          <w:p w14:paraId="2E3A125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4DF9C4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17C355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165. Pri preukazovaní  transpozície čl. 22 ods. 9 štvrtej vety smernice (EÚ) 2023/1791 žiadame doplniť stĺpce 4 a 5 o informáciu, akým právnym predpisom sa transpozícia zabezpečuje.</w:t>
            </w:r>
          </w:p>
        </w:tc>
        <w:tc>
          <w:tcPr>
            <w:tcW w:w="2264" w:type="dxa"/>
            <w:vAlign w:val="center"/>
            <w:hideMark/>
          </w:tcPr>
          <w:p w14:paraId="65178F71" w14:textId="3CB8E00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3E6C268" w14:textId="54C6912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685674E" w14:textId="356B01BF" w:rsidTr="00725D29">
        <w:trPr>
          <w:trHeight w:val="1590"/>
        </w:trPr>
        <w:tc>
          <w:tcPr>
            <w:tcW w:w="975" w:type="dxa"/>
            <w:hideMark/>
          </w:tcPr>
          <w:p w14:paraId="2BBF636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523.</w:t>
            </w:r>
          </w:p>
        </w:tc>
        <w:tc>
          <w:tcPr>
            <w:tcW w:w="2656" w:type="dxa"/>
            <w:hideMark/>
          </w:tcPr>
          <w:p w14:paraId="685448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475A0F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FAC13F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166. Žiadame preukázať transpozíciu čl. 24 ods. 1 smernice (EÚ) 2023/1791 do vnútroštátneho právneho poriadku. Máme za to, že uvádzané transpozičné opatrenia nie sú dostatočné na preukázanie úplnej transpozície. Smernica (EÚ) 2023/1791 stanovuje, že členské štáty príjmu primerané opatrenia na posilnenie postavenia a ochranu ľudí postihnutých energetickou chudobou, zraniteľných odberateľov, ľudí v domácnostiach s nízkym príjmom a v uplatniteľnom prípade ľudí žijúcich v sociálnom bývaní, pričom slovenská právna úprava hovorí len o koncepcii na ochranu odberateľov spĺňajúcich podmienky energetickej chudoby. Ak sa pojem energetická chudoba vzťahuje aj na ostatné skupiny obyvateľov, ktoré určuje smernica žiadame túto informáciu doplniť do ôsmeho stĺpca predkladanej tabuľky zhody.</w:t>
            </w:r>
          </w:p>
        </w:tc>
        <w:tc>
          <w:tcPr>
            <w:tcW w:w="2264" w:type="dxa"/>
            <w:vAlign w:val="center"/>
            <w:hideMark/>
          </w:tcPr>
          <w:p w14:paraId="7785EEF2" w14:textId="38E9A13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82CB76B" w14:textId="588CE78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3A27D7E" w14:textId="70B81F27" w:rsidTr="00725D29">
        <w:trPr>
          <w:trHeight w:val="1590"/>
        </w:trPr>
        <w:tc>
          <w:tcPr>
            <w:tcW w:w="975" w:type="dxa"/>
            <w:hideMark/>
          </w:tcPr>
          <w:p w14:paraId="16D8D03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524.</w:t>
            </w:r>
          </w:p>
        </w:tc>
        <w:tc>
          <w:tcPr>
            <w:tcW w:w="2656" w:type="dxa"/>
            <w:hideMark/>
          </w:tcPr>
          <w:p w14:paraId="16B970C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3285A1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E15B98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167. Žiadame preukázať transpozíciu čl. 24 druhého pododseku smernice (EÚ) 2023/1791 do vnútroštátneho právneho poriadku, nakoľko sa jedná o ustanovenia s bežnou transpozíciou.</w:t>
            </w:r>
          </w:p>
        </w:tc>
        <w:tc>
          <w:tcPr>
            <w:tcW w:w="2264" w:type="dxa"/>
            <w:vAlign w:val="center"/>
            <w:hideMark/>
          </w:tcPr>
          <w:p w14:paraId="427AD285" w14:textId="2D27A95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CEB22C9" w14:textId="2047F64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AEEC54F" w14:textId="0FD63284" w:rsidTr="00725D29">
        <w:trPr>
          <w:trHeight w:val="1590"/>
        </w:trPr>
        <w:tc>
          <w:tcPr>
            <w:tcW w:w="975" w:type="dxa"/>
            <w:hideMark/>
          </w:tcPr>
          <w:p w14:paraId="6BB52A0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525.</w:t>
            </w:r>
          </w:p>
        </w:tc>
        <w:tc>
          <w:tcPr>
            <w:tcW w:w="2656" w:type="dxa"/>
            <w:hideMark/>
          </w:tcPr>
          <w:p w14:paraId="2019636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906FD6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C34E90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168. Žiadame preukázať transpozíciu čl. 24 ods. 3 písm. f) smernice (EÚ) 2023/1791 do vnútroštátneho právneho poriadku. Uvádzané transpozičné opatrenia považujeme za nedostatočné na preukázanie úplnej transpozície.</w:t>
            </w:r>
          </w:p>
        </w:tc>
        <w:tc>
          <w:tcPr>
            <w:tcW w:w="2264" w:type="dxa"/>
            <w:vAlign w:val="center"/>
            <w:hideMark/>
          </w:tcPr>
          <w:p w14:paraId="44DBC439" w14:textId="51F1DCC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E039819" w14:textId="3CB8EC95"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185518E" w14:textId="617604BD" w:rsidTr="00725D29">
        <w:trPr>
          <w:trHeight w:val="1590"/>
        </w:trPr>
        <w:tc>
          <w:tcPr>
            <w:tcW w:w="975" w:type="dxa"/>
            <w:hideMark/>
          </w:tcPr>
          <w:p w14:paraId="2514337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526.</w:t>
            </w:r>
          </w:p>
        </w:tc>
        <w:tc>
          <w:tcPr>
            <w:tcW w:w="2656" w:type="dxa"/>
            <w:hideMark/>
          </w:tcPr>
          <w:p w14:paraId="1306B51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35F20C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3796D2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169. Žiadame preukázať transpozíciu čl. 24 ods. 4 smernice (EÚ) 2023/1791 do vnútroštátneho právneho poriadku. Máme za to, že uvádzané transpozičné opatrenia nie sú dostatočné na preukázanie úplnej transpozície. Smernica (EÚ) 2023/1791 stanovuje, že členské štáty zriadia sieť expertov z rôznych odvetví s vyváženým zastúpením mužov a žien, ktorej úlohou bude vypracovať stratégie na podporu miestnych a národných aktérov s rozhodovacími právomocami. V slovenskej  právnej úprave, ktorou sa preukazuje transpozícia tohto ustanovenia, uvedené absentuje.</w:t>
            </w:r>
          </w:p>
        </w:tc>
        <w:tc>
          <w:tcPr>
            <w:tcW w:w="2264" w:type="dxa"/>
            <w:vAlign w:val="center"/>
            <w:hideMark/>
          </w:tcPr>
          <w:p w14:paraId="145E2CFE" w14:textId="748AFDF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BF0D76C" w14:textId="6DBCBFB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81ED4DF" w14:textId="3F1C9D54" w:rsidTr="00725D29">
        <w:trPr>
          <w:trHeight w:val="1590"/>
        </w:trPr>
        <w:tc>
          <w:tcPr>
            <w:tcW w:w="975" w:type="dxa"/>
            <w:hideMark/>
          </w:tcPr>
          <w:p w14:paraId="5296903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527.</w:t>
            </w:r>
          </w:p>
        </w:tc>
        <w:tc>
          <w:tcPr>
            <w:tcW w:w="2656" w:type="dxa"/>
            <w:hideMark/>
          </w:tcPr>
          <w:p w14:paraId="7527BA2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01DC6D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161B0A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170. Pri preukazovaní transpozície čl. 24 ods. 4 posledného pododseku smernice (EÚ) 2023/1791 do vnútroštátneho právneho poriadku nie je zrejmé, či chceme alebo nechceme realizovať dobrovoľnú transpozíciu. V prípade, že chceme transponovať čl. 24 ods. 4 posledný pododsek smernice (EÚ) 2023/1791, žiadame uviesť relevantné transpozičné opatrenia v šiestom stĺpci predkladanej tabuľky zhody. V prípade, že sa táto dobrovoľná transpozícia nevyužíva žiadame vypustiť text z štvrtého, piateho, šiesteho a siedmeho stĺpca predkladanej tabuľky zhody.</w:t>
            </w:r>
          </w:p>
        </w:tc>
        <w:tc>
          <w:tcPr>
            <w:tcW w:w="2264" w:type="dxa"/>
            <w:vAlign w:val="center"/>
            <w:hideMark/>
          </w:tcPr>
          <w:p w14:paraId="7BC38169" w14:textId="570E08C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6488B90" w14:textId="05C8C927"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1679F19" w14:textId="79AB7E77" w:rsidTr="00725D29">
        <w:trPr>
          <w:trHeight w:val="1590"/>
        </w:trPr>
        <w:tc>
          <w:tcPr>
            <w:tcW w:w="975" w:type="dxa"/>
            <w:hideMark/>
          </w:tcPr>
          <w:p w14:paraId="51D96CB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528.</w:t>
            </w:r>
          </w:p>
        </w:tc>
        <w:tc>
          <w:tcPr>
            <w:tcW w:w="2656" w:type="dxa"/>
            <w:hideMark/>
          </w:tcPr>
          <w:p w14:paraId="1D2D87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6A3936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C5ADCC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171. Pri preukazovaní transpozície čl. 25 ods. 1 a ods. 3 smernice (EÚ) 2023/1791 žiadame zosúladiť text v šiestom stĺpci predkladanej tabuľky zhody so znením predkladaného návrhu zákona. Zároveň žiadame v šiestom stĺpci tabuľky zhody uvádzať text vrátane poznámok pod čiarou.</w:t>
            </w:r>
          </w:p>
        </w:tc>
        <w:tc>
          <w:tcPr>
            <w:tcW w:w="2264" w:type="dxa"/>
            <w:vAlign w:val="center"/>
            <w:hideMark/>
          </w:tcPr>
          <w:p w14:paraId="44D418E7" w14:textId="70B40E6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7CC3DB2" w14:textId="21D5028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9B173D3" w14:textId="7642B472" w:rsidTr="00725D29">
        <w:trPr>
          <w:trHeight w:val="1590"/>
        </w:trPr>
        <w:tc>
          <w:tcPr>
            <w:tcW w:w="975" w:type="dxa"/>
            <w:hideMark/>
          </w:tcPr>
          <w:p w14:paraId="4F4F35D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529.</w:t>
            </w:r>
          </w:p>
        </w:tc>
        <w:tc>
          <w:tcPr>
            <w:tcW w:w="2656" w:type="dxa"/>
            <w:hideMark/>
          </w:tcPr>
          <w:p w14:paraId="2CD2001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F5AD4B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A9F403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172. Žiadame preukázať transpozíciu čl. 25 ods. 3 posledného pododseku smernice (EÚ) 2023/1791 do vnútroštátneho právneho poriadku. Máme za to, že uvádzané transpozičné opatrenia nie sú dostatočné na preukázanie úplnej transpozície. Smernica (EÚ) 2023/1791 stanovuje, že členské štáty určia príslušné orgány zodpovedné za vykonanie analýzy nákladov a prínosov. V slovenskej  právnej úprave, ktorou sa preukazuje transpozícia tohto ustanovenia, uvedené absentuje. Zároveň žiadame zo štvrtého stĺpca predkladanej tabuľky zhody na tomto mieste vypustiť slová „Návrh vyhlášky“, keďže sa v šiestom stĺpci tabuľky nenachádza ako transpozičné ustanovenie text žiadnej vyhlášky.</w:t>
            </w:r>
          </w:p>
        </w:tc>
        <w:tc>
          <w:tcPr>
            <w:tcW w:w="2264" w:type="dxa"/>
            <w:vAlign w:val="center"/>
            <w:hideMark/>
          </w:tcPr>
          <w:p w14:paraId="3A6EEEEC" w14:textId="1355AEA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CD09A04" w14:textId="540D2261"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4B94D0C" w14:textId="0640BD50" w:rsidTr="00725D29">
        <w:trPr>
          <w:trHeight w:val="1590"/>
        </w:trPr>
        <w:tc>
          <w:tcPr>
            <w:tcW w:w="975" w:type="dxa"/>
            <w:hideMark/>
          </w:tcPr>
          <w:p w14:paraId="27B566D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530.</w:t>
            </w:r>
          </w:p>
        </w:tc>
        <w:tc>
          <w:tcPr>
            <w:tcW w:w="2656" w:type="dxa"/>
            <w:hideMark/>
          </w:tcPr>
          <w:p w14:paraId="7536B28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E6C956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6AC63A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173. Pri preukazovaní transpozície čl. 25 ods. 4 a 5 smernice (EÚ) 2023/1791 žiadame zo štvrtého stĺpca predkladanej tabuľky zhody na tomto mieste vypustiť slová „Návrh vyhlášky“, keďže sa v šiestom stĺpci tabuľky nenachádza ako transpozičné ustanovenie text žiadnej vyhlášky.</w:t>
            </w:r>
          </w:p>
        </w:tc>
        <w:tc>
          <w:tcPr>
            <w:tcW w:w="2264" w:type="dxa"/>
            <w:vAlign w:val="center"/>
            <w:hideMark/>
          </w:tcPr>
          <w:p w14:paraId="0E784308" w14:textId="1388D52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6B04E51" w14:textId="7E08247D"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4B057BFA" w14:textId="7980CCE1" w:rsidTr="00725D29">
        <w:trPr>
          <w:trHeight w:val="1590"/>
        </w:trPr>
        <w:tc>
          <w:tcPr>
            <w:tcW w:w="975" w:type="dxa"/>
            <w:hideMark/>
          </w:tcPr>
          <w:p w14:paraId="73CD941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531.</w:t>
            </w:r>
          </w:p>
        </w:tc>
        <w:tc>
          <w:tcPr>
            <w:tcW w:w="2656" w:type="dxa"/>
            <w:hideMark/>
          </w:tcPr>
          <w:p w14:paraId="30B7CC5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626FB4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081915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174. Žiadame preukázať transpozíciu čl. 25 ods. 4 smernice (EÚ) 2023/1791 do vnútroštátneho právneho poriadku. Máme za to, že uvádzané transpozičné opatrenia nie sú dostatočné na preukázanie úplnej transpozície.</w:t>
            </w:r>
          </w:p>
        </w:tc>
        <w:tc>
          <w:tcPr>
            <w:tcW w:w="2264" w:type="dxa"/>
            <w:vAlign w:val="center"/>
            <w:hideMark/>
          </w:tcPr>
          <w:p w14:paraId="35B11D81" w14:textId="7FC15C0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6C5BD8B" w14:textId="60F8DA59"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794530DB" w14:textId="46B73327" w:rsidTr="00725D29">
        <w:trPr>
          <w:trHeight w:val="1590"/>
        </w:trPr>
        <w:tc>
          <w:tcPr>
            <w:tcW w:w="975" w:type="dxa"/>
            <w:hideMark/>
          </w:tcPr>
          <w:p w14:paraId="2C71F0A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532.</w:t>
            </w:r>
          </w:p>
        </w:tc>
        <w:tc>
          <w:tcPr>
            <w:tcW w:w="2656" w:type="dxa"/>
            <w:hideMark/>
          </w:tcPr>
          <w:p w14:paraId="2A2AE1E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A2A536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4CF995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175. Pri preukazovaní transpozície čl. 25 ods. 4 smernice (EÚ) 2023/1791 do vnútroštátneho právneho poriadku žiadame v šiestom stĺpci predkladanej tabuľky zhody uvádzať celé konsolidované znenie novelizovaných ustanovení.</w:t>
            </w:r>
          </w:p>
        </w:tc>
        <w:tc>
          <w:tcPr>
            <w:tcW w:w="2264" w:type="dxa"/>
            <w:vAlign w:val="center"/>
            <w:hideMark/>
          </w:tcPr>
          <w:p w14:paraId="3B3AC4DF" w14:textId="5E27E8D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89F7B2C" w14:textId="7F1912B7"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BF860A1" w14:textId="58D30CCE" w:rsidTr="00725D29">
        <w:trPr>
          <w:trHeight w:val="1590"/>
        </w:trPr>
        <w:tc>
          <w:tcPr>
            <w:tcW w:w="975" w:type="dxa"/>
            <w:hideMark/>
          </w:tcPr>
          <w:p w14:paraId="6E7034A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533.</w:t>
            </w:r>
          </w:p>
        </w:tc>
        <w:tc>
          <w:tcPr>
            <w:tcW w:w="2656" w:type="dxa"/>
            <w:hideMark/>
          </w:tcPr>
          <w:p w14:paraId="61A09E2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9DFC33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84FE8C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176. Žiadame preukázať transpozíciu čl. 25 ods. 5 prvej a druhej vety smernice (EÚ) 2023/1791 do vnútroštátneho právneho poriadku. Máme za to, že uvádzané transpozičné opatrenia nie sú dostatočné na preukázanie úplnej transpozície.</w:t>
            </w:r>
          </w:p>
        </w:tc>
        <w:tc>
          <w:tcPr>
            <w:tcW w:w="2264" w:type="dxa"/>
            <w:vAlign w:val="center"/>
            <w:hideMark/>
          </w:tcPr>
          <w:p w14:paraId="3CA2A437" w14:textId="3311125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6829E1C" w14:textId="4DD0DAAE"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46D17E3C" w14:textId="221F20EB" w:rsidTr="00725D29">
        <w:trPr>
          <w:trHeight w:val="1590"/>
        </w:trPr>
        <w:tc>
          <w:tcPr>
            <w:tcW w:w="975" w:type="dxa"/>
            <w:hideMark/>
          </w:tcPr>
          <w:p w14:paraId="229FCCC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534.</w:t>
            </w:r>
          </w:p>
        </w:tc>
        <w:tc>
          <w:tcPr>
            <w:tcW w:w="2656" w:type="dxa"/>
            <w:hideMark/>
          </w:tcPr>
          <w:p w14:paraId="677F519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A6A1E9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4256A8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177. Pri preukazovaní transpozície čl. 25 ods. 6 smernice (EÚ) 2023/1791 do vnútroštátneho právneho poriadku žiadame v šiestom stĺpci tabuľky zhody uvádzať text vrátane poznámok pod čiarou.</w:t>
            </w:r>
          </w:p>
        </w:tc>
        <w:tc>
          <w:tcPr>
            <w:tcW w:w="2264" w:type="dxa"/>
            <w:vAlign w:val="center"/>
            <w:hideMark/>
          </w:tcPr>
          <w:p w14:paraId="5A75137D" w14:textId="2E9BCF6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87976DA" w14:textId="47959248"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EB39782" w14:textId="166F53D0" w:rsidTr="00725D29">
        <w:trPr>
          <w:trHeight w:val="1590"/>
        </w:trPr>
        <w:tc>
          <w:tcPr>
            <w:tcW w:w="975" w:type="dxa"/>
            <w:hideMark/>
          </w:tcPr>
          <w:p w14:paraId="6DE492F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535.</w:t>
            </w:r>
          </w:p>
        </w:tc>
        <w:tc>
          <w:tcPr>
            <w:tcW w:w="2656" w:type="dxa"/>
            <w:hideMark/>
          </w:tcPr>
          <w:p w14:paraId="74E81A4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743EC6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3D02B1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178. Pri preukazovaní transpozície čl. 25 ods. 6 smernice (EÚ) 2023/1791 do vnútroštátneho právneho poriadku dochádza ku goldplatingu, nakoľko predkladateľ ponecháva v platnosti existujúcu právnu úpravu, ktorá ustanovuje, že obce nad 2500 obyvateľov zabezpečia vypracovanie koncepcie rozvoja obce v oblasti tepelnej energetiky, pričom smernica (EÚ) 2023/1791 vyžaduje miestne plány vykurovania a chladenia aspoň v obciach s počtom obyvateľov vyšším ako 45 000. Máme za to, že v deviatom stĺpci tabuľky zhody je potrebné uvádzať slová „GP – A, f) zachovanie existujúcej právnej úpravy“ a v desiatom stĺpci je potrebné identifikovať oblasť, na ktorú má goldplating vplyv. V závere tabuľky zhody je potrebné doplniť Vyjadrenie k opodstatnenosti goldplatingu a jeho odôvodnenie vo vzťahu k čl. 25 ods. 6 smernice (EÚ) 2023/1791. Túto pripomienku primerane vzťahujeme aj na doložku vybraných vplyvov.</w:t>
            </w:r>
          </w:p>
        </w:tc>
        <w:tc>
          <w:tcPr>
            <w:tcW w:w="2264" w:type="dxa"/>
            <w:vAlign w:val="center"/>
            <w:hideMark/>
          </w:tcPr>
          <w:p w14:paraId="7410FF3E" w14:textId="06120BD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B1CE615" w14:textId="7745DB3D"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43CDBDD6" w14:textId="16175B4B" w:rsidTr="00725D29">
        <w:trPr>
          <w:trHeight w:val="1590"/>
        </w:trPr>
        <w:tc>
          <w:tcPr>
            <w:tcW w:w="975" w:type="dxa"/>
            <w:hideMark/>
          </w:tcPr>
          <w:p w14:paraId="3AC834F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536.</w:t>
            </w:r>
          </w:p>
        </w:tc>
        <w:tc>
          <w:tcPr>
            <w:tcW w:w="2656" w:type="dxa"/>
            <w:hideMark/>
          </w:tcPr>
          <w:p w14:paraId="2DA3A57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A0EBA1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206D11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179. Žiadame preukázať transpozíciu čl. 25 ods. 6 smernice (EÚ) 2023/1791 do vnútroštátneho právneho poriadku. Máme za to, že uvádzané transpozičné opatrenia nie sú dostatočné na preukázanie úplnej transpozície. Smernica (EÚ) 2023/1791 stanovuje viacero náležitostí miestnych plánov vykurovania a chladenia, pričom slovenská právna úprava všetky tieto náležitosti preukazuje len prostredníctvom ustanovenia, ktoré určuje ministerstvu povinnosť vydať metodické usmernenie.</w:t>
            </w:r>
          </w:p>
        </w:tc>
        <w:tc>
          <w:tcPr>
            <w:tcW w:w="2264" w:type="dxa"/>
            <w:vAlign w:val="center"/>
            <w:hideMark/>
          </w:tcPr>
          <w:p w14:paraId="7A9112A2" w14:textId="5590705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A84CD89" w14:textId="50464FDB"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2C5DDBC" w14:textId="572FF063" w:rsidTr="00725D29">
        <w:trPr>
          <w:trHeight w:val="1590"/>
        </w:trPr>
        <w:tc>
          <w:tcPr>
            <w:tcW w:w="975" w:type="dxa"/>
            <w:hideMark/>
          </w:tcPr>
          <w:p w14:paraId="46F8960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537.</w:t>
            </w:r>
          </w:p>
        </w:tc>
        <w:tc>
          <w:tcPr>
            <w:tcW w:w="2656" w:type="dxa"/>
            <w:hideMark/>
          </w:tcPr>
          <w:p w14:paraId="499F875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81812C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E957E5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180. Žiadame preukázať transpozíciu čl. 25 ods. 6 druhého pododseku smernice (EÚ) 2023/1791 do vnútroštátneho právneho poriadku. Máme za to, že uvádzané transpozičné opatrenia nie sú dostatočné na preukázanie úplnej transpozície. Smernica (EÚ) 2023/1791 stanovuje povinnosť členských štátov zabezpečiť, aby mali všetky príslušné strany vrátane verejných aj súkromných zainteresovaných strán príležitosť podieľať sa na vypracovaní plánov vykurovania a chladenia, pričom slovenská právna úprava všetky tietonáležitosti preukazuje len prostredníctvom ustanovenia, ktoré určuje ministerstvu povinnosť vydať metodické usmernenie.</w:t>
            </w:r>
          </w:p>
        </w:tc>
        <w:tc>
          <w:tcPr>
            <w:tcW w:w="2264" w:type="dxa"/>
            <w:vAlign w:val="center"/>
            <w:hideMark/>
          </w:tcPr>
          <w:p w14:paraId="681D8B5A" w14:textId="2220A64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077E62B" w14:textId="3E694AE0"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9C3EEB4" w14:textId="0C9B2A47" w:rsidTr="00725D29">
        <w:trPr>
          <w:trHeight w:val="1590"/>
        </w:trPr>
        <w:tc>
          <w:tcPr>
            <w:tcW w:w="975" w:type="dxa"/>
            <w:hideMark/>
          </w:tcPr>
          <w:p w14:paraId="1BD82E2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538.</w:t>
            </w:r>
          </w:p>
        </w:tc>
        <w:tc>
          <w:tcPr>
            <w:tcW w:w="2656" w:type="dxa"/>
            <w:hideMark/>
          </w:tcPr>
          <w:p w14:paraId="4F6FFC4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62E867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1E9461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181. Žiadame preukázať transpozíciu čl. 25 ods. 6 tretieho pododseku smernice (EÚ) 2023/1791 do vnútroštátneho právneho poriadku. Máme za to, že uvádzané transpozičné opatrenia nie sú dostatočné na preukázanie úplnej transpozície. Smernica (EÚ) 2023/1791 stanovuje členskému štátu povinnosť zostaviť odporúčania na podporu regionálnych a miestnych orgánov a povinnosť podporovať tieto orgány akýmikoľvek prostriedkami vrátane schém finančnej a technickej podpory, pričom slovenská právna úprava všetky tieto náležitosti preukazuje len prostredníctvom ustanovenia, ktoré určuje ministerstvu povinnosť vydať metodické usmernenie.</w:t>
            </w:r>
          </w:p>
        </w:tc>
        <w:tc>
          <w:tcPr>
            <w:tcW w:w="2264" w:type="dxa"/>
            <w:vAlign w:val="center"/>
            <w:hideMark/>
          </w:tcPr>
          <w:p w14:paraId="3D31D4EA" w14:textId="4EB7047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BC1ED93" w14:textId="5FD15A14"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6CED055" w14:textId="25CC2870" w:rsidTr="00725D29">
        <w:trPr>
          <w:trHeight w:val="1590"/>
        </w:trPr>
        <w:tc>
          <w:tcPr>
            <w:tcW w:w="975" w:type="dxa"/>
            <w:hideMark/>
          </w:tcPr>
          <w:p w14:paraId="0CA9421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539.</w:t>
            </w:r>
          </w:p>
        </w:tc>
        <w:tc>
          <w:tcPr>
            <w:tcW w:w="2656" w:type="dxa"/>
            <w:hideMark/>
          </w:tcPr>
          <w:p w14:paraId="545A1A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FB34F9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D00FE7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182. Pri preukazovaní transpozície čl. 25 ods. 6 poslednej vety smernice (EÚ) 2023/1791 do vnútroštátneho právneho poriadku žiadame v štvrtom stĺpci predkladanej tabuľky zhody uvádzať aj zákon č. 657/2004 Z. z. v znení neskorších predpisov, keďže transpozícia sa preukazuje aj ustanoveniami, ktoré nie sú novelizované predkladaným návrhom zákona. Zároveň žiadame v šiestom stĺpci tabuľky zhody uvádzať celý text týchto ustanovení vrátane poznámok pod čiarou.</w:t>
            </w:r>
          </w:p>
        </w:tc>
        <w:tc>
          <w:tcPr>
            <w:tcW w:w="2264" w:type="dxa"/>
            <w:vAlign w:val="center"/>
            <w:hideMark/>
          </w:tcPr>
          <w:p w14:paraId="6A2FE8CF" w14:textId="3CF9A40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B034083" w14:textId="18D52153"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67D1F4F9" w14:textId="4B43A89B" w:rsidTr="00725D29">
        <w:trPr>
          <w:trHeight w:val="1590"/>
        </w:trPr>
        <w:tc>
          <w:tcPr>
            <w:tcW w:w="975" w:type="dxa"/>
            <w:hideMark/>
          </w:tcPr>
          <w:p w14:paraId="571B388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540.</w:t>
            </w:r>
          </w:p>
        </w:tc>
        <w:tc>
          <w:tcPr>
            <w:tcW w:w="2656" w:type="dxa"/>
            <w:hideMark/>
          </w:tcPr>
          <w:p w14:paraId="4A5553B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67A3D5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A8F4D7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183. Žiadame preukázať transpozíciu čl. 25 ods. 6 posledného pododseku smernice (EÚ) 2023/1791 do vnútroštátneho právneho poriadku. Máme za to, že uvádzané transpozičné opatrenia v šiestom stĺpci predkladanej tabuľky zhody nesúvisia s predmetom tohto ustanovenia.</w:t>
            </w:r>
          </w:p>
        </w:tc>
        <w:tc>
          <w:tcPr>
            <w:tcW w:w="2264" w:type="dxa"/>
            <w:vAlign w:val="center"/>
            <w:hideMark/>
          </w:tcPr>
          <w:p w14:paraId="469B2CBD" w14:textId="272F468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A102115" w14:textId="3A4ED8FF"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20532BF" w14:textId="4CA3B338" w:rsidTr="00725D29">
        <w:trPr>
          <w:trHeight w:val="1590"/>
        </w:trPr>
        <w:tc>
          <w:tcPr>
            <w:tcW w:w="975" w:type="dxa"/>
            <w:hideMark/>
          </w:tcPr>
          <w:p w14:paraId="7CAFE63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541.</w:t>
            </w:r>
          </w:p>
        </w:tc>
        <w:tc>
          <w:tcPr>
            <w:tcW w:w="2656" w:type="dxa"/>
            <w:hideMark/>
          </w:tcPr>
          <w:p w14:paraId="031F020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79D95B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38673A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184. Pri preukazovaní transpozície čl. 26 ods. 2 smernice (EÚ) 2023/1791 do vnútroštátneho právneho poriadku žiadame v treťom stĺpci predkladanej tabuľky zhody uvádzať označenie „D“, keďže ide o ustanovenie s dobrovoľnou transpozíciou, nie o transpozíciu s možnosťou voľby.</w:t>
            </w:r>
          </w:p>
        </w:tc>
        <w:tc>
          <w:tcPr>
            <w:tcW w:w="2264" w:type="dxa"/>
            <w:vAlign w:val="center"/>
            <w:hideMark/>
          </w:tcPr>
          <w:p w14:paraId="680F2E59" w14:textId="32CDEBA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971E905" w14:textId="3CE354B1"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D397127" w14:textId="39BE862F" w:rsidTr="00725D29">
        <w:trPr>
          <w:trHeight w:val="1590"/>
        </w:trPr>
        <w:tc>
          <w:tcPr>
            <w:tcW w:w="975" w:type="dxa"/>
            <w:hideMark/>
          </w:tcPr>
          <w:p w14:paraId="6C78794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542.</w:t>
            </w:r>
          </w:p>
        </w:tc>
        <w:tc>
          <w:tcPr>
            <w:tcW w:w="2656" w:type="dxa"/>
            <w:hideMark/>
          </w:tcPr>
          <w:p w14:paraId="64D1022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14CE4C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DF209E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185. Pri preukazovaní transpozície čl. 26 ods. 3 smernice (EÚ) 2023/1791 do vnútroštátneho právneho poriadku žiadame v treťom stĺpci predkladanej tabuľky zhody uvádzať označenie „D“, keďže ide o ustanovenie s dobrovoľnou transpozíciou, nie o transpozíciu s možnosťou voľby. Zároveň žiadame v šiestom stĺpci uvádzať znenie ustanovení v súlade s predkladaným návrhom zákona.</w:t>
            </w:r>
          </w:p>
        </w:tc>
        <w:tc>
          <w:tcPr>
            <w:tcW w:w="2264" w:type="dxa"/>
            <w:vAlign w:val="center"/>
            <w:hideMark/>
          </w:tcPr>
          <w:p w14:paraId="09739C32" w14:textId="213ABE1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33BEE80" w14:textId="7E54842C"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7D5D8113" w14:textId="7111F095" w:rsidTr="00725D29">
        <w:trPr>
          <w:trHeight w:val="1590"/>
        </w:trPr>
        <w:tc>
          <w:tcPr>
            <w:tcW w:w="975" w:type="dxa"/>
            <w:hideMark/>
          </w:tcPr>
          <w:p w14:paraId="3FB6B80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543.</w:t>
            </w:r>
          </w:p>
        </w:tc>
        <w:tc>
          <w:tcPr>
            <w:tcW w:w="2656" w:type="dxa"/>
            <w:hideMark/>
          </w:tcPr>
          <w:p w14:paraId="5FBF2D6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43E879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DE563C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186. Pri preukazovaní transpozície čl. 26 ods. 4 druhej vety smernice (EÚ) 2023/1791 do vnútroštátneho právneho poriadku žiadame v štvrtom stĺpci predkladanej tabuľky zhody uvádzať aj zákon č. 657/2004 Z. z. v znení neskorších predpisov, keďže transpozícia sa preukazuje aj ustanoveniami, ktoré nie sú novelizované predkladaným návrhom zákona a zároveň žiadame v šiestom stĺpci uvádzať účinné znenie týchto ustanovení. Zároveň žiadame v šiestom stĺpci uvádzať znenie ustanovení v súlade s predkladaným návrhom zákona a pri § 18a ods. 1 celé konsolidované znenie ustanovenia, nie iba znenie novelizačného bodu.</w:t>
            </w:r>
          </w:p>
        </w:tc>
        <w:tc>
          <w:tcPr>
            <w:tcW w:w="2264" w:type="dxa"/>
            <w:vAlign w:val="center"/>
            <w:hideMark/>
          </w:tcPr>
          <w:p w14:paraId="5431D003" w14:textId="697B373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605F38F" w14:textId="08F49CB8"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677D4019" w14:textId="75FB0454" w:rsidTr="00725D29">
        <w:trPr>
          <w:trHeight w:val="1590"/>
        </w:trPr>
        <w:tc>
          <w:tcPr>
            <w:tcW w:w="975" w:type="dxa"/>
            <w:hideMark/>
          </w:tcPr>
          <w:p w14:paraId="072DA4B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544.</w:t>
            </w:r>
          </w:p>
        </w:tc>
        <w:tc>
          <w:tcPr>
            <w:tcW w:w="2656" w:type="dxa"/>
            <w:hideMark/>
          </w:tcPr>
          <w:p w14:paraId="7D15198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82605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DB59D1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187. Pri preukazovaní transpozície čl. 26 ods. 4 písm. a) smernice (EÚ) 2023/1791 do vnútroštátneho právneho poriadku žiadame uvádzať znenie ustanovenia v súlade s predkladaným návrhom zákona.</w:t>
            </w:r>
          </w:p>
        </w:tc>
        <w:tc>
          <w:tcPr>
            <w:tcW w:w="2264" w:type="dxa"/>
            <w:vAlign w:val="center"/>
            <w:hideMark/>
          </w:tcPr>
          <w:p w14:paraId="3B59BA14" w14:textId="74B8383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C446901" w14:textId="7EBA99CC"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CD44660" w14:textId="5AEA5738" w:rsidTr="00725D29">
        <w:trPr>
          <w:trHeight w:val="1590"/>
        </w:trPr>
        <w:tc>
          <w:tcPr>
            <w:tcW w:w="975" w:type="dxa"/>
            <w:hideMark/>
          </w:tcPr>
          <w:p w14:paraId="4B10FF4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545.</w:t>
            </w:r>
          </w:p>
        </w:tc>
        <w:tc>
          <w:tcPr>
            <w:tcW w:w="2656" w:type="dxa"/>
            <w:hideMark/>
          </w:tcPr>
          <w:p w14:paraId="661E653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71CE23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A1E400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188. Žiadame preukázať transpozíciu čl. 26 ods. 4 písm. b) smernice (EÚ) 2023/1791 do vnútroštátneho právneho poriadku. Máme za to, že uvádzané transpozičné opatrenia v šiestom stĺpci predkladanej tabuľky zhody nesúvisia s predmetom tohto ustanovenia.</w:t>
            </w:r>
          </w:p>
        </w:tc>
        <w:tc>
          <w:tcPr>
            <w:tcW w:w="2264" w:type="dxa"/>
            <w:vAlign w:val="center"/>
            <w:hideMark/>
          </w:tcPr>
          <w:p w14:paraId="258B184C" w14:textId="5BBC9DA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42FE796" w14:textId="67133E10"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E261927" w14:textId="7D1FE349" w:rsidTr="00725D29">
        <w:trPr>
          <w:trHeight w:val="1590"/>
        </w:trPr>
        <w:tc>
          <w:tcPr>
            <w:tcW w:w="975" w:type="dxa"/>
            <w:hideMark/>
          </w:tcPr>
          <w:p w14:paraId="169CA56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546.</w:t>
            </w:r>
          </w:p>
        </w:tc>
        <w:tc>
          <w:tcPr>
            <w:tcW w:w="2656" w:type="dxa"/>
            <w:hideMark/>
          </w:tcPr>
          <w:p w14:paraId="1281E95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CE1535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B464AC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189. Pri preukazovaní transpozície čl. 26 ods. 5 smernice (EÚ) 2023/1791 do vnútroštátneho právneho poriadku žiadame uvádzať znenie ustanovenia v súlade s predkladaným návrhom zákona a pri § 18a ods. 1 celé konsolidované znenie ustanovenia, nie iba znenie novelizačného bodu.</w:t>
            </w:r>
          </w:p>
        </w:tc>
        <w:tc>
          <w:tcPr>
            <w:tcW w:w="2264" w:type="dxa"/>
            <w:vAlign w:val="center"/>
            <w:hideMark/>
          </w:tcPr>
          <w:p w14:paraId="22AF93E7" w14:textId="19BD146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4C9D611" w14:textId="4CCB50B6"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6A4D6BE2" w14:textId="66BAB411" w:rsidTr="00725D29">
        <w:trPr>
          <w:trHeight w:val="1590"/>
        </w:trPr>
        <w:tc>
          <w:tcPr>
            <w:tcW w:w="975" w:type="dxa"/>
            <w:hideMark/>
          </w:tcPr>
          <w:p w14:paraId="669FB1E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547.</w:t>
            </w:r>
          </w:p>
        </w:tc>
        <w:tc>
          <w:tcPr>
            <w:tcW w:w="2656" w:type="dxa"/>
            <w:hideMark/>
          </w:tcPr>
          <w:p w14:paraId="1777CDD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A21A24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75B557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190. Žiadame preukázať transpozíciu čl. 26 ods. 5 smernice (EÚ) 2023/1791 do vnútroštátneho právneho poriadku. Máme za to, že uvádzané transpozičné opatrenia nie sú dostatočné na preukázanie úplnej transpozície.</w:t>
            </w:r>
          </w:p>
        </w:tc>
        <w:tc>
          <w:tcPr>
            <w:tcW w:w="2264" w:type="dxa"/>
            <w:vAlign w:val="center"/>
            <w:hideMark/>
          </w:tcPr>
          <w:p w14:paraId="75EA5745" w14:textId="01B1EB7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A22F63E" w14:textId="76AA5AA6"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AA7ED1B" w14:textId="1EADCCE3" w:rsidTr="00725D29">
        <w:trPr>
          <w:trHeight w:val="1590"/>
        </w:trPr>
        <w:tc>
          <w:tcPr>
            <w:tcW w:w="975" w:type="dxa"/>
            <w:hideMark/>
          </w:tcPr>
          <w:p w14:paraId="3730A24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548.</w:t>
            </w:r>
          </w:p>
        </w:tc>
        <w:tc>
          <w:tcPr>
            <w:tcW w:w="2656" w:type="dxa"/>
            <w:hideMark/>
          </w:tcPr>
          <w:p w14:paraId="5FCD79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8C2729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6B2C4E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191. Žiadame preukázať transpozíciu čl. 26 ods. 6 smernice (EÚ) 2023/1791 do vnútroštátneho právneho poriadku. Máme za to, že uvádzané transpozičné opatrenia nie sú 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1339892C" w14:textId="2A10DC8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15024FE" w14:textId="04008B86"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5BCA33F" w14:textId="2D91A4F8" w:rsidTr="00725D29">
        <w:trPr>
          <w:trHeight w:val="1590"/>
        </w:trPr>
        <w:tc>
          <w:tcPr>
            <w:tcW w:w="975" w:type="dxa"/>
            <w:hideMark/>
          </w:tcPr>
          <w:p w14:paraId="373FED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549.</w:t>
            </w:r>
          </w:p>
        </w:tc>
        <w:tc>
          <w:tcPr>
            <w:tcW w:w="2656" w:type="dxa"/>
            <w:hideMark/>
          </w:tcPr>
          <w:p w14:paraId="2A89957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B37BC2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439769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192. Žiadame preukázať transpozíciu čl. 26 ods. 7 prvého pododseku smernice (EÚ) 2023/1791 do vnútroštátneho právneho poriadku. Zároveň žiadame vyplniť štvrtý stĺpec predkladanej tabuľky zhody. Súčasne upozorňujeme na skutočnosť, že text uvádzaný v šiestom stĺpci predkladanej tabuľky zhody nie je zhodný s textom účinného znenia zákona č. 657/2004 Z. z. v znení neskorších predpisov a je potrebné uvádzať celý text transpozičných ustanovení vrátane poznámok pod čiarou.</w:t>
            </w:r>
          </w:p>
        </w:tc>
        <w:tc>
          <w:tcPr>
            <w:tcW w:w="2264" w:type="dxa"/>
            <w:vAlign w:val="center"/>
            <w:hideMark/>
          </w:tcPr>
          <w:p w14:paraId="4B882E17" w14:textId="14FC6C9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25D0604" w14:textId="2436464C"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0471D8F" w14:textId="38E9A4BA" w:rsidTr="00725D29">
        <w:trPr>
          <w:trHeight w:val="1590"/>
        </w:trPr>
        <w:tc>
          <w:tcPr>
            <w:tcW w:w="975" w:type="dxa"/>
            <w:hideMark/>
          </w:tcPr>
          <w:p w14:paraId="30CF488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550.</w:t>
            </w:r>
          </w:p>
        </w:tc>
        <w:tc>
          <w:tcPr>
            <w:tcW w:w="2656" w:type="dxa"/>
            <w:hideMark/>
          </w:tcPr>
          <w:p w14:paraId="1B1F50E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B701F5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76F098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193. Pri preukazovaní transpozície čl. 26 ods. 7 smernice (EÚ) 2023/1791 do vnútroštátneho právneho poriadku žiadame vyplniť štvrtý stĺpec predkladanej tabuľky zhody.</w:t>
            </w:r>
          </w:p>
        </w:tc>
        <w:tc>
          <w:tcPr>
            <w:tcW w:w="2264" w:type="dxa"/>
            <w:vAlign w:val="center"/>
            <w:hideMark/>
          </w:tcPr>
          <w:p w14:paraId="39CD2702" w14:textId="4203BD7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E5E3C97" w14:textId="1BEFB000"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0FC1F99" w14:textId="72439090" w:rsidTr="00725D29">
        <w:trPr>
          <w:trHeight w:val="1590"/>
        </w:trPr>
        <w:tc>
          <w:tcPr>
            <w:tcW w:w="975" w:type="dxa"/>
            <w:hideMark/>
          </w:tcPr>
          <w:p w14:paraId="5345D35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551.</w:t>
            </w:r>
          </w:p>
        </w:tc>
        <w:tc>
          <w:tcPr>
            <w:tcW w:w="2656" w:type="dxa"/>
            <w:hideMark/>
          </w:tcPr>
          <w:p w14:paraId="38C962A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0DAADC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048C67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194. Žiadame preukázať transpozíciu čl. 26 ods. 7 smernice (EÚ) 2023/1791 do vnútroštátneho právneho poriadku. Máme za to, že uvádzané transpozičné opatrenia nie sú dostatočné na preukázanie úplnej transpozície. Smernica (EÚ) 2023/1791 stanovuje členskému štátu povinnosť zabezpečenia analýzy nákladov a prínosov na úrovni jednotlivých zariadení v prípade ak sú novo plánované alebo významne obnovené zariadenia uvedené v písm. a) až d). Máme za to, že uvádzané transpozičné opatrenia v šiestom stĺpci predkladanej tabuľky zhody nesúvisia s predmetom tohto ustanovenia. Zároveň upozorňujeme na skutočnosť, že text uvádzaný v šiestom stĺpci predkladanej tabuľky zhody nie je zhodný s textom predkladaného návrhu zákona.</w:t>
            </w:r>
          </w:p>
        </w:tc>
        <w:tc>
          <w:tcPr>
            <w:tcW w:w="2264" w:type="dxa"/>
            <w:vAlign w:val="center"/>
            <w:hideMark/>
          </w:tcPr>
          <w:p w14:paraId="02F1A429" w14:textId="07DF14E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B337AD6" w14:textId="7960B8FB"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4C8F15EB" w14:textId="2ADB9059" w:rsidTr="00725D29">
        <w:trPr>
          <w:trHeight w:val="1590"/>
        </w:trPr>
        <w:tc>
          <w:tcPr>
            <w:tcW w:w="975" w:type="dxa"/>
            <w:hideMark/>
          </w:tcPr>
          <w:p w14:paraId="73550F8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552.</w:t>
            </w:r>
          </w:p>
        </w:tc>
        <w:tc>
          <w:tcPr>
            <w:tcW w:w="2656" w:type="dxa"/>
            <w:hideMark/>
          </w:tcPr>
          <w:p w14:paraId="21428A0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0B55D4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8C710A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195. Žiadame preukázať transpozíciu čl. 26 ods. 7 druhého pododseku smernice (EÚ) 2023/1791 do vnútroštátneho právneho poriadku. Máme za to, že uvádzané transpozičné opatrenia nie sú 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27D6BD8C" w14:textId="7AEE9BA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4326665" w14:textId="62E4D0E0"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E524EF9" w14:textId="60CCF4B3" w:rsidTr="00725D29">
        <w:trPr>
          <w:trHeight w:val="1590"/>
        </w:trPr>
        <w:tc>
          <w:tcPr>
            <w:tcW w:w="975" w:type="dxa"/>
            <w:hideMark/>
          </w:tcPr>
          <w:p w14:paraId="2848C17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553.</w:t>
            </w:r>
          </w:p>
        </w:tc>
        <w:tc>
          <w:tcPr>
            <w:tcW w:w="2656" w:type="dxa"/>
            <w:hideMark/>
          </w:tcPr>
          <w:p w14:paraId="0A33F8E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6E0B8F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624D00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196. Žiadame preukázať transpozíciu čl. 26 ods. 7 tretieho pododseku smernice (EÚ) 2023/1791 do vnútroštátneho právneho poriadku. Zároveň žiadame v šiestom stĺpci predkladanej tabuľky zhody uvádzať celé konsolidované znenie novelizovaných ustanovení.</w:t>
            </w:r>
          </w:p>
        </w:tc>
        <w:tc>
          <w:tcPr>
            <w:tcW w:w="2264" w:type="dxa"/>
            <w:vAlign w:val="center"/>
            <w:hideMark/>
          </w:tcPr>
          <w:p w14:paraId="7D4D260E" w14:textId="24DCBE3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3B9E9FD" w14:textId="1C809E71"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363C1180" w14:textId="6236B169" w:rsidTr="00725D29">
        <w:trPr>
          <w:trHeight w:val="1590"/>
        </w:trPr>
        <w:tc>
          <w:tcPr>
            <w:tcW w:w="975" w:type="dxa"/>
            <w:hideMark/>
          </w:tcPr>
          <w:p w14:paraId="16AC8BE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554.</w:t>
            </w:r>
          </w:p>
        </w:tc>
        <w:tc>
          <w:tcPr>
            <w:tcW w:w="2656" w:type="dxa"/>
            <w:hideMark/>
          </w:tcPr>
          <w:p w14:paraId="7480413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753819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99FAC8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197. Pri preukazovaní transpozície čl. 26 ods. 7 štvrtého pododseku smernice (EÚ) 2023/1791 do vnútroštátneho právneho poriadku žiadame vyplniť štvrtý stĺpec predkladanej tabuľky zhody.</w:t>
            </w:r>
          </w:p>
        </w:tc>
        <w:tc>
          <w:tcPr>
            <w:tcW w:w="2264" w:type="dxa"/>
            <w:vAlign w:val="center"/>
            <w:hideMark/>
          </w:tcPr>
          <w:p w14:paraId="5DAA0703" w14:textId="155BD4A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EDBEDBB" w14:textId="44809086"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9D59846" w14:textId="7D4022DA" w:rsidTr="00725D29">
        <w:trPr>
          <w:trHeight w:val="1590"/>
        </w:trPr>
        <w:tc>
          <w:tcPr>
            <w:tcW w:w="975" w:type="dxa"/>
            <w:hideMark/>
          </w:tcPr>
          <w:p w14:paraId="39782AE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555.</w:t>
            </w:r>
          </w:p>
        </w:tc>
        <w:tc>
          <w:tcPr>
            <w:tcW w:w="2656" w:type="dxa"/>
            <w:hideMark/>
          </w:tcPr>
          <w:p w14:paraId="52138E4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3452A6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F77B21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198. Žiadame preukázať transpozíciu čl. 26 ods. 7 štvrtého pododseku smernice (EÚ) 2023/1791 do vnútroštátneho právneho poriadku. Máme za to, že uvádzané transpozičné opatrenia nie sú dostatočné na preukázanie úplnej transpozície.</w:t>
            </w:r>
          </w:p>
        </w:tc>
        <w:tc>
          <w:tcPr>
            <w:tcW w:w="2264" w:type="dxa"/>
            <w:vAlign w:val="center"/>
            <w:hideMark/>
          </w:tcPr>
          <w:p w14:paraId="4DF8EB6F" w14:textId="7BE8CEC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16CE68D" w14:textId="32690E7C"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3FB2A95C" w14:textId="4FEE08BD" w:rsidTr="00725D29">
        <w:trPr>
          <w:trHeight w:val="1590"/>
        </w:trPr>
        <w:tc>
          <w:tcPr>
            <w:tcW w:w="975" w:type="dxa"/>
            <w:hideMark/>
          </w:tcPr>
          <w:p w14:paraId="023F823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556.</w:t>
            </w:r>
          </w:p>
        </w:tc>
        <w:tc>
          <w:tcPr>
            <w:tcW w:w="2656" w:type="dxa"/>
            <w:hideMark/>
          </w:tcPr>
          <w:p w14:paraId="5973F23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021021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D5983A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199. Pri preukazovaní transpozície čl. 26 ods. 7 piateho pododseku smernice (EÚ) 2023/1791 do vnútroštátneho právneho poriadku žiadame vyplniť štvrtý stĺpec predkladanej tabuľky zhody. Zároveň upozorňujeme na skutočnosť, že text uvádzaný v šiestom stĺpci predkladanej tabuľky zhody nie je zhodný s účinným znením zákona č. 251/2012 Z. z. v znení neskorších predpisov.</w:t>
            </w:r>
          </w:p>
        </w:tc>
        <w:tc>
          <w:tcPr>
            <w:tcW w:w="2264" w:type="dxa"/>
            <w:vAlign w:val="center"/>
            <w:hideMark/>
          </w:tcPr>
          <w:p w14:paraId="0E1D1F20" w14:textId="3613266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E3FC69A" w14:textId="019041EB"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6B9A2A6" w14:textId="6CB053DE" w:rsidTr="00725D29">
        <w:trPr>
          <w:trHeight w:val="1590"/>
        </w:trPr>
        <w:tc>
          <w:tcPr>
            <w:tcW w:w="975" w:type="dxa"/>
            <w:hideMark/>
          </w:tcPr>
          <w:p w14:paraId="4417F6B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557.</w:t>
            </w:r>
          </w:p>
        </w:tc>
        <w:tc>
          <w:tcPr>
            <w:tcW w:w="2656" w:type="dxa"/>
            <w:hideMark/>
          </w:tcPr>
          <w:p w14:paraId="6661224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76CB61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0916D7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200. Pri preukazovaní transpozície čl. 26 ods. 8 smernice (EÚ) 2023/1791 do vnútroštátneho právneho poriadku nie je zrejmé, či chceme alebo nechceme realizovať dobrovoľnú transpozíciu. V prípade, že chceme transponovať čl. 26 ods. 8 smernice (EÚ) 2023/1791, žiadame uviesť relevantné transpozičné opatrenia v šiestom stĺpci predkladanej tabuľky zhody. Aktuálne uvádzané transpozičné ustanovenia považujeme za nesúvisiace. V prípade, že sa táto dobrovoľná transpozícia nevyužíva žiadame vypustiť text z štvrtého, piateho, šiesteho a siedmeho stĺpca predkladanej tabuľky zhody. Zároveň upozorňujeme na skutočnosť, že text uvádzaný v šiestom stĺpci predkladanej tabuľky zhody nie je zhodný s účinným znením zákona č. 251/2012 Z. z. v znení neskorších predpisov.</w:t>
            </w:r>
          </w:p>
        </w:tc>
        <w:tc>
          <w:tcPr>
            <w:tcW w:w="2264" w:type="dxa"/>
            <w:vAlign w:val="center"/>
            <w:hideMark/>
          </w:tcPr>
          <w:p w14:paraId="4621260D" w14:textId="5166437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0BDA6EE" w14:textId="4B9DF3E8"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674D8BAA" w14:textId="6E1290B6" w:rsidTr="00725D29">
        <w:trPr>
          <w:trHeight w:val="1590"/>
        </w:trPr>
        <w:tc>
          <w:tcPr>
            <w:tcW w:w="975" w:type="dxa"/>
            <w:hideMark/>
          </w:tcPr>
          <w:p w14:paraId="1AA177E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558.</w:t>
            </w:r>
          </w:p>
        </w:tc>
        <w:tc>
          <w:tcPr>
            <w:tcW w:w="2656" w:type="dxa"/>
            <w:hideMark/>
          </w:tcPr>
          <w:p w14:paraId="3F817D5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5B37A4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1676A0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201. Žiadame preukázať transpozíciu čl. 26 ods. 9 smernice (EÚ) 2023/1791 do vnútroštátneho právneho poriadku. Máme za to, že uvádzané transpozičné opatrenia nie sú dostatočné na preukázanie úplnej transpozície. Smernica (EÚ) 2023/1791 stanovuje povinnosť členského štátu prijať kritéria udelenia povoľovaní alebo rovnocenné povoľovacie kritéria s cieľmi uvedenými v písm. a) až c). Slovenská právna úprava, ktorou sa preukazuje transpozícia tohto ustanovenia však určuje len všeobecnú povinnosť ministerstva zverejniť kritéria na svojom webovom sídle. Zároveň žiadame pri preukazovaní transpozície vyplniť štvrtý a piaty stĺpec predkladanej tabuľky zhody.</w:t>
            </w:r>
          </w:p>
        </w:tc>
        <w:tc>
          <w:tcPr>
            <w:tcW w:w="2264" w:type="dxa"/>
            <w:vAlign w:val="center"/>
            <w:hideMark/>
          </w:tcPr>
          <w:p w14:paraId="675CA0FB" w14:textId="57B50B7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798ADB9" w14:textId="577DD9D0"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6578CBF0" w14:textId="32DC2686" w:rsidTr="00725D29">
        <w:trPr>
          <w:trHeight w:val="1590"/>
        </w:trPr>
        <w:tc>
          <w:tcPr>
            <w:tcW w:w="975" w:type="dxa"/>
            <w:hideMark/>
          </w:tcPr>
          <w:p w14:paraId="24F3E37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559.</w:t>
            </w:r>
          </w:p>
        </w:tc>
        <w:tc>
          <w:tcPr>
            <w:tcW w:w="2656" w:type="dxa"/>
            <w:hideMark/>
          </w:tcPr>
          <w:p w14:paraId="3B69CC2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4C9ED6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1A55E3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202. Pri preukazovaní transpozície čl. 26 ods. 10 smernice (EÚ) 2023/1791 do vnútroštátneho právneho poriadku nie je zrejmé, či chceme alebo nechceme realizovať dobrovoľnú transpozíciu. V prípade, že chceme transponovať čl. 26 ods. 10 smernice (EÚ) 2023/1791, žiadame uviesť relevantné transpozičné opatrenia v šiestom stĺpci predkladanej tabuľky zhody. Aktuálne uvádzané transpozičné ustanovenia považujeme za nesúvisiace. V prípade, že sa táto dobrovoľná transpozícia nevyužíva žiadame vypustiť text zo šiesteho a siedmeho stĺpca predkladanej tabuľky zhody.</w:t>
            </w:r>
          </w:p>
        </w:tc>
        <w:tc>
          <w:tcPr>
            <w:tcW w:w="2264" w:type="dxa"/>
            <w:vAlign w:val="center"/>
            <w:hideMark/>
          </w:tcPr>
          <w:p w14:paraId="301C16A2" w14:textId="0760562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09D1699" w14:textId="1CFA2509"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76187792" w14:textId="21C6CFC9" w:rsidTr="00725D29">
        <w:trPr>
          <w:trHeight w:val="1590"/>
        </w:trPr>
        <w:tc>
          <w:tcPr>
            <w:tcW w:w="975" w:type="dxa"/>
            <w:hideMark/>
          </w:tcPr>
          <w:p w14:paraId="6634A6A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560.</w:t>
            </w:r>
          </w:p>
        </w:tc>
        <w:tc>
          <w:tcPr>
            <w:tcW w:w="2656" w:type="dxa"/>
            <w:hideMark/>
          </w:tcPr>
          <w:p w14:paraId="0CEA472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2B8B85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38520F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203. Pri preukazovaní transpozície čl. 26 ods. 11 smernice (EÚ) 2023/1791 do vnútroštátneho právneho poriadku žiadame vyplniť štvrtý a piaty stĺpec predkladanej tabuľky zhody.</w:t>
            </w:r>
          </w:p>
        </w:tc>
        <w:tc>
          <w:tcPr>
            <w:tcW w:w="2264" w:type="dxa"/>
            <w:vAlign w:val="center"/>
            <w:hideMark/>
          </w:tcPr>
          <w:p w14:paraId="354EC6DA" w14:textId="0E2B556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A2F5D3B" w14:textId="30AC2FA2"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734603BA" w14:textId="645CF129" w:rsidTr="00725D29">
        <w:trPr>
          <w:trHeight w:val="1590"/>
        </w:trPr>
        <w:tc>
          <w:tcPr>
            <w:tcW w:w="975" w:type="dxa"/>
            <w:hideMark/>
          </w:tcPr>
          <w:p w14:paraId="23B025C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561.</w:t>
            </w:r>
          </w:p>
        </w:tc>
        <w:tc>
          <w:tcPr>
            <w:tcW w:w="2656" w:type="dxa"/>
            <w:hideMark/>
          </w:tcPr>
          <w:p w14:paraId="37A557E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D2AC76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D30D65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204. Žiadame preukázať transpozíciu čl. 26 ods. 12 smernice (EÚ) 2023/1791 do vnútroštátneho právneho poriadku. Máme za to, že uvádzané transpozičné opatrenia nie sú dostatočné na preukázanie úplnej transpozície. Smernica (EÚ) 2023/1791 stanovuje povinnosť zbierať informácie o analýzach nákladov a prínosov, minimálne náležitosti analýzy a uverejnenie údajov. Slovenská právna úprava, ktorou sa preukazuje transpozícia tohto ustanovenia však obsahuje len povinnosť ministerstva viesť evidenciu žiadateľov o vydanie osvedčenia na výstavbu energetického zariadenia a jej zverejnenie. Zároveň žiadame pri preukazovaní transpozície vyplniť štvrtý a piaty stĺpec predkladanej tabuľky zhody.</w:t>
            </w:r>
          </w:p>
        </w:tc>
        <w:tc>
          <w:tcPr>
            <w:tcW w:w="2264" w:type="dxa"/>
            <w:vAlign w:val="center"/>
            <w:hideMark/>
          </w:tcPr>
          <w:p w14:paraId="659BC795" w14:textId="5D6B0B7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4448243" w14:textId="1243C04F"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2EC9AA4E" w14:textId="41B8A9D5" w:rsidTr="00725D29">
        <w:trPr>
          <w:trHeight w:val="1590"/>
        </w:trPr>
        <w:tc>
          <w:tcPr>
            <w:tcW w:w="975" w:type="dxa"/>
            <w:hideMark/>
          </w:tcPr>
          <w:p w14:paraId="6009EA0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562.</w:t>
            </w:r>
          </w:p>
        </w:tc>
        <w:tc>
          <w:tcPr>
            <w:tcW w:w="2656" w:type="dxa"/>
            <w:hideMark/>
          </w:tcPr>
          <w:p w14:paraId="776431A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9D20AC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9F4E4E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205. Pri preukazovaní transpozície čl. 26 ods. 13 smernice (EÚ) 2023/1791 do vnútroštátneho právneho poriadku žiadame vyplniť štvrtý a piaty stĺpec predkladanej tabuľky zhody. V šiestom stĺpci tabuľky zhody žiadame uvádzať celé znenie transpozičného ustanovenia vrátane poznámok pod čiarou. Súčasne upozorňujeme na skutočnosť, že text uvádzaný v šiestom stĺpci predkladanej tabuľky zhody nie je zhodný s textom účinného znenia zákona č. 309/2009 Z. z. v znení neskorších predpisov. Druhú polovicu čl. 26 ods. 13 smernice (EÚ) 2023/1791 do vnútroštátneho právneho poriadku predkladateľ preukazuje § 8a ods. 11 a 12 zákona č. 309/2009 Z. z. v znení neskorších predpisov, ktoré v účinnom znení tohto právneho predpisu neexistujú.</w:t>
            </w:r>
          </w:p>
        </w:tc>
        <w:tc>
          <w:tcPr>
            <w:tcW w:w="2264" w:type="dxa"/>
            <w:vAlign w:val="center"/>
            <w:hideMark/>
          </w:tcPr>
          <w:p w14:paraId="72FDBBD1" w14:textId="34A1E40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B1B3B96" w14:textId="1873AC61"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4CD0D210" w14:textId="277B7F53" w:rsidTr="00725D29">
        <w:trPr>
          <w:trHeight w:val="1590"/>
        </w:trPr>
        <w:tc>
          <w:tcPr>
            <w:tcW w:w="975" w:type="dxa"/>
            <w:hideMark/>
          </w:tcPr>
          <w:p w14:paraId="099750C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563.</w:t>
            </w:r>
          </w:p>
        </w:tc>
        <w:tc>
          <w:tcPr>
            <w:tcW w:w="2656" w:type="dxa"/>
            <w:hideMark/>
          </w:tcPr>
          <w:p w14:paraId="0D01842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E36D08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7EAFCD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206. Pri preukazovaní transpozície čl. 26 ods. 14 smernice (EÚ) 2023/1791 do vnútroštátneho právneho poriadku žiadame vyplniť štvrtý a piaty stĺpec predkladanej tabuľky zhody.</w:t>
            </w:r>
          </w:p>
        </w:tc>
        <w:tc>
          <w:tcPr>
            <w:tcW w:w="2264" w:type="dxa"/>
            <w:vAlign w:val="center"/>
            <w:hideMark/>
          </w:tcPr>
          <w:p w14:paraId="3CF2EBF2" w14:textId="6FE4E68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E5277F5" w14:textId="025019DF"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6491CCFD" w14:textId="69384FB1" w:rsidTr="00725D29">
        <w:trPr>
          <w:trHeight w:val="1590"/>
        </w:trPr>
        <w:tc>
          <w:tcPr>
            <w:tcW w:w="975" w:type="dxa"/>
            <w:hideMark/>
          </w:tcPr>
          <w:p w14:paraId="021784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564.</w:t>
            </w:r>
          </w:p>
        </w:tc>
        <w:tc>
          <w:tcPr>
            <w:tcW w:w="2656" w:type="dxa"/>
            <w:hideMark/>
          </w:tcPr>
          <w:p w14:paraId="5B3F66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A47F7A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5F48CA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207. Žiadame preukázať transpozíciu čl. 26 ods. 14 smernice (EÚ) 2023/1791 do vnútroštátneho právneho poriadku. Máme za to, že uvádzané transpozičné opatrenia nie sú dostatočné na preukázanie úplnej transpozície. Smernica (EÚ) 2023/1791 stanovuje povinnosť členského štátu zabezpečiť aby každá dostupná podpora pre kombinovanú výrobu bola podmienená výrobou elektriny pochádzajúcej z vysokoúčinnej kombinovanej výroby a efektívnym využívaním odpadového tepla, pričom slovenská právna úprava ani nespomína využívanie odpadového tepla. Súčasne upozorňujeme na skutočnosť, že text uvádzaný v šiestom stĺpci predkladanej tabuľky zhody nie je zhodný s textom účinného znenia zákona č. 309/2009 Z. z. v znení neskorších predpisov.</w:t>
            </w:r>
          </w:p>
        </w:tc>
        <w:tc>
          <w:tcPr>
            <w:tcW w:w="2264" w:type="dxa"/>
            <w:vAlign w:val="center"/>
            <w:hideMark/>
          </w:tcPr>
          <w:p w14:paraId="31C57582" w14:textId="6DDDF1E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F39B997" w14:textId="5BE3B0DC"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05390220" w14:textId="72A02188" w:rsidTr="00725D29">
        <w:trPr>
          <w:trHeight w:val="1590"/>
        </w:trPr>
        <w:tc>
          <w:tcPr>
            <w:tcW w:w="975" w:type="dxa"/>
            <w:hideMark/>
          </w:tcPr>
          <w:p w14:paraId="4871FEE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565.</w:t>
            </w:r>
          </w:p>
        </w:tc>
        <w:tc>
          <w:tcPr>
            <w:tcW w:w="2656" w:type="dxa"/>
            <w:hideMark/>
          </w:tcPr>
          <w:p w14:paraId="584D649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C1A0D2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E76EEB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208. Žiadame preukázať transpozíciu čl. 26 ods. 14 druhej vety smernice (EÚ) 2023/1791 do vnútroštátneho právneho poriadku, nakoľko sa jedná o ustanovenia s bežnou transpozíciou. Zároveň žiadame vypustiť text z ôsmeho stĺpca predkladanej tabuľky zhody.</w:t>
            </w:r>
          </w:p>
        </w:tc>
        <w:tc>
          <w:tcPr>
            <w:tcW w:w="2264" w:type="dxa"/>
            <w:vAlign w:val="center"/>
            <w:hideMark/>
          </w:tcPr>
          <w:p w14:paraId="33B033F3" w14:textId="5822552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9C5D2EA" w14:textId="26B2D934"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1BFC2D45" w14:textId="0D453DE8" w:rsidTr="00725D29">
        <w:trPr>
          <w:trHeight w:val="1590"/>
        </w:trPr>
        <w:tc>
          <w:tcPr>
            <w:tcW w:w="975" w:type="dxa"/>
            <w:hideMark/>
          </w:tcPr>
          <w:p w14:paraId="7713320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566.</w:t>
            </w:r>
          </w:p>
        </w:tc>
        <w:tc>
          <w:tcPr>
            <w:tcW w:w="2656" w:type="dxa"/>
            <w:hideMark/>
          </w:tcPr>
          <w:p w14:paraId="3674384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39FB29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092360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209. Pri preukazovaní transpozície čl. 27 ods. 1 smernice (EÚ) 2023/1791 do vnútroštátneho právneho poriadku žiadame v štvrtom stĺpci predkladanej tabuľky zhody uvádzať predkladaný návrh zákona, keďže sa transpozícia preukazuje ustanovením, ktoré sa predkladaným návrhom zákona novelizuje.</w:t>
            </w:r>
          </w:p>
        </w:tc>
        <w:tc>
          <w:tcPr>
            <w:tcW w:w="2264" w:type="dxa"/>
            <w:vAlign w:val="center"/>
            <w:hideMark/>
          </w:tcPr>
          <w:p w14:paraId="44304E3D" w14:textId="5351A73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C3658DF" w14:textId="0E512A7C" w:rsidR="00725D29" w:rsidRPr="00BC49FC" w:rsidRDefault="00725D29" w:rsidP="00725D29">
            <w:pPr>
              <w:rPr>
                <w:rFonts w:ascii="Times New Roman" w:hAnsi="Times New Roman" w:cs="Times New Roman"/>
                <w:b/>
                <w:bCs/>
              </w:rPr>
            </w:pPr>
            <w:r>
              <w:rPr>
                <w:b/>
                <w:bCs/>
                <w:color w:val="000000"/>
              </w:rPr>
              <w:t>Akceptované a dopracované.</w:t>
            </w:r>
          </w:p>
        </w:tc>
      </w:tr>
      <w:tr w:rsidR="00725D29" w:rsidRPr="006278D2" w14:paraId="56ABF148" w14:textId="3729D170" w:rsidTr="00725D29">
        <w:trPr>
          <w:trHeight w:val="1590"/>
        </w:trPr>
        <w:tc>
          <w:tcPr>
            <w:tcW w:w="975" w:type="dxa"/>
            <w:hideMark/>
          </w:tcPr>
          <w:p w14:paraId="346163C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567.</w:t>
            </w:r>
          </w:p>
        </w:tc>
        <w:tc>
          <w:tcPr>
            <w:tcW w:w="2656" w:type="dxa"/>
            <w:hideMark/>
          </w:tcPr>
          <w:p w14:paraId="173D3CC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35191A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B4EB5E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210. Pri preukazovaní transpozície čl. 27 ods. 1 druhej vety smernice (EÚ) 2023/1791 do vnútroštátneho právneho poriadku žiadame v treťom stĺpci predkladanej tabuľky zhody uvádzať označenie „D“, keďže ide o ustanovenie s dobrovoľnou transpozíciou, nie o transpozíciu s možnosťou voľby.</w:t>
            </w:r>
          </w:p>
        </w:tc>
        <w:tc>
          <w:tcPr>
            <w:tcW w:w="2264" w:type="dxa"/>
            <w:vAlign w:val="center"/>
            <w:hideMark/>
          </w:tcPr>
          <w:p w14:paraId="65A60649" w14:textId="1D0EE42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D4BF969" w14:textId="108558FF"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55702774" w14:textId="3F4059A0" w:rsidTr="00725D29">
        <w:trPr>
          <w:trHeight w:val="1590"/>
        </w:trPr>
        <w:tc>
          <w:tcPr>
            <w:tcW w:w="975" w:type="dxa"/>
            <w:hideMark/>
          </w:tcPr>
          <w:p w14:paraId="1D54439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568.</w:t>
            </w:r>
          </w:p>
        </w:tc>
        <w:tc>
          <w:tcPr>
            <w:tcW w:w="2656" w:type="dxa"/>
            <w:hideMark/>
          </w:tcPr>
          <w:p w14:paraId="44B1583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292DCF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7341AD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211. Pri preukazovaní transpozície čl. 27 ods. 2 smernice (EÚ) 2023/1791 do vnútroštátneho právneho poriadku žiadame v štvrtom stĺpci predkladanej tabuľky zhody uvádzať predkladaný návrh zákona, keďže sa transpozícia preukazuje ustanoveniami, ktoré sa predkladaným návrhom zákona novelizuje. Zároveň žiadame v šiestom stĺpci uvádzať celé konsolidované znenie ustanovení, nie iba znenie novelizačných bodov.</w:t>
            </w:r>
          </w:p>
        </w:tc>
        <w:tc>
          <w:tcPr>
            <w:tcW w:w="2264" w:type="dxa"/>
            <w:vAlign w:val="center"/>
            <w:hideMark/>
          </w:tcPr>
          <w:p w14:paraId="64F78B64" w14:textId="1D8EC8D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7AB65E1" w14:textId="238306DE"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611F69C9" w14:textId="2C61D992" w:rsidTr="00725D29">
        <w:trPr>
          <w:trHeight w:val="1590"/>
        </w:trPr>
        <w:tc>
          <w:tcPr>
            <w:tcW w:w="975" w:type="dxa"/>
            <w:hideMark/>
          </w:tcPr>
          <w:p w14:paraId="4AA6684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569.</w:t>
            </w:r>
          </w:p>
        </w:tc>
        <w:tc>
          <w:tcPr>
            <w:tcW w:w="2656" w:type="dxa"/>
            <w:hideMark/>
          </w:tcPr>
          <w:p w14:paraId="6CFA5AA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B74BF1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8D3AA1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212. Pri preukazovaní transpozície čl. 27 ods. 2 poslednej vety smernice (EÚ) 2023/1791 do vnútroštátneho právneho poriadku žiadame v treťom stĺpci predkladanej tabuľky zhody uvádzať označenie „D“, keďže ide o ustanovenie s dobrovoľnou transpozíciou, nie o transpozíciu s možnosťou voľby.</w:t>
            </w:r>
          </w:p>
        </w:tc>
        <w:tc>
          <w:tcPr>
            <w:tcW w:w="2264" w:type="dxa"/>
            <w:vAlign w:val="center"/>
            <w:hideMark/>
          </w:tcPr>
          <w:p w14:paraId="5B316BA1" w14:textId="6A462D3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1FAE492" w14:textId="6ECA1B4B"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64CEF7ED" w14:textId="4F8AB362" w:rsidTr="00725D29">
        <w:trPr>
          <w:trHeight w:val="1590"/>
        </w:trPr>
        <w:tc>
          <w:tcPr>
            <w:tcW w:w="975" w:type="dxa"/>
            <w:hideMark/>
          </w:tcPr>
          <w:p w14:paraId="0D2A3F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570.</w:t>
            </w:r>
          </w:p>
        </w:tc>
        <w:tc>
          <w:tcPr>
            <w:tcW w:w="2656" w:type="dxa"/>
            <w:hideMark/>
          </w:tcPr>
          <w:p w14:paraId="28D018A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24EB9A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1340BB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213. Pri preukazovaní transpozície čl. 27 ods. 3 smernice (EÚ) 2023/1791 do vnútroštátneho právneho poriadku žiadame v štvrtom stĺpci predkladanej tabuľky zhody uvádzať predkladaný návrh zákona, keďže sa transpozícia preukazuje ustanoveniami, ktoré sa predkladaným návrhom zákona novelizuje. Zároveň žiadame v šiestom stĺpci uvádzať celé konsolidované znenie ustanovení, nie iba znenie novelizačných bodov.</w:t>
            </w:r>
          </w:p>
        </w:tc>
        <w:tc>
          <w:tcPr>
            <w:tcW w:w="2264" w:type="dxa"/>
            <w:vAlign w:val="center"/>
            <w:hideMark/>
          </w:tcPr>
          <w:p w14:paraId="34B3189E" w14:textId="5FE3D43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5C43FC3" w14:textId="293558D3"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043221BF" w14:textId="1ADF66C9" w:rsidTr="00725D29">
        <w:trPr>
          <w:trHeight w:val="1590"/>
        </w:trPr>
        <w:tc>
          <w:tcPr>
            <w:tcW w:w="975" w:type="dxa"/>
            <w:hideMark/>
          </w:tcPr>
          <w:p w14:paraId="730A220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571.</w:t>
            </w:r>
          </w:p>
        </w:tc>
        <w:tc>
          <w:tcPr>
            <w:tcW w:w="2656" w:type="dxa"/>
            <w:hideMark/>
          </w:tcPr>
          <w:p w14:paraId="66C7513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7835E2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5C000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214. Pri preukazovaní transpozície čl. 27 ods. 4, 8, 9 a 10 smernice (EÚ) 2023/1791 do vnútroštátneho právneho poriadku žiadame v štvrtom stĺpci predkladanej tabuľky zhody uvádzať predkladaný návrh zákona, keďže sa transpozícia preukazuje ustanoveniami, ktoré sa predkladaným návrhom zákona novelizuje.</w:t>
            </w:r>
          </w:p>
        </w:tc>
        <w:tc>
          <w:tcPr>
            <w:tcW w:w="2264" w:type="dxa"/>
            <w:vAlign w:val="center"/>
            <w:hideMark/>
          </w:tcPr>
          <w:p w14:paraId="41E7702D" w14:textId="789287B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6C73B12" w14:textId="02296752"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777693FD" w14:textId="50008C71" w:rsidTr="00725D29">
        <w:trPr>
          <w:trHeight w:val="1590"/>
        </w:trPr>
        <w:tc>
          <w:tcPr>
            <w:tcW w:w="975" w:type="dxa"/>
            <w:hideMark/>
          </w:tcPr>
          <w:p w14:paraId="124547B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572.</w:t>
            </w:r>
          </w:p>
        </w:tc>
        <w:tc>
          <w:tcPr>
            <w:tcW w:w="2656" w:type="dxa"/>
            <w:hideMark/>
          </w:tcPr>
          <w:p w14:paraId="06DC510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D1E545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F954CD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215. Pri preukazovaní transpozície čl. 27 ods. 6 smernice (EÚ) 2023/1791 do vnútroštátneho právneho poriadku žiadame v treťom stĺpci predkladanej tabuľky zhody uvádzať označenie „D“, keďže ide o ustanovenie s dobrovoľnou transpozíciou, nie o transpozíciu s možnosťou voľby.</w:t>
            </w:r>
          </w:p>
        </w:tc>
        <w:tc>
          <w:tcPr>
            <w:tcW w:w="2264" w:type="dxa"/>
            <w:vAlign w:val="center"/>
            <w:hideMark/>
          </w:tcPr>
          <w:p w14:paraId="3DB0B9E7" w14:textId="43C1BBD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FD8B3CD" w14:textId="650535D6"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2F07BE57" w14:textId="7AB72D23" w:rsidTr="00725D29">
        <w:trPr>
          <w:trHeight w:val="1590"/>
        </w:trPr>
        <w:tc>
          <w:tcPr>
            <w:tcW w:w="975" w:type="dxa"/>
            <w:hideMark/>
          </w:tcPr>
          <w:p w14:paraId="1B184CE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573.</w:t>
            </w:r>
          </w:p>
        </w:tc>
        <w:tc>
          <w:tcPr>
            <w:tcW w:w="2656" w:type="dxa"/>
            <w:hideMark/>
          </w:tcPr>
          <w:p w14:paraId="0E4B9E8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60D5BA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98157B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216. Žiadame preukázať transpozíciu čl. 27 ods. 7 smernice (EÚ) 2023/1791 do vnútroštátneho právneho poriadku. Máme za to, že uvádzané transpozičné opatrenia nie sú dostatočné na preukázanie úplnej transpozície. Smernica (EÚ) 2023/1791 stanovuje povinnosť národných regulačných orgánov zabezpečiť odstránenie stimulov v rámci taríf za prenos a distribúciu, ktoré poškodzujú energetickú efektívnosť výroby, prenosu, distribúcie a dodávky elektriny a plynu, pričom slovenská právna úprava takéto odstránenie stimulov neobsahuje. Zároveň žiadame v štvrtom stĺpci predkladanej tabuľky zhody uvádzať predkladaný návrh zákona, keďže sa transpozícia preukazuje ustanoveniami, ktoré sa predkladaným návrhom zákona novelizuje.</w:t>
            </w:r>
          </w:p>
        </w:tc>
        <w:tc>
          <w:tcPr>
            <w:tcW w:w="2264" w:type="dxa"/>
            <w:vAlign w:val="center"/>
            <w:hideMark/>
          </w:tcPr>
          <w:p w14:paraId="020E65EB" w14:textId="5F42601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D688D75" w14:textId="5AEBA984"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5512963B" w14:textId="67798F94" w:rsidTr="00725D29">
        <w:trPr>
          <w:trHeight w:val="1590"/>
        </w:trPr>
        <w:tc>
          <w:tcPr>
            <w:tcW w:w="975" w:type="dxa"/>
            <w:hideMark/>
          </w:tcPr>
          <w:p w14:paraId="571DCB5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574.</w:t>
            </w:r>
          </w:p>
        </w:tc>
        <w:tc>
          <w:tcPr>
            <w:tcW w:w="2656" w:type="dxa"/>
            <w:hideMark/>
          </w:tcPr>
          <w:p w14:paraId="2D0E001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D25B95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B43E95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217. Pri preukazovaní transpozície čl. 27 ods. 9 smernice (EÚ) 2023/1791 do vnútroštátneho právneho poriadku žiadame v treťom stĺpci predkladanej tabuľky zhody uvádzať označenie „N“, keďže ide o ustanovenie s bežnou transpozíciou, nie o transpozíciu s možnosťou voľby.</w:t>
            </w:r>
          </w:p>
        </w:tc>
        <w:tc>
          <w:tcPr>
            <w:tcW w:w="2264" w:type="dxa"/>
            <w:vAlign w:val="center"/>
            <w:hideMark/>
          </w:tcPr>
          <w:p w14:paraId="775A906E" w14:textId="43B86B6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863BB3A" w14:textId="65EBF590"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22B86974" w14:textId="0729FFF8" w:rsidTr="00725D29">
        <w:trPr>
          <w:trHeight w:val="1590"/>
        </w:trPr>
        <w:tc>
          <w:tcPr>
            <w:tcW w:w="975" w:type="dxa"/>
            <w:hideMark/>
          </w:tcPr>
          <w:p w14:paraId="451A40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575.</w:t>
            </w:r>
          </w:p>
        </w:tc>
        <w:tc>
          <w:tcPr>
            <w:tcW w:w="2656" w:type="dxa"/>
            <w:hideMark/>
          </w:tcPr>
          <w:p w14:paraId="1B26A47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48111C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694966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218. Pri preukazovaní transpozície čl. 27 ods. 10 smernice (EÚ) 2023/1791 do vnútroštátneho právneho poriadku žiadame v treťom stĺpci predkladanej tabuľky zhody uvádzať označenie „D“, keďže ide o ustanovenie s dobrovoľnou transpozíciou, nie o transpozíciu s možnosťou voľby. Zároveň žiadame v štvrtom stĺpci predkladanej tabuľky zhody uvádzať predkladaný návrh zákona, keďže sa transpozícia preukazuje ustanoveniami, ktoré sa predkladaným návrhom zákona novelizuje.</w:t>
            </w:r>
          </w:p>
        </w:tc>
        <w:tc>
          <w:tcPr>
            <w:tcW w:w="2264" w:type="dxa"/>
            <w:vAlign w:val="center"/>
            <w:hideMark/>
          </w:tcPr>
          <w:p w14:paraId="1D5AB859" w14:textId="1BB052F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C5EFA63" w14:textId="53D8610F"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3D3ADD4C" w14:textId="40A49C34" w:rsidTr="00725D29">
        <w:trPr>
          <w:trHeight w:val="1590"/>
        </w:trPr>
        <w:tc>
          <w:tcPr>
            <w:tcW w:w="975" w:type="dxa"/>
            <w:hideMark/>
          </w:tcPr>
          <w:p w14:paraId="17B2578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576.</w:t>
            </w:r>
          </w:p>
        </w:tc>
        <w:tc>
          <w:tcPr>
            <w:tcW w:w="2656" w:type="dxa"/>
            <w:hideMark/>
          </w:tcPr>
          <w:p w14:paraId="2FD51F2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E18E2B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BBEBE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219. Žiadame preukázať transpozíciu čl. 27 ods. 11 smernice (EÚ) 2023/1791 do vnútroštátneho právneho poriadku, nakoľko sa jedná o ustanovenia s bežnou transpozíciou.</w:t>
            </w:r>
          </w:p>
        </w:tc>
        <w:tc>
          <w:tcPr>
            <w:tcW w:w="2264" w:type="dxa"/>
            <w:vAlign w:val="center"/>
            <w:hideMark/>
          </w:tcPr>
          <w:p w14:paraId="1FB07820" w14:textId="202A2DC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FFD232A" w14:textId="63352FB0"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482AC13A" w14:textId="5775FC4D" w:rsidTr="00725D29">
        <w:trPr>
          <w:trHeight w:val="1590"/>
        </w:trPr>
        <w:tc>
          <w:tcPr>
            <w:tcW w:w="975" w:type="dxa"/>
            <w:hideMark/>
          </w:tcPr>
          <w:p w14:paraId="16487AB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577.</w:t>
            </w:r>
          </w:p>
        </w:tc>
        <w:tc>
          <w:tcPr>
            <w:tcW w:w="2656" w:type="dxa"/>
            <w:hideMark/>
          </w:tcPr>
          <w:p w14:paraId="75976FC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DA7135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D9D840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220. Pri preukazovaní transpozície čl. 28 ods. 1, 2, 4, 5 a 6 smernice (EÚ) 2023/1791 do vnútroštátneho právneho poriadku žiadame vyplniť štvrtý stĺpec predkladanej tabuľky zhody. Zároveň žiadame v šiestom stĺpci tabuľky uvádzať celý text transpozičných ustanovení vrátane poznámok pod čiarou.</w:t>
            </w:r>
          </w:p>
        </w:tc>
        <w:tc>
          <w:tcPr>
            <w:tcW w:w="2264" w:type="dxa"/>
            <w:vAlign w:val="center"/>
            <w:hideMark/>
          </w:tcPr>
          <w:p w14:paraId="3EDE42A7" w14:textId="08C78CC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FAFD928" w14:textId="547A43C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AAAB7FA" w14:textId="33CF07E6" w:rsidTr="00725D29">
        <w:trPr>
          <w:trHeight w:val="1590"/>
        </w:trPr>
        <w:tc>
          <w:tcPr>
            <w:tcW w:w="975" w:type="dxa"/>
            <w:hideMark/>
          </w:tcPr>
          <w:p w14:paraId="2B43A4E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578.</w:t>
            </w:r>
          </w:p>
        </w:tc>
        <w:tc>
          <w:tcPr>
            <w:tcW w:w="2656" w:type="dxa"/>
            <w:hideMark/>
          </w:tcPr>
          <w:p w14:paraId="5D1A6C7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9C0DC3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6CC030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221. Žiadame preukázať transpozíciu čl. 28 ods. 1 smernice (EÚ) 2023/1791 do vnútroštátneho právneho poriadku. Máme za to, že uvádzané transpozičné opatrenia nie sú dostatočné na preukázanie úplnej transpozície. Smernica (EÚ) 2023/1791 stanovuje povinnosť členského štátu zabezpečiť aby certifikačné alebo kvalifikačné systémy boli dostupné pre profesie súvisiace s energetickou efektívnosťou a aby poskytovatelia certifikačných alebo rovnocenných kvalifikačných systémov boli akreditovaní. Slovenská právna úprava, ktorou sa preukazuje transpozícia tohto ustanovenia však obsahuje len definíciu odborne spôsobilej osoby,  ustanovenia o potvrdení aktualizačnej odbornej prípravy a splnomocňovacie ustanovenie, čo považujeme za nesúvisiace.</w:t>
            </w:r>
          </w:p>
        </w:tc>
        <w:tc>
          <w:tcPr>
            <w:tcW w:w="2264" w:type="dxa"/>
            <w:vAlign w:val="center"/>
            <w:hideMark/>
          </w:tcPr>
          <w:p w14:paraId="6B9D7C29" w14:textId="6AEDAC2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3B10F75" w14:textId="28DC2019"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340F8CAA" w14:textId="080F0840" w:rsidTr="00725D29">
        <w:trPr>
          <w:trHeight w:val="1590"/>
        </w:trPr>
        <w:tc>
          <w:tcPr>
            <w:tcW w:w="975" w:type="dxa"/>
            <w:hideMark/>
          </w:tcPr>
          <w:p w14:paraId="5260955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579.</w:t>
            </w:r>
          </w:p>
        </w:tc>
        <w:tc>
          <w:tcPr>
            <w:tcW w:w="2656" w:type="dxa"/>
            <w:hideMark/>
          </w:tcPr>
          <w:p w14:paraId="5E4DE1D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CDD56D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2591AE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222. Pri preukazovaní transpozície čl. 28 ods. 3 smernice (EÚ) 2023/1791 do vnútroštátneho právneho poriadku žiadame v treťom stĺpci predkladanej tabuľky zhody uvádzať označenie „n. a.“, keďže ide o neaplikovateľné ustanovenie, ktoré určuje povinnosť Európskej komisie. Zároveň žiadame vypustiť text z piateho, šiesteho a siedmeho stĺpca predkladanej tabuľky zhody.</w:t>
            </w:r>
          </w:p>
        </w:tc>
        <w:tc>
          <w:tcPr>
            <w:tcW w:w="2264" w:type="dxa"/>
            <w:vAlign w:val="center"/>
            <w:hideMark/>
          </w:tcPr>
          <w:p w14:paraId="2F69A43A" w14:textId="5BAD506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2CE012B" w14:textId="469367E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025CAA3" w14:textId="43BA5A3A" w:rsidTr="00725D29">
        <w:trPr>
          <w:trHeight w:val="1590"/>
        </w:trPr>
        <w:tc>
          <w:tcPr>
            <w:tcW w:w="975" w:type="dxa"/>
            <w:hideMark/>
          </w:tcPr>
          <w:p w14:paraId="5394188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580.</w:t>
            </w:r>
          </w:p>
        </w:tc>
        <w:tc>
          <w:tcPr>
            <w:tcW w:w="2656" w:type="dxa"/>
            <w:hideMark/>
          </w:tcPr>
          <w:p w14:paraId="737D911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333F2F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AFD2F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223. Žiadame preukázať transpozíciu čl. 28 ods. 4 smernice (EÚ) 2023/1791 do vnútroštátneho právneho poriadku. Máme za to, že uvádzané transpozičné opatrenia nie sú dostatočné na preukázanie úplnej transpozície.</w:t>
            </w:r>
          </w:p>
        </w:tc>
        <w:tc>
          <w:tcPr>
            <w:tcW w:w="2264" w:type="dxa"/>
            <w:vAlign w:val="center"/>
            <w:hideMark/>
          </w:tcPr>
          <w:p w14:paraId="0E16CA36" w14:textId="494D1E2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B5828E6" w14:textId="0E848C25"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7911BD7" w14:textId="707FC05A" w:rsidTr="00725D29">
        <w:trPr>
          <w:trHeight w:val="1590"/>
        </w:trPr>
        <w:tc>
          <w:tcPr>
            <w:tcW w:w="975" w:type="dxa"/>
            <w:hideMark/>
          </w:tcPr>
          <w:p w14:paraId="64DB82D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581.</w:t>
            </w:r>
          </w:p>
        </w:tc>
        <w:tc>
          <w:tcPr>
            <w:tcW w:w="2656" w:type="dxa"/>
            <w:hideMark/>
          </w:tcPr>
          <w:p w14:paraId="543751B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946AAA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70CB17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224. Žiadame preukázať transpozíciu čl. 28 ods. 6 smernice (EÚ) 2023/1791 do vnútroštátneho právneho poriadku. Máme za to, že uvádzané transpozičné opatrenia nie sú dostatočné na preukázanie úplnej transpozície. Smernica (EÚ) 2023/1791 stanovuje povinnosť členského štátu zverejniť posúdenie a vyplývajúce odporúčania, pričom slovenská právna úprava hovorí len o povinnosti predložiť analýzu Komisii.</w:t>
            </w:r>
          </w:p>
        </w:tc>
        <w:tc>
          <w:tcPr>
            <w:tcW w:w="2264" w:type="dxa"/>
            <w:vAlign w:val="center"/>
            <w:hideMark/>
          </w:tcPr>
          <w:p w14:paraId="1D00E6F1" w14:textId="5CA60D3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6A874AE" w14:textId="0DD0DFE4"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16ADB66" w14:textId="75D79E84" w:rsidTr="00725D29">
        <w:trPr>
          <w:trHeight w:val="1590"/>
        </w:trPr>
        <w:tc>
          <w:tcPr>
            <w:tcW w:w="975" w:type="dxa"/>
            <w:hideMark/>
          </w:tcPr>
          <w:p w14:paraId="24E5DEC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582.</w:t>
            </w:r>
          </w:p>
        </w:tc>
        <w:tc>
          <w:tcPr>
            <w:tcW w:w="2656" w:type="dxa"/>
            <w:hideMark/>
          </w:tcPr>
          <w:p w14:paraId="21A0195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5F8D60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6389A7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225. Pri preukazovaní transpozície čl. 29 ods. 1 smernice (EÚ) 2023/1791 žiadame zosúladiť text v šiestom stĺpci predkladanej tabuľky zhody so znením predkladaného návrhu zákona. Zároveň žiadame v šiestom stĺpci tabuľky zhody uvádzať text vrátane poznámok pod čiarou.</w:t>
            </w:r>
          </w:p>
        </w:tc>
        <w:tc>
          <w:tcPr>
            <w:tcW w:w="2264" w:type="dxa"/>
            <w:vAlign w:val="center"/>
            <w:hideMark/>
          </w:tcPr>
          <w:p w14:paraId="4489EC91" w14:textId="5D9E6B8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A4558C1" w14:textId="4F632E74"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1608534" w14:textId="22E26804" w:rsidTr="00725D29">
        <w:trPr>
          <w:trHeight w:val="1590"/>
        </w:trPr>
        <w:tc>
          <w:tcPr>
            <w:tcW w:w="975" w:type="dxa"/>
            <w:hideMark/>
          </w:tcPr>
          <w:p w14:paraId="0B6FB87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583.</w:t>
            </w:r>
          </w:p>
        </w:tc>
        <w:tc>
          <w:tcPr>
            <w:tcW w:w="2656" w:type="dxa"/>
            <w:hideMark/>
          </w:tcPr>
          <w:p w14:paraId="580564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1ECB10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0512EE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226.  Žiadame preukázať transpozíciu čl. 29 ods. 1 smernice (EÚ) 2023/1791 do vnútroštátneho právneho poriadku. Smernica (EÚ) 2023/1791 stanovuje povinnosť členského štátu podporovať trh s energetickými službami a prístup naň pre malé a stredné podniky prostredníctvom šírenia jasných a ľahko prístupných informácií o nástrojoch uvedených v písm. a) až d). Predkladateľ transpozíciu týchto ustanovení preukazuje len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5581B620" w14:textId="54DB784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C34D1C6" w14:textId="32F63544"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05E94DCF" w14:textId="64375B95" w:rsidTr="00725D29">
        <w:trPr>
          <w:trHeight w:val="1590"/>
        </w:trPr>
        <w:tc>
          <w:tcPr>
            <w:tcW w:w="975" w:type="dxa"/>
            <w:hideMark/>
          </w:tcPr>
          <w:p w14:paraId="2EE2E18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584.</w:t>
            </w:r>
          </w:p>
        </w:tc>
        <w:tc>
          <w:tcPr>
            <w:tcW w:w="2656" w:type="dxa"/>
            <w:hideMark/>
          </w:tcPr>
          <w:p w14:paraId="50F1BB8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4B3DD3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33A898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227. Žiadame preukázať transpozíciu čl. 29 ods. 2 smernice (EÚ) 2023/1791 do vnútroštátneho právneho poriadku. Smernica (EÚ) 2023/1791 stanovuje povinnosť členského štátu podnecovať rozvoj označení kvality, pričom predkladateľ transpozíciu týchto ustanovení preukazuje len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57BA03BC" w14:textId="2DE944A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62E3664" w14:textId="12E53A49"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3BCDED85" w14:textId="43C96203" w:rsidTr="00725D29">
        <w:trPr>
          <w:trHeight w:val="1590"/>
        </w:trPr>
        <w:tc>
          <w:tcPr>
            <w:tcW w:w="975" w:type="dxa"/>
            <w:hideMark/>
          </w:tcPr>
          <w:p w14:paraId="625AA98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585.</w:t>
            </w:r>
          </w:p>
        </w:tc>
        <w:tc>
          <w:tcPr>
            <w:tcW w:w="2656" w:type="dxa"/>
            <w:hideMark/>
          </w:tcPr>
          <w:p w14:paraId="4B25B99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14EB0A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2DAB5E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228. Žiadame preukázať transpozíciu čl. 29 ods. 3 smernice (EÚ) 2023/1791 do vnútroštátneho právneho poriadku. Smernica (EÚ) 2023/1791 stanovuje povinnosť členského štátu zverejňovať a aktualizovať zoznam dostupných poskytovateľov energetických služieb. Máme za to, že uvádzané transpozičné opatrenia nie sú dostatočné na preukázanie úplnej transpozície.</w:t>
            </w:r>
          </w:p>
        </w:tc>
        <w:tc>
          <w:tcPr>
            <w:tcW w:w="2264" w:type="dxa"/>
            <w:vAlign w:val="center"/>
            <w:hideMark/>
          </w:tcPr>
          <w:p w14:paraId="5B8044B7" w14:textId="4EDE714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2D90CD3" w14:textId="41DC474C"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21D91A0F" w14:textId="3D71C360" w:rsidTr="00725D29">
        <w:trPr>
          <w:trHeight w:val="1590"/>
        </w:trPr>
        <w:tc>
          <w:tcPr>
            <w:tcW w:w="975" w:type="dxa"/>
            <w:hideMark/>
          </w:tcPr>
          <w:p w14:paraId="661DCC4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586.</w:t>
            </w:r>
          </w:p>
        </w:tc>
        <w:tc>
          <w:tcPr>
            <w:tcW w:w="2656" w:type="dxa"/>
            <w:hideMark/>
          </w:tcPr>
          <w:p w14:paraId="2031914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89F75C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87678D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229. Žiadame preukázať transpozíciu čl. 29 ods. 4 smernice (EÚ) 2023/1791 do vnútroštátneho právneho poriadku. Smernica (EÚ) 2023/1791 stanovuje povinnosť členského štátu podporovať a zabezpečiť aby sa tam, kde to je technicky a ekonomicky realizovateľné, pri obnove veľkých budov vo vlastníctve verejných subjektov využívali zmluvy o energetickej efektívnosti. Uvedené v transpozičných ustanoveniach uvádzaných v šiestom stĺpci predkladanej tabuľky zhody absentuje.</w:t>
            </w:r>
          </w:p>
        </w:tc>
        <w:tc>
          <w:tcPr>
            <w:tcW w:w="2264" w:type="dxa"/>
            <w:vAlign w:val="center"/>
            <w:hideMark/>
          </w:tcPr>
          <w:p w14:paraId="44058068" w14:textId="58CF52A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21BDC24" w14:textId="33797006"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48048C30" w14:textId="116DEE74" w:rsidTr="00725D29">
        <w:trPr>
          <w:trHeight w:val="1590"/>
        </w:trPr>
        <w:tc>
          <w:tcPr>
            <w:tcW w:w="975" w:type="dxa"/>
            <w:hideMark/>
          </w:tcPr>
          <w:p w14:paraId="20C9882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587.</w:t>
            </w:r>
          </w:p>
        </w:tc>
        <w:tc>
          <w:tcPr>
            <w:tcW w:w="2656" w:type="dxa"/>
            <w:hideMark/>
          </w:tcPr>
          <w:p w14:paraId="6E78ACF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6912C9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A679B9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230. Pri preukazovaní transpozície čl. 29 ods. 4 posledného pododseku smernice (EÚ) 2023/1791 do vnútroštátneho právneho poriadku nie je zrejmé, či chceme alebo nechceme realizovať dobrovoľnú transpozíciu. V prípade, že chceme transponovať čl. 24 ods. 4 posledný pododsek smernice (EÚ) 2023/1791, žiadame uviesť relevantné transpozičné opatrenia v šiestom stĺpci predkladanej tabuľky zhody. Aktuálne uvádzané transpozičné ustanovenia nepovažujeme za dostatočné na preukázanie úplnej transpozície. V prípade, že sa táto dobrovoľná transpozícia nevyužíva žiadame vypustiť text z štvrtého, piateho, šiesteho a siedmeho stĺpca predkladanej tabuľky zhody.</w:t>
            </w:r>
          </w:p>
        </w:tc>
        <w:tc>
          <w:tcPr>
            <w:tcW w:w="2264" w:type="dxa"/>
            <w:vAlign w:val="center"/>
            <w:hideMark/>
          </w:tcPr>
          <w:p w14:paraId="63C9567C" w14:textId="18032A9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E07B055" w14:textId="64FDB337"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709C009F" w14:textId="4AB54C0A" w:rsidTr="00725D29">
        <w:trPr>
          <w:trHeight w:val="1590"/>
        </w:trPr>
        <w:tc>
          <w:tcPr>
            <w:tcW w:w="975" w:type="dxa"/>
            <w:hideMark/>
          </w:tcPr>
          <w:p w14:paraId="7182E91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588.</w:t>
            </w:r>
          </w:p>
        </w:tc>
        <w:tc>
          <w:tcPr>
            <w:tcW w:w="2656" w:type="dxa"/>
            <w:hideMark/>
          </w:tcPr>
          <w:p w14:paraId="46345D5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1EE7C2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51D7C9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231. Transpozíciu čl. 29 ods. 5 písm. a) smernice (EÚ) 2023/1791 do vnútroštátneho právneho poriadku žiadame preukazovať len § 32 ods. 10 a 11 predkladaného návrhu zákona, ostatné ustanovenia uvádzané v šiestom stĺpci predkladanej tabuľky zhody žiadame vypustiť. Zároveň žiadame tieto ustanovenia zosúladiť s predkladaným návrhom zákona a uvádzať celý text transpozičných ustanovení vrátane poznámok pod čiarou.</w:t>
            </w:r>
          </w:p>
        </w:tc>
        <w:tc>
          <w:tcPr>
            <w:tcW w:w="2264" w:type="dxa"/>
            <w:vAlign w:val="center"/>
            <w:hideMark/>
          </w:tcPr>
          <w:p w14:paraId="2741B54D" w14:textId="3D55396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ED51BE6" w14:textId="28391B45"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515D68DE" w14:textId="01A2A8D9" w:rsidTr="00725D29">
        <w:trPr>
          <w:trHeight w:val="1590"/>
        </w:trPr>
        <w:tc>
          <w:tcPr>
            <w:tcW w:w="975" w:type="dxa"/>
            <w:hideMark/>
          </w:tcPr>
          <w:p w14:paraId="2BD0CB3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589.</w:t>
            </w:r>
          </w:p>
        </w:tc>
        <w:tc>
          <w:tcPr>
            <w:tcW w:w="2656" w:type="dxa"/>
            <w:hideMark/>
          </w:tcPr>
          <w:p w14:paraId="04102BB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B68AF56"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A1B837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232. Žiadame preukázať transpozíciu čl. 29 ods. 5 písm. b) smernice (EÚ) 2023/1791 do vnútroštátneho právneho poriadku. Máme za to, že uvádzané transpozičné opatrenia nie sú dostatočné na preukázanie úplnej transpozície. Smernica (EÚ) 2023/1791 stanovuje povinnosť členského štátu poskytnúť informácie o najlepších postupoch týkajúcich sa zmlúv o energetickej efektívnosti, a to vrátane analýzy nákladov a prínosov. V slovenskej  právnej úprave, ktorou sa preukazuje transpozícia tohto ustanovenia, uvedené absentuje.</w:t>
            </w:r>
          </w:p>
        </w:tc>
        <w:tc>
          <w:tcPr>
            <w:tcW w:w="2264" w:type="dxa"/>
            <w:vAlign w:val="center"/>
            <w:hideMark/>
          </w:tcPr>
          <w:p w14:paraId="0C8FEEA9" w14:textId="45E5FFF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8C38F4E" w14:textId="2971902F"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362446F0" w14:textId="5F937600" w:rsidTr="00725D29">
        <w:trPr>
          <w:trHeight w:val="1590"/>
        </w:trPr>
        <w:tc>
          <w:tcPr>
            <w:tcW w:w="975" w:type="dxa"/>
            <w:hideMark/>
          </w:tcPr>
          <w:p w14:paraId="078CFC1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590.</w:t>
            </w:r>
          </w:p>
        </w:tc>
        <w:tc>
          <w:tcPr>
            <w:tcW w:w="2656" w:type="dxa"/>
            <w:hideMark/>
          </w:tcPr>
          <w:p w14:paraId="46AEF5D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119EE8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AE09E7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233. Žiadame preukázať transpozíciu čl. 29 ods. 5 písm. c) smernice (EÚ) 2023/1791 do vnútroštátneho právneho poriadku. Máme za to, že uvádzané transpozičné opatrenia nie sú dostatočné na preukázanie úplnej transpozície. Smernica (EÚ) 2023/1791 stanovuje povinnosť členského štátu propagovať a verejne sprístupniť databázu vykonaných a prebiehajúcich projektov so zmluvami o energetickej efektívnosti, ktorá zahŕňa plánované a dosiahnuté úspory energie, pričom slovenská právna úprava určuje len náležitosti registra energetických služieb. Zároveň upozorňujeme na skutočnosť, že text uvádzaný v šiestom stĺpci predkladanej tabuľky zhody nie je zhodný s textom predkladaného návrhu zákona.</w:t>
            </w:r>
          </w:p>
        </w:tc>
        <w:tc>
          <w:tcPr>
            <w:tcW w:w="2264" w:type="dxa"/>
            <w:vAlign w:val="center"/>
            <w:hideMark/>
          </w:tcPr>
          <w:p w14:paraId="362B1005" w14:textId="346021D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D1267C9" w14:textId="5F524997"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70610707" w14:textId="5E41FDE0" w:rsidTr="00725D29">
        <w:trPr>
          <w:trHeight w:val="1590"/>
        </w:trPr>
        <w:tc>
          <w:tcPr>
            <w:tcW w:w="975" w:type="dxa"/>
            <w:hideMark/>
          </w:tcPr>
          <w:p w14:paraId="28C2328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591.</w:t>
            </w:r>
          </w:p>
        </w:tc>
        <w:tc>
          <w:tcPr>
            <w:tcW w:w="2656" w:type="dxa"/>
            <w:hideMark/>
          </w:tcPr>
          <w:p w14:paraId="3D18B6D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82A20A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3329CE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234. Pri preukazovaní transpozície čl. 29 ods. 6 písm. b) a c) smernice (EÚ) 2023/1791 do vnútroštátneho právneho poriadku žiadame vyplniť štvrtý stĺpec predkladanej tabuľky zhody.</w:t>
            </w:r>
          </w:p>
        </w:tc>
        <w:tc>
          <w:tcPr>
            <w:tcW w:w="2264" w:type="dxa"/>
            <w:vAlign w:val="center"/>
            <w:hideMark/>
          </w:tcPr>
          <w:p w14:paraId="47B915DD" w14:textId="4922E74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288ACFC" w14:textId="0445E0C1"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07A29447" w14:textId="2A9C76BE" w:rsidTr="00725D29">
        <w:trPr>
          <w:trHeight w:val="1590"/>
        </w:trPr>
        <w:tc>
          <w:tcPr>
            <w:tcW w:w="975" w:type="dxa"/>
            <w:hideMark/>
          </w:tcPr>
          <w:p w14:paraId="55577C5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592.</w:t>
            </w:r>
          </w:p>
        </w:tc>
        <w:tc>
          <w:tcPr>
            <w:tcW w:w="2656" w:type="dxa"/>
            <w:hideMark/>
          </w:tcPr>
          <w:p w14:paraId="18493B7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C7B30B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D092A0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235. Žiadame preukázať transpozíciu čl. 29 ods. 6 písm. c) smernice (EÚ) 2023/1791 do vnútroštátneho právneho poriadku. Smernica (EÚ) 2023/1791 stanovuje povinnosť členského štátu podporovať riadne fungovanie trhu vytvorením a podporou úlohy poradných orgánov a nezávislých trhových sprostredkovateľov s cieľom stimulovať vývoj trhu na stranách dopytu a dodávky a sprístupňovaním informácií o daných podporných mechanizmoch verejnosti a zabezpečením ich dostupnosti pre účastníkov trhu. Predkladateľ transpozíciu týchto ustanovení preukazuje povinnosťami poverenej organizácie a splnomocňovacím ustanovením čo považujeme za nedostatočné na preukázanie úplnej transpozície.</w:t>
            </w:r>
          </w:p>
        </w:tc>
        <w:tc>
          <w:tcPr>
            <w:tcW w:w="2264" w:type="dxa"/>
            <w:vAlign w:val="center"/>
            <w:hideMark/>
          </w:tcPr>
          <w:p w14:paraId="539D71C8" w14:textId="37445F1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A22E470" w14:textId="263D028C"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5B2AE833" w14:textId="1EE01E51" w:rsidTr="00725D29">
        <w:trPr>
          <w:trHeight w:val="1590"/>
        </w:trPr>
        <w:tc>
          <w:tcPr>
            <w:tcW w:w="975" w:type="dxa"/>
            <w:hideMark/>
          </w:tcPr>
          <w:p w14:paraId="031F176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593.</w:t>
            </w:r>
          </w:p>
        </w:tc>
        <w:tc>
          <w:tcPr>
            <w:tcW w:w="2656" w:type="dxa"/>
            <w:hideMark/>
          </w:tcPr>
          <w:p w14:paraId="5AD07E7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B9064B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D75786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236. Pri preukazovaní transpozície čl. 29 ods. 7 smernice (EÚ) 2023/1791 do vnútroštátneho právneho poriadku žiadame vypustiť text v siedmom stĺpci predkladanej tabuľky zhody.</w:t>
            </w:r>
          </w:p>
        </w:tc>
        <w:tc>
          <w:tcPr>
            <w:tcW w:w="2264" w:type="dxa"/>
            <w:vAlign w:val="center"/>
            <w:hideMark/>
          </w:tcPr>
          <w:p w14:paraId="5E990E23" w14:textId="06FD20B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0C0452F" w14:textId="3983C17C"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5D24F2AC" w14:textId="0F222F74" w:rsidTr="00725D29">
        <w:trPr>
          <w:trHeight w:val="1590"/>
        </w:trPr>
        <w:tc>
          <w:tcPr>
            <w:tcW w:w="975" w:type="dxa"/>
            <w:hideMark/>
          </w:tcPr>
          <w:p w14:paraId="181ADB5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594.</w:t>
            </w:r>
          </w:p>
        </w:tc>
        <w:tc>
          <w:tcPr>
            <w:tcW w:w="2656" w:type="dxa"/>
            <w:hideMark/>
          </w:tcPr>
          <w:p w14:paraId="595DB19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A73841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C9E443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237. Pri preukazovaní transpozície čl. 29 ods. 8 smernice (EÚ) 2023/1791 do vnútroštátneho právneho poriadku žiadame zosúladiť text v šiestom stĺpci predkladanej tabuľky zhody so znením predkladaného návrhu zákona.</w:t>
            </w:r>
          </w:p>
        </w:tc>
        <w:tc>
          <w:tcPr>
            <w:tcW w:w="2264" w:type="dxa"/>
            <w:vAlign w:val="center"/>
            <w:hideMark/>
          </w:tcPr>
          <w:p w14:paraId="1EABA2C3" w14:textId="0AAFAE3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98FCFD5" w14:textId="0CE787B3"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4EAAAD0F" w14:textId="63A56C1F" w:rsidTr="00725D29">
        <w:trPr>
          <w:trHeight w:val="1590"/>
        </w:trPr>
        <w:tc>
          <w:tcPr>
            <w:tcW w:w="975" w:type="dxa"/>
            <w:hideMark/>
          </w:tcPr>
          <w:p w14:paraId="6D7E979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595.</w:t>
            </w:r>
          </w:p>
        </w:tc>
        <w:tc>
          <w:tcPr>
            <w:tcW w:w="2656" w:type="dxa"/>
            <w:hideMark/>
          </w:tcPr>
          <w:p w14:paraId="2C8A2CE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BEAA5C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3E61AF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238. Pri preukazovaní transpozície čl. 30 ods. 1 smernice (EÚ) 2023/1791 do vnútroštátneho právneho poriadku žiadame vyplniť štvrtý stĺpec predkladanej tabuľky zhody. Zároveň žiadame zosúladiť text v šiestom stĺpci predkladanej tabuľky zhody so znením predkladaného návrhu zákona a uvádzať celý text transpozičných ustanovení vrátane poznámok pod čiarou.</w:t>
            </w:r>
          </w:p>
        </w:tc>
        <w:tc>
          <w:tcPr>
            <w:tcW w:w="2264" w:type="dxa"/>
            <w:vAlign w:val="center"/>
            <w:hideMark/>
          </w:tcPr>
          <w:p w14:paraId="2DA5F3AA" w14:textId="225D764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2818A7D" w14:textId="210FA8F2"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7C2A181C" w14:textId="4335C797" w:rsidTr="00725D29">
        <w:trPr>
          <w:trHeight w:val="1590"/>
        </w:trPr>
        <w:tc>
          <w:tcPr>
            <w:tcW w:w="975" w:type="dxa"/>
            <w:hideMark/>
          </w:tcPr>
          <w:p w14:paraId="04BDF58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596.</w:t>
            </w:r>
          </w:p>
        </w:tc>
        <w:tc>
          <w:tcPr>
            <w:tcW w:w="2656" w:type="dxa"/>
            <w:hideMark/>
          </w:tcPr>
          <w:p w14:paraId="06806CF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7E2344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BFC3FC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239. Pri preukazovaní transpozície čl. 30 ods. 2 smernice (EÚ) 2023/1791 do vnútroštátneho právneho poriadku žiadame vypustiť text z piateho, šiesteho a siedmeho stĺpca predkladanej tabuľky zhody keďže ide o neaplikovateľné ustanovenie, ktoré určuje povinnosť Európskej komisie.</w:t>
            </w:r>
          </w:p>
        </w:tc>
        <w:tc>
          <w:tcPr>
            <w:tcW w:w="2264" w:type="dxa"/>
            <w:vAlign w:val="center"/>
            <w:hideMark/>
          </w:tcPr>
          <w:p w14:paraId="67270FFA" w14:textId="2201360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09CD87D" w14:textId="6128F4C1"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39AE5FFC" w14:textId="56A5E9DD" w:rsidTr="00725D29">
        <w:trPr>
          <w:trHeight w:val="1590"/>
        </w:trPr>
        <w:tc>
          <w:tcPr>
            <w:tcW w:w="975" w:type="dxa"/>
            <w:hideMark/>
          </w:tcPr>
          <w:p w14:paraId="75EBEF2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597.</w:t>
            </w:r>
          </w:p>
        </w:tc>
        <w:tc>
          <w:tcPr>
            <w:tcW w:w="2656" w:type="dxa"/>
            <w:hideMark/>
          </w:tcPr>
          <w:p w14:paraId="77432E5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755CB3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161264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240. Pri preukazovaní transpozície čl. 30 ods. 3 smernice (EÚ) 2023/1791 do vnútroštátneho právneho poriadku žiadame vyplniť štvrtý stĺpec predkladanej tabuľky zhody. Zároveň žiadame zosúladiť text v šiestom stĺpci predkladanej tabuľky zhody so znením predkladaného návrhu zákona a uvádzať celý text transpozičných ustanovení vrátane poznámok pod čiarou.</w:t>
            </w:r>
          </w:p>
        </w:tc>
        <w:tc>
          <w:tcPr>
            <w:tcW w:w="2264" w:type="dxa"/>
            <w:vAlign w:val="center"/>
            <w:hideMark/>
          </w:tcPr>
          <w:p w14:paraId="6706B8A7" w14:textId="411DA25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7E6BB5C" w14:textId="149D875C"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2010493D" w14:textId="0EA431D3" w:rsidTr="00725D29">
        <w:trPr>
          <w:trHeight w:val="1590"/>
        </w:trPr>
        <w:tc>
          <w:tcPr>
            <w:tcW w:w="975" w:type="dxa"/>
            <w:hideMark/>
          </w:tcPr>
          <w:p w14:paraId="71A51CC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598.</w:t>
            </w:r>
          </w:p>
        </w:tc>
        <w:tc>
          <w:tcPr>
            <w:tcW w:w="2656" w:type="dxa"/>
            <w:hideMark/>
          </w:tcPr>
          <w:p w14:paraId="664E4DD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50D370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703EB8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241. Žiadame preukázať transpozíciu čl. 30 ods. 3 smernice (EÚ) 2023/1791 do vnútroštátneho právneho poriadku. Smernica (EÚ) 2023/1791 stanovuje povinnosť členského štátu prijať opatrenia na uľahčenie vykonávania schém financovania prostredníctvom účtov za energie a daní, zabezpečiť informovanie bánk a finančných inštitúcii o možnostiach účasti na financovaní opatrení a podporovať vytvorenie nástrojov na poskytovanie záruk za úvery na investície do energetickej efektívnosti. Predkladateľ transpozíciu týchto ustanovení preukazuje povinnosťami koordinačného orgánu, ktoré uvedené priamo neurčujú, a preto to považujeme za nedostatočné na preukázanie úplnej transpozície.</w:t>
            </w:r>
          </w:p>
        </w:tc>
        <w:tc>
          <w:tcPr>
            <w:tcW w:w="2264" w:type="dxa"/>
            <w:vAlign w:val="center"/>
            <w:hideMark/>
          </w:tcPr>
          <w:p w14:paraId="7C700697" w14:textId="19BDFB2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0B9B98D" w14:textId="5E985A6D"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11C0C50A" w14:textId="4F787ECD" w:rsidTr="00725D29">
        <w:trPr>
          <w:trHeight w:val="1590"/>
        </w:trPr>
        <w:tc>
          <w:tcPr>
            <w:tcW w:w="975" w:type="dxa"/>
            <w:hideMark/>
          </w:tcPr>
          <w:p w14:paraId="2BD67C1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599.</w:t>
            </w:r>
          </w:p>
        </w:tc>
        <w:tc>
          <w:tcPr>
            <w:tcW w:w="2656" w:type="dxa"/>
            <w:hideMark/>
          </w:tcPr>
          <w:p w14:paraId="5E63F4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BAA59E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148F7F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242. Žiadame preukázať transpozíciu čl. 30 ods. 4 smernice (EÚ) 2023/1791 do vnútroštátneho právneho poriadku. Smernica (EÚ) 2023/1791 stanovuje povinnosť členského štátu podporovať vytváranie systémov finančnej podpory v záujme väčšieho využívania opatrení na zlepšenie energetickej efektívnosti v rámci významnej obnovy, pričom predkladateľ transpozíciu týchto ustanovení preukazuje povinnosťami koordinačného orgánu, ktoré uvedené priamo neurčujú a splnomocňovacím ustanovením čo považujeme za nedostatočné na preukázanie úplnej transpozície. Zároveň upozorňujeme na skutočnosť, že text uvádzaný v šiestom stĺpci predkladanej tabuľky zhody nie je zhodný s textom predkladaného návrhu zákona a žiadame vyplniť štvrtý stĺpec predkladanej tabuľky zhody.</w:t>
            </w:r>
          </w:p>
        </w:tc>
        <w:tc>
          <w:tcPr>
            <w:tcW w:w="2264" w:type="dxa"/>
            <w:vAlign w:val="center"/>
            <w:hideMark/>
          </w:tcPr>
          <w:p w14:paraId="375CDBC0" w14:textId="347F60C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067309E" w14:textId="3A82585B"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64575CDD" w14:textId="7939D66A" w:rsidTr="00725D29">
        <w:trPr>
          <w:trHeight w:val="1590"/>
        </w:trPr>
        <w:tc>
          <w:tcPr>
            <w:tcW w:w="975" w:type="dxa"/>
            <w:hideMark/>
          </w:tcPr>
          <w:p w14:paraId="2B53C77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600.</w:t>
            </w:r>
          </w:p>
        </w:tc>
        <w:tc>
          <w:tcPr>
            <w:tcW w:w="2656" w:type="dxa"/>
            <w:hideMark/>
          </w:tcPr>
          <w:p w14:paraId="4818A0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3CDFF2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0C291C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243. Žiadame preukázať transpozíciu čl. 30 ods. 4 smernice (EÚ) 2023/1791 do vnútroštátneho právneho poriadku. Smernica (EÚ) 2023/1791 stanovuje povinnosť členského štátu podporovať vytváranie miestnych odborných znalostí a technickej pomoci, s cieľom poskytovať poradenstvo o najlepších postupoch na účely dosiahnutia dekarbonizácie miestneho centralizovaného zásobovania teplom a chladom, ako je napríklad prístup k špecializovanej finančnej podpore. Predkladateľ transpozíciu týchto ustanovení preukazuje povinnosťami koordinačného orgánu, ktoré uvedené priamo neurčujú a splnomocňovacím ustanovením čo považujeme za nedostatočné na preukázanie úplnej transpozície. Zároveň upozorňujeme na skutočnosť, že text uvádzaný v šiestom stĺpci predkladanej tabuľky zhody nie je zhodný s textom predkladaného návrhu zákona a žiadame vyplniť štvrtý stĺpec predkladanej tabuľky zhody.</w:t>
            </w:r>
          </w:p>
        </w:tc>
        <w:tc>
          <w:tcPr>
            <w:tcW w:w="2264" w:type="dxa"/>
            <w:vAlign w:val="center"/>
            <w:hideMark/>
          </w:tcPr>
          <w:p w14:paraId="035F36AB" w14:textId="34EA343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6C0FA83" w14:textId="4C904924"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3CB05FBE" w14:textId="76124D3F" w:rsidTr="00725D29">
        <w:trPr>
          <w:trHeight w:val="1590"/>
        </w:trPr>
        <w:tc>
          <w:tcPr>
            <w:tcW w:w="975" w:type="dxa"/>
            <w:hideMark/>
          </w:tcPr>
          <w:p w14:paraId="06926C1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601.</w:t>
            </w:r>
          </w:p>
        </w:tc>
        <w:tc>
          <w:tcPr>
            <w:tcW w:w="2656" w:type="dxa"/>
            <w:hideMark/>
          </w:tcPr>
          <w:p w14:paraId="3A48A39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FB8A26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93B65B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244. Pri preukazovaní transpozície čl. 30 ods. 6, 7, 8, 10, 16, 17 druhého pododseku a 18 druhého pododseku smernice (EÚ) 2023/1791 do vnútroštátneho právneho poriadku žiadame vypustiť poznámku zo siedmeho stĺpca predkladanej tabuľky zhody keďže ide o neaplikovateľné ustanovenie, ktoré určuje povinnosť Európskej komisie.</w:t>
            </w:r>
          </w:p>
        </w:tc>
        <w:tc>
          <w:tcPr>
            <w:tcW w:w="2264" w:type="dxa"/>
            <w:vAlign w:val="center"/>
            <w:hideMark/>
          </w:tcPr>
          <w:p w14:paraId="36BA19F0" w14:textId="4396F8F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C81DAB7" w14:textId="1192446E"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6875CB6D" w14:textId="140F5F41" w:rsidTr="00725D29">
        <w:trPr>
          <w:trHeight w:val="1590"/>
        </w:trPr>
        <w:tc>
          <w:tcPr>
            <w:tcW w:w="975" w:type="dxa"/>
            <w:hideMark/>
          </w:tcPr>
          <w:p w14:paraId="5555DDE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602.</w:t>
            </w:r>
          </w:p>
        </w:tc>
        <w:tc>
          <w:tcPr>
            <w:tcW w:w="2656" w:type="dxa"/>
            <w:hideMark/>
          </w:tcPr>
          <w:p w14:paraId="5A2DE31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6EE2B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1FB969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245. Žiadame preukázať transpozíciu čl. 30 ods. 9 smernice (EÚ) 2023/1791 do vnútroštátneho právneho poriadku. Smernica (EÚ) 2023/1791 stanovuje povinnosti členského štátu na účely mobilizácie súkromného financovania opatrení energetickej efektívnosti a energetickej obnovy uvedené v písm. a) a b), pričom predkladateľ transpozíciu týchto ustanovení preukazuje povinnosťami koordinačného orgánu, ktoré uvedené priamo neurčujú a splnomocňovacím ustanovením čo považujeme za nedostatočné na preukázanie úplnej transpozície. Zároveň upozorňujeme na skutočnosť, že text uvádzaný v šiestom stĺpci predkladanej tabuľky zhody nie je zhodný s textom predkladaného návrhu zákona a žiadame vyplniť štvrtý stĺpec predkladanej tabuľky zhody.</w:t>
            </w:r>
          </w:p>
        </w:tc>
        <w:tc>
          <w:tcPr>
            <w:tcW w:w="2264" w:type="dxa"/>
            <w:vAlign w:val="center"/>
            <w:hideMark/>
          </w:tcPr>
          <w:p w14:paraId="7BCDD79A" w14:textId="4D38D74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2D53598" w14:textId="1E2DC376"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2E605ADC" w14:textId="49519ADF" w:rsidTr="00725D29">
        <w:trPr>
          <w:trHeight w:val="1590"/>
        </w:trPr>
        <w:tc>
          <w:tcPr>
            <w:tcW w:w="975" w:type="dxa"/>
            <w:hideMark/>
          </w:tcPr>
          <w:p w14:paraId="0A0A122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603.</w:t>
            </w:r>
          </w:p>
        </w:tc>
        <w:tc>
          <w:tcPr>
            <w:tcW w:w="2656" w:type="dxa"/>
            <w:hideMark/>
          </w:tcPr>
          <w:p w14:paraId="3F6832A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B6CC0A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627D48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246. Pri preukazovaní transpozície čl. 30 ods. 17 smernice (EÚ) 2023/1791 do vnútroštátneho právneho poriadku žiadame vyplniť štvrtý stĺpec predkladanej tabuľky zhody. Zároveň žiadame zosúladiť text v šiestom stĺpci predkladanej tabuľky zhody so znením predkladaného návrhu zákona a uvádzať celý text transpozičných ustanovení vrátane poznámok pod čiarou.</w:t>
            </w:r>
          </w:p>
        </w:tc>
        <w:tc>
          <w:tcPr>
            <w:tcW w:w="2264" w:type="dxa"/>
            <w:vAlign w:val="center"/>
            <w:hideMark/>
          </w:tcPr>
          <w:p w14:paraId="31105326" w14:textId="747FBDF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A529D10" w14:textId="5A845334"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33EF209F" w14:textId="4805644A" w:rsidTr="00725D29">
        <w:trPr>
          <w:trHeight w:val="1590"/>
        </w:trPr>
        <w:tc>
          <w:tcPr>
            <w:tcW w:w="975" w:type="dxa"/>
            <w:hideMark/>
          </w:tcPr>
          <w:p w14:paraId="418A80E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604.</w:t>
            </w:r>
          </w:p>
        </w:tc>
        <w:tc>
          <w:tcPr>
            <w:tcW w:w="2656" w:type="dxa"/>
            <w:hideMark/>
          </w:tcPr>
          <w:p w14:paraId="7980666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DE6402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5373EC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247. Žiadame preukázať transpozíciu čl. 30 ods. 17 smernice (EÚ) 2023/1791 do vnútroštátneho právneho poriadku v časti kde smernica (EÚ) 2023/1791 stanovuje, že členské štáty majú zasielať Komisii údaje každé dva roky.</w:t>
            </w:r>
          </w:p>
        </w:tc>
        <w:tc>
          <w:tcPr>
            <w:tcW w:w="2264" w:type="dxa"/>
            <w:vAlign w:val="center"/>
            <w:hideMark/>
          </w:tcPr>
          <w:p w14:paraId="03703DC0" w14:textId="35AA8E6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3FD9FFB" w14:textId="0D89BD51"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6C844F7C" w14:textId="17AF7A0E" w:rsidTr="00725D29">
        <w:trPr>
          <w:trHeight w:val="1590"/>
        </w:trPr>
        <w:tc>
          <w:tcPr>
            <w:tcW w:w="975" w:type="dxa"/>
            <w:hideMark/>
          </w:tcPr>
          <w:p w14:paraId="77C355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605.</w:t>
            </w:r>
          </w:p>
        </w:tc>
        <w:tc>
          <w:tcPr>
            <w:tcW w:w="2656" w:type="dxa"/>
            <w:hideMark/>
          </w:tcPr>
          <w:p w14:paraId="1BBB50A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C11D92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3C3A53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248. Žiadame preukázať transpozíciu čl. 30 ods. 17 písm. c) smernice (EÚ) 2023/1791 do vnútroštátneho právneho poriadku. Smernica (EÚ) 2023/1791 stanovuje, že údaje zasielané Komisii majú v relevantných prípadoch obsahovať národné programy financovania majú zavedené s cieľom zvýšiť energetickú efektívnosť a využívanie najlepších postupov, ako aj o inovatívne finančné schémy. V slovenskej  právnej úprave, ktorou sa preukazuje transpozícia tohto ustanovenia, uvedené absentuje. Zároveň upozorňujeme na skutočnosť, že číslo odkazu na poznámku pod čiarou v šiestom stĺpci predkladanej tabuľky zhody nie je zhodné s číslom v  predkladanom návrhu zákona.</w:t>
            </w:r>
          </w:p>
        </w:tc>
        <w:tc>
          <w:tcPr>
            <w:tcW w:w="2264" w:type="dxa"/>
            <w:vAlign w:val="center"/>
            <w:hideMark/>
          </w:tcPr>
          <w:p w14:paraId="13A74F36" w14:textId="78260CE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4967E9F" w14:textId="6394BBD9"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4A8F3A95" w14:textId="4A98F0D1" w:rsidTr="00725D29">
        <w:trPr>
          <w:trHeight w:val="1590"/>
        </w:trPr>
        <w:tc>
          <w:tcPr>
            <w:tcW w:w="975" w:type="dxa"/>
            <w:hideMark/>
          </w:tcPr>
          <w:p w14:paraId="2AEA2A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606.</w:t>
            </w:r>
          </w:p>
        </w:tc>
        <w:tc>
          <w:tcPr>
            <w:tcW w:w="2656" w:type="dxa"/>
            <w:hideMark/>
          </w:tcPr>
          <w:p w14:paraId="747EA37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952CBE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86425B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249. Pri preukazovaní transpozície čl. 30 ods. 18 smernice (EÚ) 2023/1791 do vnútroštátneho právneho poriadku žiadame vyplniť štvrtý stĺpec predkladanej tabuľky zhody.</w:t>
            </w:r>
          </w:p>
        </w:tc>
        <w:tc>
          <w:tcPr>
            <w:tcW w:w="2264" w:type="dxa"/>
            <w:vAlign w:val="center"/>
            <w:hideMark/>
          </w:tcPr>
          <w:p w14:paraId="7507D969" w14:textId="3CA48C0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92C7B9E" w14:textId="1E020A28"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71A74C19" w14:textId="0FFC0D62" w:rsidTr="00725D29">
        <w:trPr>
          <w:trHeight w:val="1590"/>
        </w:trPr>
        <w:tc>
          <w:tcPr>
            <w:tcW w:w="975" w:type="dxa"/>
            <w:hideMark/>
          </w:tcPr>
          <w:p w14:paraId="73C74C5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607.</w:t>
            </w:r>
          </w:p>
        </w:tc>
        <w:tc>
          <w:tcPr>
            <w:tcW w:w="2656" w:type="dxa"/>
            <w:hideMark/>
          </w:tcPr>
          <w:p w14:paraId="3FC8296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CEA1EA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CA5CCC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250. Transpozíciu čl. 30 ods. 18 smernice (EÚ) 2023/1791 do vnútroštátneho právneho poriadku žiadame preukazovať § 8 ods. 3 predkladaného návrhu zákona, ostatné ustanovenia aktuálne uvádzané v šiestom stĺpci predkladanej tabuľky zhody žiadame vypustiť.</w:t>
            </w:r>
          </w:p>
        </w:tc>
        <w:tc>
          <w:tcPr>
            <w:tcW w:w="2264" w:type="dxa"/>
            <w:vAlign w:val="center"/>
            <w:hideMark/>
          </w:tcPr>
          <w:p w14:paraId="3FAD8A17" w14:textId="3FE62F6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F977D1A" w14:textId="3EC47D72"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0254FDB5" w14:textId="56583EA5" w:rsidTr="00725D29">
        <w:trPr>
          <w:trHeight w:val="1590"/>
        </w:trPr>
        <w:tc>
          <w:tcPr>
            <w:tcW w:w="975" w:type="dxa"/>
            <w:hideMark/>
          </w:tcPr>
          <w:p w14:paraId="3A1F4C7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608.</w:t>
            </w:r>
          </w:p>
        </w:tc>
        <w:tc>
          <w:tcPr>
            <w:tcW w:w="2656" w:type="dxa"/>
            <w:hideMark/>
          </w:tcPr>
          <w:p w14:paraId="5DC4AAD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CDC17B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2866DC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251. Pri preukazovaní transpozície čl. 31 smernice (EÚ) 2023/1791 do vnútroštátneho právneho poriadku žiadame vyplniť štvrtý stĺpec predkladanej tabuľky zhody.</w:t>
            </w:r>
          </w:p>
        </w:tc>
        <w:tc>
          <w:tcPr>
            <w:tcW w:w="2264" w:type="dxa"/>
            <w:vAlign w:val="center"/>
            <w:hideMark/>
          </w:tcPr>
          <w:p w14:paraId="7A2DF16F" w14:textId="02CE7DF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F942B7B" w14:textId="596C4B78" w:rsidR="00725D29" w:rsidRPr="00BC49FC" w:rsidRDefault="00725D29" w:rsidP="00725D29">
            <w:pPr>
              <w:rPr>
                <w:rFonts w:ascii="Times New Roman" w:hAnsi="Times New Roman" w:cs="Times New Roman"/>
                <w:b/>
                <w:bCs/>
              </w:rPr>
            </w:pPr>
            <w:r>
              <w:rPr>
                <w:b/>
                <w:bCs/>
                <w:color w:val="000000"/>
              </w:rPr>
              <w:t>Pripomienka akceptovaná</w:t>
            </w:r>
          </w:p>
        </w:tc>
      </w:tr>
      <w:tr w:rsidR="00725D29" w:rsidRPr="006278D2" w14:paraId="345BBCEB" w14:textId="5B9737A8" w:rsidTr="00725D29">
        <w:trPr>
          <w:trHeight w:val="1590"/>
        </w:trPr>
        <w:tc>
          <w:tcPr>
            <w:tcW w:w="975" w:type="dxa"/>
            <w:hideMark/>
          </w:tcPr>
          <w:p w14:paraId="1195AB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609.</w:t>
            </w:r>
          </w:p>
        </w:tc>
        <w:tc>
          <w:tcPr>
            <w:tcW w:w="2656" w:type="dxa"/>
            <w:hideMark/>
          </w:tcPr>
          <w:p w14:paraId="35D0B2B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265443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1F7BA9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252. Žiadame preukázať transpozíciu čl. 31 ods. 1 smernice (EÚ) 2023/1791 do vnútroštátneho právneho poriadku. Smernica (EÚ) 2023/1791 stanovuje aké hodnoty dolnej výhrevnosti sa uplatnia, pričom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37BF0CCD" w14:textId="2AE9AEBE"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375AE04D" w14:textId="22B14A74"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38B4C0D7" w14:textId="0C1979CA" w:rsidTr="00725D29">
        <w:trPr>
          <w:trHeight w:val="1590"/>
        </w:trPr>
        <w:tc>
          <w:tcPr>
            <w:tcW w:w="975" w:type="dxa"/>
            <w:hideMark/>
          </w:tcPr>
          <w:p w14:paraId="3E6B602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610.</w:t>
            </w:r>
          </w:p>
        </w:tc>
        <w:tc>
          <w:tcPr>
            <w:tcW w:w="2656" w:type="dxa"/>
            <w:hideMark/>
          </w:tcPr>
          <w:p w14:paraId="3853CD3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1F5BC0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B3A759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253. Žiadame preukázať transpozíciu čl. 31 ods. 2 smernice (EÚ) 2023/1791 do vnútroštátneho právneho poriadku. Smernica (EÚ) 2023/1791 stanovuje, že faktor primárnej energie sa použije v prípade výpočtu úspor energie vyjadrených v primárnej energii metódou zdola nahor na základe konečnej energetickej spotreby, pričom predkladateľ transpozíciu tohto ustanovenia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1CBCF12E" w14:textId="4507C2EC"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177D305B" w14:textId="4DC095FB"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36E1677D" w14:textId="3C8DCAB5" w:rsidTr="00725D29">
        <w:trPr>
          <w:trHeight w:val="1590"/>
        </w:trPr>
        <w:tc>
          <w:tcPr>
            <w:tcW w:w="975" w:type="dxa"/>
            <w:hideMark/>
          </w:tcPr>
          <w:p w14:paraId="0956D14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611.</w:t>
            </w:r>
          </w:p>
        </w:tc>
        <w:tc>
          <w:tcPr>
            <w:tcW w:w="2656" w:type="dxa"/>
            <w:hideMark/>
          </w:tcPr>
          <w:p w14:paraId="62A723B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11354D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DAB938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254. Žiadame preukázať transpozíciu čl. 31 ods. 3 a 4 smernice (EÚ) 2023/1791 do vnútroštátneho právneho poriadku. Smernica (EÚ) 2023/1791 stanovuje aké koeficienty majú členské štáty uplatniť, pričom predkladateľ transpozíciu tohto ustanovenia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5A4680F2" w14:textId="606B0288"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5DCDAFE2" w14:textId="16FC087A"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24E88504" w14:textId="45F0D821" w:rsidTr="00725D29">
        <w:trPr>
          <w:trHeight w:val="1590"/>
        </w:trPr>
        <w:tc>
          <w:tcPr>
            <w:tcW w:w="975" w:type="dxa"/>
            <w:hideMark/>
          </w:tcPr>
          <w:p w14:paraId="004BFF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612.</w:t>
            </w:r>
          </w:p>
        </w:tc>
        <w:tc>
          <w:tcPr>
            <w:tcW w:w="2656" w:type="dxa"/>
            <w:hideMark/>
          </w:tcPr>
          <w:p w14:paraId="7EA6E97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456579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F6A0A8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255. Žiadame preukázať transpozíciu čl. 31 ods. 5 smernice (EÚ) 2023/1791 do vnútroštátneho právneho poriadku. Smernica (EÚ) 2023/1791 stanovuje, že ak členský štát stanoví svoj vlastný koeficient ako predvolenú hodnotu, stanoví uvedený koeficient pomocou transparentnej metodiky na základe vnútroštátnych, regionálnych alebo miestnych okolností, pričom tieto okolnosti podložené, overiteľné a založené na objektívnych a nediskriminačných kritériách. Predkladateľ transpozíciu uvedených ustanovení preukazuje splnomocňovacím ustanovením čo považujeme za nedostatočné. Zároveň z preukazovania transpozície nie je ani jasné či si Slovenská republika stanoví alebo stanovila vlastný koeficient, ak nie žiadame túto informáciu doplniť do ôsmeho stĺpca predkladanej tabuľky zhody.</w:t>
            </w:r>
          </w:p>
        </w:tc>
        <w:tc>
          <w:tcPr>
            <w:tcW w:w="2264" w:type="dxa"/>
            <w:vAlign w:val="center"/>
            <w:hideMark/>
          </w:tcPr>
          <w:p w14:paraId="0221AC84" w14:textId="24E05621"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60E3F986" w14:textId="4D5955E2"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5177C270" w14:textId="284BED53" w:rsidTr="00725D29">
        <w:trPr>
          <w:trHeight w:val="1590"/>
        </w:trPr>
        <w:tc>
          <w:tcPr>
            <w:tcW w:w="975" w:type="dxa"/>
            <w:hideMark/>
          </w:tcPr>
          <w:p w14:paraId="0743B43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613.</w:t>
            </w:r>
          </w:p>
        </w:tc>
        <w:tc>
          <w:tcPr>
            <w:tcW w:w="2656" w:type="dxa"/>
            <w:hideMark/>
          </w:tcPr>
          <w:p w14:paraId="4B643EB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FC71C4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4944D7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256. Žiadame preukázať transpozíciu čl. 31 ods. 6 smernice (EÚ) 2023/1791 do vnútroštátneho právneho poriadku. Smernica (EÚ) 2023/1791 stanovuje čo majú členské štáty zohľadniť pri stanovovaní vlastného koeficientu, pričom transpozíciu uvedených ustanovení preukazuje splnomocňovacím ustanovením čo považujeme za nedostatočné. Zároveň z preukazovania transpozície nie je ani jasné či si Slovenská republika stanoví alebo stanovila vlastný koeficient, ak  nie žiadame túto informáciu doplniť do ôsmeho stĺpca predkladanej tabuľky zhody.</w:t>
            </w:r>
          </w:p>
        </w:tc>
        <w:tc>
          <w:tcPr>
            <w:tcW w:w="2264" w:type="dxa"/>
            <w:vAlign w:val="center"/>
            <w:hideMark/>
          </w:tcPr>
          <w:p w14:paraId="786CDC97" w14:textId="061B1180"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0357918F" w14:textId="26A9E21D"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4D18D34C" w14:textId="6B4B87EC" w:rsidTr="00725D29">
        <w:trPr>
          <w:trHeight w:val="1590"/>
        </w:trPr>
        <w:tc>
          <w:tcPr>
            <w:tcW w:w="975" w:type="dxa"/>
            <w:hideMark/>
          </w:tcPr>
          <w:p w14:paraId="7A6B11F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614.</w:t>
            </w:r>
          </w:p>
        </w:tc>
        <w:tc>
          <w:tcPr>
            <w:tcW w:w="2656" w:type="dxa"/>
            <w:hideMark/>
          </w:tcPr>
          <w:p w14:paraId="789CEAF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6EE4B5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ECDF59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257. Pri preukazovaní transpozície čl. 31 ods. 7 smernice (EÚ) 2023/1791 do vnútroštátneho právneho poriadku žiadame vypustiť poznámku zo siedmeho stĺpca predkladanej tabuľky zhody.</w:t>
            </w:r>
          </w:p>
        </w:tc>
        <w:tc>
          <w:tcPr>
            <w:tcW w:w="2264" w:type="dxa"/>
            <w:vAlign w:val="center"/>
            <w:hideMark/>
          </w:tcPr>
          <w:p w14:paraId="6E5394A5" w14:textId="62FD10CE"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177A6246" w14:textId="76051911"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467228D4" w14:textId="6751BA05" w:rsidTr="00725D29">
        <w:trPr>
          <w:trHeight w:val="1590"/>
        </w:trPr>
        <w:tc>
          <w:tcPr>
            <w:tcW w:w="975" w:type="dxa"/>
            <w:hideMark/>
          </w:tcPr>
          <w:p w14:paraId="4C6EE97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615.</w:t>
            </w:r>
          </w:p>
        </w:tc>
        <w:tc>
          <w:tcPr>
            <w:tcW w:w="2656" w:type="dxa"/>
            <w:hideMark/>
          </w:tcPr>
          <w:p w14:paraId="55FF78C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4C988D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293877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258. Pri preukazovaní transpozície čl. 32 smernice (EÚ) 2023/1791 do vnútroštátneho právneho poriadku žiadame zosúladiť text v šiestom stĺpci predkladanej tabuľky zhody so znením predkladaného návrhu zákona a uvádzať celý text transpozičných ustanovení vrátane poznámok pod čiarou. Zároveň žiadame vyplniť štvrtý stĺpec predkladanej tabuľky zhody.</w:t>
            </w:r>
          </w:p>
        </w:tc>
        <w:tc>
          <w:tcPr>
            <w:tcW w:w="2264" w:type="dxa"/>
            <w:vAlign w:val="center"/>
            <w:hideMark/>
          </w:tcPr>
          <w:p w14:paraId="70BF734E" w14:textId="51F0A424"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7BB76A33" w14:textId="02932154"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5C8CB9BF" w14:textId="6B033B3E" w:rsidTr="00725D29">
        <w:trPr>
          <w:trHeight w:val="1590"/>
        </w:trPr>
        <w:tc>
          <w:tcPr>
            <w:tcW w:w="975" w:type="dxa"/>
            <w:hideMark/>
          </w:tcPr>
          <w:p w14:paraId="249522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616.</w:t>
            </w:r>
          </w:p>
        </w:tc>
        <w:tc>
          <w:tcPr>
            <w:tcW w:w="2656" w:type="dxa"/>
            <w:hideMark/>
          </w:tcPr>
          <w:p w14:paraId="0848798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F6A44D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ADF08E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259. Transpozíciu čl. 32 poslednej vety smernice (EÚ) 2023/1791 do vnútroštátneho právneho poriadku žiadame preukazovať § 35 ods. 7 zákona č. 575/2001 Z. z. v znení neskorších predpisov, ostatné ustanovenia aktuálne uvádzané v šiestom stĺpci predkladanej tabuľky zhody žiadame vypustiť.</w:t>
            </w:r>
          </w:p>
        </w:tc>
        <w:tc>
          <w:tcPr>
            <w:tcW w:w="2264" w:type="dxa"/>
            <w:vAlign w:val="center"/>
            <w:hideMark/>
          </w:tcPr>
          <w:p w14:paraId="29654CE0" w14:textId="79A9DDF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E4307BD" w14:textId="3E1B131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9F1FE99" w14:textId="0A98DAB0" w:rsidTr="00725D29">
        <w:trPr>
          <w:trHeight w:val="1590"/>
        </w:trPr>
        <w:tc>
          <w:tcPr>
            <w:tcW w:w="975" w:type="dxa"/>
            <w:hideMark/>
          </w:tcPr>
          <w:p w14:paraId="1DBEB74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617.</w:t>
            </w:r>
          </w:p>
        </w:tc>
        <w:tc>
          <w:tcPr>
            <w:tcW w:w="2656" w:type="dxa"/>
            <w:hideMark/>
          </w:tcPr>
          <w:p w14:paraId="388A891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5BA372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3E3DB4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260. Pri preukazovaní transpozície čl. 33, 34 a 35 ods. 1, 2, 3, 4, 5, 6, 7 a 8 smernice (EÚ) 2023/1791 do vnútroštátneho právneho poriadku žiadame vypustiť poznámku zo siedmeho stĺpca predkladanej tabuľky zhody keďže ide o neaplikovateľné ustanovenie, ktoré určuje povinnosť Európskej komisie.</w:t>
            </w:r>
          </w:p>
        </w:tc>
        <w:tc>
          <w:tcPr>
            <w:tcW w:w="2264" w:type="dxa"/>
            <w:vAlign w:val="center"/>
            <w:hideMark/>
          </w:tcPr>
          <w:p w14:paraId="175FADB3" w14:textId="713F224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C977861" w14:textId="63FE5A3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9B56516" w14:textId="5F9C581B" w:rsidTr="00725D29">
        <w:trPr>
          <w:trHeight w:val="1590"/>
        </w:trPr>
        <w:tc>
          <w:tcPr>
            <w:tcW w:w="975" w:type="dxa"/>
            <w:hideMark/>
          </w:tcPr>
          <w:p w14:paraId="03C119D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618.</w:t>
            </w:r>
          </w:p>
        </w:tc>
        <w:tc>
          <w:tcPr>
            <w:tcW w:w="2656" w:type="dxa"/>
            <w:hideMark/>
          </w:tcPr>
          <w:p w14:paraId="2209E47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08D7C8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EEEE05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261. Žiadame preukázať transpozíciu čl. 35 ods. 3 smernice (EÚ) 2023/1791 do vnútroštátneho právneho poriadku. Smernica (EÚ) 2023/1791 stanovuje povinnosť členského štátu predkladať Komisii každý rok pred 30. aprílom štatistiky o vnútroštátnej výrobe elektriny a tepla z vysokoúčinnej a nízkoúčinnej kombinovanej výroby, predkladať ročné štatistiky o inštalovaných výkonoch kombinovanej výroby, a že takéto štatistické údaje majú byť v súlade s metodikou. Uvedené v transpozičných ustanoveniach uvádzaných v šiestom stĺpci predkladanej tabuľky zhody absentuje. Zároveň žiadame zosúladiť text v šiestom stĺpci predkladanej tabuľky zhody so znením predkladaného návrhu zákona a uvádzať celý text transpozičných ustanovení vrátane poznámok pod čiarou.</w:t>
            </w:r>
          </w:p>
        </w:tc>
        <w:tc>
          <w:tcPr>
            <w:tcW w:w="2264" w:type="dxa"/>
            <w:vAlign w:val="center"/>
            <w:hideMark/>
          </w:tcPr>
          <w:p w14:paraId="2D225F46" w14:textId="6DB4F45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AADD447" w14:textId="01B112E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58351F1" w14:textId="7577AC7C" w:rsidTr="00725D29">
        <w:trPr>
          <w:trHeight w:val="1590"/>
        </w:trPr>
        <w:tc>
          <w:tcPr>
            <w:tcW w:w="975" w:type="dxa"/>
            <w:hideMark/>
          </w:tcPr>
          <w:p w14:paraId="5EF3C6C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619.</w:t>
            </w:r>
          </w:p>
        </w:tc>
        <w:tc>
          <w:tcPr>
            <w:tcW w:w="2656" w:type="dxa"/>
            <w:hideMark/>
          </w:tcPr>
          <w:p w14:paraId="491E56B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BF1F68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C8ACA5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262. Transpozíciu čl. 36 ods. 1 druhého pododseku smernice (EÚ) 2023/1791 do vnútroštátneho právneho poriadku žiadame preukazovať aj § 35 ods. 7 zákona č. 575/2001 Z. z. v znení neskorších predpisov. Zároveň žiadame zosúladiť text v šiestom stĺpci predkladanej tabuľky zhody so znením predkladaného návrhu zákona.</w:t>
            </w:r>
          </w:p>
        </w:tc>
        <w:tc>
          <w:tcPr>
            <w:tcW w:w="2264" w:type="dxa"/>
            <w:vAlign w:val="center"/>
            <w:hideMark/>
          </w:tcPr>
          <w:p w14:paraId="73825CA0" w14:textId="0FC5D28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B28564A" w14:textId="599DA2D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3C6A3E0" w14:textId="695AE763" w:rsidTr="00725D29">
        <w:trPr>
          <w:trHeight w:val="1590"/>
        </w:trPr>
        <w:tc>
          <w:tcPr>
            <w:tcW w:w="975" w:type="dxa"/>
            <w:hideMark/>
          </w:tcPr>
          <w:p w14:paraId="19EB442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620.</w:t>
            </w:r>
          </w:p>
        </w:tc>
        <w:tc>
          <w:tcPr>
            <w:tcW w:w="2656" w:type="dxa"/>
            <w:hideMark/>
          </w:tcPr>
          <w:p w14:paraId="71A3199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91A566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2719A7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263. Pri preukazovaní transpozície čl. 36 ods. 1 tretieho pododseku smernice (EÚ) 2023/1791 do vnútroštátneho právneho poriadku žiadame upraviť číselné označenie novelizačných bodov uvádzané v piatom a šiestom stĺpci prekladanej tabuľky zhody.</w:t>
            </w:r>
          </w:p>
        </w:tc>
        <w:tc>
          <w:tcPr>
            <w:tcW w:w="2264" w:type="dxa"/>
            <w:vAlign w:val="center"/>
            <w:hideMark/>
          </w:tcPr>
          <w:p w14:paraId="7B3E9F8A" w14:textId="539D5D0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C7B5DB5" w14:textId="25C814F9"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C301967" w14:textId="7D131FE3" w:rsidTr="00725D29">
        <w:trPr>
          <w:trHeight w:val="1590"/>
        </w:trPr>
        <w:tc>
          <w:tcPr>
            <w:tcW w:w="975" w:type="dxa"/>
            <w:hideMark/>
          </w:tcPr>
          <w:p w14:paraId="468987E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621.</w:t>
            </w:r>
          </w:p>
        </w:tc>
        <w:tc>
          <w:tcPr>
            <w:tcW w:w="2656" w:type="dxa"/>
            <w:hideMark/>
          </w:tcPr>
          <w:p w14:paraId="252FF70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C25556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F4B678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264. Transpozíciu čl. 36 ods. 2 smernice (EÚ) 2023/1791 do vnútroštátneho právneho poriadku žiadame preukazovať § 35 ods. 7 zákona č. 575/2001 Z. z. v znení neskorších predpisov.</w:t>
            </w:r>
          </w:p>
        </w:tc>
        <w:tc>
          <w:tcPr>
            <w:tcW w:w="2264" w:type="dxa"/>
            <w:vAlign w:val="center"/>
            <w:hideMark/>
          </w:tcPr>
          <w:p w14:paraId="0ACE9416" w14:textId="35EE6A6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213C9C3" w14:textId="0AC2E02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49959EA" w14:textId="6A0B38EB" w:rsidTr="00725D29">
        <w:trPr>
          <w:trHeight w:val="1590"/>
        </w:trPr>
        <w:tc>
          <w:tcPr>
            <w:tcW w:w="975" w:type="dxa"/>
            <w:hideMark/>
          </w:tcPr>
          <w:p w14:paraId="1C4B5CE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622.</w:t>
            </w:r>
          </w:p>
        </w:tc>
        <w:tc>
          <w:tcPr>
            <w:tcW w:w="2656" w:type="dxa"/>
            <w:hideMark/>
          </w:tcPr>
          <w:p w14:paraId="12381DF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DE2D6A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251FF3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265. Pri preukazovaní transpozície Prílohy I  smernice (EÚ) 2023/1791 do vnútroštátneho právneho poriadku žiadame v treťom stĺpci predkladanej tabuľky zhody uvádzať označenie „n. a.“, keďže ide o neaplikovateľné ustanovenia. Zároveň žiadame vypustiť text zo štvrtého, piateho, šiesteho a siedmeho stĺpca predkladanej tabuľky zhody.</w:t>
            </w:r>
          </w:p>
        </w:tc>
        <w:tc>
          <w:tcPr>
            <w:tcW w:w="2264" w:type="dxa"/>
            <w:vAlign w:val="center"/>
            <w:hideMark/>
          </w:tcPr>
          <w:p w14:paraId="2EB9ABF1" w14:textId="0F5F570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405FBCB" w14:textId="53F3CAE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4B48F16" w14:textId="5EAA23DE" w:rsidTr="00725D29">
        <w:trPr>
          <w:trHeight w:val="1590"/>
        </w:trPr>
        <w:tc>
          <w:tcPr>
            <w:tcW w:w="975" w:type="dxa"/>
            <w:hideMark/>
          </w:tcPr>
          <w:p w14:paraId="5A1B1E3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623.</w:t>
            </w:r>
          </w:p>
        </w:tc>
        <w:tc>
          <w:tcPr>
            <w:tcW w:w="2656" w:type="dxa"/>
            <w:hideMark/>
          </w:tcPr>
          <w:p w14:paraId="5D62939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9C42A5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59957C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266. Pri preukazovaní transpozície Prílohy II  smernice (EÚ) 2023/1791 do vnútroštátneho právneho poriadku žiadame text tejto prílohy rozdeliť v predkladanej tabuľke zhody do samostatných riadkov podľa odsekov. Zároveň žiadame vyplniť tretí a štvrtý stĺpec tabuľky zhody.</w:t>
            </w:r>
          </w:p>
        </w:tc>
        <w:tc>
          <w:tcPr>
            <w:tcW w:w="2264" w:type="dxa"/>
            <w:vAlign w:val="center"/>
            <w:hideMark/>
          </w:tcPr>
          <w:p w14:paraId="46CA012E" w14:textId="2AA5283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E9C13E8" w14:textId="317A2B5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77B6099" w14:textId="7B30165B" w:rsidTr="00725D29">
        <w:trPr>
          <w:trHeight w:val="1590"/>
        </w:trPr>
        <w:tc>
          <w:tcPr>
            <w:tcW w:w="975" w:type="dxa"/>
            <w:hideMark/>
          </w:tcPr>
          <w:p w14:paraId="2DE216B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624.</w:t>
            </w:r>
          </w:p>
        </w:tc>
        <w:tc>
          <w:tcPr>
            <w:tcW w:w="2656" w:type="dxa"/>
            <w:hideMark/>
          </w:tcPr>
          <w:p w14:paraId="558EF8A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8E6B82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6345A1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267. Pri preukazovaní transpozície Prílohy II  smernice (EÚ) 2023/1791 do vnútroštátneho právneho poriadku žiadame v šiestom stĺpci tabuľky uvádzať celý text transpozičných ustanovení vrátane poznámok pod čiarou.</w:t>
            </w:r>
          </w:p>
        </w:tc>
        <w:tc>
          <w:tcPr>
            <w:tcW w:w="2264" w:type="dxa"/>
            <w:vAlign w:val="center"/>
            <w:hideMark/>
          </w:tcPr>
          <w:p w14:paraId="5170B942" w14:textId="4F1AA10A"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C800CE3" w14:textId="72E0C22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D7DB3D1" w14:textId="69C3A577" w:rsidTr="00725D29">
        <w:trPr>
          <w:trHeight w:val="1590"/>
        </w:trPr>
        <w:tc>
          <w:tcPr>
            <w:tcW w:w="975" w:type="dxa"/>
            <w:hideMark/>
          </w:tcPr>
          <w:p w14:paraId="233572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625.</w:t>
            </w:r>
          </w:p>
        </w:tc>
        <w:tc>
          <w:tcPr>
            <w:tcW w:w="2656" w:type="dxa"/>
            <w:hideMark/>
          </w:tcPr>
          <w:p w14:paraId="546607F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94D3A84"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2CAD05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268. Žiadame preukázať transpozíciu Prílohy II  ods. 2 poslednej vety smernice (EÚ) 2023/1791 do vnútroštátneho právneho poriadku. Smernica (EÚ) 2023/1791 stanovuje, že ak členské štáty zavedú predvolené hodnoty pomerov elektriny a tepla pre niektoré zariadenia tieto predvolené hodnoty uverejnia a oznámia ich Komisii. Uvedené v transpozičných ustanoveniach uvádzaných v šiestom stĺpci predkladanej tabuľky zhody absentuje.</w:t>
            </w:r>
          </w:p>
        </w:tc>
        <w:tc>
          <w:tcPr>
            <w:tcW w:w="2264" w:type="dxa"/>
            <w:vAlign w:val="center"/>
            <w:hideMark/>
          </w:tcPr>
          <w:p w14:paraId="49A77325" w14:textId="4372DA1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7F92E9B" w14:textId="392654E4"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F643170" w14:textId="07C2301F" w:rsidTr="00725D29">
        <w:trPr>
          <w:trHeight w:val="1590"/>
        </w:trPr>
        <w:tc>
          <w:tcPr>
            <w:tcW w:w="975" w:type="dxa"/>
            <w:hideMark/>
          </w:tcPr>
          <w:p w14:paraId="0A684C0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626.</w:t>
            </w:r>
          </w:p>
        </w:tc>
        <w:tc>
          <w:tcPr>
            <w:tcW w:w="2656" w:type="dxa"/>
            <w:hideMark/>
          </w:tcPr>
          <w:p w14:paraId="5E390F4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E0C81EB"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0E0EDC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269. Žiadame preukázať transpozíciu Prílohy II  časť I ods. 3 smernice (EÚ) 2023/1791 do vnútroštátneho právneho poriadku. Smernica (EÚ) 2023/1791 stanovuje, že ak je časť energetického obsahu paliva na vstupe do procesu kombinovanej výroby získaná späť v chemikáliách a znova použitá, túto časť je možné odčítať od množstva paliva na vstupe pred výpočtom celkovej účinnosti. Uvedené v transpozičných ustanoveniach uvádzaných v šiestom stĺpci predkladanej tabuľky zhody absentuje.</w:t>
            </w:r>
          </w:p>
        </w:tc>
        <w:tc>
          <w:tcPr>
            <w:tcW w:w="2264" w:type="dxa"/>
            <w:vAlign w:val="center"/>
            <w:hideMark/>
          </w:tcPr>
          <w:p w14:paraId="600E2010" w14:textId="4C9B7D8B"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8F0F7EE" w14:textId="2B206910"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8E54538" w14:textId="49962D4D" w:rsidTr="00725D29">
        <w:trPr>
          <w:trHeight w:val="1590"/>
        </w:trPr>
        <w:tc>
          <w:tcPr>
            <w:tcW w:w="975" w:type="dxa"/>
            <w:hideMark/>
          </w:tcPr>
          <w:p w14:paraId="71C976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627.</w:t>
            </w:r>
          </w:p>
        </w:tc>
        <w:tc>
          <w:tcPr>
            <w:tcW w:w="2656" w:type="dxa"/>
            <w:hideMark/>
          </w:tcPr>
          <w:p w14:paraId="58D693A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AEA8A8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2D19E0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270. Žiadame preukázať transpozíciu Prílohy II  časť II smernice (EÚ) 2023/1791 do vnútroštátneho právneho poriadku. Smernica (EÚ) 2023/1791 stanovuje technológie kombinovanej výroby, na ktoré sa vzťahuje, pričom výslovne uvádza aj plynovú turbínu s kombinovaným cyklom a s regeneráciou tepla a parný stroj. Uvedené v transpozičných ustanoveniach uvádzaných v šiestom stĺpci predkladanej tabuľky zhody absentuje.</w:t>
            </w:r>
          </w:p>
        </w:tc>
        <w:tc>
          <w:tcPr>
            <w:tcW w:w="2264" w:type="dxa"/>
            <w:vAlign w:val="center"/>
            <w:hideMark/>
          </w:tcPr>
          <w:p w14:paraId="4EA97BB1" w14:textId="4FF37B0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6FB11C3" w14:textId="4AF091A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AED14FD" w14:textId="5EEEF087" w:rsidTr="00725D29">
        <w:trPr>
          <w:trHeight w:val="1590"/>
        </w:trPr>
        <w:tc>
          <w:tcPr>
            <w:tcW w:w="975" w:type="dxa"/>
            <w:hideMark/>
          </w:tcPr>
          <w:p w14:paraId="0E9D7E5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628.</w:t>
            </w:r>
          </w:p>
        </w:tc>
        <w:tc>
          <w:tcPr>
            <w:tcW w:w="2656" w:type="dxa"/>
            <w:hideMark/>
          </w:tcPr>
          <w:p w14:paraId="4B039E6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4E0990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75A8F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271. Pri preukazovaní transpozície Prílohy III  smernice (EÚ) 2023/1791 do vnútroštátneho právneho poriadku žiadame vyplniť tretí a štvrtý stĺpec tabuľky zhody.</w:t>
            </w:r>
          </w:p>
        </w:tc>
        <w:tc>
          <w:tcPr>
            <w:tcW w:w="2264" w:type="dxa"/>
            <w:vAlign w:val="center"/>
            <w:hideMark/>
          </w:tcPr>
          <w:p w14:paraId="082F082C" w14:textId="48006E6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F592BAC" w14:textId="79341EDD"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93E99A4" w14:textId="7DA0109F" w:rsidTr="00725D29">
        <w:trPr>
          <w:trHeight w:val="1590"/>
        </w:trPr>
        <w:tc>
          <w:tcPr>
            <w:tcW w:w="975" w:type="dxa"/>
            <w:hideMark/>
          </w:tcPr>
          <w:p w14:paraId="244B0DE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629.</w:t>
            </w:r>
          </w:p>
        </w:tc>
        <w:tc>
          <w:tcPr>
            <w:tcW w:w="2656" w:type="dxa"/>
            <w:hideMark/>
          </w:tcPr>
          <w:p w14:paraId="6E60D7E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4472D8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9AA7CD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272. Žiadame preukázať transpozíciu Prílohy III  prvej vety smernice (EÚ) 2023/1791 do vnútroštátneho právneho poriadku, nakoľko sa jedná o ustanovenia s bežnou transpozíciou.</w:t>
            </w:r>
          </w:p>
        </w:tc>
        <w:tc>
          <w:tcPr>
            <w:tcW w:w="2264" w:type="dxa"/>
            <w:vAlign w:val="center"/>
            <w:hideMark/>
          </w:tcPr>
          <w:p w14:paraId="6C852EE8" w14:textId="55CB4AB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C656774" w14:textId="48673CB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F7B8293" w14:textId="1A9CA26C" w:rsidTr="00725D29">
        <w:trPr>
          <w:trHeight w:val="1590"/>
        </w:trPr>
        <w:tc>
          <w:tcPr>
            <w:tcW w:w="975" w:type="dxa"/>
            <w:hideMark/>
          </w:tcPr>
          <w:p w14:paraId="219913E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630.</w:t>
            </w:r>
          </w:p>
        </w:tc>
        <w:tc>
          <w:tcPr>
            <w:tcW w:w="2656" w:type="dxa"/>
            <w:hideMark/>
          </w:tcPr>
          <w:p w14:paraId="089C56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0ABD26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AB3DEF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273. Žiadame preukázať transpozíciu Prílohy III písm. a) smernice (EÚ) 2023/1791 do vnútroštátneho právneho poriadku, v časti, že pokiaľ ide o zariadenia kombinovanej výroby vybudované alebo významne obnovené po transpozícií tejto prílohy, kritériom pre vysokoúčinnú kombinovanú výrobu je, že priame emisie oxidu uhličitého z kombinovanej výroby, pri ktorej sa používajú fosílne palivá, sú nižšie ako 270 g CO2 na 1 kWh energie z kombinovanej výroby. Uvedené v transpozičných ustanoveniach uvádzaných v šiestom stĺpci predkladanej tabuľky zhody absentuje.</w:t>
            </w:r>
          </w:p>
        </w:tc>
        <w:tc>
          <w:tcPr>
            <w:tcW w:w="2264" w:type="dxa"/>
            <w:vAlign w:val="center"/>
            <w:hideMark/>
          </w:tcPr>
          <w:p w14:paraId="317C5A1B" w14:textId="64E9925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A998B23" w14:textId="0F861AD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7F53243" w14:textId="62DEAB69" w:rsidTr="00725D29">
        <w:trPr>
          <w:trHeight w:val="1590"/>
        </w:trPr>
        <w:tc>
          <w:tcPr>
            <w:tcW w:w="975" w:type="dxa"/>
            <w:hideMark/>
          </w:tcPr>
          <w:p w14:paraId="004D187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631.</w:t>
            </w:r>
          </w:p>
        </w:tc>
        <w:tc>
          <w:tcPr>
            <w:tcW w:w="2656" w:type="dxa"/>
            <w:hideMark/>
          </w:tcPr>
          <w:p w14:paraId="28B08FF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890689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709AA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274. Žiadame preukázať transpozíciu Prílohy III  písm. a) poslednej vety smernice (EÚ) 2023/1791 do vnútroštátneho právneho poriadku, nakoľko sa jedná o ustanovenia s bežnou transpozíciou.</w:t>
            </w:r>
          </w:p>
        </w:tc>
        <w:tc>
          <w:tcPr>
            <w:tcW w:w="2264" w:type="dxa"/>
            <w:vAlign w:val="center"/>
            <w:hideMark/>
          </w:tcPr>
          <w:p w14:paraId="48E644D5" w14:textId="59412759"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4EB7506" w14:textId="1DA3B8E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FDB4C2C" w14:textId="7E099608" w:rsidTr="00725D29">
        <w:trPr>
          <w:trHeight w:val="1590"/>
        </w:trPr>
        <w:tc>
          <w:tcPr>
            <w:tcW w:w="975" w:type="dxa"/>
            <w:hideMark/>
          </w:tcPr>
          <w:p w14:paraId="3495E7F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632.</w:t>
            </w:r>
          </w:p>
        </w:tc>
        <w:tc>
          <w:tcPr>
            <w:tcW w:w="2656" w:type="dxa"/>
            <w:hideMark/>
          </w:tcPr>
          <w:p w14:paraId="75F0CE5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228B0C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E11AB2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275. Pri preukazovaní transpozície Prílohy III písm. c)  smernice (EÚ) 2023/1791 do vnútroštátneho právneho poriadku žiadame v treťom stĺpci predkladanej tabuľky zhody uvádzať označenie „D“, keďže ide o ustanovenie s dobrovoľnou transpozíciou.</w:t>
            </w:r>
          </w:p>
        </w:tc>
        <w:tc>
          <w:tcPr>
            <w:tcW w:w="2264" w:type="dxa"/>
            <w:vAlign w:val="center"/>
            <w:hideMark/>
          </w:tcPr>
          <w:p w14:paraId="66E035EF" w14:textId="05DFC30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281FD32" w14:textId="732326EC"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369F9B4" w14:textId="0DC6BF0F" w:rsidTr="00725D29">
        <w:trPr>
          <w:trHeight w:val="1590"/>
        </w:trPr>
        <w:tc>
          <w:tcPr>
            <w:tcW w:w="975" w:type="dxa"/>
            <w:hideMark/>
          </w:tcPr>
          <w:p w14:paraId="6B05E1C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633.</w:t>
            </w:r>
          </w:p>
        </w:tc>
        <w:tc>
          <w:tcPr>
            <w:tcW w:w="2656" w:type="dxa"/>
            <w:hideMark/>
          </w:tcPr>
          <w:p w14:paraId="5BB2F55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B7BF6F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DBEE13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276. Žiadame preukázať transpozíciu Prílohy III  písm. d) poslednej vety smernice (EÚ) 2023/1791 do vnútroštátneho právneho poriadku, nakoľko sa jedná o ustanovenia s bežnou transpozíciou.</w:t>
            </w:r>
          </w:p>
        </w:tc>
        <w:tc>
          <w:tcPr>
            <w:tcW w:w="2264" w:type="dxa"/>
            <w:vAlign w:val="center"/>
            <w:hideMark/>
          </w:tcPr>
          <w:p w14:paraId="7ED3A3EB" w14:textId="5DB5E23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8446882" w14:textId="37B2CA1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0D35FB19" w14:textId="0318E179" w:rsidTr="00725D29">
        <w:trPr>
          <w:trHeight w:val="1590"/>
        </w:trPr>
        <w:tc>
          <w:tcPr>
            <w:tcW w:w="975" w:type="dxa"/>
            <w:hideMark/>
          </w:tcPr>
          <w:p w14:paraId="639D23E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634.</w:t>
            </w:r>
          </w:p>
        </w:tc>
        <w:tc>
          <w:tcPr>
            <w:tcW w:w="2656" w:type="dxa"/>
            <w:hideMark/>
          </w:tcPr>
          <w:p w14:paraId="1E76AFD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A44353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5BACA6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277. Žiadame preukázať transpozíciu Prílohy IV písm. c) smernice (EÚ) 2023/1791 do vnútroštátneho právneho poriadku. Smernica (EÚ) 2023/1791 stanovuje, že verejní obstarávatelia a obstarávatelia, ktorí obstarávajú produkty, služby, budovy a práce, pri postupoch zadávania verejných zákaziek a koncesií vynakladajú maximálne úsilie na to, aby obstarávali iba také produkty a služby, ktoré spĺňajú aspoň technické špecifikácie stanovené na „základnej“ úrovni v príslušných kritériách Únie týkajúcich sa zeleného verejného obstarávania alebo existujúcich rovnocenných národných kritériách. Uvedené v transpozičných ustanoveniach uvádzaných v šiestom stĺpci predkladanej tabuľky zhody absentuje. Zároveň žiadame vyplniť tretí a štvrtý stĺpec tabuľky zhody.</w:t>
            </w:r>
          </w:p>
        </w:tc>
        <w:tc>
          <w:tcPr>
            <w:tcW w:w="2264" w:type="dxa"/>
            <w:vAlign w:val="center"/>
            <w:hideMark/>
          </w:tcPr>
          <w:p w14:paraId="59F3FDE7" w14:textId="5AC2397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0606602" w14:textId="12D650D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5591C7CC" w14:textId="02456BFF" w:rsidTr="00725D29">
        <w:trPr>
          <w:trHeight w:val="1590"/>
        </w:trPr>
        <w:tc>
          <w:tcPr>
            <w:tcW w:w="975" w:type="dxa"/>
            <w:hideMark/>
          </w:tcPr>
          <w:p w14:paraId="6AEEB38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635.</w:t>
            </w:r>
          </w:p>
        </w:tc>
        <w:tc>
          <w:tcPr>
            <w:tcW w:w="2656" w:type="dxa"/>
            <w:hideMark/>
          </w:tcPr>
          <w:p w14:paraId="626AABF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153CA3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681959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278. Žiadame preukázať transpozíciu Prílohy IV písm. f) smernice (EÚ) 2023/1791 do vnútroštátneho právneho poriadku, nakoľko sa jedná o ustanovenia s bežnou transpozíciou.</w:t>
            </w:r>
          </w:p>
        </w:tc>
        <w:tc>
          <w:tcPr>
            <w:tcW w:w="2264" w:type="dxa"/>
            <w:vAlign w:val="center"/>
            <w:hideMark/>
          </w:tcPr>
          <w:p w14:paraId="6455AEFB" w14:textId="0273539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626B244" w14:textId="294A5002" w:rsidR="00725D29" w:rsidRPr="00BC49FC" w:rsidRDefault="00725D29" w:rsidP="00725D29">
            <w:pPr>
              <w:rPr>
                <w:rFonts w:ascii="Times New Roman" w:hAnsi="Times New Roman" w:cs="Times New Roman"/>
                <w:b/>
                <w:bCs/>
              </w:rPr>
            </w:pPr>
            <w:r>
              <w:rPr>
                <w:b/>
                <w:bCs/>
                <w:color w:val="000000"/>
              </w:rPr>
              <w:t>Doplnené do dôvodovej správy</w:t>
            </w:r>
          </w:p>
        </w:tc>
      </w:tr>
      <w:tr w:rsidR="00725D29" w:rsidRPr="006278D2" w14:paraId="38D77B0C" w14:textId="3B06EB74" w:rsidTr="00725D29">
        <w:trPr>
          <w:trHeight w:val="1590"/>
        </w:trPr>
        <w:tc>
          <w:tcPr>
            <w:tcW w:w="975" w:type="dxa"/>
            <w:hideMark/>
          </w:tcPr>
          <w:p w14:paraId="54AAC8E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636.</w:t>
            </w:r>
          </w:p>
        </w:tc>
        <w:tc>
          <w:tcPr>
            <w:tcW w:w="2656" w:type="dxa"/>
            <w:hideMark/>
          </w:tcPr>
          <w:p w14:paraId="36EB3AE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93FDE6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244D70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279. Žiadame preukázať transpozíciu Prílohy V ods. 1 smernice (EÚ) 2023/1791 do vnútroštátneho právneho poriadku. Smernica (EÚ) 2023/1791 v písm. a) až e) stanovuje aké metódy môžu použiť povinné, zúčastňujúce sa alebo poverené subjekty alebo vykonávajúce orgány verejnej moci na výpočet úspor energie, pričom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45F958A5" w14:textId="58FC411C"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09CA8185" w14:textId="107770C0" w:rsidR="00725D29" w:rsidRPr="00BC49FC" w:rsidRDefault="00725D29" w:rsidP="00725D29">
            <w:pPr>
              <w:rPr>
                <w:rFonts w:ascii="Times New Roman" w:hAnsi="Times New Roman" w:cs="Times New Roman"/>
                <w:b/>
                <w:bCs/>
              </w:rPr>
            </w:pPr>
            <w:r>
              <w:rPr>
                <w:b/>
                <w:bCs/>
                <w:color w:val="000000"/>
              </w:rPr>
              <w:t>Čiastočná transpozícia</w:t>
            </w:r>
          </w:p>
        </w:tc>
      </w:tr>
      <w:tr w:rsidR="00725D29" w:rsidRPr="006278D2" w14:paraId="432E72E7" w14:textId="1F5EE372" w:rsidTr="00725D29">
        <w:trPr>
          <w:trHeight w:val="1590"/>
        </w:trPr>
        <w:tc>
          <w:tcPr>
            <w:tcW w:w="975" w:type="dxa"/>
            <w:hideMark/>
          </w:tcPr>
          <w:p w14:paraId="3D9849E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637.</w:t>
            </w:r>
          </w:p>
        </w:tc>
        <w:tc>
          <w:tcPr>
            <w:tcW w:w="2656" w:type="dxa"/>
            <w:hideMark/>
          </w:tcPr>
          <w:p w14:paraId="16574AB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DAA36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7BC6EF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280. Žiadame preukázať transpozíciu Prílohy V ods. 2 smernice (EÚ) 2023/1791 do vnútroštátneho právneho poriadku. Smernica (EÚ) 2023/1791 v písm. a) až p) stanovuje aké zásady sa uplatňujú pri určovaní úspor energie v prípade opatrenia v oblasti energetickej efektívnosti, pričom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52FA599E" w14:textId="4B5CF5B5"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694CD258" w14:textId="02E083D7"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2101568" w14:textId="51976E89" w:rsidTr="00725D29">
        <w:trPr>
          <w:trHeight w:val="1590"/>
        </w:trPr>
        <w:tc>
          <w:tcPr>
            <w:tcW w:w="975" w:type="dxa"/>
            <w:hideMark/>
          </w:tcPr>
          <w:p w14:paraId="67FAE83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638.</w:t>
            </w:r>
          </w:p>
        </w:tc>
        <w:tc>
          <w:tcPr>
            <w:tcW w:w="2656" w:type="dxa"/>
            <w:hideMark/>
          </w:tcPr>
          <w:p w14:paraId="1FAAD60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7E19AC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4FC25D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281. Žiadame preukázať transpozíciu Prílohy V ods. 3 smernice (EÚ) 2023/1791 do vnútroštátneho právneho poriadku. Smernica (EÚ) 2023/1791 v písm. a) až i) stanovuje požiadavky na politické opatrenia, ktoré má členský štát zabezpečiť, pričom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784405F6" w14:textId="62B97DCE"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64A5A74D" w14:textId="3235D9A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5D7DD12" w14:textId="3F4BFCA7" w:rsidTr="00725D29">
        <w:trPr>
          <w:trHeight w:val="1590"/>
        </w:trPr>
        <w:tc>
          <w:tcPr>
            <w:tcW w:w="975" w:type="dxa"/>
            <w:hideMark/>
          </w:tcPr>
          <w:p w14:paraId="7E1207D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639.</w:t>
            </w:r>
          </w:p>
        </w:tc>
        <w:tc>
          <w:tcPr>
            <w:tcW w:w="2656" w:type="dxa"/>
            <w:hideMark/>
          </w:tcPr>
          <w:p w14:paraId="14C424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3BB979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EB2FED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282. Žiadame preukázať transpozíciu Prílohy V ods. 4 smernice (EÚ) 2023/1791 do vnútroštátneho právneho poriadku. Smernica (EÚ) 2023/1791 v písm. a) až f) stanovuje zásady, ktoré sa majú uplatňovať pri určovaní úspor energie vyplývajúcich z politických opatrení, ktoré súvisia so zdaňovaním, pričom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03E7D53B" w14:textId="13BA2C9C"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6FEBD85A" w14:textId="1597B5F0"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FD910C0" w14:textId="50AA11D3" w:rsidTr="00725D29">
        <w:trPr>
          <w:trHeight w:val="1590"/>
        </w:trPr>
        <w:tc>
          <w:tcPr>
            <w:tcW w:w="975" w:type="dxa"/>
            <w:hideMark/>
          </w:tcPr>
          <w:p w14:paraId="0548D6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640.</w:t>
            </w:r>
          </w:p>
        </w:tc>
        <w:tc>
          <w:tcPr>
            <w:tcW w:w="2656" w:type="dxa"/>
            <w:hideMark/>
          </w:tcPr>
          <w:p w14:paraId="5656FA1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1C57D8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06C915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283. Žiadame preukázať transpozíciu Prílohy V ods. 5 smernice (EÚ) 2023/1791 do vnútroštátneho právneho poriadku. Smernica (EÚ) 2023/1791 stanovuje, že členský štát má oznámiť Komisii  navrhovanú podrobnú metodiku na realizáciu povinných schém energetickej efektívnosti a alternatívnych opatrení, ktorá má obsahovať informácie o náležitostiach uvedených v písm. a) až q).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1010510F" w14:textId="34F9487E"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5D026492" w14:textId="01BCB8D6"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3AA0824" w14:textId="593A8039" w:rsidTr="00725D29">
        <w:trPr>
          <w:trHeight w:val="1590"/>
        </w:trPr>
        <w:tc>
          <w:tcPr>
            <w:tcW w:w="975" w:type="dxa"/>
            <w:hideMark/>
          </w:tcPr>
          <w:p w14:paraId="05647C2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641.</w:t>
            </w:r>
          </w:p>
        </w:tc>
        <w:tc>
          <w:tcPr>
            <w:tcW w:w="2656" w:type="dxa"/>
            <w:hideMark/>
          </w:tcPr>
          <w:p w14:paraId="7AFCAFC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AF1231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FDB03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284. Žiadame preukázať transpozíciu Prílohy VI smernice (EÚ) 2023/1791 do vnútroštátneho právneho poriadku. Smernica (EÚ) 2023/1791 stanovuje v písm. a) až f) náležitosti energetických auditov, pričom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30295FD7" w14:textId="1975B531"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3E4E79F9" w14:textId="5C7D5566"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EA17967" w14:textId="627FC221" w:rsidTr="00725D29">
        <w:trPr>
          <w:trHeight w:val="1590"/>
        </w:trPr>
        <w:tc>
          <w:tcPr>
            <w:tcW w:w="975" w:type="dxa"/>
            <w:hideMark/>
          </w:tcPr>
          <w:p w14:paraId="0D07403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642.</w:t>
            </w:r>
          </w:p>
        </w:tc>
        <w:tc>
          <w:tcPr>
            <w:tcW w:w="2656" w:type="dxa"/>
            <w:hideMark/>
          </w:tcPr>
          <w:p w14:paraId="6A386B5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17A696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202B7AB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285. Žiadame preukázať transpozíciu Prílohy VII smernice (EÚ) 2023/1791 do vnútroštátneho právneho poriadku. Smernica (EÚ) 2023/1791 stanovuje v písm. a) až c) minimálne požiadavky na monitorovanie a uverejňovanie energetickej hospodárnosti dátových centier, pričom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3F0FFC46" w14:textId="3681ACFD"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34DE6F0" w14:textId="5FB1ED6E"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18DE6EA" w14:textId="0D7373F8" w:rsidTr="00725D29">
        <w:trPr>
          <w:trHeight w:val="1590"/>
        </w:trPr>
        <w:tc>
          <w:tcPr>
            <w:tcW w:w="975" w:type="dxa"/>
            <w:hideMark/>
          </w:tcPr>
          <w:p w14:paraId="53BB33B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643.</w:t>
            </w:r>
          </w:p>
        </w:tc>
        <w:tc>
          <w:tcPr>
            <w:tcW w:w="2656" w:type="dxa"/>
            <w:hideMark/>
          </w:tcPr>
          <w:p w14:paraId="4FBAEDE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144D61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8D6D64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286. Pri preukazovaní transpozície Prílohy VIII  smernice (EÚ) 2023/1791 do vnútroštátneho právneho poriadku žiadame vypustiť text zo šiesteho stĺpca predkladanej tabuľky zhody. Zároveň žiadame informáciu o zrušení Prílohy VIII uvádzať v ôsmom stĺpci tabuľky.</w:t>
            </w:r>
          </w:p>
        </w:tc>
        <w:tc>
          <w:tcPr>
            <w:tcW w:w="2264" w:type="dxa"/>
            <w:vAlign w:val="center"/>
            <w:hideMark/>
          </w:tcPr>
          <w:p w14:paraId="44E8118D" w14:textId="25986C8C"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15F6364D" w14:textId="174D8E8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22CE3F1" w14:textId="660CEE44" w:rsidTr="00725D29">
        <w:trPr>
          <w:trHeight w:val="1590"/>
        </w:trPr>
        <w:tc>
          <w:tcPr>
            <w:tcW w:w="975" w:type="dxa"/>
            <w:hideMark/>
          </w:tcPr>
          <w:p w14:paraId="5BE068A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644.</w:t>
            </w:r>
          </w:p>
        </w:tc>
        <w:tc>
          <w:tcPr>
            <w:tcW w:w="2656" w:type="dxa"/>
            <w:hideMark/>
          </w:tcPr>
          <w:p w14:paraId="4B1C0A7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DC94BD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E70740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287. Žiadame preukázať transpozíciu Prílohy IX bodu 1 smernice (EÚ) 2023/1791 do vnútroštátneho právneho poriadku. Smernica (EÚ) 2023/1791 stanovuje, že vyúčtovanie sa má vykonávať na základe skutočnej spotreby alebo odpočtov pomerového rozdeľovača vykurovacích nákladov najmenej raz za rok. Uvedené v transpozičných ustanoveniach uvádzaných v šiestom stĺpci predkladanej tabuľky zhody absentuje. Zároveň žiadame v šiestom stĺpci tabuľky zhody uvádzať text vrátane poznámok pod čiarou a číslo právneho predpisu, ktorým sa preukazuje transpozícia uvádzať v štvrtom stĺpci tabuľky zhody.</w:t>
            </w:r>
          </w:p>
        </w:tc>
        <w:tc>
          <w:tcPr>
            <w:tcW w:w="2264" w:type="dxa"/>
            <w:vAlign w:val="center"/>
            <w:hideMark/>
          </w:tcPr>
          <w:p w14:paraId="3B208F28" w14:textId="422F5C7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B20BE2E" w14:textId="0D9F0B8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71D705CC" w14:textId="7F674FE6" w:rsidTr="00725D29">
        <w:trPr>
          <w:trHeight w:val="1590"/>
        </w:trPr>
        <w:tc>
          <w:tcPr>
            <w:tcW w:w="975" w:type="dxa"/>
            <w:hideMark/>
          </w:tcPr>
          <w:p w14:paraId="6F3190D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645.</w:t>
            </w:r>
          </w:p>
        </w:tc>
        <w:tc>
          <w:tcPr>
            <w:tcW w:w="2656" w:type="dxa"/>
            <w:hideMark/>
          </w:tcPr>
          <w:p w14:paraId="5B8F088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946533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9F4609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288. Žiadame preukázať transpozíciu Prílohy IX bodu 3 prvého pododseku smernice (EÚ) 2023/1791 do vnútroštátneho právneho poriadku, nakoľko sa jedná o ustanovenia s bežnou transpozíciou.</w:t>
            </w:r>
          </w:p>
        </w:tc>
        <w:tc>
          <w:tcPr>
            <w:tcW w:w="2264" w:type="dxa"/>
            <w:vAlign w:val="center"/>
            <w:hideMark/>
          </w:tcPr>
          <w:p w14:paraId="6F297BDB" w14:textId="4476D87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58170F4" w14:textId="261CBB92"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627659C" w14:textId="4030DDDC" w:rsidTr="00725D29">
        <w:trPr>
          <w:trHeight w:val="1590"/>
        </w:trPr>
        <w:tc>
          <w:tcPr>
            <w:tcW w:w="975" w:type="dxa"/>
            <w:hideMark/>
          </w:tcPr>
          <w:p w14:paraId="6106560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646.</w:t>
            </w:r>
          </w:p>
        </w:tc>
        <w:tc>
          <w:tcPr>
            <w:tcW w:w="2656" w:type="dxa"/>
            <w:hideMark/>
          </w:tcPr>
          <w:p w14:paraId="4B1FFCC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5311FC8"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89D0C0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289. Žiadame preukázať transpozíciu Prílohy IX bodu 3 tretieho pododseku smernice (EÚ) 2023/1791 do vnútroštátneho právneho poriadku, nakoľko sa jedná o ustanovenie s bežnou transpozíciou.</w:t>
            </w:r>
          </w:p>
        </w:tc>
        <w:tc>
          <w:tcPr>
            <w:tcW w:w="2264" w:type="dxa"/>
            <w:vAlign w:val="center"/>
            <w:hideMark/>
          </w:tcPr>
          <w:p w14:paraId="6BE44B1A" w14:textId="4511996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022125E" w14:textId="07A8B3C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CAA8713" w14:textId="3CC7FEB3" w:rsidTr="00725D29">
        <w:trPr>
          <w:trHeight w:val="1590"/>
        </w:trPr>
        <w:tc>
          <w:tcPr>
            <w:tcW w:w="975" w:type="dxa"/>
            <w:hideMark/>
          </w:tcPr>
          <w:p w14:paraId="5071D3C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647.</w:t>
            </w:r>
          </w:p>
        </w:tc>
        <w:tc>
          <w:tcPr>
            <w:tcW w:w="2656" w:type="dxa"/>
            <w:hideMark/>
          </w:tcPr>
          <w:p w14:paraId="39D59B4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2B20E6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3DEDCE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290. Žiadame preukázať transpozíciu Prílohy X smernice (EÚ) 2023/1791 do vnútroštátneho právneho poriadku. Smernica (EÚ) 2023/1791 stanovuje aké prvky, z ktorých aj vychádza má obsahovať komplexné posúdenie národného potenciálu vykurovania a chladenia.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67CC99AC" w14:textId="51783F4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F3057F1" w14:textId="119D0146"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1F424F34" w14:textId="0C8E7955" w:rsidTr="00725D29">
        <w:trPr>
          <w:trHeight w:val="1590"/>
        </w:trPr>
        <w:tc>
          <w:tcPr>
            <w:tcW w:w="975" w:type="dxa"/>
            <w:hideMark/>
          </w:tcPr>
          <w:p w14:paraId="650CCB8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648.</w:t>
            </w:r>
          </w:p>
        </w:tc>
        <w:tc>
          <w:tcPr>
            <w:tcW w:w="2656" w:type="dxa"/>
            <w:hideMark/>
          </w:tcPr>
          <w:p w14:paraId="36E8DBF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E4BC8C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C636F8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291. Žiadame preukázať transpozíciu Prílohy XI smernice (EÚ) 2023/1791 do vnútroštátneho právneho poriadku. Smernica (EÚ) 2023/1791 stanovuje náležitosti analýzy nákladov a prínosov. Predkladateľ transpozíciu týchto ustanovení preukazuje splnomocňovacím ustanovením čo považujeme za nedostatočné na preukázanie úplnej transpozície. Zároveň upozorňujeme na skutočnosť, že text uvádzaný v šiestom stĺpci predkladanej tabuľky zhody nie je zhodný s textom predkladaného návrhu zákona.</w:t>
            </w:r>
          </w:p>
        </w:tc>
        <w:tc>
          <w:tcPr>
            <w:tcW w:w="2264" w:type="dxa"/>
            <w:vAlign w:val="center"/>
            <w:hideMark/>
          </w:tcPr>
          <w:p w14:paraId="6DB9C4E9" w14:textId="610F4B55"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0AC41410" w14:textId="33FC06CF"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4A8ACEF" w14:textId="347194D9" w:rsidTr="00725D29">
        <w:trPr>
          <w:trHeight w:val="1590"/>
        </w:trPr>
        <w:tc>
          <w:tcPr>
            <w:tcW w:w="975" w:type="dxa"/>
            <w:hideMark/>
          </w:tcPr>
          <w:p w14:paraId="4DE549D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649.</w:t>
            </w:r>
          </w:p>
        </w:tc>
        <w:tc>
          <w:tcPr>
            <w:tcW w:w="2656" w:type="dxa"/>
            <w:hideMark/>
          </w:tcPr>
          <w:p w14:paraId="704FAA8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B4DF7E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92D14B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292. Pri preukazovaní transpozície Prílohy XI posledného pododseku smernice (EÚ) 2023/1791 do vnútroštátneho právneho poriadku nie je zrejmé, či chceme alebo nechceme realizovať dobrovoľnú transpozíciu. V prípade, že chceme transponovať Prílohu XI posledný pododsek smernice (EÚ) 2023/1791, žiadame uviesť relevantné transpozičné opatrenia v šiestom stĺpci predkladanej tabuľky zhody. V prípade, že sa táto dobrovoľná transpozícia nevyužíva žiadame vypustiť text zo štvrtého, piateho, šiesteho a siedmeho stĺpca predkladanej tabuľky zhody.</w:t>
            </w:r>
          </w:p>
        </w:tc>
        <w:tc>
          <w:tcPr>
            <w:tcW w:w="2264" w:type="dxa"/>
            <w:vAlign w:val="center"/>
            <w:hideMark/>
          </w:tcPr>
          <w:p w14:paraId="1181881B" w14:textId="58C3062A"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314F276F" w14:textId="723B5348"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6D5F2D21" w14:textId="1203D37D" w:rsidTr="00725D29">
        <w:trPr>
          <w:trHeight w:val="1590"/>
        </w:trPr>
        <w:tc>
          <w:tcPr>
            <w:tcW w:w="975" w:type="dxa"/>
            <w:hideMark/>
          </w:tcPr>
          <w:p w14:paraId="15FF1DF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650.</w:t>
            </w:r>
          </w:p>
        </w:tc>
        <w:tc>
          <w:tcPr>
            <w:tcW w:w="2656" w:type="dxa"/>
            <w:hideMark/>
          </w:tcPr>
          <w:p w14:paraId="772DA8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DA36F0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1E7757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293. Žiadame preukázať transpozíciu Prílohy XII smernice (EÚ) 2023/1791 do vnútroštátneho právneho poriadku, nakoľko sa jedná o ustanovenie s bežnou transpozíciou.</w:t>
            </w:r>
          </w:p>
        </w:tc>
        <w:tc>
          <w:tcPr>
            <w:tcW w:w="2264" w:type="dxa"/>
            <w:vAlign w:val="center"/>
            <w:hideMark/>
          </w:tcPr>
          <w:p w14:paraId="57928E8E" w14:textId="62D5BC57"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2C73B122" w14:textId="7A295CA7" w:rsidR="00725D29" w:rsidRPr="00BC49FC" w:rsidRDefault="00725D29" w:rsidP="00725D29">
            <w:pPr>
              <w:rPr>
                <w:rFonts w:ascii="Times New Roman" w:hAnsi="Times New Roman" w:cs="Times New Roman"/>
                <w:b/>
                <w:bCs/>
              </w:rPr>
            </w:pPr>
            <w:r>
              <w:rPr>
                <w:b/>
                <w:bCs/>
                <w:color w:val="000000"/>
              </w:rPr>
              <w:t>Upravené, návrh vyhlášky.</w:t>
            </w:r>
          </w:p>
        </w:tc>
      </w:tr>
      <w:tr w:rsidR="00725D29" w:rsidRPr="006278D2" w14:paraId="4E05CB3B" w14:textId="5086DC97" w:rsidTr="00725D29">
        <w:trPr>
          <w:trHeight w:val="1590"/>
        </w:trPr>
        <w:tc>
          <w:tcPr>
            <w:tcW w:w="975" w:type="dxa"/>
            <w:hideMark/>
          </w:tcPr>
          <w:p w14:paraId="77534BA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651.</w:t>
            </w:r>
          </w:p>
        </w:tc>
        <w:tc>
          <w:tcPr>
            <w:tcW w:w="2656" w:type="dxa"/>
            <w:hideMark/>
          </w:tcPr>
          <w:p w14:paraId="5189A7C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8F61EA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502268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294. Žiadame preukázať transpozíciu Prílohy XIII smernice (EÚ) 2023/1791 do vnútroštátneho právneho poriadku. Smernica (EÚ) 2023/1791 stanovuje kritéria energetickej efektívnosti pre reguláciu energetických sietí a tarify elektrických sietí. V slovenskej  právnej úprave, ktorou sa preukazuje transpozícia tohto ustanovenia, uvedené absentuje.</w:t>
            </w:r>
          </w:p>
        </w:tc>
        <w:tc>
          <w:tcPr>
            <w:tcW w:w="2264" w:type="dxa"/>
            <w:vAlign w:val="center"/>
            <w:hideMark/>
          </w:tcPr>
          <w:p w14:paraId="3E8D2F02" w14:textId="3411092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9514661" w14:textId="5234BE1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6B28D01E" w14:textId="332986A5" w:rsidTr="00725D29">
        <w:trPr>
          <w:trHeight w:val="1590"/>
        </w:trPr>
        <w:tc>
          <w:tcPr>
            <w:tcW w:w="975" w:type="dxa"/>
            <w:hideMark/>
          </w:tcPr>
          <w:p w14:paraId="4F52880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652.</w:t>
            </w:r>
          </w:p>
        </w:tc>
        <w:tc>
          <w:tcPr>
            <w:tcW w:w="2656" w:type="dxa"/>
            <w:hideMark/>
          </w:tcPr>
          <w:p w14:paraId="2C39361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9DD812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1B16D3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295. Žiadame preukázať transpozíciu Prílohy XIII smernice ods. 3 (EÚ) 2023/1791 do vnútroštátneho právneho poriadku. Zároveň žiadame v treťom stĺpci predkladanej tabuľky zhody uvádzať označenie „N“, keďže ide o ustanovenie s bežnou transpozíciou, nie o ustanovenie s dobrovoľnou transpozíciou.</w:t>
            </w:r>
          </w:p>
        </w:tc>
        <w:tc>
          <w:tcPr>
            <w:tcW w:w="2264" w:type="dxa"/>
            <w:vAlign w:val="center"/>
            <w:hideMark/>
          </w:tcPr>
          <w:p w14:paraId="7EB8D1D0" w14:textId="2C611A3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3562727" w14:textId="1A26952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C5AE404" w14:textId="6B005172" w:rsidTr="00725D29">
        <w:trPr>
          <w:trHeight w:val="1590"/>
        </w:trPr>
        <w:tc>
          <w:tcPr>
            <w:tcW w:w="975" w:type="dxa"/>
            <w:hideMark/>
          </w:tcPr>
          <w:p w14:paraId="17C4FDA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653.</w:t>
            </w:r>
          </w:p>
        </w:tc>
        <w:tc>
          <w:tcPr>
            <w:tcW w:w="2656" w:type="dxa"/>
            <w:hideMark/>
          </w:tcPr>
          <w:p w14:paraId="7B43686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408F981"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758ABC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296. Pri preukazovaní transpozície Prílohy XV žiadame v šiestom stĺpci tabuľky zhody uvádzať celý text transpozičných ustanovení vrátane poznámok pod čiarou.</w:t>
            </w:r>
          </w:p>
        </w:tc>
        <w:tc>
          <w:tcPr>
            <w:tcW w:w="2264" w:type="dxa"/>
            <w:vAlign w:val="center"/>
            <w:hideMark/>
          </w:tcPr>
          <w:p w14:paraId="2FC37419" w14:textId="7193A687"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849A564" w14:textId="6B2441B3"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BEBD854" w14:textId="49EAD656" w:rsidTr="00725D29">
        <w:trPr>
          <w:trHeight w:val="1590"/>
        </w:trPr>
        <w:tc>
          <w:tcPr>
            <w:tcW w:w="975" w:type="dxa"/>
            <w:hideMark/>
          </w:tcPr>
          <w:p w14:paraId="05EA3C8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654.</w:t>
            </w:r>
          </w:p>
        </w:tc>
        <w:tc>
          <w:tcPr>
            <w:tcW w:w="2656" w:type="dxa"/>
            <w:hideMark/>
          </w:tcPr>
          <w:p w14:paraId="061FEC8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11C2558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7571AD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2023/1791: </w:t>
            </w:r>
            <w:r w:rsidRPr="00BC49FC">
              <w:rPr>
                <w:rFonts w:ascii="Times New Roman" w:hAnsi="Times New Roman" w:cs="Times New Roman"/>
              </w:rPr>
              <w:t>297. Pri preukazovaní transpozície Prílohy XVI do vnútroštátneho právneho poriadku žiadame v treťom stĺpci predkladanej tabuľky zhody uvádzať označenie „n. a.“, keďže ide o neaplikovateľné ustanovenie. Zároveň žiadame vypustiť text zo siedmeho stĺpca predkladanej tabuľky zhody.</w:t>
            </w:r>
          </w:p>
        </w:tc>
        <w:tc>
          <w:tcPr>
            <w:tcW w:w="2264" w:type="dxa"/>
            <w:vAlign w:val="center"/>
            <w:hideMark/>
          </w:tcPr>
          <w:p w14:paraId="13AE8ACC" w14:textId="43FFFD0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A0F66EA" w14:textId="044342A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99C05FC" w14:textId="6DAD6B6F" w:rsidTr="00725D29">
        <w:trPr>
          <w:trHeight w:val="1590"/>
        </w:trPr>
        <w:tc>
          <w:tcPr>
            <w:tcW w:w="975" w:type="dxa"/>
            <w:hideMark/>
          </w:tcPr>
          <w:p w14:paraId="11D6E6A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655.</w:t>
            </w:r>
          </w:p>
        </w:tc>
        <w:tc>
          <w:tcPr>
            <w:tcW w:w="2656" w:type="dxa"/>
            <w:hideMark/>
          </w:tcPr>
          <w:p w14:paraId="7C5A9FB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BADA7D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00CA8D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2024/1275  v platnom znení: </w:t>
            </w:r>
            <w:r w:rsidRPr="00BC49FC">
              <w:rPr>
                <w:rFonts w:ascii="Times New Roman" w:hAnsi="Times New Roman" w:cs="Times New Roman"/>
              </w:rPr>
              <w:t>1. Do ďalšieho štádia legislatívneho procesu žiadame predložiť celkovú tabuľku zhody so smernicou (EÚ) 2024/1275 v platnom znení, keďže transpozícia ešte nebola Európskej komisii notifikovaná.</w:t>
            </w:r>
          </w:p>
        </w:tc>
        <w:tc>
          <w:tcPr>
            <w:tcW w:w="2264" w:type="dxa"/>
            <w:vAlign w:val="center"/>
            <w:hideMark/>
          </w:tcPr>
          <w:p w14:paraId="50B7043F" w14:textId="577A4A13"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82AB630" w14:textId="75EB80C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D255273" w14:textId="331C77E7" w:rsidTr="00725D29">
        <w:trPr>
          <w:trHeight w:val="1590"/>
        </w:trPr>
        <w:tc>
          <w:tcPr>
            <w:tcW w:w="975" w:type="dxa"/>
            <w:hideMark/>
          </w:tcPr>
          <w:p w14:paraId="319E7761"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656.</w:t>
            </w:r>
          </w:p>
        </w:tc>
        <w:tc>
          <w:tcPr>
            <w:tcW w:w="2656" w:type="dxa"/>
            <w:hideMark/>
          </w:tcPr>
          <w:p w14:paraId="27568E1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E96F27C"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FE153D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2024/1275  v platnom znení: </w:t>
            </w:r>
            <w:r w:rsidRPr="00BC49FC">
              <w:rPr>
                <w:rFonts w:ascii="Times New Roman" w:hAnsi="Times New Roman" w:cs="Times New Roman"/>
              </w:rPr>
              <w:t>2. V ľavej časti záhlavia tabuľky zhody žiadame upraviť názov smernice (EÚ) 2024/1275 v platnom znení nasledovne: „Smernica Európskeho parlamentu a Rady (EÚ) 2024/1275 z 24. apríla 2024 o energetickej hospodárnosti budov (prepracované znenie) (Ú. v. EÚ L, 2024/1275, 8.5.2024) v platnom znení“.</w:t>
            </w:r>
          </w:p>
        </w:tc>
        <w:tc>
          <w:tcPr>
            <w:tcW w:w="2264" w:type="dxa"/>
            <w:vAlign w:val="center"/>
            <w:hideMark/>
          </w:tcPr>
          <w:p w14:paraId="425B36CD" w14:textId="4D29CB4B"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4052376E" w14:textId="6C2BF8B0" w:rsidR="00725D29" w:rsidRPr="00BC49FC" w:rsidRDefault="00725D29" w:rsidP="00725D29">
            <w:pPr>
              <w:rPr>
                <w:rFonts w:ascii="Times New Roman" w:hAnsi="Times New Roman" w:cs="Times New Roman"/>
                <w:b/>
                <w:bCs/>
              </w:rPr>
            </w:pPr>
            <w:r>
              <w:rPr>
                <w:b/>
                <w:bCs/>
                <w:color w:val="000000"/>
              </w:rPr>
              <w:t>nie je možné predložiť celé, keďže toto je len čistková trnaspozícia predpisu</w:t>
            </w:r>
          </w:p>
        </w:tc>
      </w:tr>
      <w:tr w:rsidR="00725D29" w:rsidRPr="006278D2" w14:paraId="40C7ED88" w14:textId="1833D73D" w:rsidTr="00725D29">
        <w:trPr>
          <w:trHeight w:val="1590"/>
        </w:trPr>
        <w:tc>
          <w:tcPr>
            <w:tcW w:w="975" w:type="dxa"/>
            <w:hideMark/>
          </w:tcPr>
          <w:p w14:paraId="0BD8D74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657.</w:t>
            </w:r>
          </w:p>
        </w:tc>
        <w:tc>
          <w:tcPr>
            <w:tcW w:w="2656" w:type="dxa"/>
            <w:hideMark/>
          </w:tcPr>
          <w:p w14:paraId="18C8706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C8DDC1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940432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2024/1275  v platnom znení: </w:t>
            </w:r>
            <w:r w:rsidRPr="00BC49FC">
              <w:rPr>
                <w:rFonts w:ascii="Times New Roman" w:hAnsi="Times New Roman" w:cs="Times New Roman"/>
              </w:rPr>
              <w:t>3. V celej predloženej tabuľke zhody so smernicou (EÚ) 2024/1275  v platnom znení žiadame vyplniť tretí, siedmy a deviaty stĺpec.</w:t>
            </w:r>
          </w:p>
        </w:tc>
        <w:tc>
          <w:tcPr>
            <w:tcW w:w="2264" w:type="dxa"/>
            <w:vAlign w:val="center"/>
            <w:hideMark/>
          </w:tcPr>
          <w:p w14:paraId="415E0EBB" w14:textId="3A77CEB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067FFAA" w14:textId="60C93217"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287E343" w14:textId="62548234" w:rsidTr="00725D29">
        <w:trPr>
          <w:trHeight w:val="1590"/>
        </w:trPr>
        <w:tc>
          <w:tcPr>
            <w:tcW w:w="975" w:type="dxa"/>
            <w:hideMark/>
          </w:tcPr>
          <w:p w14:paraId="50F04CE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658.</w:t>
            </w:r>
          </w:p>
        </w:tc>
        <w:tc>
          <w:tcPr>
            <w:tcW w:w="2656" w:type="dxa"/>
            <w:hideMark/>
          </w:tcPr>
          <w:p w14:paraId="2DC3133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FC5AC0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D6664F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2024/1275  v platnom znení: </w:t>
            </w:r>
            <w:r w:rsidRPr="00BC49FC">
              <w:rPr>
                <w:rFonts w:ascii="Times New Roman" w:hAnsi="Times New Roman" w:cs="Times New Roman"/>
              </w:rPr>
              <w:t>4. Žiadame preukázať transpozíciu čl. 10 ods. 5 smernice (EÚ) 2024/1275  v platnom znení do vnútroštátneho právneho poriadku. Máme za to, že uvádzané transpozičné opatrenia nie sú dostatočné na preukázanie úplnej transpozície. Zároveň žiadame v šiestom stĺpci uvádzať celé konsolidované znenie ustanovení, nie iba znenie novelizačných bodov.</w:t>
            </w:r>
          </w:p>
        </w:tc>
        <w:tc>
          <w:tcPr>
            <w:tcW w:w="2264" w:type="dxa"/>
            <w:vAlign w:val="center"/>
            <w:hideMark/>
          </w:tcPr>
          <w:p w14:paraId="6C3BFCF8" w14:textId="324F60A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4649A7F" w14:textId="46038F42" w:rsidR="00725D29" w:rsidRPr="00BC49FC" w:rsidRDefault="00725D29" w:rsidP="00725D29">
            <w:pPr>
              <w:rPr>
                <w:rFonts w:ascii="Times New Roman" w:hAnsi="Times New Roman" w:cs="Times New Roman"/>
                <w:b/>
                <w:bCs/>
              </w:rPr>
            </w:pPr>
            <w:r>
              <w:rPr>
                <w:b/>
                <w:bCs/>
                <w:color w:val="000000"/>
              </w:rPr>
              <w:t>doplnené</w:t>
            </w:r>
          </w:p>
        </w:tc>
      </w:tr>
      <w:tr w:rsidR="00725D29" w:rsidRPr="006278D2" w14:paraId="43246A65" w14:textId="02826C72" w:rsidTr="00725D29">
        <w:trPr>
          <w:trHeight w:val="1590"/>
        </w:trPr>
        <w:tc>
          <w:tcPr>
            <w:tcW w:w="975" w:type="dxa"/>
            <w:hideMark/>
          </w:tcPr>
          <w:p w14:paraId="2226551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659.</w:t>
            </w:r>
          </w:p>
        </w:tc>
        <w:tc>
          <w:tcPr>
            <w:tcW w:w="2656" w:type="dxa"/>
            <w:hideMark/>
          </w:tcPr>
          <w:p w14:paraId="339BEFD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04D98D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BED93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2024/1275  v platnom znení: </w:t>
            </w:r>
            <w:r w:rsidRPr="00BC49FC">
              <w:rPr>
                <w:rFonts w:ascii="Times New Roman" w:hAnsi="Times New Roman" w:cs="Times New Roman"/>
              </w:rPr>
              <w:t>5. Žiadame preukázať transpozíciu čl. 18 ods. 1 smernice (EÚ) 2024/1275  v platnom znení do vnútroštátneho právneho poriadku. Smernica (EÚ) 2024/1275  v platnom znení stanovuje v písm. a) až e) podmienky rozmiestnenia jednotných kontaktných miest, ktoré má členský štát splniť. Uvedené v transpozičných ustanoveniach uvádzaných v šiestom stĺpci predkladanej tabuľky zhody absentuje.</w:t>
            </w:r>
          </w:p>
        </w:tc>
        <w:tc>
          <w:tcPr>
            <w:tcW w:w="2264" w:type="dxa"/>
            <w:vAlign w:val="center"/>
            <w:hideMark/>
          </w:tcPr>
          <w:p w14:paraId="24301C5E" w14:textId="1E67C1C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4BD098E" w14:textId="1FC133AB"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D470445" w14:textId="7000EC59" w:rsidTr="00725D29">
        <w:trPr>
          <w:trHeight w:val="1590"/>
        </w:trPr>
        <w:tc>
          <w:tcPr>
            <w:tcW w:w="975" w:type="dxa"/>
            <w:hideMark/>
          </w:tcPr>
          <w:p w14:paraId="67128E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660.</w:t>
            </w:r>
          </w:p>
        </w:tc>
        <w:tc>
          <w:tcPr>
            <w:tcW w:w="2656" w:type="dxa"/>
            <w:hideMark/>
          </w:tcPr>
          <w:p w14:paraId="4DEE5DA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C8BFE7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1AE5F3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2024/1275  v platnom znení: </w:t>
            </w:r>
            <w:r w:rsidRPr="00BC49FC">
              <w:rPr>
                <w:rFonts w:ascii="Times New Roman" w:hAnsi="Times New Roman" w:cs="Times New Roman"/>
              </w:rPr>
              <w:t>6. Pri preukazovaní transpozície čl. 18 ods. 1 tretieho pododseku smernice (EÚ) 2024/1275  v platnom znení do vnútroštátneho právneho poriadku žiadame v treťom stĺpci predkladanej tabuľke zhody uvádzať označenie „D“, keďže ide o ustanovenie s dobrovoľnou transpozíciou. Slovenská republika podľa uvedených ustanovení využíva možnosť určiť jedno kontaktné miesto žiadame preto uviesť relevantné transpozičné opatrenia v šiestom stĺpci predkladanej tabuľky zhody.</w:t>
            </w:r>
          </w:p>
        </w:tc>
        <w:tc>
          <w:tcPr>
            <w:tcW w:w="2264" w:type="dxa"/>
            <w:vAlign w:val="center"/>
            <w:hideMark/>
          </w:tcPr>
          <w:p w14:paraId="0988ADF6" w14:textId="4686339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B866113" w14:textId="2F3964F1"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3F1D3AD4" w14:textId="14B7E00B" w:rsidTr="00725D29">
        <w:trPr>
          <w:trHeight w:val="1590"/>
        </w:trPr>
        <w:tc>
          <w:tcPr>
            <w:tcW w:w="975" w:type="dxa"/>
            <w:hideMark/>
          </w:tcPr>
          <w:p w14:paraId="387BBA4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661.</w:t>
            </w:r>
          </w:p>
        </w:tc>
        <w:tc>
          <w:tcPr>
            <w:tcW w:w="2656" w:type="dxa"/>
            <w:hideMark/>
          </w:tcPr>
          <w:p w14:paraId="7DA5651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D2431D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099FE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transpozícii a tabuľke zhody so smernicou (EÚ) 2024/1275  v platnom znení: </w:t>
            </w:r>
            <w:r w:rsidRPr="00BC49FC">
              <w:rPr>
                <w:rFonts w:ascii="Times New Roman" w:hAnsi="Times New Roman" w:cs="Times New Roman"/>
              </w:rPr>
              <w:t>7. Žiadame preukázať transpozíciu čl. 18 ods. 3 smernice (EÚ) 2024/1275  v platnom znení do vnútroštátneho právneho poriadku. Smernica (EÚ) 2024/1275  v platnom znení stanovuje, že jednotné kontaktné miesta poskytujú nezávislé poradenstvo o energetickej hospodárnosti budov, môžu sprevádzať integrované programy obnovy okresov a ponúkajú špecializované služby pre zraniteľné domácnosti, ľudí postihnutých energetickou chudobou a osoby v domácnostiach s nízkymi príjmami. Uvedené v transpozičných ustanoveniach uvádzaných v šiestom stĺpci predkladanej tabuľky zhody absentuje.</w:t>
            </w:r>
          </w:p>
        </w:tc>
        <w:tc>
          <w:tcPr>
            <w:tcW w:w="2264" w:type="dxa"/>
            <w:vAlign w:val="center"/>
            <w:hideMark/>
          </w:tcPr>
          <w:p w14:paraId="2EB4CC03" w14:textId="4B56FC55"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9034FE7" w14:textId="24D02A58"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200F8DAF" w14:textId="0C598D9F" w:rsidTr="00725D29">
        <w:trPr>
          <w:trHeight w:val="2220"/>
        </w:trPr>
        <w:tc>
          <w:tcPr>
            <w:tcW w:w="975" w:type="dxa"/>
            <w:hideMark/>
          </w:tcPr>
          <w:p w14:paraId="5F66BA5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662.</w:t>
            </w:r>
          </w:p>
        </w:tc>
        <w:tc>
          <w:tcPr>
            <w:tcW w:w="2656" w:type="dxa"/>
            <w:hideMark/>
          </w:tcPr>
          <w:p w14:paraId="0308A2C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D5A9FE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8B691A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zlučiteľnosti: </w:t>
            </w:r>
            <w:r w:rsidRPr="00BC49FC">
              <w:rPr>
                <w:rFonts w:ascii="Times New Roman" w:hAnsi="Times New Roman" w:cs="Times New Roman"/>
              </w:rPr>
              <w:t>1. V bode 3 písm. b) doložky zlučiteľnosti žiadame uvádzať ako relevantné sekundárne právne akty aj:  - nariadenie Európskeho parlamentu a Rady (ES) č. 1099/2008 z 22. októbra 2008 o energetickej štatistike (Ú. v. EÚ L 304, 14.11.2008) v platnom znení + gestor, - nariadenie Európskeho parlamentu a Rady (EÚ) č. 549/2013 z  21. mája 2013 o európskom systéme národných a regionálnych účtov v Európskej únii (Ú. v. EÚ L 174, 26.6.2013) v platnom znení + gestor, - nariadenie Európskeho parlamentu a Rady (EÚ) č. 575/2013 z  26. júna 2013 o prudenciálnych požiadavkách na úverové inštitúcie a investičné spoločnosti a o zmene nariadenia (EÚ) č. 648/2012 (Ú. v. EÚ L 176, 27.6.2013) v platnom znení + gestor, - nariadenie Európskeho parlamentu a Rady (EÚ) 2017/1369 zo 4. júla 2017, ktorým sa stanovuje rámec pre energetické označovanie a zrušuje smernica 2010/30/EÚ (Ú. v. EÚ L 198, 28.7.2017) v platnom znení + gestor, - delegované nariadenie Komisie (EÚ) 2021/2178 zo 6. júla 2021, ktorým sa dopĺňa nariadenie Európskeho parlamentu a Rady (EÚ) 2020/852 upresnením obsahu a prezentácie informácií, ktoré majú zverejňovať podniky, na ktoré sa vzťahuje článok 19a alebo 29a smernice 2013/34/EÚ, pokiaľ ide o environmentálne udržateľné hospodárske činnosti, a upresnením metodiky na splnenie uvedenej povinnosti zverejňovania (Ú. v. EÚ L 443, 10.12.2021) v platnom znení + gestor.</w:t>
            </w:r>
          </w:p>
        </w:tc>
        <w:tc>
          <w:tcPr>
            <w:tcW w:w="2264" w:type="dxa"/>
            <w:vAlign w:val="center"/>
            <w:hideMark/>
          </w:tcPr>
          <w:p w14:paraId="2EFDBD5C" w14:textId="38FD88D4"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7562D2A" w14:textId="7176EC7A" w:rsidR="00725D29" w:rsidRPr="00BC49FC" w:rsidRDefault="00725D29" w:rsidP="00725D29">
            <w:pPr>
              <w:rPr>
                <w:rFonts w:ascii="Times New Roman" w:hAnsi="Times New Roman" w:cs="Times New Roman"/>
                <w:b/>
                <w:bCs/>
              </w:rPr>
            </w:pPr>
            <w:r>
              <w:rPr>
                <w:b/>
                <w:bCs/>
                <w:color w:val="000000"/>
              </w:rPr>
              <w:t>upravené</w:t>
            </w:r>
          </w:p>
        </w:tc>
      </w:tr>
      <w:tr w:rsidR="00725D29" w:rsidRPr="006278D2" w14:paraId="4D5BBC76" w14:textId="3C4C0124" w:rsidTr="00725D29">
        <w:trPr>
          <w:trHeight w:val="1590"/>
        </w:trPr>
        <w:tc>
          <w:tcPr>
            <w:tcW w:w="975" w:type="dxa"/>
            <w:hideMark/>
          </w:tcPr>
          <w:p w14:paraId="0FBB3BD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663.</w:t>
            </w:r>
          </w:p>
        </w:tc>
        <w:tc>
          <w:tcPr>
            <w:tcW w:w="2656" w:type="dxa"/>
            <w:hideMark/>
          </w:tcPr>
          <w:p w14:paraId="1CF40CC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99A6443"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3054CD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zlučiteľnosti: </w:t>
            </w:r>
            <w:r w:rsidRPr="00BC49FC">
              <w:rPr>
                <w:rFonts w:ascii="Times New Roman" w:hAnsi="Times New Roman" w:cs="Times New Roman"/>
              </w:rPr>
              <w:t>2. V bode 3 písm. b) žiadame upraviť názov smernice (EÚ) 2023/1791 nasledovne: „smernica Európskeho parlamentu a Rady (EÚ) 2023/1791 z 13. septembra 2023 o energetickej efektívnosti a o zmene nariadenia (EÚ) 2023/955 (prepracované znenie) (Ú. v. EÚ L, 231, 20.9.2023)“. Zároveň žiadame zaviesť skrátenú citáciu v súlade s bodom 62.9. Prílohy č. 1 Legislatívnych pravidiel vlády Slovenskej republiky nasledovne: „(ďalej len „smernica (EÚ) 2023/1791“).“. Zavedenú skrátenú citáciu žiadame následne používať v celom texte doložky zlučiteľnosti.</w:t>
            </w:r>
          </w:p>
        </w:tc>
        <w:tc>
          <w:tcPr>
            <w:tcW w:w="2264" w:type="dxa"/>
            <w:vAlign w:val="center"/>
            <w:hideMark/>
          </w:tcPr>
          <w:p w14:paraId="4D626AB0" w14:textId="0FEC0476"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3A3C8D0" w14:textId="6C73EE51"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1EC6F567" w14:textId="4E5A9CCB" w:rsidTr="00725D29">
        <w:trPr>
          <w:trHeight w:val="1590"/>
        </w:trPr>
        <w:tc>
          <w:tcPr>
            <w:tcW w:w="975" w:type="dxa"/>
            <w:hideMark/>
          </w:tcPr>
          <w:p w14:paraId="5359E01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664.</w:t>
            </w:r>
          </w:p>
        </w:tc>
        <w:tc>
          <w:tcPr>
            <w:tcW w:w="2656" w:type="dxa"/>
            <w:hideMark/>
          </w:tcPr>
          <w:p w14:paraId="39F6E1C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F400F5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679A69F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zlučiteľnosti: </w:t>
            </w:r>
            <w:r w:rsidRPr="00BC49FC">
              <w:rPr>
                <w:rFonts w:ascii="Times New Roman" w:hAnsi="Times New Roman" w:cs="Times New Roman"/>
              </w:rPr>
              <w:t>3. V bode 3 písm. b) žiadame upraviť názov delegovaného nariadenia (EÚ) 2024/1364 nasledovne: „delegované nariadenie Komisie (EÚ) 2024/1364 zo 14. marca 2024 o prvej fáze stanovenia spoločnej schémy Únie na hodnotenie dátových centier (Ú. v. EÚ L, 2024/1364, 17.5.2024)“.</w:t>
            </w:r>
          </w:p>
        </w:tc>
        <w:tc>
          <w:tcPr>
            <w:tcW w:w="2264" w:type="dxa"/>
            <w:vAlign w:val="center"/>
            <w:hideMark/>
          </w:tcPr>
          <w:p w14:paraId="29DFA98E" w14:textId="7DB32D20" w:rsidR="00725D29" w:rsidRPr="00BC49FC" w:rsidRDefault="00725D29" w:rsidP="00725D29">
            <w:pPr>
              <w:rPr>
                <w:rFonts w:ascii="Times New Roman" w:hAnsi="Times New Roman" w:cs="Times New Roman"/>
                <w:b/>
                <w:bCs/>
              </w:rPr>
            </w:pPr>
            <w:r>
              <w:rPr>
                <w:b/>
                <w:bCs/>
                <w:color w:val="000000"/>
              </w:rPr>
              <w:t>A</w:t>
            </w:r>
          </w:p>
        </w:tc>
        <w:tc>
          <w:tcPr>
            <w:tcW w:w="2753" w:type="dxa"/>
            <w:vAlign w:val="center"/>
          </w:tcPr>
          <w:p w14:paraId="0478865B" w14:textId="5DD72BF2"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3AAA6B79" w14:textId="00EF1B76" w:rsidTr="00725D29">
        <w:trPr>
          <w:trHeight w:val="1590"/>
        </w:trPr>
        <w:tc>
          <w:tcPr>
            <w:tcW w:w="975" w:type="dxa"/>
            <w:hideMark/>
          </w:tcPr>
          <w:p w14:paraId="51C1279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665.</w:t>
            </w:r>
          </w:p>
        </w:tc>
        <w:tc>
          <w:tcPr>
            <w:tcW w:w="2656" w:type="dxa"/>
            <w:hideMark/>
          </w:tcPr>
          <w:p w14:paraId="7A17B38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7A4F115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658312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zlučiteľnosti: </w:t>
            </w:r>
            <w:r w:rsidRPr="00BC49FC">
              <w:rPr>
                <w:rFonts w:ascii="Times New Roman" w:hAnsi="Times New Roman" w:cs="Times New Roman"/>
              </w:rPr>
              <w:t>4. V bode 3 písm. b) žiadame upraviť názov smernice (EÚ) 2024/1275 v platnom  znení nasledovne: „smernica Európskeho parlamentu a Rady (EÚ) 2024/1275 z 24. apríla 2024 o energetickej hospodárnosti budov (prepracované znenie) (Ú. v. EÚ L, 2024/1275, 8.5.2024) v platnom znení“. Zároveň žiadame zaviesť skrátenú citáciu v súlade s bodom 62.9. Prílohy č. 1 Legislatívnych pravidiel vlády Slovenskej republiky nasledovne: „(ďalej len „smernica (EÚ) 2024/1275 v platnom znení“).“. Zavedenú skrátenú citáciu žiadame následne používať v celom texte doložky zlučiteľnosti.</w:t>
            </w:r>
          </w:p>
        </w:tc>
        <w:tc>
          <w:tcPr>
            <w:tcW w:w="2264" w:type="dxa"/>
            <w:vAlign w:val="center"/>
            <w:hideMark/>
          </w:tcPr>
          <w:p w14:paraId="4062B88D" w14:textId="644406AE" w:rsidR="00725D29" w:rsidRPr="00BC49FC" w:rsidRDefault="00725D29" w:rsidP="00725D29">
            <w:pPr>
              <w:rPr>
                <w:rFonts w:ascii="Times New Roman" w:hAnsi="Times New Roman" w:cs="Times New Roman"/>
                <w:b/>
                <w:bCs/>
              </w:rPr>
            </w:pPr>
            <w:r>
              <w:rPr>
                <w:b/>
                <w:bCs/>
                <w:color w:val="000000"/>
              </w:rPr>
              <w:t>A</w:t>
            </w:r>
          </w:p>
        </w:tc>
        <w:tc>
          <w:tcPr>
            <w:tcW w:w="2753" w:type="dxa"/>
            <w:vAlign w:val="center"/>
          </w:tcPr>
          <w:p w14:paraId="264EDE14" w14:textId="20C12ACA"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559AF5C4" w14:textId="5186A9B8" w:rsidTr="00725D29">
        <w:trPr>
          <w:trHeight w:val="1590"/>
        </w:trPr>
        <w:tc>
          <w:tcPr>
            <w:tcW w:w="975" w:type="dxa"/>
            <w:hideMark/>
          </w:tcPr>
          <w:p w14:paraId="36E9E25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666.</w:t>
            </w:r>
          </w:p>
        </w:tc>
        <w:tc>
          <w:tcPr>
            <w:tcW w:w="2656" w:type="dxa"/>
            <w:hideMark/>
          </w:tcPr>
          <w:p w14:paraId="459DE8B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5F5BA00"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EED861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predkladacej správe: </w:t>
            </w:r>
            <w:r w:rsidRPr="00BC49FC">
              <w:rPr>
                <w:rFonts w:ascii="Times New Roman" w:hAnsi="Times New Roman" w:cs="Times New Roman"/>
              </w:rPr>
              <w:t>V druhom odseku predkladacej správy žiadame upraviť názov smernice (EÚ) 2023/1791 nasledovne: „smernica Európskeho parlamentu a Rady (EÚ) 2023/1791 z 13. septembra 2023 o energetickej efektívnosti a o zmene nariadenia (EÚ) 2023/955 (prepracované znenie) (Ú. v. EÚ L, 231, 20.9.2023)“. Zároveň žiadame upraviť skrátenú citáciu v súlade s bodom 62.9. Prílohy č. 1 Legislatívnych pravidiel vlády Slovenskej republiky nasledovne: „(ďalej len „smernica (EÚ) 2023/1791“).“. Zavedenú skrátenú citáciu žiadame následne používať v celom texte predkladacej správy.</w:t>
            </w:r>
          </w:p>
        </w:tc>
        <w:tc>
          <w:tcPr>
            <w:tcW w:w="2264" w:type="dxa"/>
            <w:vAlign w:val="center"/>
            <w:hideMark/>
          </w:tcPr>
          <w:p w14:paraId="093CFB84" w14:textId="03E14020"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389B96B" w14:textId="7365B56F"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6A3D4B2B" w14:textId="1534BB23" w:rsidTr="00725D29">
        <w:trPr>
          <w:trHeight w:val="1590"/>
        </w:trPr>
        <w:tc>
          <w:tcPr>
            <w:tcW w:w="975" w:type="dxa"/>
            <w:hideMark/>
          </w:tcPr>
          <w:p w14:paraId="34D34D60"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667.</w:t>
            </w:r>
          </w:p>
        </w:tc>
        <w:tc>
          <w:tcPr>
            <w:tcW w:w="2656" w:type="dxa"/>
            <w:hideMark/>
          </w:tcPr>
          <w:p w14:paraId="294C284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9B2F64D"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19FCA2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všeobecnej časti dôvodovej správy: </w:t>
            </w:r>
            <w:r w:rsidRPr="00BC49FC">
              <w:rPr>
                <w:rFonts w:ascii="Times New Roman" w:hAnsi="Times New Roman" w:cs="Times New Roman"/>
              </w:rPr>
              <w:t>V prvom odseku všeobecnej časti dôvodovej správy žiadame upraviť názov smernice (EÚ) 2023/1791 nasledovne: „smernica Európskeho parlamentu a Rady (EÚ) 2023/1791 z 13. septembra 2023 o energetickej efektívnosti a o zmene nariadenia (EÚ) 2023/955 (prepracované znenie) (Ú. v. EÚ L, 231, 20.9.2023)“. Zároveň žiadame upraviť skrátenú citáciu v súlade s bodom 62.9. Prílohy č. 1 Legislatívnych pravidiel vlády Slovenskej republiky nasledovne: „(ďalej len „smernica (EÚ) 2023/1791“).“. Zavedenú skrátenú citáciu žiadame následne používať v celom texte všeobecnej časti dôvodovej správy.</w:t>
            </w:r>
          </w:p>
        </w:tc>
        <w:tc>
          <w:tcPr>
            <w:tcW w:w="2264" w:type="dxa"/>
            <w:vAlign w:val="center"/>
            <w:hideMark/>
          </w:tcPr>
          <w:p w14:paraId="3A1A2BE1" w14:textId="13B86E7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1912330D" w14:textId="2572BCD3"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009D9D33" w14:textId="1E68EF4B" w:rsidTr="00725D29">
        <w:trPr>
          <w:trHeight w:val="1590"/>
        </w:trPr>
        <w:tc>
          <w:tcPr>
            <w:tcW w:w="975" w:type="dxa"/>
            <w:hideMark/>
          </w:tcPr>
          <w:p w14:paraId="4C799B7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668.</w:t>
            </w:r>
          </w:p>
        </w:tc>
        <w:tc>
          <w:tcPr>
            <w:tcW w:w="2656" w:type="dxa"/>
            <w:hideMark/>
          </w:tcPr>
          <w:p w14:paraId="704E252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0F546B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CA63DE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osobitnej časti dôvodovej správy: </w:t>
            </w:r>
            <w:r w:rsidRPr="00BC49FC">
              <w:rPr>
                <w:rFonts w:ascii="Times New Roman" w:hAnsi="Times New Roman" w:cs="Times New Roman"/>
              </w:rPr>
              <w:t>1. V osobitnej časti dôvodovej správy k § 2, v šiestom odseku žiadame uviesť úplnú citáciu smernice (EÚ) 2023/1791 nasledovne: „smernica Európskeho parlamentu a Rady (EÚ) 2023/1791 z 13. septembra 2023 o energetickej efektívnosti a o zmene nariadenia (EÚ) 2023/955 (prepracované znenie) (Ú. v. EÚ L, 231, 20.9.2023)“. Zároveň žiadame zaviesť skrátenú citáciu v súlade s bodom 62.9. Prílohy č. 1 Legislatívnych pravidiel vlády Slovenskej republiky nasledovne: „(ďalej len „smernica (EÚ) 2023/1791“).“. Zavedenú skrátenú citáciu žiadame následne používať v celom texte osobitnej časti dôvodovej správy.</w:t>
            </w:r>
          </w:p>
        </w:tc>
        <w:tc>
          <w:tcPr>
            <w:tcW w:w="2264" w:type="dxa"/>
            <w:vAlign w:val="center"/>
            <w:hideMark/>
          </w:tcPr>
          <w:p w14:paraId="70A2CBCB" w14:textId="7055915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30712B79" w14:textId="1DB5D53B"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77057956" w14:textId="17D1C60D" w:rsidTr="00725D29">
        <w:trPr>
          <w:trHeight w:val="1590"/>
        </w:trPr>
        <w:tc>
          <w:tcPr>
            <w:tcW w:w="975" w:type="dxa"/>
            <w:hideMark/>
          </w:tcPr>
          <w:p w14:paraId="39A451A5"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669.</w:t>
            </w:r>
          </w:p>
        </w:tc>
        <w:tc>
          <w:tcPr>
            <w:tcW w:w="2656" w:type="dxa"/>
            <w:hideMark/>
          </w:tcPr>
          <w:p w14:paraId="6FDCEF8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09DEB38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F9A7B5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osobitnej časti dôvodovej správy: </w:t>
            </w:r>
            <w:r w:rsidRPr="00BC49FC">
              <w:rPr>
                <w:rFonts w:ascii="Times New Roman" w:hAnsi="Times New Roman" w:cs="Times New Roman"/>
              </w:rPr>
              <w:t>2. V osobitnej časti dôvodovej správy k § 2, v prvom odseku žiadame uviesť úplnú citáciu nariadenia (EÚ) 2018/1999 v platnom znení nasledovne: „nariadenie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 v platnom znení“. Zároveň žiadame zaviesť skrátenú citáciu v súlade s bodom 62.9. Prílohy č. 1 Legislatívnych pravidiel vlády Slovenskej republiky nasledovne: „(ďalej len „nariadenie (EÚ) 2018/1999 v platnom znení“).“. Zavedenú skrátenú citáciu žiadame následne používať v celom texte osobitnej časti dôvodovej správy.</w:t>
            </w:r>
          </w:p>
        </w:tc>
        <w:tc>
          <w:tcPr>
            <w:tcW w:w="2264" w:type="dxa"/>
            <w:vAlign w:val="center"/>
            <w:hideMark/>
          </w:tcPr>
          <w:p w14:paraId="247A9A04" w14:textId="2497B7E2"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0E734407" w14:textId="6B7621DB"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356F7544" w14:textId="3CF35F82" w:rsidTr="00725D29">
        <w:trPr>
          <w:trHeight w:val="1590"/>
        </w:trPr>
        <w:tc>
          <w:tcPr>
            <w:tcW w:w="975" w:type="dxa"/>
            <w:hideMark/>
          </w:tcPr>
          <w:p w14:paraId="280CCC4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670.</w:t>
            </w:r>
          </w:p>
        </w:tc>
        <w:tc>
          <w:tcPr>
            <w:tcW w:w="2656" w:type="dxa"/>
            <w:hideMark/>
          </w:tcPr>
          <w:p w14:paraId="0E06B41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23885F7"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3D782ED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osobitnej časti dôvodovej správy: </w:t>
            </w:r>
            <w:r w:rsidRPr="00BC49FC">
              <w:rPr>
                <w:rFonts w:ascii="Times New Roman" w:hAnsi="Times New Roman" w:cs="Times New Roman"/>
              </w:rPr>
              <w:t>3. V osobitnej časti dôvodovej správy k § 4, v poslednom odseku žiadame uviesť úplnú citáciu vykonávacieho nariadenia (EÚ) 2022/2299 nasledovne: „vykonávacie nariadenie Komisie (EÚ) 2022/2299 z 15. novembra 2022, ktorým sa stanovujú pravidlá uplatňovania nariadenia Európskeho parlamentu a Rady (EÚ) 2018/1999, pokiaľ ide o štruktúru, formát, technické podrobnosti a postup pre integrované národné energetické a klimatické správy o pokroku (Ú. v. EÚ L 306, 25.11.2022)“. Zároveň žiadame zaviesť skrátenú citáciu v súlade s bodom 62.9. Prílohy č. 1 Legislatívnych pravidiel vlády Slovenskej republiky nasledovne: „(ďalej len „vykonávacie nariadenie (EÚ) 2022/2299“).“. Zavedenú skrátenú citáciu žiadame následne používať v celom texte osobitnej časti dôvodovej správy.</w:t>
            </w:r>
          </w:p>
        </w:tc>
        <w:tc>
          <w:tcPr>
            <w:tcW w:w="2264" w:type="dxa"/>
            <w:vAlign w:val="center"/>
            <w:hideMark/>
          </w:tcPr>
          <w:p w14:paraId="46AAE832" w14:textId="79572A2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59A8F12" w14:textId="4E3FE040" w:rsidR="00725D29" w:rsidRPr="00BC49FC" w:rsidRDefault="00725D29" w:rsidP="00725D29">
            <w:pPr>
              <w:rPr>
                <w:rFonts w:ascii="Times New Roman" w:hAnsi="Times New Roman" w:cs="Times New Roman"/>
              </w:rPr>
            </w:pPr>
            <w:r>
              <w:rPr>
                <w:b/>
                <w:bCs/>
                <w:color w:val="000000"/>
              </w:rPr>
              <w:t>upravené v zmysle pripomienky</w:t>
            </w:r>
          </w:p>
        </w:tc>
      </w:tr>
      <w:tr w:rsidR="00725D29" w:rsidRPr="006278D2" w14:paraId="48A05EBE" w14:textId="4DD666E6" w:rsidTr="00725D29">
        <w:trPr>
          <w:trHeight w:val="1590"/>
        </w:trPr>
        <w:tc>
          <w:tcPr>
            <w:tcW w:w="975" w:type="dxa"/>
            <w:hideMark/>
          </w:tcPr>
          <w:p w14:paraId="0FF26F5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671.</w:t>
            </w:r>
          </w:p>
        </w:tc>
        <w:tc>
          <w:tcPr>
            <w:tcW w:w="2656" w:type="dxa"/>
            <w:hideMark/>
          </w:tcPr>
          <w:p w14:paraId="62A755CB"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893351F"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269C113"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osobitnej časti dôvodovej správy: </w:t>
            </w:r>
            <w:r w:rsidRPr="00BC49FC">
              <w:rPr>
                <w:rFonts w:ascii="Times New Roman" w:hAnsi="Times New Roman" w:cs="Times New Roman"/>
              </w:rPr>
              <w:t>4. V osobitnej časti dôvodovej správy k § 8, v treťom odseku žiadame uviesť úplnú citáciu delegovaného nariadenia (EÚ) 2021/2178 v platnom znení nasledovne: „delegované nariadenie Komisie (EÚ) 2021/2178 zo 6. júla 2021, ktorým sa dopĺňa nariadenie Európskeho parlamentu a Rady (EÚ) 2020/852 upresnením obsahu a prezentácie informácií, ktoré majú zverejňovať podniky, na ktoré sa vzťahuje článok 19a alebo 29a smernice 2013/34/EÚ, pokiaľ ide o environmentálne udržateľné hospodárske činnosti, a upresnením metodiky na splnenie uvedenej povinnosti zverejňovania (Ú. v. EÚ L 443, 10.12.2021) v platnom znení“.</w:t>
            </w:r>
          </w:p>
        </w:tc>
        <w:tc>
          <w:tcPr>
            <w:tcW w:w="2264" w:type="dxa"/>
            <w:vAlign w:val="center"/>
            <w:hideMark/>
          </w:tcPr>
          <w:p w14:paraId="3E20D570" w14:textId="024A3117" w:rsidR="00725D29" w:rsidRPr="00BC49FC" w:rsidRDefault="00725D29" w:rsidP="00725D29">
            <w:pPr>
              <w:rPr>
                <w:rFonts w:ascii="Times New Roman" w:hAnsi="Times New Roman" w:cs="Times New Roman"/>
                <w:b/>
                <w:bCs/>
              </w:rPr>
            </w:pPr>
            <w:r>
              <w:rPr>
                <w:b/>
                <w:bCs/>
                <w:color w:val="000000"/>
              </w:rPr>
              <w:t>ČA</w:t>
            </w:r>
          </w:p>
        </w:tc>
        <w:tc>
          <w:tcPr>
            <w:tcW w:w="2753" w:type="dxa"/>
            <w:vAlign w:val="center"/>
            <w:hideMark/>
          </w:tcPr>
          <w:p w14:paraId="0CA8F3DF" w14:textId="7349DDEC" w:rsidR="00725D29" w:rsidRPr="00BC49FC" w:rsidRDefault="00725D29" w:rsidP="00725D29">
            <w:pPr>
              <w:rPr>
                <w:rFonts w:ascii="Times New Roman" w:hAnsi="Times New Roman" w:cs="Times New Roman"/>
                <w:b/>
                <w:bCs/>
              </w:rPr>
            </w:pPr>
            <w:r>
              <w:rPr>
                <w:b/>
                <w:bCs/>
                <w:color w:val="000000"/>
              </w:rPr>
              <w:t>upravené v zmysle pripomienky a na konci textu doplnené v platnom znení z dôvodu vydania nového vykonávacieho nariadenia 2026/1807</w:t>
            </w:r>
          </w:p>
        </w:tc>
      </w:tr>
      <w:tr w:rsidR="00725D29" w:rsidRPr="006278D2" w14:paraId="2E674895" w14:textId="02B2FC94" w:rsidTr="00725D29">
        <w:trPr>
          <w:trHeight w:val="1590"/>
        </w:trPr>
        <w:tc>
          <w:tcPr>
            <w:tcW w:w="975" w:type="dxa"/>
            <w:hideMark/>
          </w:tcPr>
          <w:p w14:paraId="4B5F89B9"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672.</w:t>
            </w:r>
          </w:p>
        </w:tc>
        <w:tc>
          <w:tcPr>
            <w:tcW w:w="2656" w:type="dxa"/>
            <w:hideMark/>
          </w:tcPr>
          <w:p w14:paraId="2B334AD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9CBACC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5B0BD8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osobitnej časti dôvodovej správy: </w:t>
            </w:r>
            <w:r w:rsidRPr="00BC49FC">
              <w:rPr>
                <w:rFonts w:ascii="Times New Roman" w:hAnsi="Times New Roman" w:cs="Times New Roman"/>
              </w:rPr>
              <w:t>5. V osobitnej časti dôvodovej správy k § 8, v treťom odseku žiadame uviesť úplnú citáciu nariadenia (EÚ) č. 575/2013 v platnom znení nasledovne: „nariadenie Európskeho parlamentu a Rady (EÚ) č. 575/2013 z  26. júna 2013 o prudenciálnych požiadavkách na úverové inštitúcie a investičné spoločnosti a o zmene nariadenia (EÚ) č. 648/2012 (Ú. v. EÚ L 176, 27.6.2013) v platnom znení“.</w:t>
            </w:r>
          </w:p>
        </w:tc>
        <w:tc>
          <w:tcPr>
            <w:tcW w:w="2264" w:type="dxa"/>
            <w:vAlign w:val="center"/>
            <w:hideMark/>
          </w:tcPr>
          <w:p w14:paraId="28643026" w14:textId="1A59269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697F38E" w14:textId="692B718F"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201F4D08" w14:textId="0212384E" w:rsidTr="00725D29">
        <w:trPr>
          <w:trHeight w:val="1590"/>
        </w:trPr>
        <w:tc>
          <w:tcPr>
            <w:tcW w:w="975" w:type="dxa"/>
            <w:hideMark/>
          </w:tcPr>
          <w:p w14:paraId="4B58463C"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673.</w:t>
            </w:r>
          </w:p>
        </w:tc>
        <w:tc>
          <w:tcPr>
            <w:tcW w:w="2656" w:type="dxa"/>
            <w:hideMark/>
          </w:tcPr>
          <w:p w14:paraId="148B37ED"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3BED478E"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8DEDED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osobitnej časti dôvodovej správy: </w:t>
            </w:r>
            <w:r w:rsidRPr="00BC49FC">
              <w:rPr>
                <w:rFonts w:ascii="Times New Roman" w:hAnsi="Times New Roman" w:cs="Times New Roman"/>
              </w:rPr>
              <w:t>6. V osobitnej časti dôvodovej správy k § 13 žiadame uviesť úplnú citáciu delegovaného nariadenia (EÚ) 2024/1364 nasledovne: „delegované nariadenie Komisie (EÚ) 2024/1364 zo 14. marca 2024 o prvej fáze stanovenia spoločnej schémy Únie na hodnotenie dátových centier (Ú. v. EÚ L, 2024/1364, 17.5.2024)“.</w:t>
            </w:r>
          </w:p>
        </w:tc>
        <w:tc>
          <w:tcPr>
            <w:tcW w:w="2264" w:type="dxa"/>
            <w:vAlign w:val="center"/>
            <w:hideMark/>
          </w:tcPr>
          <w:p w14:paraId="39189AAE" w14:textId="0443DD71"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7FF2C93E" w14:textId="3A92FA70"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473E3B53" w14:textId="7393AE5E" w:rsidTr="00725D29">
        <w:trPr>
          <w:trHeight w:val="1590"/>
        </w:trPr>
        <w:tc>
          <w:tcPr>
            <w:tcW w:w="975" w:type="dxa"/>
            <w:hideMark/>
          </w:tcPr>
          <w:p w14:paraId="6BDAE8F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674.</w:t>
            </w:r>
          </w:p>
        </w:tc>
        <w:tc>
          <w:tcPr>
            <w:tcW w:w="2656" w:type="dxa"/>
            <w:hideMark/>
          </w:tcPr>
          <w:p w14:paraId="482873B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52EC3CF9"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4BEC0236"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vybraných vplyvov: </w:t>
            </w:r>
            <w:r w:rsidRPr="00BC49FC">
              <w:rPr>
                <w:rFonts w:ascii="Times New Roman" w:hAnsi="Times New Roman" w:cs="Times New Roman"/>
              </w:rPr>
              <w:t>1. V prvom bode doložky vybraných vplyvov žiadame uviesť celý názov smernice (EÚ) 2023/1791 nasledovne: „smernica Európskeho parlamentu a Rady (EÚ) 2023/1791 z 13. septembra 2023 o energetickej efektívnosti a o zmene nariadenia (EÚ) 2023/955 (prepracované znenie) (Ú. v. EÚ L, 231, 20.9.2023)“.</w:t>
            </w:r>
          </w:p>
        </w:tc>
        <w:tc>
          <w:tcPr>
            <w:tcW w:w="2264" w:type="dxa"/>
            <w:vAlign w:val="center"/>
            <w:hideMark/>
          </w:tcPr>
          <w:p w14:paraId="381D9EB8" w14:textId="6087751C"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635ECF29" w14:textId="47A4A596"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6539BBFC" w14:textId="6E492BAE" w:rsidTr="00725D29">
        <w:trPr>
          <w:trHeight w:val="1590"/>
        </w:trPr>
        <w:tc>
          <w:tcPr>
            <w:tcW w:w="975" w:type="dxa"/>
            <w:hideMark/>
          </w:tcPr>
          <w:p w14:paraId="3976BA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675.</w:t>
            </w:r>
          </w:p>
        </w:tc>
        <w:tc>
          <w:tcPr>
            <w:tcW w:w="2656" w:type="dxa"/>
            <w:hideMark/>
          </w:tcPr>
          <w:p w14:paraId="1ADA577E"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455B2E3A"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56093C6A"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vybraných vplyvov: </w:t>
            </w:r>
            <w:r w:rsidRPr="00BC49FC">
              <w:rPr>
                <w:rFonts w:ascii="Times New Roman" w:hAnsi="Times New Roman" w:cs="Times New Roman"/>
              </w:rPr>
              <w:t>2. V prvom bode doložky vybraných vplyvov žiadame uviesť celý názov smernice (EÚ) 2024/1275 v platnom znení nasledovne: „smernica Európskeho parlamentu a Rady (EÚ) 2024/1275 z 24. apríla 2024 o energetickej hospodárnosti budov (prepracované znenie) (Ú. v. EÚ L, 2024/1275, 8.5.2024) v platnom znení“.</w:t>
            </w:r>
          </w:p>
        </w:tc>
        <w:tc>
          <w:tcPr>
            <w:tcW w:w="2264" w:type="dxa"/>
            <w:vAlign w:val="center"/>
            <w:hideMark/>
          </w:tcPr>
          <w:p w14:paraId="3B5F8414" w14:textId="2097275E"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5A5AB760" w14:textId="61CE172A"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659FC7A4" w14:textId="63CE42EF" w:rsidTr="00725D29">
        <w:trPr>
          <w:trHeight w:val="1590"/>
        </w:trPr>
        <w:tc>
          <w:tcPr>
            <w:tcW w:w="975" w:type="dxa"/>
            <w:hideMark/>
          </w:tcPr>
          <w:p w14:paraId="72ED91C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676.</w:t>
            </w:r>
          </w:p>
        </w:tc>
        <w:tc>
          <w:tcPr>
            <w:tcW w:w="2656" w:type="dxa"/>
            <w:hideMark/>
          </w:tcPr>
          <w:p w14:paraId="1EFE7A5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3A7A5E2"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71939FDF"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vybraných vplyvov: </w:t>
            </w:r>
            <w:r w:rsidRPr="00BC49FC">
              <w:rPr>
                <w:rFonts w:ascii="Times New Roman" w:hAnsi="Times New Roman" w:cs="Times New Roman"/>
              </w:rPr>
              <w:t>3. V druhom bode doložky vybraných vplyvov žiadame uviesť celý názov smernice (EÚ) 2023/1791 nasledovne: „smernica Európskeho parlamentu a Rady (EÚ) 2023/1791 z 13. septembra 2023 o energetickej efektívnosti a o zmene nariadenia (EÚ) 2023/955 (prepracované znenie) (Ú. v. EÚ L, 231, 20.9.2023)“. Zároveň žiadame zaviesť skrátenú citáciu v súlade s bodom 62.9. Prílohy č. 1 Legislatívnych pravidiel vlády Slovenskej republiky nasledovne: „(ďalej len „smernica (EÚ) 2023/1791“).“. Zavedenú skrátenú citáciu žiadame následne používať v celom texte doložky vybraných vplyvov.</w:t>
            </w:r>
          </w:p>
        </w:tc>
        <w:tc>
          <w:tcPr>
            <w:tcW w:w="2264" w:type="dxa"/>
            <w:vAlign w:val="center"/>
            <w:hideMark/>
          </w:tcPr>
          <w:p w14:paraId="476926DF" w14:textId="66506E1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28051267" w14:textId="369C7034"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42C02CBD" w14:textId="3AB3B1B4" w:rsidTr="00725D29">
        <w:trPr>
          <w:trHeight w:val="1590"/>
        </w:trPr>
        <w:tc>
          <w:tcPr>
            <w:tcW w:w="975" w:type="dxa"/>
            <w:hideMark/>
          </w:tcPr>
          <w:p w14:paraId="3DBAD0B2"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677.</w:t>
            </w:r>
          </w:p>
        </w:tc>
        <w:tc>
          <w:tcPr>
            <w:tcW w:w="2656" w:type="dxa"/>
            <w:hideMark/>
          </w:tcPr>
          <w:p w14:paraId="42E508A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67895C7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1BACEF6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vybraných vplyvov: </w:t>
            </w:r>
            <w:r w:rsidRPr="00BC49FC">
              <w:rPr>
                <w:rFonts w:ascii="Times New Roman" w:hAnsi="Times New Roman" w:cs="Times New Roman"/>
              </w:rPr>
              <w:t>4. V druhom bode doložky vybraných vplyvov žiadame uviesť celý názov nariadenia (EÚ) 2018/1999 v platnom znení nasledovne: „nariadenie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 v platnom znení“. Zároveň žiadame zaviesť skrátenú citáciu v súlade s bodom 62.9. Prílohy č. 1 Legislatívnych pravidiel vlády Slovenskej republiky nasledovne: „(ďalej len „nariadenie (EÚ) 2018/1999 v platnom znení“).“. Zavedenú skrátenú citáciu žiadame následne používať v celom texte doložky vybraných vplyvov.</w:t>
            </w:r>
          </w:p>
        </w:tc>
        <w:tc>
          <w:tcPr>
            <w:tcW w:w="2264" w:type="dxa"/>
            <w:vAlign w:val="center"/>
            <w:hideMark/>
          </w:tcPr>
          <w:p w14:paraId="54687E9B" w14:textId="6D9368FF"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7CDF1C0" w14:textId="4B2FF313" w:rsidR="00725D29" w:rsidRPr="00BC49FC" w:rsidRDefault="00725D29" w:rsidP="00725D29">
            <w:pPr>
              <w:rPr>
                <w:rFonts w:ascii="Times New Roman" w:hAnsi="Times New Roman" w:cs="Times New Roman"/>
                <w:b/>
                <w:bCs/>
              </w:rPr>
            </w:pPr>
            <w:r>
              <w:rPr>
                <w:b/>
                <w:bCs/>
                <w:color w:val="000000"/>
              </w:rPr>
              <w:t>upravené v zmysle pripomienky</w:t>
            </w:r>
          </w:p>
        </w:tc>
      </w:tr>
      <w:tr w:rsidR="00725D29" w:rsidRPr="006278D2" w14:paraId="3215C8A4" w14:textId="7E016152" w:rsidTr="00725D29">
        <w:trPr>
          <w:trHeight w:val="1590"/>
        </w:trPr>
        <w:tc>
          <w:tcPr>
            <w:tcW w:w="975" w:type="dxa"/>
            <w:hideMark/>
          </w:tcPr>
          <w:p w14:paraId="61812E44"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678.</w:t>
            </w:r>
          </w:p>
        </w:tc>
        <w:tc>
          <w:tcPr>
            <w:tcW w:w="2656" w:type="dxa"/>
            <w:hideMark/>
          </w:tcPr>
          <w:p w14:paraId="33D8DE37"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OAPSVLÚVSR </w:t>
            </w:r>
            <w:r w:rsidRPr="00BC49FC">
              <w:rPr>
                <w:rFonts w:ascii="Times New Roman" w:hAnsi="Times New Roman" w:cs="Times New Roman"/>
              </w:rPr>
              <w:t>Odbor aproximácie práva sekcie vládnej legislatívy Úradu vlády SR</w:t>
            </w:r>
          </w:p>
        </w:tc>
        <w:tc>
          <w:tcPr>
            <w:tcW w:w="612" w:type="dxa"/>
            <w:hideMark/>
          </w:tcPr>
          <w:p w14:paraId="21D1B2F5" w14:textId="77777777" w:rsidR="00725D29" w:rsidRPr="00BC49FC" w:rsidRDefault="00725D29" w:rsidP="00725D29">
            <w:pPr>
              <w:rPr>
                <w:rFonts w:ascii="Times New Roman" w:hAnsi="Times New Roman" w:cs="Times New Roman"/>
              </w:rPr>
            </w:pPr>
            <w:r w:rsidRPr="00BC49FC">
              <w:rPr>
                <w:rFonts w:ascii="Times New Roman" w:hAnsi="Times New Roman" w:cs="Times New Roman"/>
              </w:rPr>
              <w:t>O</w:t>
            </w:r>
          </w:p>
        </w:tc>
        <w:tc>
          <w:tcPr>
            <w:tcW w:w="5615" w:type="dxa"/>
            <w:hideMark/>
          </w:tcPr>
          <w:p w14:paraId="04CB25B8" w14:textId="77777777" w:rsidR="00725D29" w:rsidRPr="00BC49FC" w:rsidRDefault="00725D29" w:rsidP="00725D29">
            <w:pPr>
              <w:rPr>
                <w:rFonts w:ascii="Times New Roman" w:hAnsi="Times New Roman" w:cs="Times New Roman"/>
                <w:b/>
                <w:bCs/>
              </w:rPr>
            </w:pPr>
            <w:r w:rsidRPr="00BC49FC">
              <w:rPr>
                <w:rFonts w:ascii="Times New Roman" w:hAnsi="Times New Roman" w:cs="Times New Roman"/>
                <w:b/>
                <w:bCs/>
              </w:rPr>
              <w:t xml:space="preserve">K doložke vybraných vplyvov: </w:t>
            </w:r>
            <w:r w:rsidRPr="00BC49FC">
              <w:rPr>
                <w:rFonts w:ascii="Times New Roman" w:hAnsi="Times New Roman" w:cs="Times New Roman"/>
              </w:rPr>
              <w:t>5. V druhom bode doložky vybraných vplyvov žiadame uviesť celý názov vykonávacieho nariadenia (EÚ) 2022/2299 nasledovne: „vykonávacie nariadenie Komisie (EÚ) 2022/2299 z 15. novembra 2022, ktorým sa stanovujú pravidlá uplatňovania nariadenia Európskeho parlamentu a Rady (EÚ) 2018/1999, pokiaľ ide o štruktúru, formát, technické podrobnosti a postup pre integrované národné energetické a klimatické správy o pokroku (Ú. v. EÚ L 306, 25.11.2022)“.</w:t>
            </w:r>
          </w:p>
        </w:tc>
        <w:tc>
          <w:tcPr>
            <w:tcW w:w="2264" w:type="dxa"/>
            <w:vAlign w:val="center"/>
            <w:hideMark/>
          </w:tcPr>
          <w:p w14:paraId="0072A69D" w14:textId="01E82D98" w:rsidR="00725D29" w:rsidRPr="00BC49FC" w:rsidRDefault="00725D29" w:rsidP="00725D29">
            <w:pPr>
              <w:rPr>
                <w:rFonts w:ascii="Times New Roman" w:hAnsi="Times New Roman" w:cs="Times New Roman"/>
                <w:b/>
                <w:bCs/>
              </w:rPr>
            </w:pPr>
            <w:r>
              <w:rPr>
                <w:b/>
                <w:bCs/>
                <w:color w:val="000000"/>
              </w:rPr>
              <w:t>A</w:t>
            </w:r>
          </w:p>
        </w:tc>
        <w:tc>
          <w:tcPr>
            <w:tcW w:w="2753" w:type="dxa"/>
            <w:vAlign w:val="center"/>
            <w:hideMark/>
          </w:tcPr>
          <w:p w14:paraId="496E934D" w14:textId="366068B4" w:rsidR="00725D29" w:rsidRPr="00BC49FC" w:rsidRDefault="00725D29" w:rsidP="00725D29">
            <w:pPr>
              <w:rPr>
                <w:rFonts w:ascii="Times New Roman" w:hAnsi="Times New Roman" w:cs="Times New Roman"/>
              </w:rPr>
            </w:pPr>
            <w:r>
              <w:rPr>
                <w:b/>
                <w:bCs/>
                <w:color w:val="000000"/>
              </w:rPr>
              <w:t>upravené v zmysle pripomienky</w:t>
            </w:r>
          </w:p>
        </w:tc>
      </w:tr>
      <w:tr w:rsidR="00FE0F3E" w:rsidRPr="006278D2" w14:paraId="75F04154" w14:textId="22E8F2C7" w:rsidTr="00725D29">
        <w:trPr>
          <w:trHeight w:val="2220"/>
        </w:trPr>
        <w:tc>
          <w:tcPr>
            <w:tcW w:w="975" w:type="dxa"/>
            <w:hideMark/>
          </w:tcPr>
          <w:p w14:paraId="08BF0E7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781.</w:t>
            </w:r>
          </w:p>
        </w:tc>
        <w:tc>
          <w:tcPr>
            <w:tcW w:w="2656" w:type="dxa"/>
            <w:hideMark/>
          </w:tcPr>
          <w:p w14:paraId="249A279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RÚZSR </w:t>
            </w:r>
            <w:r w:rsidRPr="00BC49FC">
              <w:rPr>
                <w:rFonts w:ascii="Times New Roman" w:hAnsi="Times New Roman" w:cs="Times New Roman"/>
              </w:rPr>
              <w:t>Republiková únia zamestnávateľov</w:t>
            </w:r>
          </w:p>
        </w:tc>
        <w:tc>
          <w:tcPr>
            <w:tcW w:w="612" w:type="dxa"/>
            <w:hideMark/>
          </w:tcPr>
          <w:p w14:paraId="48ECE50E"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31C1BD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§8 </w:t>
            </w:r>
            <w:r w:rsidRPr="00BC49FC">
              <w:rPr>
                <w:rFonts w:ascii="Times New Roman" w:hAnsi="Times New Roman" w:cs="Times New Roman"/>
              </w:rPr>
              <w:t>Žiadame doplniť do § 8 explicitné ustanovenia o záručných nástrojoch a revolvingových mechanizmoch pre projekty energetickej efektívnosti realizované formou energetickej služby.  Navrhované znenie: V § 8 sa za odsek 6 vkladá nový odsek 7, ktorý znie:  „(7) Koordinačný orgán v spolupráci s ministerstvom a gestorom opatrenia energetickej efektívnosti zabezpečuje vytvorenie a prevádzku a) záručných nástrojov pre projekty energetickej efektívnosti realizované formou energetickej služby, najmä pre projekty v sektore verejných subjektov a malých a stredných podnikateľov, b) revolvingových mechanizmov pre projekty energetickej efektívnosti, ktoré umožňujú opakované využívanie navrátených finančných prostriedkov na nové projekty energetickej efektívnosti.  Podrobnosti o záručných nástrojoch a revolvingových mechanizmoch ustanoví všeobecne záväzný právny predpis, ktorý vydá ministerstvo.“  Doterajšie odseky 7 a 8 sa primerane prečíslujú.  Odôvodnenie: Čl. 30 ods. 7 smernice (EÚ) 2023/1791 (ďalej len „smernica EED“) ukladá členským štátom uplatňovať finančné nástroje vrátane záručných systémov a fondov pri podpore energetickej efektívnosti. Aktuálne znenie § 8 vymenúva iba generické zdroje financovania a neobsahuje konkrétne nástroje pre znižovanie kapitálových a transakčných nákladov pri menších projektoch, ktoré sú pre menšie verejné subjekty a pre malých a stredných podnikateľov v praxi prekážkou vstupu do GES.</w:t>
            </w:r>
          </w:p>
        </w:tc>
        <w:tc>
          <w:tcPr>
            <w:tcW w:w="2264" w:type="dxa"/>
            <w:vAlign w:val="center"/>
            <w:hideMark/>
          </w:tcPr>
          <w:p w14:paraId="28649ABD" w14:textId="520C95DD"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6910EC4" w14:textId="31D50B80"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Prediskutované.</w:t>
            </w:r>
          </w:p>
        </w:tc>
      </w:tr>
      <w:tr w:rsidR="00FE0F3E" w:rsidRPr="006278D2" w14:paraId="17BCB44A" w14:textId="74EC788C" w:rsidTr="00725D29">
        <w:trPr>
          <w:trHeight w:val="2850"/>
        </w:trPr>
        <w:tc>
          <w:tcPr>
            <w:tcW w:w="975" w:type="dxa"/>
            <w:hideMark/>
          </w:tcPr>
          <w:p w14:paraId="1D07225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782.</w:t>
            </w:r>
          </w:p>
        </w:tc>
        <w:tc>
          <w:tcPr>
            <w:tcW w:w="2656" w:type="dxa"/>
            <w:hideMark/>
          </w:tcPr>
          <w:p w14:paraId="35BD099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RÚZSR </w:t>
            </w:r>
            <w:r w:rsidRPr="00BC49FC">
              <w:rPr>
                <w:rFonts w:ascii="Times New Roman" w:hAnsi="Times New Roman" w:cs="Times New Roman"/>
              </w:rPr>
              <w:t>Republiková únia zamestnávateľov</w:t>
            </w:r>
          </w:p>
        </w:tc>
        <w:tc>
          <w:tcPr>
            <w:tcW w:w="612" w:type="dxa"/>
            <w:hideMark/>
          </w:tcPr>
          <w:p w14:paraId="3025E995"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397EB90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§33 </w:t>
            </w:r>
            <w:r w:rsidRPr="00BC49FC">
              <w:rPr>
                <w:rFonts w:ascii="Times New Roman" w:hAnsi="Times New Roman" w:cs="Times New Roman"/>
              </w:rPr>
              <w:t>Žiadame rozšíriť obsah registra energetických služieb o ukončené GES projekty s informáciou o plánovaných a dosiahnutých úsporách a zabezpečiť verejnú dostupnosť údajov registra v anonymizovanej forme. Navrhované znenie: § 33 ods. 1 znie: „(1) Register energetických služieb obsahuje údaje o a) prebiehajúcich podporných energetických službách, b) prebiehajúcich podporných energetických službách pre verejný sektor, c) prebiehajúcich garantovaných energetických službách, d) prebiehajúcich garantovaných energetických službách pre verejný sektor, e) ukončených garantovaných energetických službách, f) ukončených garantovaných energetických službách pre verejný sektor, g) poskytovateľoch podpornej energetickej služby, h) poskytovateľoch garantovanej energetickej služby.“  V § 33 sa dopĺňa nový odsek 5, ktorý znie: „(5) Údaje z registra energetických služieb podľa odseku 1 písm. c) až f) sú verejne dostupné na webovom sídle poverenej organizácie v anonymizovanej forme. Sprístupnené údaje zahŕňajú najmä typ a veľkostnú kategóriu prijímateľa energetickej služby, typ budovy alebo zariadenia, dobu trvania zmluvy, predmet zmluvy, plánované úspory energie a dosiahnuté úspory energie.“  Odôvodnenie: Čl. 29 ods. 5 písm. c) smernice EED ukladá členským štátom sprístupniť verejnosti zoznam dostupných a prevádzkovaných zmlúv o energetickej efektívnosti pre verejný sektor s plánovanými a dosiahnutými úsporami energie. Aktuálne znenie § 33 obmedzuje reg------ister na prebiehajúce projekty bez údajov o dosiahnutých úsporách a bez zabezpečenia verejnej dostupnosti, čím transponuje toto ustanovenie smernice nedostatočne. Verejná dostupnosť v anonymizovanej forme (agregácia podľa typu a veľkostnej kategórie prijímateľa, typu budovy alebo zariadenia) zachováva ochranu citlivých údajov pri súčasnom naplnení informačnej funkcie databázy.</w:t>
            </w:r>
          </w:p>
        </w:tc>
        <w:tc>
          <w:tcPr>
            <w:tcW w:w="2264" w:type="dxa"/>
            <w:vAlign w:val="center"/>
            <w:hideMark/>
          </w:tcPr>
          <w:p w14:paraId="4D8DB283" w14:textId="213F1486"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0062B6C" w14:textId="36580176"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Doplnené v rozsahu požiadaviek smernice EED.</w:t>
            </w:r>
          </w:p>
        </w:tc>
      </w:tr>
      <w:tr w:rsidR="00FE0F3E" w:rsidRPr="006278D2" w14:paraId="63C5CE4D" w14:textId="3B91C42F" w:rsidTr="00725D29">
        <w:trPr>
          <w:trHeight w:val="2535"/>
        </w:trPr>
        <w:tc>
          <w:tcPr>
            <w:tcW w:w="975" w:type="dxa"/>
            <w:hideMark/>
          </w:tcPr>
          <w:p w14:paraId="3D5D3D7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783.</w:t>
            </w:r>
          </w:p>
        </w:tc>
        <w:tc>
          <w:tcPr>
            <w:tcW w:w="2656" w:type="dxa"/>
            <w:hideMark/>
          </w:tcPr>
          <w:p w14:paraId="3D0CF6F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356B6D06"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5424C5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Všeobecná zásadná pripomienka </w:t>
            </w:r>
            <w:r w:rsidRPr="00BC49FC">
              <w:rPr>
                <w:rFonts w:ascii="Times New Roman" w:hAnsi="Times New Roman" w:cs="Times New Roman"/>
              </w:rPr>
              <w:t>Všeobecná zásadná pripomienka Bankový sektor podporuje ciele zvyšovania energetickej efektívnosti a rozvoja financovania udržateľných investícií. Zároveň však považujeme za potrebné, aby nové povinnosti bánk boli formulované presne, primerane a technicky vykonateľne, a aby boli v súlade s rámcom Čl. 30 Smernice Európskeho parlamentu a Rady (EÚ) 2023/1791 z 13. septembra 2023 o energetickej efektívnosti a o zmene nariadenia (EÚ) 2023/955 (prepracované znenie) (ďalej len „EED“), ktorá nepredpokladá ukladanie detailných reportovacích povinností komerčným bankám vo vzťahu k jednotlivým klientom a úverovým vzťahom. Z nášho pohľadu tak návrh zákona predstavuje transpozíciu smernice s prvkami gold-platingu, kde navrhované reportovacie povinnosti pre banky v takomto rozsahu nevyplývajú z EED, ale predstavujú nadstavbu národnej úpravy. Navrhovaný reporting je koncipovaný veľmi robustne, pričom rozsah poskytovaných údajov podľa nášho názoru ďaleko presahuje účel takto rozsiahleho zberu údajov. V tejto podobe ide podľa nášho názoru o neprimeranú a nedostatočne odôvodnenú administratívnu záťaž pre bankový sektor.  Za kľúčové považujeme najmä: • taxatívne vymedzenie rozsahu reportovaných údajov, • vylúčenie údajov identifikujúcich klientov a konkrétne úverové vzťahy, zosúladenie s bankovým tajomstvom a GDPR, • jasnú definíciu úverového produktu energetickej efektívnosti, • výslovné potvrdenie, že povinnosti podľa návrhu § 8 nepredstavujú povinnosť banky poskytnúť úver ani meniť interné kreditné a rizikové pravidlá, • primerané prechodné obdobie, • súlad s existujúcim ESG reportingom bánk podľa práva EÚ.</w:t>
            </w:r>
          </w:p>
        </w:tc>
        <w:tc>
          <w:tcPr>
            <w:tcW w:w="2264" w:type="dxa"/>
            <w:tcBorders>
              <w:bottom w:val="single" w:sz="4" w:space="0" w:color="auto"/>
            </w:tcBorders>
            <w:hideMark/>
          </w:tcPr>
          <w:p w14:paraId="0B781C59" w14:textId="12A1F94A"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tcBorders>
              <w:bottom w:val="single" w:sz="4" w:space="0" w:color="auto"/>
            </w:tcBorders>
            <w:hideMark/>
          </w:tcPr>
          <w:p w14:paraId="19E43B5B" w14:textId="6EFD34B9" w:rsidR="00FE0F3E" w:rsidRPr="00BC49FC" w:rsidRDefault="00FE0F3E" w:rsidP="00BD7B69">
            <w:pPr>
              <w:rPr>
                <w:rFonts w:ascii="Times New Roman" w:hAnsi="Times New Roman" w:cs="Times New Roman"/>
              </w:rPr>
            </w:pPr>
            <w:r w:rsidRPr="00BC49FC">
              <w:rPr>
                <w:rFonts w:ascii="Times New Roman" w:hAnsi="Times New Roman" w:cs="Times New Roman"/>
                <w:b/>
                <w:bCs/>
              </w:rPr>
              <w:t> </w:t>
            </w:r>
            <w:r w:rsidRPr="00BC49FC">
              <w:rPr>
                <w:rFonts w:ascii="Times New Roman" w:hAnsi="Times New Roman" w:cs="Times New Roman"/>
              </w:rPr>
              <w:t>Pripomienke bolo vyhovené úpravou jednotlivých ustanovení.</w:t>
            </w:r>
          </w:p>
        </w:tc>
      </w:tr>
      <w:tr w:rsidR="00FE0F3E" w:rsidRPr="006278D2" w14:paraId="14CB9085" w14:textId="2BEA25D7" w:rsidTr="00725D29">
        <w:trPr>
          <w:trHeight w:val="2220"/>
        </w:trPr>
        <w:tc>
          <w:tcPr>
            <w:tcW w:w="975" w:type="dxa"/>
            <w:hideMark/>
          </w:tcPr>
          <w:p w14:paraId="36883B5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784.</w:t>
            </w:r>
          </w:p>
        </w:tc>
        <w:tc>
          <w:tcPr>
            <w:tcW w:w="2656" w:type="dxa"/>
            <w:hideMark/>
          </w:tcPr>
          <w:p w14:paraId="23582FA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0928C701"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C6720B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8 </w:t>
            </w:r>
            <w:r w:rsidRPr="00BC49FC">
              <w:rPr>
                <w:rFonts w:ascii="Times New Roman" w:hAnsi="Times New Roman" w:cs="Times New Roman"/>
              </w:rPr>
              <w:t>Zásadná pripomienka Čl. I § 8 návrhu zákona - Povinnosti podľa návrhu tohto ustanovenia nesmú zasahovať do kreditného rozhodovania bánk Pri navrhovanom § 8 považujeme za potrebné výslovne uviesť, že povinnosti bánk v oblasti podpory financovania energetickej efektívnosti nepredstavujú povinnosť banky poskytnúť úver, zmeniť úverové podmienky, upraviť interné rizikové modely alebo financovať projekt, ktorý nespĺňa interné pravidlá banky. Banky musia aj naďalej postupovať v súlade s pravidlami obozretného podnikania podľa Nariadenia Európskeho parlamentu a Rady (EÚ) č. 575/2013 z  26. júna 2013 o prudenciálnych požiadavkách na úverové inštitúcie a investičné spoločnosti a o zmene nariadenia (EÚ) č. 648/2012 (ďalej len „CRR“) a Smernice Európskeho parlamentu a Rady 2013/36/EÚ z  26. júna 2013 o prístupe k činnosti úverových inštitúcií a prudenciálnom dohľade nad úverovými inštitúciami a investičnými spoločnosťami, o zmene smernice 2002/87/ES a o zrušení smerníc 2006/48/ES a 2006/49/ES (ďalej len „CRD“), s Usmerneniami EBA z 29. mája 2020 č. EBA/GL/2020/06 k vzniku a monitorovaniu úveru (ďalej len „EBA/GL/2020/06“), ako aj s pravidlami riadenia rizík, zodpovedného úverovania, posudzovania bonity klienta a internými schvaľovacími procesmi. Zákon by preto mal výslovne potvrdiť, že nové povinnosti nemajú vplyv na autonómne kreditné rozhodovanie banky.</w:t>
            </w:r>
          </w:p>
        </w:tc>
        <w:tc>
          <w:tcPr>
            <w:tcW w:w="2264" w:type="dxa"/>
            <w:tcBorders>
              <w:bottom w:val="single" w:sz="4" w:space="0" w:color="auto"/>
            </w:tcBorders>
            <w:hideMark/>
          </w:tcPr>
          <w:p w14:paraId="1B5F04E5" w14:textId="24CBBD43"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Pr="00853128">
              <w:rPr>
                <w:rFonts w:ascii="Times New Roman" w:hAnsi="Times New Roman" w:cs="Times New Roman"/>
                <w:b/>
                <w:bCs/>
              </w:rPr>
              <w:t>A</w:t>
            </w:r>
          </w:p>
        </w:tc>
        <w:tc>
          <w:tcPr>
            <w:tcW w:w="2753" w:type="dxa"/>
            <w:tcBorders>
              <w:bottom w:val="single" w:sz="4" w:space="0" w:color="auto"/>
            </w:tcBorders>
            <w:hideMark/>
          </w:tcPr>
          <w:p w14:paraId="274B74C6" w14:textId="447C0015"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Pr="00BC49FC">
              <w:rPr>
                <w:rFonts w:ascii="Times New Roman" w:hAnsi="Times New Roman" w:cs="Times New Roman"/>
              </w:rPr>
              <w:t>Upravená textácia v zmysle pripomienky</w:t>
            </w:r>
            <w:r w:rsidRPr="00853128">
              <w:rPr>
                <w:rFonts w:ascii="Times New Roman" w:hAnsi="Times New Roman" w:cs="Times New Roman"/>
                <w:b/>
                <w:bCs/>
              </w:rPr>
              <w:t>.</w:t>
            </w:r>
          </w:p>
        </w:tc>
      </w:tr>
      <w:tr w:rsidR="00FE0F3E" w:rsidRPr="006278D2" w14:paraId="07E6427C" w14:textId="4359487C" w:rsidTr="00725D29">
        <w:trPr>
          <w:trHeight w:val="1275"/>
        </w:trPr>
        <w:tc>
          <w:tcPr>
            <w:tcW w:w="975" w:type="dxa"/>
            <w:hideMark/>
          </w:tcPr>
          <w:p w14:paraId="607407D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785.</w:t>
            </w:r>
          </w:p>
        </w:tc>
        <w:tc>
          <w:tcPr>
            <w:tcW w:w="2656" w:type="dxa"/>
            <w:hideMark/>
          </w:tcPr>
          <w:p w14:paraId="5E5CE46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2CB2E01E"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654CA82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8 ods. 4 </w:t>
            </w:r>
            <w:r w:rsidRPr="00BC49FC">
              <w:rPr>
                <w:rFonts w:ascii="Times New Roman" w:hAnsi="Times New Roman" w:cs="Times New Roman"/>
              </w:rPr>
              <w:t>Zásadná pripomienka Čl. I § 8 ods. 4 návrhu zákona - Vypustenie povinnosti propagácie produktov zo strany bánk Navrhujeme úplne odstrániť povinnosť „propagovať zabezpečené a aj nezabezpečené úverové produkty zamerané na zlepšovanie energetickej efektívnosti“, nakoľko propagácia produktov by mala ostať čisto na základe rozhodnutia banky. Samotné znenie Čl. 30 Smernice Európskeho parlamentu a Rady (EÚ) 2023/1791 z 13. septembra 2023 o energetickej efektívnosti a o zmene nariadenia (EÚ) 2023/955 (prepracované znenie) (ďalej len „EED“) nehovorí o takýchto povinnostiach priamo pre banky, ale o povinnosti členských štátov prijať opatrenia na propagáciu úverových produktov na dosahovanie energetickej efektívnosti.</w:t>
            </w:r>
          </w:p>
        </w:tc>
        <w:tc>
          <w:tcPr>
            <w:tcW w:w="2264" w:type="dxa"/>
            <w:hideMark/>
          </w:tcPr>
          <w:p w14:paraId="48DCB8EA" w14:textId="26F7DA38"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56AEB86E"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305AA113" w14:textId="75422805" w:rsidTr="00725D29">
        <w:trPr>
          <w:trHeight w:val="1905"/>
        </w:trPr>
        <w:tc>
          <w:tcPr>
            <w:tcW w:w="975" w:type="dxa"/>
            <w:hideMark/>
          </w:tcPr>
          <w:p w14:paraId="27913F7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786.</w:t>
            </w:r>
          </w:p>
        </w:tc>
        <w:tc>
          <w:tcPr>
            <w:tcW w:w="2656" w:type="dxa"/>
            <w:hideMark/>
          </w:tcPr>
          <w:p w14:paraId="0A3C05A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3BB1C091"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2D355FE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8 ods. 4, 5 </w:t>
            </w:r>
            <w:r w:rsidRPr="00BC49FC">
              <w:rPr>
                <w:rFonts w:ascii="Times New Roman" w:hAnsi="Times New Roman" w:cs="Times New Roman"/>
              </w:rPr>
              <w:t>Zásadná pripomienka Čl. I § 8 ods. 4 a 5 návrhu zákona - Jasná definícia úverového produktu zameraného na zlepšovanie energetickej efektívnosti Návrh zákona by mal jasne definovať, ktoré bankové produkty majú byť predmetom reportingu alebo iných povinností podľa zákona. Bez takejto definície môže vzniknúť nejasnosť, či sa povinnosti majú týkať len špecializovaných produktov určených na financovanie energetickej efektívnosti, alebo aj bežných investičných, prevádzkových, hypotekárnych či firemných úverov, pri ktorých môže byť energetické opatrenie iba čiastkovým účelom. Navrhujeme doplniť definíciu, podľa ktorej sa za úverový produkt energetickej efektívnosti považuje taký produkt, pri ktorom je účelom alebo podmienkou financovania preukázateľné dosiahnutie energetickej úspory, zlepšenie energetickej hospodárnosti, obnova budovy, využitie obnoviteľných zdrojov energie alebo realizácia iného opatrenia energetickej efektívnosti. Zároveň navrhujeme, aby sa povinnosti nevzťahovali spätne na existujúce všeobecné úverové produkty, pri ktorých banka pri poskytnutí úveru nemala povinnosť evidovať energetické parametre financovanej investície.</w:t>
            </w:r>
          </w:p>
        </w:tc>
        <w:tc>
          <w:tcPr>
            <w:tcW w:w="2264" w:type="dxa"/>
            <w:tcBorders>
              <w:bottom w:val="nil"/>
            </w:tcBorders>
            <w:hideMark/>
          </w:tcPr>
          <w:p w14:paraId="73AD09F7" w14:textId="76AEA81F"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tcBorders>
              <w:bottom w:val="nil"/>
            </w:tcBorders>
            <w:hideMark/>
          </w:tcPr>
          <w:p w14:paraId="50643BE5" w14:textId="2753C106" w:rsidR="00FE0F3E" w:rsidRPr="00BC49FC" w:rsidRDefault="00FE0F3E" w:rsidP="00BD7B69">
            <w:pPr>
              <w:rPr>
                <w:rFonts w:ascii="Times New Roman" w:hAnsi="Times New Roman" w:cs="Times New Roman"/>
              </w:rPr>
            </w:pPr>
            <w:r w:rsidRPr="00BC49FC">
              <w:rPr>
                <w:rFonts w:ascii="Times New Roman" w:hAnsi="Times New Roman" w:cs="Times New Roman"/>
                <w:b/>
                <w:bCs/>
              </w:rPr>
              <w:t> </w:t>
            </w:r>
            <w:r w:rsidRPr="00BC49FC">
              <w:rPr>
                <w:rFonts w:ascii="Times New Roman" w:hAnsi="Times New Roman" w:cs="Times New Roman"/>
              </w:rPr>
              <w:t>Vysvetlené v dôvodovej správe.</w:t>
            </w:r>
          </w:p>
        </w:tc>
      </w:tr>
      <w:tr w:rsidR="00FE0F3E" w:rsidRPr="006278D2" w14:paraId="22A8DDD7" w14:textId="54590C4C" w:rsidTr="00725D29">
        <w:trPr>
          <w:trHeight w:val="1905"/>
        </w:trPr>
        <w:tc>
          <w:tcPr>
            <w:tcW w:w="975" w:type="dxa"/>
            <w:hideMark/>
          </w:tcPr>
          <w:p w14:paraId="1FE22A6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787.</w:t>
            </w:r>
          </w:p>
        </w:tc>
        <w:tc>
          <w:tcPr>
            <w:tcW w:w="2656" w:type="dxa"/>
            <w:hideMark/>
          </w:tcPr>
          <w:p w14:paraId="428246E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1AE5F0D2"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02545BE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8 ods. 5 </w:t>
            </w:r>
            <w:r w:rsidRPr="00BC49FC">
              <w:rPr>
                <w:rFonts w:ascii="Times New Roman" w:hAnsi="Times New Roman" w:cs="Times New Roman"/>
              </w:rPr>
              <w:t>Zásadná pripomienka Čl. I § 8 ods. 5 návrhu zákona - Povinnosť bánk zasielať prevádzkovateľovi monitorovacieho systému verejne dostupné adresy webových sídel s informáciami o poskytovaných úverových produktoch financujúcich nástroje energetickej efektívnosti a opatrenia energetickej efektívnosti Vzhľadom na skutočnosť, že webové sídla s informáciami sú verejne dostupné, nesúhlasíme s touto povinnosťou ich zasielania. Navrhovaný odsek zároveň nešpecifikuje spôsob ani pravidelnosť zasielania takýchto informácií a ani nepopisuje, či sa jedná výlučne o oficiálne webové sídla banky k úverovým produktom zameraným na energetickú efektívnosť alebo sa vzťahuje aj na webové sídla obchodníkov/tretie strany, ktorí odkazujú na produkty banky. Zároveň je v zmysle Smernice Európskeho parlamentu a Rady (EÚ) 2023/1791 z 13. septembra 2023 o energetickej efektívnosti a o zmene nariadenia (EÚ) 2023/955 (prepracované znenie) (ďalej len „EED“) povinnosťou štátu vyhodnocovať energetickú efektívnosť a tento odsek by prenášal túto povinnosť na banky. Vzhľadom na to, že EED takúto povinnosť bankám ani finančným inštitúciám neukladá a nejedná sa o transpozíciu smernice, žiadame o vypustenie celého odseku 5 tohto ustanovenia.</w:t>
            </w:r>
          </w:p>
        </w:tc>
        <w:tc>
          <w:tcPr>
            <w:tcW w:w="2264" w:type="dxa"/>
            <w:tcBorders>
              <w:top w:val="nil"/>
            </w:tcBorders>
            <w:hideMark/>
          </w:tcPr>
          <w:p w14:paraId="7956FF9D" w14:textId="46C11A76"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tcBorders>
              <w:top w:val="nil"/>
            </w:tcBorders>
            <w:hideMark/>
          </w:tcPr>
          <w:p w14:paraId="1999218D" w14:textId="693CDB37" w:rsidR="00FE0F3E" w:rsidRPr="00BC49FC" w:rsidRDefault="00FE0F3E" w:rsidP="00BD7B69">
            <w:pPr>
              <w:rPr>
                <w:rFonts w:ascii="Times New Roman" w:hAnsi="Times New Roman" w:cs="Times New Roman"/>
                <w:b/>
                <w:bCs/>
              </w:rPr>
            </w:pPr>
          </w:p>
        </w:tc>
      </w:tr>
      <w:tr w:rsidR="00FE0F3E" w:rsidRPr="006278D2" w14:paraId="5583AC09" w14:textId="6A20E84D" w:rsidTr="00725D29">
        <w:trPr>
          <w:trHeight w:val="3165"/>
        </w:trPr>
        <w:tc>
          <w:tcPr>
            <w:tcW w:w="975" w:type="dxa"/>
            <w:hideMark/>
          </w:tcPr>
          <w:p w14:paraId="43533CC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788.</w:t>
            </w:r>
          </w:p>
        </w:tc>
        <w:tc>
          <w:tcPr>
            <w:tcW w:w="2656" w:type="dxa"/>
            <w:hideMark/>
          </w:tcPr>
          <w:p w14:paraId="6B4E5BB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3820ECF2"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622ED0C3"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w:t>
            </w:r>
            <w:r w:rsidRPr="00BC49FC">
              <w:rPr>
                <w:rFonts w:ascii="Times New Roman" w:hAnsi="Times New Roman" w:cs="Times New Roman"/>
              </w:rPr>
              <w:t>Zásadná pripomienka Čl. I § 10 návrhu zákona - Potreba presného vymedzenia rozsahu reportovaných údajov Navrhované znenie § 10 predpokladá, že banka bude poskytovateľom údajov do monitorovacieho systému a bude povinná poskytovať údaje „v požadovanom rozsahu a štruktúre“. Takto formulovaná povinnosť je podľa nášho názoru príliš všeobecná, vytvára právnu neistotu a zároveň presahuje rámec, ktorý pre finančný sektor predpokladá Čl. 30 Smernice Európskeho parlamentu a Rady (EÚ) 2023/1791 z 13. septembra 2023 o energetickej efektívnosti a o zmene nariadenia (EÚ) 2023/955 (prepracované znenie) (ďalej len „EED“). Navrhujeme preto, aby bol rozsah údajov, ktoré majú banky poskytovať, vymedzený taxatívne priamo v zákone alebo vo vykonávacom predpise. Banky by mali poskytovať len také údaje, ktoré sú nevyhnutné na plnenie účelu monitorovania energetickej efektívnosti a ktoré sú zároveň objektívne dostupné v ich interných systémoch. Navrhovaný rozsah údajov je zadefinovaný s obsahom výpočtov energetickej efektívnosti a rôznych vypočítaných ukazovateľov. Podľa nás ide o odborné postupy vypočítavania energetickej efektívnosti, ktoré by nemali byť v zodpovednosti bánk, t. j. inštitúcií, ktoré nemajú v tejto oblasti odbornú spôsobilosť. Banky a ostatné inštitúcie môže zbierať údaje, ktoré sú potrebné pre tieto výpočty a tieto údaje poskytovať v rámci zberu údajov, ale samotné výpočty a analýzy, ktoré tento zákon požaduje, by mali byť centralizované u prevádzkovateľa monitorovacieho systému, ktorý má byť spôsobilý výpočty a analýzy vykonávať. Za primerané preto považujeme najmä poskytovanie agregovaných a anonymizovaných údajov, napríklad podľa typu produktu, objemu financovania, účelu financovania alebo kategórie podporených opatrení. Naopak, za problematické považujeme poskytovanie údajov identifikujúcich konkrétneho klienta, konkrétnu úverovú zmluvu, obchodné podmienky banky alebo konkrétny úverový vzťah.</w:t>
            </w:r>
          </w:p>
        </w:tc>
        <w:tc>
          <w:tcPr>
            <w:tcW w:w="2264" w:type="dxa"/>
            <w:hideMark/>
          </w:tcPr>
          <w:p w14:paraId="390BA24E" w14:textId="5EB2B488" w:rsidR="00FE0F3E" w:rsidRPr="00BC49FC" w:rsidRDefault="00FE0F3E" w:rsidP="00BD7B69">
            <w:pPr>
              <w:rPr>
                <w:rFonts w:ascii="Times New Roman" w:hAnsi="Times New Roman" w:cs="Times New Roman"/>
                <w:b/>
                <w:bCs/>
              </w:rPr>
            </w:pPr>
            <w:r w:rsidRPr="001C261B">
              <w:rPr>
                <w:rFonts w:ascii="Times New Roman" w:hAnsi="Times New Roman" w:cs="Times New Roman"/>
                <w:b/>
                <w:bCs/>
              </w:rPr>
              <w:t>A</w:t>
            </w:r>
          </w:p>
        </w:tc>
        <w:tc>
          <w:tcPr>
            <w:tcW w:w="2753" w:type="dxa"/>
            <w:hideMark/>
          </w:tcPr>
          <w:p w14:paraId="0E5E5F88" w14:textId="08C4A04C" w:rsidR="00FE0F3E" w:rsidRPr="00BC49FC" w:rsidRDefault="00FE0F3E" w:rsidP="00BD7B69">
            <w:pPr>
              <w:rPr>
                <w:rFonts w:ascii="Times New Roman" w:hAnsi="Times New Roman" w:cs="Times New Roman"/>
              </w:rPr>
            </w:pPr>
            <w:r w:rsidRPr="001C261B">
              <w:rPr>
                <w:rFonts w:ascii="Times New Roman" w:hAnsi="Times New Roman" w:cs="Times New Roman"/>
                <w:b/>
                <w:bCs/>
              </w:rPr>
              <w:t> </w:t>
            </w:r>
            <w:r w:rsidRPr="001C261B">
              <w:rPr>
                <w:rFonts w:ascii="Times New Roman" w:hAnsi="Times New Roman" w:cs="Times New Roman"/>
              </w:rPr>
              <w:t>Upravené v zmysle pripomienky,</w:t>
            </w:r>
          </w:p>
        </w:tc>
      </w:tr>
      <w:tr w:rsidR="00FE0F3E" w:rsidRPr="006278D2" w14:paraId="7C15F521" w14:textId="19DF51E4" w:rsidTr="00725D29">
        <w:trPr>
          <w:trHeight w:val="2220"/>
        </w:trPr>
        <w:tc>
          <w:tcPr>
            <w:tcW w:w="975" w:type="dxa"/>
            <w:hideMark/>
          </w:tcPr>
          <w:p w14:paraId="376BC7F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789.</w:t>
            </w:r>
          </w:p>
        </w:tc>
        <w:tc>
          <w:tcPr>
            <w:tcW w:w="2656" w:type="dxa"/>
            <w:hideMark/>
          </w:tcPr>
          <w:p w14:paraId="3CE3EBE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0EDE0990"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7218A7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w:t>
            </w:r>
            <w:r w:rsidRPr="00BC49FC">
              <w:rPr>
                <w:rFonts w:ascii="Times New Roman" w:hAnsi="Times New Roman" w:cs="Times New Roman"/>
              </w:rPr>
              <w:t>Zásadná pripomienka Čl. I § 10 návrhu zákona - Ochrana bankového tajomstva, osobných údajov a obchodného tajomstva V prípade bánk je potrebné osobitne zohľadniť režim bankového tajomstva podľa § 91 a nasledujúcich zákona č. 483/2001 Z. z. o bankách v znení neskorších predpisov (ďalej len „ZoB“), ochrany osobných údajov podľa Nariadenia Európskeho parlamentu a Rady (EÚ) 2016/679 z 27. apríla 2016 o ochrane fyzických osôb pri spracúvaní osobných údajov a o voľnom pohybe takýchto údajov, ktorým sa zrušuje smernica 95/46/ES (všeobecné nariadenie o ochrane údajov) (ďalej len „GDPR“) a ochrany obchodného tajomstva. Navrhovaná právna úprava by mala jednoznačne určiť, či sa majú poskytovať výlučne agregované údaje, alebo aj údaje, ktoré by mohli umožniť identifikáciu klienta alebo konkrétneho obchodného prípadu. Žiadame preto doplniť výslovné ustanovenie, podľa ktorého banka poskytuje údaje podľa § 10 v rozsahu výslovne ustanovenom zákonom alebo vykonávacím predpisom; v tomto rozsahu sa poskytnutie údajov nepovažuje za porušenie bankového tajomstva podľa § 91 ZoB. Súčasne navrhujeme vylúčiť poskytovanie a zverejňovanie údajov v podobe, ktorá by umožňovala identifikovať klienta, konkrétny úverový vzťah, podmienky financovania alebo obchodnú stratégiu banky.</w:t>
            </w:r>
          </w:p>
        </w:tc>
        <w:tc>
          <w:tcPr>
            <w:tcW w:w="2264" w:type="dxa"/>
            <w:hideMark/>
          </w:tcPr>
          <w:p w14:paraId="5CC9D710" w14:textId="3A0E527C"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6F51099A" w14:textId="77777777" w:rsidR="00FE0F3E" w:rsidRDefault="00FE0F3E" w:rsidP="00BD7B69">
            <w:pPr>
              <w:rPr>
                <w:rFonts w:ascii="Times New Roman" w:hAnsi="Times New Roman" w:cs="Times New Roman"/>
                <w:b/>
                <w:bCs/>
              </w:rPr>
            </w:pPr>
            <w:r w:rsidRPr="00BC49FC">
              <w:rPr>
                <w:rFonts w:ascii="Times New Roman" w:hAnsi="Times New Roman" w:cs="Times New Roman"/>
                <w:b/>
                <w:bCs/>
              </w:rPr>
              <w:t> </w:t>
            </w:r>
          </w:p>
          <w:p w14:paraId="44340F80" w14:textId="77777777" w:rsidR="00FE0F3E" w:rsidRDefault="00FE0F3E" w:rsidP="00602839">
            <w:pPr>
              <w:rPr>
                <w:rFonts w:ascii="Times New Roman" w:hAnsi="Times New Roman" w:cs="Times New Roman"/>
                <w:b/>
                <w:bCs/>
              </w:rPr>
            </w:pPr>
          </w:p>
          <w:p w14:paraId="61DD016D" w14:textId="77777777" w:rsidR="00FE0F3E" w:rsidRDefault="00FE0F3E" w:rsidP="00602839">
            <w:pPr>
              <w:rPr>
                <w:rFonts w:ascii="Times New Roman" w:hAnsi="Times New Roman" w:cs="Times New Roman"/>
                <w:b/>
                <w:bCs/>
              </w:rPr>
            </w:pPr>
          </w:p>
          <w:p w14:paraId="0A338802" w14:textId="38BB597B" w:rsidR="00FE0F3E" w:rsidRDefault="00FE0F3E" w:rsidP="00BC49FC">
            <w:pPr>
              <w:jc w:val="center"/>
              <w:rPr>
                <w:rFonts w:ascii="Times New Roman" w:hAnsi="Times New Roman" w:cs="Times New Roman"/>
                <w:b/>
                <w:bCs/>
              </w:rPr>
            </w:pPr>
            <w:r w:rsidRPr="00F743B5">
              <w:rPr>
                <w:rFonts w:ascii="Times New Roman" w:hAnsi="Times New Roman" w:cs="Times New Roman"/>
                <w:b/>
                <w:bCs/>
              </w:rPr>
              <w:t> </w:t>
            </w:r>
            <w:r w:rsidRPr="00F743B5">
              <w:rPr>
                <w:rFonts w:ascii="Times New Roman" w:hAnsi="Times New Roman" w:cs="Times New Roman"/>
              </w:rPr>
              <w:t>Upravené v zmysle pripomienky,</w:t>
            </w:r>
          </w:p>
          <w:p w14:paraId="464C66F1" w14:textId="77777777" w:rsidR="00FE0F3E" w:rsidRPr="00BC49FC" w:rsidRDefault="00FE0F3E" w:rsidP="00602839">
            <w:pPr>
              <w:rPr>
                <w:rFonts w:ascii="Times New Roman" w:hAnsi="Times New Roman" w:cs="Times New Roman"/>
              </w:rPr>
            </w:pPr>
          </w:p>
        </w:tc>
      </w:tr>
      <w:tr w:rsidR="00FE0F3E" w:rsidRPr="006278D2" w14:paraId="38260092" w14:textId="39EE070E" w:rsidTr="00725D29">
        <w:trPr>
          <w:trHeight w:val="1590"/>
        </w:trPr>
        <w:tc>
          <w:tcPr>
            <w:tcW w:w="975" w:type="dxa"/>
            <w:hideMark/>
          </w:tcPr>
          <w:p w14:paraId="7169DB1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790.</w:t>
            </w:r>
          </w:p>
        </w:tc>
        <w:tc>
          <w:tcPr>
            <w:tcW w:w="2656" w:type="dxa"/>
            <w:hideMark/>
          </w:tcPr>
          <w:p w14:paraId="0505DA3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4C905A80"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8ECAC0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w:t>
            </w:r>
            <w:r w:rsidRPr="00BC49FC">
              <w:rPr>
                <w:rFonts w:ascii="Times New Roman" w:hAnsi="Times New Roman" w:cs="Times New Roman"/>
              </w:rPr>
              <w:t>Zásadná pripomienka Čl. I § 10 návrhu zákona - Prístup bánk k relevantným verejným údajom Ak majú banky reportovať údaje súvisiace s energetickou efektívnosťou, je potrebné zabezpečiť ich prístup k relevantným verejným registrom a databázam, najmä k Informačnému systému energetickej certifikácie budov vedenému Ministerstvom dopravy SR (register energetických certifikátov budov), údajom o energetických parametroch nehnuteľností a iným údajom vedeným orgánmi verejnej moci. Žiadame, aby zákon výslovne ustanovil bezodplatný prístup bánk k týmto údajom v strojovo čitateľnej forme prostredníctvom štandardizovaného rozhrania (API). Bez dostupnosti týchto údajov nebude pre banky možné zabezpečiť presný, konzistentný a primerane nákladový reporting a zároveň by sa preniesla povinnosť získavania týchto údajov neprimerane na klienta.</w:t>
            </w:r>
          </w:p>
        </w:tc>
        <w:tc>
          <w:tcPr>
            <w:tcW w:w="2264" w:type="dxa"/>
            <w:shd w:val="clear" w:color="auto" w:fill="FFFF00"/>
            <w:hideMark/>
          </w:tcPr>
          <w:p w14:paraId="0A9065FB" w14:textId="1CB05DB4"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C960CB">
              <w:rPr>
                <w:rFonts w:ascii="Times New Roman" w:hAnsi="Times New Roman" w:cs="Times New Roman"/>
                <w:b/>
                <w:bCs/>
              </w:rPr>
              <w:t>N</w:t>
            </w:r>
          </w:p>
        </w:tc>
        <w:tc>
          <w:tcPr>
            <w:tcW w:w="2753" w:type="dxa"/>
            <w:shd w:val="clear" w:color="auto" w:fill="FFFF00"/>
            <w:hideMark/>
          </w:tcPr>
          <w:p w14:paraId="60A51510" w14:textId="7A4643BF" w:rsidR="00FE0F3E" w:rsidRPr="00BC49FC" w:rsidRDefault="00C960CB" w:rsidP="00BD7B69">
            <w:pPr>
              <w:rPr>
                <w:rFonts w:ascii="Times New Roman" w:hAnsi="Times New Roman" w:cs="Times New Roman"/>
                <w:b/>
                <w:bCs/>
              </w:rPr>
            </w:pPr>
            <w:r>
              <w:rPr>
                <w:rFonts w:ascii="Times New Roman" w:hAnsi="Times New Roman" w:cs="Times New Roman"/>
                <w:b/>
                <w:bCs/>
              </w:rPr>
              <w:t>Predmetný bezplatný prístup nie je možné týmto zákonom ustanoviť, keďže predmetný IS nie je vo vlastníctve ani správe MH SR.</w:t>
            </w:r>
          </w:p>
        </w:tc>
      </w:tr>
      <w:tr w:rsidR="00FE0F3E" w:rsidRPr="006278D2" w14:paraId="21ACB190" w14:textId="616882C6" w:rsidTr="00725D29">
        <w:trPr>
          <w:trHeight w:val="1590"/>
        </w:trPr>
        <w:tc>
          <w:tcPr>
            <w:tcW w:w="975" w:type="dxa"/>
            <w:hideMark/>
          </w:tcPr>
          <w:p w14:paraId="24F0C14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791.</w:t>
            </w:r>
          </w:p>
        </w:tc>
        <w:tc>
          <w:tcPr>
            <w:tcW w:w="2656" w:type="dxa"/>
            <w:hideMark/>
          </w:tcPr>
          <w:p w14:paraId="4332706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010F8D3F"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CAA4B3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w:t>
            </w:r>
            <w:r w:rsidRPr="00BC49FC">
              <w:rPr>
                <w:rFonts w:ascii="Times New Roman" w:hAnsi="Times New Roman" w:cs="Times New Roman"/>
              </w:rPr>
              <w:t>Zásadná pripomienka Čl. I § 10 návrhu zákona - Súlad s existujúcim ESG reportingom bánk podľa práva EÚ Banky pôsobiace v SR už dnes podliehajú rozsiahlym reportovacím povinnostiam v oblasti udržateľnosti a financovania energetickej efektívnosti podľa práva EÚ, najmä podľa nariadenia (EÚ) 2020/852 („taxonómia“), smernice (EÚ) 2022/2464 („CSRD“), európskych štandardov ESRS (najmä „ESRS E1“ – zmena klímy), nariadenia (EÚ) 2021/2178 (delegovaný akt k taxonómii vrátane metodiky Green Asset Ratio) a nariadenia (EÚ) 2019/2088 („SFDR“). Žiadame, aby definície, dátové polia a metodika reportovania podľa § 10 boli plne kompatibilné s týmito existujúcimi reportovacími rámcami a aby banka mohla využiť údaje už zbierané a vykazované podľa práva EÚ. Vytvorenie paralelného národného režimu s odlišnými definíciami a metrikami by viedlo k zbytočnej administratívnej záťaži, nekonzistentnosti reportovaných dát a možnému rozporu s harmonizovanými pravidlami EÚ.</w:t>
            </w:r>
          </w:p>
        </w:tc>
        <w:tc>
          <w:tcPr>
            <w:tcW w:w="2264" w:type="dxa"/>
            <w:shd w:val="clear" w:color="auto" w:fill="FFFF00"/>
            <w:hideMark/>
          </w:tcPr>
          <w:p w14:paraId="3C14E9C1" w14:textId="204FB32F"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C960CB">
              <w:rPr>
                <w:rFonts w:ascii="Times New Roman" w:hAnsi="Times New Roman" w:cs="Times New Roman"/>
                <w:b/>
                <w:bCs/>
              </w:rPr>
              <w:t>ČA</w:t>
            </w:r>
          </w:p>
        </w:tc>
        <w:tc>
          <w:tcPr>
            <w:tcW w:w="2753" w:type="dxa"/>
            <w:shd w:val="clear" w:color="auto" w:fill="FFFF00"/>
            <w:hideMark/>
          </w:tcPr>
          <w:p w14:paraId="095875D2" w14:textId="197EF5FE"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C960CB">
              <w:rPr>
                <w:rFonts w:ascii="Times New Roman" w:hAnsi="Times New Roman" w:cs="Times New Roman"/>
                <w:b/>
                <w:bCs/>
              </w:rPr>
              <w:t>Bude diskutované v rámci prípravy vyhlášky, ktorá bude predmetnom osobitného legislatívneho procesu</w:t>
            </w:r>
          </w:p>
        </w:tc>
      </w:tr>
      <w:tr w:rsidR="00FE0F3E" w:rsidRPr="006278D2" w14:paraId="76F6E7EE" w14:textId="2C0F48E7" w:rsidTr="00725D29">
        <w:trPr>
          <w:trHeight w:val="1275"/>
        </w:trPr>
        <w:tc>
          <w:tcPr>
            <w:tcW w:w="975" w:type="dxa"/>
            <w:hideMark/>
          </w:tcPr>
          <w:p w14:paraId="7924A49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792.</w:t>
            </w:r>
          </w:p>
        </w:tc>
        <w:tc>
          <w:tcPr>
            <w:tcW w:w="2656" w:type="dxa"/>
            <w:hideMark/>
          </w:tcPr>
          <w:p w14:paraId="0DCB5FC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4E25C87B"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1A88EE3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ods. 3 </w:t>
            </w:r>
            <w:r w:rsidRPr="00BC49FC">
              <w:rPr>
                <w:rFonts w:ascii="Times New Roman" w:hAnsi="Times New Roman" w:cs="Times New Roman"/>
              </w:rPr>
              <w:t>Zásadná pripomienka Čl. I § 10 ods. 3 návrhu zákona - Technická vykonateľnosť a potreba finálnej dátovej štruktúry Povinnosť elektronického poskytovania údajov je možné splniť len vtedy, ak bude v dostatočnom predstihu známa finálna dátová štruktúra, metodika vypĺňania, technický formát, rozhranie monitorovacieho systému a pravidlá validácie údajov. Navrhujeme preto, aby bola účinnosť reportingových povinností bánk viazaná na zverejnenie finálnej technickej špecifikácie a metodiky, a to s minimálne dvanásťmesačným odstupom pred prvým termínom reportovania. Bez nej nie je možné pripraviť interné IT systémy, nastaviť zber údajov ani zabezpečiť zodpovednosť za kvalitu reportovaných dát.</w:t>
            </w:r>
          </w:p>
        </w:tc>
        <w:tc>
          <w:tcPr>
            <w:tcW w:w="2264" w:type="dxa"/>
            <w:shd w:val="clear" w:color="auto" w:fill="FFFF00"/>
            <w:hideMark/>
          </w:tcPr>
          <w:p w14:paraId="1226FA5D" w14:textId="197BC7BF"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C960CB">
              <w:rPr>
                <w:rFonts w:ascii="Times New Roman" w:hAnsi="Times New Roman" w:cs="Times New Roman"/>
                <w:b/>
                <w:bCs/>
              </w:rPr>
              <w:t>ČA</w:t>
            </w:r>
          </w:p>
        </w:tc>
        <w:tc>
          <w:tcPr>
            <w:tcW w:w="2753" w:type="dxa"/>
            <w:shd w:val="clear" w:color="auto" w:fill="FFFF00"/>
            <w:hideMark/>
          </w:tcPr>
          <w:p w14:paraId="7C5F8179" w14:textId="2512A968"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C960CB">
              <w:rPr>
                <w:rFonts w:ascii="Times New Roman" w:hAnsi="Times New Roman" w:cs="Times New Roman"/>
                <w:b/>
                <w:bCs/>
              </w:rPr>
              <w:t>Bude diskutované v rámci prípravy vyhlášky, ktorá bude predmetnom osobitného legislatívneho procesu</w:t>
            </w:r>
          </w:p>
        </w:tc>
      </w:tr>
      <w:tr w:rsidR="00FE0F3E" w:rsidRPr="006278D2" w14:paraId="5F913709" w14:textId="246FB750" w:rsidTr="00725D29">
        <w:trPr>
          <w:trHeight w:val="1275"/>
        </w:trPr>
        <w:tc>
          <w:tcPr>
            <w:tcW w:w="975" w:type="dxa"/>
            <w:hideMark/>
          </w:tcPr>
          <w:p w14:paraId="792C81B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793.</w:t>
            </w:r>
          </w:p>
        </w:tc>
        <w:tc>
          <w:tcPr>
            <w:tcW w:w="2656" w:type="dxa"/>
            <w:hideMark/>
          </w:tcPr>
          <w:p w14:paraId="3B79CEE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4B036A61"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D14EBB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ods. 6 </w:t>
            </w:r>
            <w:r w:rsidRPr="00BC49FC">
              <w:rPr>
                <w:rFonts w:ascii="Times New Roman" w:hAnsi="Times New Roman" w:cs="Times New Roman"/>
              </w:rPr>
              <w:t>Zásadná pripomienka Čl. I § 10 ods. 6 návrhu zákona - Primerané prechodné obdobie a prvý reporting až za obdobie po účinnosti zákona Keďže návrh zákona predpokladá účinnosť od 01. januára 2027, považujeme za potrebné doplniť prechodné ustanovenie, podľa ktorého sa prvá reportovacia povinnosť bánk bude vzťahovať až na údaje za kalendárny rok 2027, s termínom predloženia do 30. júna 2028. Nie je primerané, aby banky reportovali údaje spätne za obdobia, v ktorých ešte nemali zákonnú povinnosť takéto údaje zbierať, evidovať a štruktúrovane uchovávať. Zároveň bude potrebné zabezpečiť dostatočný čas na úpravu interných systémov, produktovej evidencie, dátových polí a reportingových procesov.</w:t>
            </w:r>
          </w:p>
        </w:tc>
        <w:tc>
          <w:tcPr>
            <w:tcW w:w="2264" w:type="dxa"/>
            <w:hideMark/>
          </w:tcPr>
          <w:p w14:paraId="06A4D66E" w14:textId="54F5CB18"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7CC2FDD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4B75EDBE" w14:textId="19E05A92" w:rsidTr="00725D29">
        <w:trPr>
          <w:trHeight w:val="1905"/>
        </w:trPr>
        <w:tc>
          <w:tcPr>
            <w:tcW w:w="975" w:type="dxa"/>
            <w:hideMark/>
          </w:tcPr>
          <w:p w14:paraId="60F93FF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794.</w:t>
            </w:r>
          </w:p>
        </w:tc>
        <w:tc>
          <w:tcPr>
            <w:tcW w:w="2656" w:type="dxa"/>
            <w:hideMark/>
          </w:tcPr>
          <w:p w14:paraId="5516DB1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68DEDED5"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917926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ods. 7 </w:t>
            </w:r>
            <w:r w:rsidRPr="00BC49FC">
              <w:rPr>
                <w:rFonts w:ascii="Times New Roman" w:hAnsi="Times New Roman" w:cs="Times New Roman"/>
              </w:rPr>
              <w:t>Zásadná pripomienka Čl. I § 10 ods. 7 návrhu zákona - Ad hoc poskytovanie údajov do 30 dní Navrhovaná povinnosť podľa § 10 ods. 7 poskytnúť údaje do 30 kalendárnych dní od doručenia žiadosti prevádzkovateľa monitorovacieho systému môže byť v praxi problematická, najmä ak by išlo o nové, historické alebo rozsiahle dátové požiadavky. Súčasne je potrebné jasne vymedziť vzťah medzi § 10 ods. 6 a § 10 ods. 7, aby ad hoc požiadavky podľa ods. 7 nemohli obísť ročnú periodicitu a štruktúru reportingu podľa § 10 ods. 6. Rovnako je potrebné jasne vymedziť, či žiadosť prevádzkovateľa monitorovacieho systému (návrh § 10 ods. 7) má predchádzať aj povinnosti poskytovateľa údajov každoročne do 30. júna zaslať prevádzkovateľovi monitorovacieho systému súbor údajov pre monitorovací systém za predchádzajúci kalendárny rok (návrh § 10 ods. 6). Navrhujeme preto obmedziť ad hoc požiadavky len na odôvodnené prípady a primeraný rozsah údajov, ktoré sa nedajú získať z riadneho ročného reportingu. Zároveň navrhujeme zvážiť predĺženie lehoty na najmenej 60 kalendárnych dní, prípadne 90 kalendárnych dní pri nových alebo mimoriadnych požiadavkách, ktoré si vyžadujú dodatočné spracovanie dát.</w:t>
            </w:r>
          </w:p>
        </w:tc>
        <w:tc>
          <w:tcPr>
            <w:tcW w:w="2264" w:type="dxa"/>
            <w:hideMark/>
          </w:tcPr>
          <w:p w14:paraId="28587161" w14:textId="51663065"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640268A8" w14:textId="584B53F2"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Pr="00BC49FC">
              <w:rPr>
                <w:rFonts w:ascii="Times New Roman" w:hAnsi="Times New Roman" w:cs="Times New Roman"/>
              </w:rPr>
              <w:t>Upravené v zmysle pripomienky</w:t>
            </w:r>
            <w:r>
              <w:rPr>
                <w:rFonts w:ascii="Times New Roman" w:hAnsi="Times New Roman" w:cs="Times New Roman"/>
                <w:b/>
                <w:bCs/>
              </w:rPr>
              <w:t>.</w:t>
            </w:r>
          </w:p>
        </w:tc>
      </w:tr>
      <w:tr w:rsidR="00FE0F3E" w:rsidRPr="006278D2" w14:paraId="593102D5" w14:textId="55122F3D" w:rsidTr="00725D29">
        <w:trPr>
          <w:trHeight w:val="1590"/>
        </w:trPr>
        <w:tc>
          <w:tcPr>
            <w:tcW w:w="975" w:type="dxa"/>
            <w:hideMark/>
          </w:tcPr>
          <w:p w14:paraId="062E5D6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795.</w:t>
            </w:r>
          </w:p>
        </w:tc>
        <w:tc>
          <w:tcPr>
            <w:tcW w:w="2656" w:type="dxa"/>
            <w:hideMark/>
          </w:tcPr>
          <w:p w14:paraId="3BC207E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1DB6917F"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FF887C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42 </w:t>
            </w:r>
            <w:r w:rsidRPr="00BC49FC">
              <w:rPr>
                <w:rFonts w:ascii="Times New Roman" w:hAnsi="Times New Roman" w:cs="Times New Roman"/>
              </w:rPr>
              <w:t>Zásadná pripomienka Čl. I § 42 návrhu zákona - Primeranosť sankcií Vo vzťahu k sankčným ustanoveniam § 42 považujeme za nevyhnutné, aby sankcie boli naviazané len na jasne, presne a vykonateľne definované povinnosti. Ak nebude včas známy rozsah údajov, technická štruktúra alebo metodika reportovania, nemožno voči bankám spravodlivo uplatňovať sankcie za nesplnenie nejasnej alebo objektívne nesplniteľnej povinnosti. Navrhujeme doplniť, že sankcia môže byť uložená až po predchádzajúcej výzve na nápravu a po poskytnutí primeranej lehoty na odstránenie nedostatku. Zároveň by sankcia nemala byť uložená, ak banka nemohla povinnosť splniť z dôvodu nedostupnosti systému, absencie technickej špecifikácie, nejasného rozsahu údajov alebo objektívnej nemožnosti získať požadované údaje. Pri určovaní výšky sankcie by mala byť rešpektovaná zásada proporcionality a zohľadnená miera zavinenia, závažnosť a opakovanie porušenia.</w:t>
            </w:r>
          </w:p>
        </w:tc>
        <w:tc>
          <w:tcPr>
            <w:tcW w:w="2264" w:type="dxa"/>
            <w:hideMark/>
          </w:tcPr>
          <w:p w14:paraId="7C7DEAE7" w14:textId="48E00949"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05A9ABD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2C45554E" w14:textId="797A7A46" w:rsidTr="00725D29">
        <w:trPr>
          <w:trHeight w:val="960"/>
        </w:trPr>
        <w:tc>
          <w:tcPr>
            <w:tcW w:w="975" w:type="dxa"/>
            <w:hideMark/>
          </w:tcPr>
          <w:p w14:paraId="48468F0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796.</w:t>
            </w:r>
          </w:p>
        </w:tc>
        <w:tc>
          <w:tcPr>
            <w:tcW w:w="2656" w:type="dxa"/>
            <w:hideMark/>
          </w:tcPr>
          <w:p w14:paraId="55E9DDB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07EC0EC7"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05FF927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44 ods. 9 </w:t>
            </w:r>
            <w:r w:rsidRPr="00BC49FC">
              <w:rPr>
                <w:rFonts w:ascii="Times New Roman" w:hAnsi="Times New Roman" w:cs="Times New Roman"/>
              </w:rPr>
              <w:t>Zásadná pripomienka Čl. I § 44 odsek 9 návrhu zákona - Prechodné ustanovenia V nadväznosti na našu pripomienku k Čl. I § 10 ods. 6 návrhu zákona "Primerané prechodné obdobie a prvý reporting až za obdobie po účinnosti zákona" navrhujeme nasledovné znenie Čl. I § 44 odsek 9 návrhu zákona:  „(9) Údaje podľa § 10 ods. 6 a ods. 12 až 16 sa zasielajú prvýkrát najneskôr do 30. júna 2028.“  Odôvodnenie: Navrhujeme, aby sa predmetné údaje zasielali prvýkrát za aktuálne dostupné obdobie po nadobudnutí účinnosti zákona, t. j. za kalendárny rok 2027.</w:t>
            </w:r>
          </w:p>
        </w:tc>
        <w:tc>
          <w:tcPr>
            <w:tcW w:w="2264" w:type="dxa"/>
            <w:hideMark/>
          </w:tcPr>
          <w:p w14:paraId="38A33647" w14:textId="0721E5B5"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6866011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p>
        </w:tc>
      </w:tr>
      <w:tr w:rsidR="00FE0F3E" w:rsidRPr="006278D2" w14:paraId="56FD0FE4" w14:textId="0D4A97AB" w:rsidTr="00725D29">
        <w:trPr>
          <w:trHeight w:val="960"/>
        </w:trPr>
        <w:tc>
          <w:tcPr>
            <w:tcW w:w="975" w:type="dxa"/>
            <w:hideMark/>
          </w:tcPr>
          <w:p w14:paraId="7AE66BC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797.</w:t>
            </w:r>
          </w:p>
        </w:tc>
        <w:tc>
          <w:tcPr>
            <w:tcW w:w="2656" w:type="dxa"/>
            <w:hideMark/>
          </w:tcPr>
          <w:p w14:paraId="74C16DF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3BA53B7B"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CE7BCEB"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w:t>
            </w:r>
            <w:r w:rsidRPr="00BC49FC">
              <w:rPr>
                <w:rFonts w:ascii="Times New Roman" w:hAnsi="Times New Roman" w:cs="Times New Roman"/>
              </w:rPr>
              <w:t>Všeobecná pripomienka - Zohľadnenie princípu proporcionality V zmysle súčasného návrhu zákona by sa navrhované povinnosti mali vzťahovať na všetky banky bez ohľadu na ich veľkosť alebo rozsah poskytovaných produktov a služieb. Navrhujeme preto zohľadniť v návrhu zákona pri povinnostiach navrhovaných pre banky princíp proporcionality. Navrhujeme zvážiť: • výnimku alebo zjednodušený režim pre malé a nevýznamné banky (LSI), • prípadne obmedzenie rozsahu povinností podľa veľkosti banky a charakteru obchodného modelu.</w:t>
            </w:r>
          </w:p>
        </w:tc>
        <w:tc>
          <w:tcPr>
            <w:tcW w:w="2264" w:type="dxa"/>
            <w:shd w:val="clear" w:color="auto" w:fill="FFFF00"/>
            <w:hideMark/>
          </w:tcPr>
          <w:p w14:paraId="7147580A" w14:textId="52A77587" w:rsidR="00FE0F3E" w:rsidRPr="0084417F" w:rsidRDefault="00FE0F3E" w:rsidP="00BD7B69">
            <w:pPr>
              <w:rPr>
                <w:b/>
                <w:bCs/>
              </w:rPr>
            </w:pPr>
            <w:r w:rsidRPr="00BC49FC">
              <w:rPr>
                <w:rFonts w:ascii="Times New Roman" w:hAnsi="Times New Roman" w:cs="Times New Roman"/>
                <w:b/>
                <w:bCs/>
              </w:rPr>
              <w:t> </w:t>
            </w:r>
            <w:r w:rsidR="0084417F">
              <w:rPr>
                <w:rFonts w:ascii="Times New Roman" w:hAnsi="Times New Roman" w:cs="Times New Roman"/>
                <w:b/>
                <w:bCs/>
              </w:rPr>
              <w:t>ČA</w:t>
            </w:r>
          </w:p>
        </w:tc>
        <w:tc>
          <w:tcPr>
            <w:tcW w:w="2753" w:type="dxa"/>
            <w:shd w:val="clear" w:color="auto" w:fill="FFFF00"/>
            <w:hideMark/>
          </w:tcPr>
          <w:p w14:paraId="59095B36" w14:textId="74A1E2CE" w:rsidR="00FE0F3E" w:rsidRPr="0084417F" w:rsidRDefault="0084417F" w:rsidP="00BD7B69">
            <w:pPr>
              <w:rPr>
                <w:b/>
                <w:bCs/>
              </w:rPr>
            </w:pPr>
            <w:r>
              <w:rPr>
                <w:b/>
                <w:bCs/>
              </w:rPr>
              <w:t>Sankcie za nesplnenie povinností boli odstránené.</w:t>
            </w:r>
          </w:p>
        </w:tc>
      </w:tr>
      <w:tr w:rsidR="00FE0F3E" w:rsidRPr="006278D2" w14:paraId="6DF2783C" w14:textId="354878E7" w:rsidTr="00725D29">
        <w:trPr>
          <w:trHeight w:val="645"/>
        </w:trPr>
        <w:tc>
          <w:tcPr>
            <w:tcW w:w="975" w:type="dxa"/>
            <w:hideMark/>
          </w:tcPr>
          <w:p w14:paraId="45577F8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798.</w:t>
            </w:r>
          </w:p>
        </w:tc>
        <w:tc>
          <w:tcPr>
            <w:tcW w:w="2656" w:type="dxa"/>
            <w:hideMark/>
          </w:tcPr>
          <w:p w14:paraId="48C47F3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35512FA8"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069E0F3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ods. 3 </w:t>
            </w:r>
            <w:r w:rsidRPr="00BC49FC">
              <w:rPr>
                <w:rFonts w:ascii="Times New Roman" w:hAnsi="Times New Roman" w:cs="Times New Roman"/>
              </w:rPr>
              <w:t>Čl. I § 10 ods. 3 návrhu zákona V kontexte návrhu zákona nie je jasná pozícia banky v tomto odseku a ani rozsah informácií, ktoré dáva zmysel reportovať s ohľadom na banky a ich produkty. Zároveň tu nie je zohľadnený § 8 ods. 5 a povinnosti doručovať informáciu o webových sídlach.</w:t>
            </w:r>
          </w:p>
        </w:tc>
        <w:tc>
          <w:tcPr>
            <w:tcW w:w="2264" w:type="dxa"/>
            <w:hideMark/>
          </w:tcPr>
          <w:p w14:paraId="78BB240B" w14:textId="38A0D8E9"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3E62C37D" w14:textId="197BB339"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Pr="00F743B5">
              <w:rPr>
                <w:rFonts w:ascii="Times New Roman" w:hAnsi="Times New Roman" w:cs="Times New Roman"/>
                <w:b/>
                <w:bCs/>
              </w:rPr>
              <w:t> </w:t>
            </w:r>
            <w:r w:rsidRPr="00F743B5">
              <w:rPr>
                <w:rFonts w:ascii="Times New Roman" w:hAnsi="Times New Roman" w:cs="Times New Roman"/>
              </w:rPr>
              <w:t>Upravené v zmysle pripomienky,</w:t>
            </w:r>
          </w:p>
        </w:tc>
      </w:tr>
      <w:tr w:rsidR="00FE0F3E" w:rsidRPr="006278D2" w14:paraId="08D3682B" w14:textId="75BE5BF4" w:rsidTr="00725D29">
        <w:trPr>
          <w:trHeight w:val="645"/>
        </w:trPr>
        <w:tc>
          <w:tcPr>
            <w:tcW w:w="975" w:type="dxa"/>
            <w:hideMark/>
          </w:tcPr>
          <w:p w14:paraId="09FB903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799.</w:t>
            </w:r>
          </w:p>
        </w:tc>
        <w:tc>
          <w:tcPr>
            <w:tcW w:w="2656" w:type="dxa"/>
            <w:hideMark/>
          </w:tcPr>
          <w:p w14:paraId="12D8F9C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28F33909"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15DFDDC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10 ods. 10 </w:t>
            </w:r>
            <w:r w:rsidRPr="00BC49FC">
              <w:rPr>
                <w:rFonts w:ascii="Times New Roman" w:hAnsi="Times New Roman" w:cs="Times New Roman"/>
              </w:rPr>
              <w:t>Čl. I § 10 ods. 10 návrhu zákona Z návrhu nie je jasné, ako budú kontaktované príslušné strany a ani s kým bude dojednaná zmluva.</w:t>
            </w:r>
          </w:p>
        </w:tc>
        <w:tc>
          <w:tcPr>
            <w:tcW w:w="2264" w:type="dxa"/>
            <w:shd w:val="clear" w:color="auto" w:fill="FFFF00"/>
            <w:hideMark/>
          </w:tcPr>
          <w:p w14:paraId="484B9DB1" w14:textId="0186F2C0" w:rsidR="00FE0F3E" w:rsidRPr="00BC49FC" w:rsidRDefault="0084417F" w:rsidP="00BD7B69">
            <w:pPr>
              <w:rPr>
                <w:rFonts w:ascii="Times New Roman" w:hAnsi="Times New Roman" w:cs="Times New Roman"/>
                <w:b/>
                <w:bCs/>
              </w:rPr>
            </w:pPr>
            <w:r>
              <w:rPr>
                <w:rFonts w:ascii="Times New Roman" w:hAnsi="Times New Roman" w:cs="Times New Roman"/>
                <w:b/>
                <w:bCs/>
              </w:rPr>
              <w:t>ČA</w:t>
            </w:r>
          </w:p>
        </w:tc>
        <w:tc>
          <w:tcPr>
            <w:tcW w:w="2753" w:type="dxa"/>
            <w:shd w:val="clear" w:color="auto" w:fill="FFFF00"/>
            <w:hideMark/>
          </w:tcPr>
          <w:p w14:paraId="17ED61F3" w14:textId="16DDB072"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84417F">
              <w:rPr>
                <w:rFonts w:ascii="Times New Roman" w:hAnsi="Times New Roman" w:cs="Times New Roman"/>
                <w:b/>
                <w:bCs/>
              </w:rPr>
              <w:t>Bude diskutované v rámci prípravy vyhlášky, ktorá bude predmetnom osobitného legislatívneho procesu</w:t>
            </w:r>
          </w:p>
        </w:tc>
      </w:tr>
      <w:tr w:rsidR="00FE0F3E" w:rsidRPr="006278D2" w14:paraId="11BE177A" w14:textId="45247AB6" w:rsidTr="00725D29">
        <w:trPr>
          <w:trHeight w:val="645"/>
        </w:trPr>
        <w:tc>
          <w:tcPr>
            <w:tcW w:w="975" w:type="dxa"/>
            <w:hideMark/>
          </w:tcPr>
          <w:p w14:paraId="314FF8A3"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800.</w:t>
            </w:r>
          </w:p>
        </w:tc>
        <w:tc>
          <w:tcPr>
            <w:tcW w:w="2656" w:type="dxa"/>
            <w:hideMark/>
          </w:tcPr>
          <w:p w14:paraId="640255D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SBA </w:t>
            </w:r>
            <w:r w:rsidRPr="00BC49FC">
              <w:rPr>
                <w:rFonts w:ascii="Times New Roman" w:hAnsi="Times New Roman" w:cs="Times New Roman"/>
              </w:rPr>
              <w:t>Slovenská banková asociácia</w:t>
            </w:r>
          </w:p>
        </w:tc>
        <w:tc>
          <w:tcPr>
            <w:tcW w:w="612" w:type="dxa"/>
            <w:hideMark/>
          </w:tcPr>
          <w:p w14:paraId="48A3DDAA"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17BA45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45 ods. 1 písm. a) </w:t>
            </w:r>
            <w:r w:rsidRPr="00BC49FC">
              <w:rPr>
                <w:rFonts w:ascii="Times New Roman" w:hAnsi="Times New Roman" w:cs="Times New Roman"/>
              </w:rPr>
              <w:t>Čl. I § 45 ods. 1 písm. a) návrhu zákona § 10 ods. 3) návrhu zákona sa odkazuje na § 45 ods. 1 písm. a) návrhu zákona, ktorý v kontexte bánk nedáva zmysel vo všetkých svojich bodoch.</w:t>
            </w:r>
          </w:p>
        </w:tc>
        <w:tc>
          <w:tcPr>
            <w:tcW w:w="2264" w:type="dxa"/>
            <w:shd w:val="clear" w:color="auto" w:fill="FFFF00"/>
            <w:hideMark/>
          </w:tcPr>
          <w:p w14:paraId="0F5B7DF0" w14:textId="034A3109"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84417F">
              <w:rPr>
                <w:rFonts w:ascii="Times New Roman" w:hAnsi="Times New Roman" w:cs="Times New Roman"/>
                <w:b/>
                <w:bCs/>
              </w:rPr>
              <w:t>A</w:t>
            </w:r>
          </w:p>
        </w:tc>
        <w:tc>
          <w:tcPr>
            <w:tcW w:w="2753" w:type="dxa"/>
            <w:shd w:val="clear" w:color="auto" w:fill="FFFF00"/>
            <w:hideMark/>
          </w:tcPr>
          <w:p w14:paraId="43FB10BE" w14:textId="2CE25CB3"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0084417F">
              <w:rPr>
                <w:rFonts w:ascii="Times New Roman" w:hAnsi="Times New Roman" w:cs="Times New Roman"/>
                <w:b/>
                <w:bCs/>
              </w:rPr>
              <w:t>Upravené v zmysle pripomienky.</w:t>
            </w:r>
          </w:p>
        </w:tc>
      </w:tr>
      <w:tr w:rsidR="00FE0F3E" w:rsidRPr="006278D2" w14:paraId="3D7C9039" w14:textId="4185E30B" w:rsidTr="00725D29">
        <w:trPr>
          <w:trHeight w:val="7575"/>
        </w:trPr>
        <w:tc>
          <w:tcPr>
            <w:tcW w:w="975" w:type="dxa"/>
            <w:hideMark/>
          </w:tcPr>
          <w:p w14:paraId="44975D9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801.</w:t>
            </w:r>
          </w:p>
        </w:tc>
        <w:tc>
          <w:tcPr>
            <w:tcW w:w="2656" w:type="dxa"/>
            <w:hideMark/>
          </w:tcPr>
          <w:p w14:paraId="7DEF360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SEAS </w:t>
            </w:r>
            <w:r w:rsidRPr="00BC49FC">
              <w:rPr>
                <w:rFonts w:ascii="Times New Roman" w:hAnsi="Times New Roman" w:cs="Times New Roman"/>
              </w:rPr>
              <w:t>Slovenské elektrárne, a.s.</w:t>
            </w:r>
          </w:p>
        </w:tc>
        <w:tc>
          <w:tcPr>
            <w:tcW w:w="612" w:type="dxa"/>
            <w:hideMark/>
          </w:tcPr>
          <w:p w14:paraId="5CF7F318"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2F35D00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45 </w:t>
            </w:r>
            <w:r w:rsidRPr="00BC49FC">
              <w:rPr>
                <w:rFonts w:ascii="Times New Roman" w:hAnsi="Times New Roman" w:cs="Times New Roman"/>
              </w:rPr>
              <w:t>Zásadná pripomienka: K Návrhu vyhlášky Ministerstva hospodárstva SR k energetickej účinnosti a faktorom primárnej energie (placeholder), vykonávacia vyhláška k § 45 návrhu zákona o energetickej efektívnosti; v koordinácii: vyhláška č. 364/2012 Z. z. (Príloha č. 2).  Návrh: Navrhujeme, aby vyhláška Ministerstva hospodárstva SR k energetickej účinnosti a faktorom primárnej energie pre účely nového zákona o energetickej efektívnosti stanovila faktor primárnej energie elektriny vypočítaný transparentnou metodikou na základe skutočného slovenského elektromixu, podľa diskréčnej úpravy umožnenej čl. 22 ods. 2 a Prílohou IV poznámkou 3 smernice (EÚ) 2023/1791.  Navrhované znenie ustanovenia vyhlášky o PEF elektriny vrátane názvu znie takto:  „§ ... Faktor primárnej energie elektriny  (1) Faktor primárnej energie elektriny dodávanej zo siete na účely tohto zákona sa stanovuje vo výške [SK-špecifická hodnota, podľa transparentnej metodiky] na základe skutočnej skladby výroby elektrickej energie v Slovenskej republike, zohľadňujúcej: (a) odstavenie tepelnej elektrárne Nováky (20. december 2023) a tepelnej elektrárne Vojany (26. marec 2024), (b) podiel jadrovej energie, vodnej energie a obnoviteľných zdrojov na výrobe elektrickej energie v predchádzajúcom 4-ročnom období.  (2) Faktor primárnej energie elektriny sa preskúmava každé štyri roky na základe údajov Slovenskej inovačnej a energetickej agentúry a Štatistického úradu Slovenskej republiky.  (3) Pre obdobie do nadobudnutia účinnosti prvej revízie podľa odseku 2 sa použije faktor primárnej energie elektriny stanovený na základe údajov o skladbe výroby elektriny za roky 2024 a 2025.“  Súčasne žiadame iniciovanie zmeny Prílohy č. 2 vyhlášky č. 364/2012 Z. z. (cez Ministerstvo dopravy a výstavby SR alebo cez Ministerstvo investícií, regionálneho rozvoja a informatizácie SR ako zodpovedného rezortu) tak, aby konverzný faktor primárnej energie elektriny zodpovedal hodnote stanovenej v novej vyhláške Ministerstva hospodárstva SR.   Odôvodnenie: Faktor primárnej energie elektriny je kritickým parametrom, ktorý priamo determinuje: (a) energetické zatriedenie budov podľa § 555/2005 Z. z. (energetický certifikát budovy); (b) porovnanie tepelných čerpadiel s centralizovaným zásobovaním teplom v rámci komplexného posúdenia podľa § 25a zákona č. 657/2004 Z. z.; (c) vyhodnocovanie úspor energetickej efektívnosti cez monitorovací systém podľa § 10 návrhu zákona; (d) nákladovo-prínosové analýzy podľa princípu prvoradosti EE § 24 návrhu zákona.  Nariadenie Komisie (EÚ) 2023/807 z 15. decembra 2022, ktorým sa reviduje faktor primárnej energie elektriny pri aplikácii smernice 2012/27/EÚ, stanovuje EÚ priemerný default vo výške 1,9. Komisia v Prílohe IV poznámke 3 smernice (EÚ) 2023/1791 výslovne ponecháva členským štátom diskréciu stanoviť vlastný odlišný koeficient, pričom musí byť stanovený „transparentnou metodikou na základe národných okolností“.  Slovenské podmienky sa od EÚ priemeru zásadne líšia. Podľa údajov OKTE, a. s. za rok 2024 (národný energetický mix Slovenskej republiky) tvorili: (i) jadrová energia 60,75 %; (ii) vodná energia 17,23 %; (iii) ostatné obnoviteľné zdroje (biomasa, slnečná, veterná) spolu 7,63 %; (iv) zemný plyn 9,69 %; (v) uhlie (čierne a hnedé) spolu 1,63 % — pričom tepelné elektrárne Vojany a Nováky, ktoré v minulosti predstavovali dominantné slovenské uhoľné zdroje, ukončili spaľovanie uhlia 26. marca 2024, resp. 20. decembra 2023; podiel uhlia v slovenskom mixe ďalej klesá.  Pre porovnanie, EÚ priemer (na ktorom je založený default 1,9) obsahuje 12 – 15 % uhlia, 22 – 25 % jadra, 11 – 13 % vodnej energie. Slovenská skupina Slovenské elektrárne, a. s. od 26. marca 2024 vyrába vyše 99 % elektriny bez priamych emisií CO₂. Návrh aktualizácie Integrovaného národného energetického a klimatického plánu SR (NECP) konštatuje, že Slovenská republika „má jednu z najmenej emisných energetík v EÚ“.  Mechanická aplikácia EÚ default 1,9 ignoruje slovenský mix a odporuje zámeru nariadenia 2023/807, ktoré bolo prijaté práve s cieľom „reflect the technological progress and the growing share of renewable energy sources“. Historická slovenská hodnota 2,2 (Príloha č. 2 vyhlášky č. 364/2012) je zastaraná — vznikla v roku 2012, keď Slovensko ešte vyrábalo viac ako 10 % elektriny z uhlia, neexistoval 3. blok Mochoviec, a OZE kapacita bola násobne nižšia.  Slovenský faktor primárnej energie elektriny vypočítaný transparentnou metodikou podľa skutočného mixu môže byť pri zvolenej metodike treatment jadrovej energie významne nižší než historická hodnota 2,2; vzťah voči EÚ default 1,9 závisí od metodického prístupu k jadrovej energii (direct equivalent vs. thermodynamic factor). Cieľom pripomienky nie je predpísať konkrétnu výslednú hodnotu, ale zabezpečiť, že hodnota bude vypočítaná na základe skutočných slovenských vstupných dát a transparentne zverejnenou metodikou, a nie mechanicky prevzatá z EÚ priemeru alebo z desať rokov starej vyhlášky.</w:t>
            </w:r>
          </w:p>
        </w:tc>
        <w:tc>
          <w:tcPr>
            <w:tcW w:w="2264" w:type="dxa"/>
            <w:vAlign w:val="center"/>
            <w:hideMark/>
          </w:tcPr>
          <w:p w14:paraId="3E7ACDD3" w14:textId="311B513F"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836E85B" w14:textId="000898C9"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 xml:space="preserve">Bude diskutované v rámci prípravy vyhlášky, ktorá bude predmetom osobitného legislatívneho procesu. </w:t>
            </w:r>
          </w:p>
        </w:tc>
      </w:tr>
      <w:tr w:rsidR="00FE0F3E" w:rsidRPr="006278D2" w14:paraId="1C27FFF1" w14:textId="6658AE6C" w:rsidTr="00725D29">
        <w:trPr>
          <w:trHeight w:val="960"/>
        </w:trPr>
        <w:tc>
          <w:tcPr>
            <w:tcW w:w="975" w:type="dxa"/>
            <w:hideMark/>
          </w:tcPr>
          <w:p w14:paraId="6EB5B82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802.</w:t>
            </w:r>
          </w:p>
        </w:tc>
        <w:tc>
          <w:tcPr>
            <w:tcW w:w="2656" w:type="dxa"/>
            <w:hideMark/>
          </w:tcPr>
          <w:p w14:paraId="4C662A53"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067285B4"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27FEBCE"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VII bod 3. § 42a ods. 2 </w:t>
            </w:r>
            <w:r w:rsidRPr="00BC49FC">
              <w:rPr>
                <w:rFonts w:ascii="Times New Roman" w:hAnsi="Times New Roman" w:cs="Times New Roman"/>
              </w:rPr>
              <w:t>Navrhujeme doplniť vetu: „Princíp prvoradosti energetickej efektívnosti sa uplatňuje primerane s prihliadnutím na požiadavky bezpečnosti, spoľahlivosti a kontinuity prevádzky prenosovej sústavy.“  Táto pripomienka je zásadná.  Odôvodnenie: Pri obstarávaní zariadení a technologických celkov pre prevádzku prenosovej sústavy nie je možné energetickú efektívnosť posudzovať izolovane bez zohľadnenia požiadaviek bezpečnosti a stability prevádzky elektrizačnej sústavy SR.</w:t>
            </w:r>
          </w:p>
        </w:tc>
        <w:tc>
          <w:tcPr>
            <w:tcW w:w="2264" w:type="dxa"/>
            <w:vAlign w:val="center"/>
            <w:hideMark/>
          </w:tcPr>
          <w:p w14:paraId="30863E7D" w14:textId="64DA0D27"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918169B" w14:textId="1C378739" w:rsidR="00FE0F3E" w:rsidRPr="00BC49FC" w:rsidRDefault="00FE0F3E" w:rsidP="00BD7B69">
            <w:pPr>
              <w:rPr>
                <w:rFonts w:ascii="Times New Roman" w:hAnsi="Times New Roman" w:cs="Times New Roman"/>
              </w:rPr>
            </w:pPr>
            <w:r w:rsidRPr="00BC49FC">
              <w:rPr>
                <w:rFonts w:ascii="Times New Roman" w:hAnsi="Times New Roman" w:cs="Times New Roman"/>
                <w:color w:val="000000"/>
              </w:rPr>
              <w:t>Princíp prvoradosti energetickej efektívnosti sa nemusí uplatňovať v prípade, ak ohrozuje verejnú bezpečnosť (č. VII bod. 2)</w:t>
            </w:r>
          </w:p>
        </w:tc>
      </w:tr>
      <w:tr w:rsidR="00FE0F3E" w:rsidRPr="006278D2" w14:paraId="6FF24035" w14:textId="092E1788" w:rsidTr="00725D29">
        <w:trPr>
          <w:trHeight w:val="1275"/>
        </w:trPr>
        <w:tc>
          <w:tcPr>
            <w:tcW w:w="975" w:type="dxa"/>
            <w:hideMark/>
          </w:tcPr>
          <w:p w14:paraId="45928CE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803.</w:t>
            </w:r>
          </w:p>
        </w:tc>
        <w:tc>
          <w:tcPr>
            <w:tcW w:w="2656" w:type="dxa"/>
            <w:hideMark/>
          </w:tcPr>
          <w:p w14:paraId="2234574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4D052512"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96BFB0E"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VII bod 3. § 42a ods. 3. a 4. </w:t>
            </w:r>
            <w:r w:rsidRPr="00BC49FC">
              <w:rPr>
                <w:rFonts w:ascii="Times New Roman" w:hAnsi="Times New Roman" w:cs="Times New Roman"/>
              </w:rPr>
              <w:t>Navrhujeme doplniť vetu: „To neplatí, ak je z dôvodu technickej kompatibility, interoperability, prevádzkovej bezpečnosti alebo zabezpečenia spoľahlivej prevádzky prenosovej sústavy nevyhnutné obstarať výrobok nespĺňajúci požiadavky podľa prvej vety.“   Táto pripomienka je zásadná.  Odôvodnenie: Pri zariadeniach prenosovej sústavy, najmä výkonových transformátoroch, je potrebné okrem energetickej efektívnosti zohľadniť aj ďalšie technické parametre, najmä kompatibilitu s existujúcou infraštruktúrou, skratovú odolnosť, dynamickú stabilitu, životnosť zariadení, prevádzkovú spoľahlivosť a bezpečnosť prevádzky elektrizačnej sústavy SR.</w:t>
            </w:r>
          </w:p>
        </w:tc>
        <w:tc>
          <w:tcPr>
            <w:tcW w:w="2264" w:type="dxa"/>
            <w:vAlign w:val="center"/>
            <w:hideMark/>
          </w:tcPr>
          <w:p w14:paraId="1E8B27EC" w14:textId="194B4A62"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B87486C" w14:textId="30705407" w:rsidR="00FE0F3E" w:rsidRPr="00BC49FC" w:rsidRDefault="00FE0F3E" w:rsidP="00BD7B69">
            <w:pPr>
              <w:rPr>
                <w:rFonts w:ascii="Times New Roman" w:hAnsi="Times New Roman" w:cs="Times New Roman"/>
              </w:rPr>
            </w:pPr>
            <w:r w:rsidRPr="00BC49FC">
              <w:rPr>
                <w:rFonts w:ascii="Times New Roman" w:hAnsi="Times New Roman" w:cs="Times New Roman"/>
                <w:color w:val="000000"/>
              </w:rPr>
              <w:t>Princíp prvoradosti energetickej efektívnosti sa nemusí uplatňovať v prípade, ak ohrozuje verejnú bezpečnosť (č. VII bod 2)</w:t>
            </w:r>
          </w:p>
        </w:tc>
      </w:tr>
      <w:tr w:rsidR="00FE0F3E" w:rsidRPr="006278D2" w14:paraId="14D1836F" w14:textId="3CFD80A3" w:rsidTr="00725D29">
        <w:trPr>
          <w:trHeight w:val="960"/>
        </w:trPr>
        <w:tc>
          <w:tcPr>
            <w:tcW w:w="975" w:type="dxa"/>
            <w:hideMark/>
          </w:tcPr>
          <w:p w14:paraId="3B961D73"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804.</w:t>
            </w:r>
          </w:p>
        </w:tc>
        <w:tc>
          <w:tcPr>
            <w:tcW w:w="2656" w:type="dxa"/>
            <w:hideMark/>
          </w:tcPr>
          <w:p w14:paraId="08F4A9B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2D1F51EE"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2596F4C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VII bod 3. § 42a ods. 11 </w:t>
            </w:r>
            <w:r w:rsidRPr="00BC49FC">
              <w:rPr>
                <w:rFonts w:ascii="Times New Roman" w:hAnsi="Times New Roman" w:cs="Times New Roman"/>
              </w:rPr>
              <w:t>Navrhujeme doplniť nové písmeno h): „h) ak je to nevyhnutné na zabezpečenie bezpečnej, spoľahlivej a stabilnej prevádzky prenosovej sústavy.“  Táto pripomienka je zásadná.  Odôvodnenie: Existujúce výnimky formulované ako „technicky nemožné“ alebo „ohrozenie verejnej bezpečnosti“ neposkytujú dostatočnú právnu istotu pri obstarávaní zariadení a technologických celkov kritickej energetickej infraštruktúry.</w:t>
            </w:r>
          </w:p>
        </w:tc>
        <w:tc>
          <w:tcPr>
            <w:tcW w:w="2264" w:type="dxa"/>
            <w:vAlign w:val="center"/>
            <w:hideMark/>
          </w:tcPr>
          <w:p w14:paraId="2B3822B2" w14:textId="605464D6"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397E24E" w14:textId="20AD4CD9" w:rsidR="00FE0F3E" w:rsidRPr="00BC49FC" w:rsidRDefault="00FE0F3E" w:rsidP="00BD7B69">
            <w:pPr>
              <w:rPr>
                <w:rFonts w:ascii="Times New Roman" w:hAnsi="Times New Roman" w:cs="Times New Roman"/>
              </w:rPr>
            </w:pPr>
            <w:r w:rsidRPr="00BC49FC">
              <w:rPr>
                <w:rFonts w:ascii="Times New Roman" w:hAnsi="Times New Roman" w:cs="Times New Roman"/>
                <w:color w:val="000000"/>
              </w:rPr>
              <w:t>Princíp prvoradosti energetickej efektívnosti sa nemusí uplatňovať v prípade, ak ohrozuje verejnú bezpečnosť (č. VII bod 2)</w:t>
            </w:r>
          </w:p>
        </w:tc>
      </w:tr>
      <w:tr w:rsidR="00FE0F3E" w:rsidRPr="006278D2" w14:paraId="6A8D3892" w14:textId="4CB0EC04" w:rsidTr="00725D29">
        <w:trPr>
          <w:trHeight w:val="960"/>
        </w:trPr>
        <w:tc>
          <w:tcPr>
            <w:tcW w:w="975" w:type="dxa"/>
            <w:hideMark/>
          </w:tcPr>
          <w:p w14:paraId="44ABFC8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805.</w:t>
            </w:r>
          </w:p>
        </w:tc>
        <w:tc>
          <w:tcPr>
            <w:tcW w:w="2656" w:type="dxa"/>
            <w:hideMark/>
          </w:tcPr>
          <w:p w14:paraId="1503EAF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525AAFDF"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C19CE2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IV druhý bod § 5 ods. 6 prvý bod </w:t>
            </w:r>
            <w:r w:rsidRPr="00BC49FC">
              <w:rPr>
                <w:rFonts w:ascii="Times New Roman" w:hAnsi="Times New Roman" w:cs="Times New Roman"/>
              </w:rPr>
              <w:t>Navrhujeme špecifikovať úroveň komplexnosti a podrobnosti odhadovaných nákladov.  Odôvodnenie: Vzhľadom na všeobecnosť pojmov komplexnosť, podrobnosť   navrhujeme doplniť minimálnu úroveň komplexnosti a podrobnosti či už priamo v tomto bode alebo v osobitnom predpise (napr. do vyhlášky ÚRSO č. 154/2024 Z. z. o cenovej regulácii v elektroenergetike).</w:t>
            </w:r>
          </w:p>
        </w:tc>
        <w:tc>
          <w:tcPr>
            <w:tcW w:w="2264" w:type="dxa"/>
            <w:vAlign w:val="center"/>
            <w:hideMark/>
          </w:tcPr>
          <w:p w14:paraId="0507C88E" w14:textId="4E5054E1"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16A59D38" w14:textId="3369D1E9" w:rsidR="00FE0F3E" w:rsidRPr="00BC49FC" w:rsidRDefault="00FE0F3E" w:rsidP="00BD7B69">
            <w:pPr>
              <w:rPr>
                <w:rFonts w:ascii="Times New Roman" w:hAnsi="Times New Roman" w:cs="Times New Roman"/>
              </w:rPr>
            </w:pPr>
            <w:r w:rsidRPr="00BC49FC">
              <w:rPr>
                <w:rFonts w:ascii="Times New Roman" w:hAnsi="Times New Roman" w:cs="Times New Roman"/>
                <w:color w:val="000000"/>
              </w:rPr>
              <w:t xml:space="preserve">Novelizačný bod 2 vypustený. </w:t>
            </w:r>
          </w:p>
        </w:tc>
      </w:tr>
      <w:tr w:rsidR="00FE0F3E" w:rsidRPr="006278D2" w14:paraId="220DCD68" w14:textId="54A801B4" w:rsidTr="00725D29">
        <w:trPr>
          <w:trHeight w:val="960"/>
        </w:trPr>
        <w:tc>
          <w:tcPr>
            <w:tcW w:w="975" w:type="dxa"/>
            <w:hideMark/>
          </w:tcPr>
          <w:p w14:paraId="46C020F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806.</w:t>
            </w:r>
          </w:p>
        </w:tc>
        <w:tc>
          <w:tcPr>
            <w:tcW w:w="2656" w:type="dxa"/>
            <w:hideMark/>
          </w:tcPr>
          <w:p w14:paraId="53BD7B1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27283FFB"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E2B481D"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IV druhý bod § 5 ods. 6 písm. a) </w:t>
            </w:r>
            <w:r w:rsidRPr="00BC49FC">
              <w:rPr>
                <w:rFonts w:ascii="Times New Roman" w:hAnsi="Times New Roman" w:cs="Times New Roman"/>
              </w:rPr>
              <w:t>Navrhujeme doplniť odvolávku na vyhlášku  ÚRSO č 207/2023 Z. z. o pravidlách na trhu s elektrinou, kde sú definované lehoty pre vysporiadanie žiadosti o pripojenie a procesu pripojenia do sústavy.  Odôvodnenie: Pokiaľ je zámerom iná úroveň primeranosti a presnosti, navrhujeme toto v druhom bode konkrétne špecifikovať.</w:t>
            </w:r>
          </w:p>
        </w:tc>
        <w:tc>
          <w:tcPr>
            <w:tcW w:w="2264" w:type="dxa"/>
            <w:vAlign w:val="center"/>
            <w:hideMark/>
          </w:tcPr>
          <w:p w14:paraId="6D7A68C2" w14:textId="45D1F45B"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C11CDB8" w14:textId="7DA6B082"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4D9E2AAD" w14:textId="71D6F7DE" w:rsidTr="00725D29">
        <w:trPr>
          <w:trHeight w:val="960"/>
        </w:trPr>
        <w:tc>
          <w:tcPr>
            <w:tcW w:w="975" w:type="dxa"/>
            <w:hideMark/>
          </w:tcPr>
          <w:p w14:paraId="068DE62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807.</w:t>
            </w:r>
          </w:p>
        </w:tc>
        <w:tc>
          <w:tcPr>
            <w:tcW w:w="2656" w:type="dxa"/>
            <w:hideMark/>
          </w:tcPr>
          <w:p w14:paraId="0CC311B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328AEE53"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16E5A804"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IV druhý bod § 5 ods. 6 písm. a) </w:t>
            </w:r>
            <w:r w:rsidRPr="00BC49FC">
              <w:rPr>
                <w:rFonts w:ascii="Times New Roman" w:hAnsi="Times New Roman" w:cs="Times New Roman"/>
              </w:rPr>
              <w:t>V treťom bode navrhujeme špecifikovať minimálnu úroveň  „primeranosti orientačného harmonogramu“ v tomto bode alebo v osobitnom predpise (vyhláška  ÚRSO č 207/2023 Z. z. o pravidlách na trhu s elektrinou).  Odôvodnenie: Cieľom je vytvoriť podmienky pre rovnakú interpretáciu tejto požiadavky všetkými prevádzkovateľmi sústavy.</w:t>
            </w:r>
          </w:p>
        </w:tc>
        <w:tc>
          <w:tcPr>
            <w:tcW w:w="2264" w:type="dxa"/>
            <w:vAlign w:val="center"/>
            <w:hideMark/>
          </w:tcPr>
          <w:p w14:paraId="036B6E55" w14:textId="633B7974"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4B74744A" w14:textId="7ECE5565"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66C0C1EB" w14:textId="3035C093" w:rsidTr="00725D29">
        <w:trPr>
          <w:trHeight w:val="2850"/>
        </w:trPr>
        <w:tc>
          <w:tcPr>
            <w:tcW w:w="975" w:type="dxa"/>
            <w:hideMark/>
          </w:tcPr>
          <w:p w14:paraId="47D808F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808.</w:t>
            </w:r>
          </w:p>
        </w:tc>
        <w:tc>
          <w:tcPr>
            <w:tcW w:w="2656" w:type="dxa"/>
            <w:hideMark/>
          </w:tcPr>
          <w:p w14:paraId="45DD991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6146F69F"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7A7027D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IV druhý bod § 5 ods. 6 písm. a) </w:t>
            </w:r>
            <w:r w:rsidRPr="00BC49FC">
              <w:rPr>
                <w:rFonts w:ascii="Times New Roman" w:hAnsi="Times New Roman" w:cs="Times New Roman"/>
              </w:rPr>
              <w:t>Časť ustanovenia tretieho bodu „... pri ktorom sa prihliada na praktickú uskutočniteľnosť a nediskriminačný prístup, nepresiahne 24 mesiacov od podania žiadosti o pripojenie ...“ navrhujeme preformulovať v súlade so znením ustanovenia  smernice 2023/1791 v prílohe XIV, ods. (b), bod (iii): „...celý proces pripájania do sústavy by nemal presiahnuť 24 mesiacov, pričom sa prihliada na praktickú uskutočniteľnosť a nediskriminačný prístup...“.  Táto pripomienka je zásadná.  Odôvodnenie: Lehota 24 mesiacov od podania žiadosti o pripojenie na zrealizovanie samotného pripojenia žiadateľa do prenosovej sústavy je v podmienkach prevádzkovateľa prenosovej sústavy a obstarávateľa nevykonateľná. Štandardná doba výstavby zariadení na strane prenosovej sústavy presahuje túto lehotu minimálne trojnásobne, navyše sa neustále predlžujú lehoty pre dodávku jednotlivých komponentov. Pre splnenie povinnosti podľa tohto ustanovenia by to napr. mohlo znamenať, že prevádzkovateľ prenosovej sústavy by mal mať v každej elektrickej stanici pripravené pole 400 kV pre potenciálneho uchádzača o pripojenie, čo v súčasnosti s ohľadom na ekonomickú náročnosť takéhoto opatrenia nie je možné. Sme si vedomí, že ide o prenesenie požiadavky európskej legislatívy do legislatívy SR. Znenie smernice 2023/1791 v prílohe XIV, ods. (b), bod (iii) uvádza: „...celý proces pripájania do sústavy by nemal presiahnuť 24 mesiacov, pričom sa prihliada na praktickú uskutočniteľnosť a nediskriminačný prístup...“ Ak bude uvedené ustanovenie platiť v nezmenenom znení, jeho aplikácia na úrovni prevádzkovateľa prenosovej sústavy  musí byť vopred prediskutovaná aj za účasti ÚRSO, a je potrebné nastaviť pre túto požiadavku aj regulačný rámec SR (napr. s ohľadom na vopred vybudované zariadenia prenosovej sústavy pripravené na pripojenie žiadateľov o pripojenie do prenosovej sústavy).</w:t>
            </w:r>
          </w:p>
        </w:tc>
        <w:tc>
          <w:tcPr>
            <w:tcW w:w="2264" w:type="dxa"/>
            <w:vAlign w:val="center"/>
            <w:hideMark/>
          </w:tcPr>
          <w:p w14:paraId="3BB593DD" w14:textId="3C156654"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FF64BA5" w14:textId="4CAF12BB"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3C06341E" w14:textId="1E2AE15B" w:rsidTr="00725D29">
        <w:trPr>
          <w:trHeight w:val="960"/>
        </w:trPr>
        <w:tc>
          <w:tcPr>
            <w:tcW w:w="975" w:type="dxa"/>
            <w:hideMark/>
          </w:tcPr>
          <w:p w14:paraId="0BDC516E"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809.</w:t>
            </w:r>
          </w:p>
        </w:tc>
        <w:tc>
          <w:tcPr>
            <w:tcW w:w="2656" w:type="dxa"/>
            <w:hideMark/>
          </w:tcPr>
          <w:p w14:paraId="1E2CA28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31631BE3"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423191F5"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IV druhý bod § 5 ods. 6 písm. b) </w:t>
            </w:r>
            <w:r w:rsidRPr="00BC49FC">
              <w:rPr>
                <w:rFonts w:ascii="Times New Roman" w:hAnsi="Times New Roman" w:cs="Times New Roman"/>
              </w:rPr>
              <w:t>Navrhujeme zaviesť definíciu pojmu „rozptýlení výrobcovia vyrábajúci elektrinu vysoko účinnou kombinovanou výrobou“.  Odôvodnenie: Znenie zákona č. 309/2009 Z. z. s týmto pojmom nepracuje.</w:t>
            </w:r>
          </w:p>
        </w:tc>
        <w:tc>
          <w:tcPr>
            <w:tcW w:w="2264" w:type="dxa"/>
            <w:vAlign w:val="center"/>
            <w:hideMark/>
          </w:tcPr>
          <w:p w14:paraId="02B92A37" w14:textId="5D229921"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14953B07" w14:textId="736E6054"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35385855" w14:textId="7C321154" w:rsidTr="00725D29">
        <w:trPr>
          <w:trHeight w:val="1275"/>
        </w:trPr>
        <w:tc>
          <w:tcPr>
            <w:tcW w:w="975" w:type="dxa"/>
            <w:hideMark/>
          </w:tcPr>
          <w:p w14:paraId="550A32B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810.</w:t>
            </w:r>
          </w:p>
        </w:tc>
        <w:tc>
          <w:tcPr>
            <w:tcW w:w="2656" w:type="dxa"/>
            <w:hideMark/>
          </w:tcPr>
          <w:p w14:paraId="0347C1A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72DD58EB"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30A91820"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IV druhý bod § 5 ods. 6 písm. b) </w:t>
            </w:r>
            <w:r w:rsidRPr="00BC49FC">
              <w:rPr>
                <w:rFonts w:ascii="Times New Roman" w:hAnsi="Times New Roman" w:cs="Times New Roman"/>
              </w:rPr>
              <w:t>Navrhujeme neuplatňovať toto ustanovenie pre prevádzkovateľa prenosovej sústavy.   Táto pripomienka je zásadná.  Odôvodnenie: V závislosti od toho, kto sú „rozptýlení výrobcovia vyrábajúci elektrinu vysoko účinnou kombinovanou výrobou“ (predpokladáme, že ide o viacero malých zariadení VUKVET rádovo v jednotkách megawattov), tieto výkony budú s ohľadom na náklady na pripojenie pripájané výlučne do distribučných sústav. Navyše na strane prevádzkovateľa prenosovej sústavy implementáciou tohto bodu vznikne zbytočná administratívna záťaž pre definovanie požadovaných podmienok v prevádzkovom poriadku.</w:t>
            </w:r>
          </w:p>
        </w:tc>
        <w:tc>
          <w:tcPr>
            <w:tcW w:w="2264" w:type="dxa"/>
            <w:vAlign w:val="center"/>
            <w:hideMark/>
          </w:tcPr>
          <w:p w14:paraId="620F4BA1" w14:textId="1734D4CB"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7FD54EAE" w14:textId="6C7272E5"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703746C9" w14:textId="414C9FC1" w:rsidTr="00725D29">
        <w:trPr>
          <w:trHeight w:val="960"/>
        </w:trPr>
        <w:tc>
          <w:tcPr>
            <w:tcW w:w="975" w:type="dxa"/>
            <w:hideMark/>
          </w:tcPr>
          <w:p w14:paraId="4DA176BE"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811.</w:t>
            </w:r>
          </w:p>
        </w:tc>
        <w:tc>
          <w:tcPr>
            <w:tcW w:w="2656" w:type="dxa"/>
            <w:hideMark/>
          </w:tcPr>
          <w:p w14:paraId="465523E6"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4B4F1654"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3418844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VI piaty bod § 28 ods. 3 písm. al) </w:t>
            </w:r>
            <w:r w:rsidRPr="00BC49FC">
              <w:rPr>
                <w:rFonts w:ascii="Times New Roman" w:hAnsi="Times New Roman" w:cs="Times New Roman"/>
              </w:rPr>
              <w:t>Navrhujeme definovať kritériá, na základe ktorých má prebiehať posudzovanie a uplatňovanie princípu prvoradosti energetickej efektívnosti s negatívnym vplyvom na dotknutého odberateľa.  Táto pripomienky je zásadná.  Odôvodnenie: Cieľom je vytvoriť podmienky pre rovnakú interpretáciu a plnenie tejto požiadavky všetkými prevádzkovateľmi sústav.</w:t>
            </w:r>
          </w:p>
        </w:tc>
        <w:tc>
          <w:tcPr>
            <w:tcW w:w="2264" w:type="dxa"/>
            <w:vAlign w:val="center"/>
            <w:hideMark/>
          </w:tcPr>
          <w:p w14:paraId="2B98A4D7" w14:textId="16435FE4"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19F8934A" w14:textId="7DAEA91C" w:rsidR="00FE0F3E" w:rsidRPr="00BC49FC" w:rsidRDefault="00FE0F3E" w:rsidP="00BD7B69">
            <w:pPr>
              <w:rPr>
                <w:rFonts w:ascii="Times New Roman" w:hAnsi="Times New Roman" w:cs="Times New Roman"/>
                <w:b/>
                <w:bCs/>
              </w:rPr>
            </w:pPr>
          </w:p>
        </w:tc>
      </w:tr>
      <w:tr w:rsidR="00FE0F3E" w:rsidRPr="006278D2" w14:paraId="1AA6CA65" w14:textId="5B1CB4E1" w:rsidTr="00725D29">
        <w:trPr>
          <w:trHeight w:val="960"/>
        </w:trPr>
        <w:tc>
          <w:tcPr>
            <w:tcW w:w="975" w:type="dxa"/>
            <w:hideMark/>
          </w:tcPr>
          <w:p w14:paraId="13A3831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812.</w:t>
            </w:r>
          </w:p>
        </w:tc>
        <w:tc>
          <w:tcPr>
            <w:tcW w:w="2656" w:type="dxa"/>
            <w:hideMark/>
          </w:tcPr>
          <w:p w14:paraId="02E986D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53E6AC63"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3703A5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VI piaty bod § 28 ods. 3 písm. al) </w:t>
            </w:r>
            <w:r w:rsidRPr="00BC49FC">
              <w:rPr>
                <w:rFonts w:ascii="Times New Roman" w:hAnsi="Times New Roman" w:cs="Times New Roman"/>
              </w:rPr>
              <w:t>Navrhujeme pojem „dotknutý odberateľ“ nahradiť slovami „dotknutý užívateľ prenosovej sústavy“.  Táto pripomienky je zásadná.  Odôvodnenie: Posudzovanie by sa malo vzťahovať na všetkých užívateľov prenosovej, ale aj distribučnej sústavy (v § 31).</w:t>
            </w:r>
          </w:p>
        </w:tc>
        <w:tc>
          <w:tcPr>
            <w:tcW w:w="2264" w:type="dxa"/>
            <w:vAlign w:val="center"/>
            <w:hideMark/>
          </w:tcPr>
          <w:p w14:paraId="137B0D6D" w14:textId="70371926"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72BEBEB3" w14:textId="309A82FF" w:rsidR="00FE0F3E" w:rsidRPr="00BC49FC" w:rsidRDefault="00FE0F3E" w:rsidP="00BD7B69">
            <w:pPr>
              <w:rPr>
                <w:rFonts w:ascii="Times New Roman" w:hAnsi="Times New Roman" w:cs="Times New Roman"/>
                <w:b/>
                <w:bCs/>
              </w:rPr>
            </w:pPr>
          </w:p>
        </w:tc>
      </w:tr>
      <w:tr w:rsidR="00FE0F3E" w:rsidRPr="006278D2" w14:paraId="041E35A1" w14:textId="35175FD3" w:rsidTr="00725D29">
        <w:trPr>
          <w:trHeight w:val="960"/>
        </w:trPr>
        <w:tc>
          <w:tcPr>
            <w:tcW w:w="975" w:type="dxa"/>
            <w:hideMark/>
          </w:tcPr>
          <w:p w14:paraId="0BAF57CA"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813.</w:t>
            </w:r>
          </w:p>
        </w:tc>
        <w:tc>
          <w:tcPr>
            <w:tcW w:w="2656" w:type="dxa"/>
            <w:hideMark/>
          </w:tcPr>
          <w:p w14:paraId="60C7A4B7"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6606F37E"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33B82202"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VI šiesty bod § 28 ods. 3 písm. ao) </w:t>
            </w:r>
            <w:r w:rsidRPr="00BC49FC">
              <w:rPr>
                <w:rFonts w:ascii="Times New Roman" w:hAnsi="Times New Roman" w:cs="Times New Roman"/>
              </w:rPr>
              <w:t>Navrhujeme definovať, o akú analýzu nákladov a prínosov ide.  Táto pripomienka je zásadná.  Odôvodnenie: Zákon č. 251/2012 Z. z. s týmto pojmom pracuje vo vzťahu k prevádzkovateľovi prenosovej sústavy výlučne v jednom konkrétnom prípade, a to v § 28 ods. 2 písm. ab).</w:t>
            </w:r>
          </w:p>
        </w:tc>
        <w:tc>
          <w:tcPr>
            <w:tcW w:w="2264" w:type="dxa"/>
            <w:vAlign w:val="center"/>
            <w:hideMark/>
          </w:tcPr>
          <w:p w14:paraId="39FD7C85" w14:textId="6D7D8014"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4C9ED355" w14:textId="46C9A4DC"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Doplne</w:t>
            </w:r>
            <w:r>
              <w:rPr>
                <w:rFonts w:ascii="Times New Roman" w:hAnsi="Times New Roman" w:cs="Times New Roman"/>
                <w:color w:val="000000"/>
              </w:rPr>
              <w:t>né</w:t>
            </w:r>
            <w:r w:rsidRPr="00BC49FC">
              <w:rPr>
                <w:rFonts w:ascii="Times New Roman" w:hAnsi="Times New Roman" w:cs="Times New Roman"/>
                <w:color w:val="000000"/>
              </w:rPr>
              <w:t xml:space="preserve"> v rozsahu požiadaviek smernice EED.</w:t>
            </w:r>
          </w:p>
        </w:tc>
      </w:tr>
      <w:tr w:rsidR="00FE0F3E" w:rsidRPr="006278D2" w14:paraId="2EDA11CF" w14:textId="067F3E60" w:rsidTr="00725D29">
        <w:trPr>
          <w:trHeight w:val="960"/>
        </w:trPr>
        <w:tc>
          <w:tcPr>
            <w:tcW w:w="975" w:type="dxa"/>
            <w:hideMark/>
          </w:tcPr>
          <w:p w14:paraId="15FC1B7C"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814.</w:t>
            </w:r>
          </w:p>
        </w:tc>
        <w:tc>
          <w:tcPr>
            <w:tcW w:w="2656" w:type="dxa"/>
            <w:hideMark/>
          </w:tcPr>
          <w:p w14:paraId="03B72E28"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25725A4C"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2EFEDE1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VI šiesty bod § 28 ods. 3 písm. ap) </w:t>
            </w:r>
            <w:r w:rsidRPr="00BC49FC">
              <w:rPr>
                <w:rFonts w:ascii="Times New Roman" w:hAnsi="Times New Roman" w:cs="Times New Roman"/>
              </w:rPr>
              <w:t>Navrhujeme definovať kritériá pre posudzovanie technickej a ekonomickej realizovateľnosti zavádzania opatrení na optimalizáciu a zvyšovanie efektívnosti prenosovej sústavy.  Táto pripomienka je zásadná.  Odôvodnenie: Cieľom je vytvoriť podmienky pre rovnakú interpretáciu tejto požiadavky všetkými prevádzkovateľmi sústav.</w:t>
            </w:r>
          </w:p>
        </w:tc>
        <w:tc>
          <w:tcPr>
            <w:tcW w:w="2264" w:type="dxa"/>
            <w:hideMark/>
          </w:tcPr>
          <w:p w14:paraId="0299FE75" w14:textId="463C440E"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68C37E88" w14:textId="1EBDF444"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w:t>
            </w:r>
            <w:r w:rsidRPr="00B55155">
              <w:rPr>
                <w:rFonts w:ascii="Times New Roman" w:hAnsi="Times New Roman" w:cs="Times New Roman"/>
                <w:b/>
                <w:bCs/>
              </w:rPr>
              <w:t>Požadované spresnenie nie je z hľadiska účelu ustanovenia potrebné.</w:t>
            </w:r>
          </w:p>
        </w:tc>
      </w:tr>
      <w:tr w:rsidR="00FE0F3E" w:rsidRPr="006278D2" w14:paraId="1F0C9792" w14:textId="309A6648" w:rsidTr="00725D29">
        <w:trPr>
          <w:trHeight w:val="960"/>
        </w:trPr>
        <w:tc>
          <w:tcPr>
            <w:tcW w:w="975" w:type="dxa"/>
            <w:hideMark/>
          </w:tcPr>
          <w:p w14:paraId="7EE9F9FA" w14:textId="77777777" w:rsidR="00FE0F3E" w:rsidRPr="00BC49FC" w:rsidRDefault="00FE0F3E" w:rsidP="007F3452">
            <w:pPr>
              <w:rPr>
                <w:rFonts w:ascii="Times New Roman" w:hAnsi="Times New Roman" w:cs="Times New Roman"/>
                <w:b/>
                <w:bCs/>
              </w:rPr>
            </w:pPr>
            <w:r w:rsidRPr="00BC49FC">
              <w:rPr>
                <w:rFonts w:ascii="Times New Roman" w:hAnsi="Times New Roman" w:cs="Times New Roman"/>
                <w:b/>
                <w:bCs/>
              </w:rPr>
              <w:t>815.</w:t>
            </w:r>
          </w:p>
        </w:tc>
        <w:tc>
          <w:tcPr>
            <w:tcW w:w="2656" w:type="dxa"/>
            <w:hideMark/>
          </w:tcPr>
          <w:p w14:paraId="7127EC78" w14:textId="77777777" w:rsidR="00FE0F3E" w:rsidRPr="00BC49FC" w:rsidRDefault="00FE0F3E" w:rsidP="007F3452">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23A7B327" w14:textId="77777777" w:rsidR="00FE0F3E" w:rsidRPr="00BC49FC" w:rsidRDefault="00FE0F3E" w:rsidP="007F3452">
            <w:pPr>
              <w:rPr>
                <w:rFonts w:ascii="Times New Roman" w:hAnsi="Times New Roman" w:cs="Times New Roman"/>
              </w:rPr>
            </w:pPr>
            <w:r w:rsidRPr="00BC49FC">
              <w:rPr>
                <w:rFonts w:ascii="Times New Roman" w:hAnsi="Times New Roman" w:cs="Times New Roman"/>
              </w:rPr>
              <w:t>O</w:t>
            </w:r>
          </w:p>
        </w:tc>
        <w:tc>
          <w:tcPr>
            <w:tcW w:w="5615" w:type="dxa"/>
            <w:hideMark/>
          </w:tcPr>
          <w:p w14:paraId="7390A6DF" w14:textId="77777777" w:rsidR="00FE0F3E" w:rsidRPr="00BC49FC" w:rsidRDefault="00FE0F3E" w:rsidP="007F3452">
            <w:pPr>
              <w:rPr>
                <w:rFonts w:ascii="Times New Roman" w:hAnsi="Times New Roman" w:cs="Times New Roman"/>
                <w:b/>
                <w:bCs/>
              </w:rPr>
            </w:pPr>
            <w:r w:rsidRPr="00BC49FC">
              <w:rPr>
                <w:rFonts w:ascii="Times New Roman" w:hAnsi="Times New Roman" w:cs="Times New Roman"/>
                <w:b/>
                <w:bCs/>
              </w:rPr>
              <w:t xml:space="preserve">Čl. VI šiesty bod § 28 ods. 3 písm. aq) </w:t>
            </w:r>
            <w:r w:rsidRPr="00BC49FC">
              <w:rPr>
                <w:rFonts w:ascii="Times New Roman" w:hAnsi="Times New Roman" w:cs="Times New Roman"/>
              </w:rPr>
              <w:t>Navrhujeme slovo „vyvíjať“ nahradiť slovom „aplikovať“.   Táto pripomienky je zásadná.  Odôvodnenie: Na strane prevádzkovateľa prenosovej sústavy neprebieha vývoj nových technológií na zlepšenie energetickej efektívnosti, avšak aplikácia týchto riešení prebieha.</w:t>
            </w:r>
          </w:p>
        </w:tc>
        <w:tc>
          <w:tcPr>
            <w:tcW w:w="2264" w:type="dxa"/>
            <w:hideMark/>
          </w:tcPr>
          <w:p w14:paraId="0F5EB2B3" w14:textId="40C66337" w:rsidR="00FE0F3E" w:rsidRPr="00BC49FC" w:rsidRDefault="00FE0F3E" w:rsidP="007F3452">
            <w:pPr>
              <w:rPr>
                <w:rFonts w:ascii="Times New Roman" w:hAnsi="Times New Roman" w:cs="Times New Roman"/>
                <w:b/>
                <w:bCs/>
              </w:rPr>
            </w:pPr>
            <w:r>
              <w:rPr>
                <w:b/>
                <w:bCs/>
              </w:rPr>
              <w:t> A</w:t>
            </w:r>
          </w:p>
        </w:tc>
        <w:tc>
          <w:tcPr>
            <w:tcW w:w="2753" w:type="dxa"/>
            <w:hideMark/>
          </w:tcPr>
          <w:p w14:paraId="3EFA2FE7" w14:textId="15D8FFE9" w:rsidR="00FE0F3E" w:rsidRPr="00BC49FC" w:rsidRDefault="00FE0F3E" w:rsidP="007F3452">
            <w:pPr>
              <w:rPr>
                <w:rFonts w:ascii="Times New Roman" w:hAnsi="Times New Roman" w:cs="Times New Roman"/>
                <w:b/>
                <w:bCs/>
              </w:rPr>
            </w:pPr>
            <w:r>
              <w:rPr>
                <w:b/>
                <w:bCs/>
              </w:rPr>
              <w:t> Pripomienka akceptovaná</w:t>
            </w:r>
          </w:p>
        </w:tc>
      </w:tr>
      <w:tr w:rsidR="00FE0F3E" w:rsidRPr="006278D2" w14:paraId="5E8E3F5F" w14:textId="4CCCEB17" w:rsidTr="00725D29">
        <w:trPr>
          <w:trHeight w:val="1275"/>
        </w:trPr>
        <w:tc>
          <w:tcPr>
            <w:tcW w:w="975" w:type="dxa"/>
            <w:hideMark/>
          </w:tcPr>
          <w:p w14:paraId="411F9009"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816.</w:t>
            </w:r>
          </w:p>
        </w:tc>
        <w:tc>
          <w:tcPr>
            <w:tcW w:w="2656" w:type="dxa"/>
            <w:hideMark/>
          </w:tcPr>
          <w:p w14:paraId="72E5747F"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67B3140F" w14:textId="77777777" w:rsidR="00FE0F3E" w:rsidRPr="00BC49FC" w:rsidRDefault="00FE0F3E" w:rsidP="00BD7B69">
            <w:pPr>
              <w:rPr>
                <w:rFonts w:ascii="Times New Roman" w:hAnsi="Times New Roman" w:cs="Times New Roman"/>
              </w:rPr>
            </w:pPr>
            <w:r w:rsidRPr="00BC49FC">
              <w:rPr>
                <w:rFonts w:ascii="Times New Roman" w:hAnsi="Times New Roman" w:cs="Times New Roman"/>
              </w:rPr>
              <w:t>O</w:t>
            </w:r>
          </w:p>
        </w:tc>
        <w:tc>
          <w:tcPr>
            <w:tcW w:w="5615" w:type="dxa"/>
            <w:hideMark/>
          </w:tcPr>
          <w:p w14:paraId="5C158141" w14:textId="77777777" w:rsidR="00FE0F3E" w:rsidRPr="00BC49FC" w:rsidRDefault="00FE0F3E" w:rsidP="00BD7B69">
            <w:pPr>
              <w:rPr>
                <w:rFonts w:ascii="Times New Roman" w:hAnsi="Times New Roman" w:cs="Times New Roman"/>
                <w:b/>
                <w:bCs/>
              </w:rPr>
            </w:pPr>
            <w:r w:rsidRPr="00BC49FC">
              <w:rPr>
                <w:rFonts w:ascii="Times New Roman" w:hAnsi="Times New Roman" w:cs="Times New Roman"/>
                <w:b/>
                <w:bCs/>
              </w:rPr>
              <w:t xml:space="preserve">Čl. I § 24 ods. 1 </w:t>
            </w:r>
            <w:r w:rsidRPr="00BC49FC">
              <w:rPr>
                <w:rFonts w:ascii="Times New Roman" w:hAnsi="Times New Roman" w:cs="Times New Roman"/>
              </w:rPr>
              <w:t>Navrhujeme doplniť ustanovenia zákona upravujúce uplatňovanie princípu prvoradosti energetickej efektívnosti o explicitné nasledovné ustanovenie: „Princíp prvoradosti energetickej efektívnosti sa uplatňuje bez narušenia bezpečnosti, spoľahlivosti a stability elektrizačnej sústavy SR.“  Táto pripomienka je zásadná.  Odôvodnenie: Prevádzka prenosovej sústavy je založená na dodržiavaní bezpečnostných kritérií, najmä kritéria N-1. Bez ich zabezpečenia nie je možné garantovať stabilnú prevádzku sústavy. Navrhovaná právna úprava túto nadradenosť jednoznačne neustanovuje, čo môže viesť k nesprávnej aplikácii princípu energetickej efektívnosti na úkor bezpečnosti prevádzky.</w:t>
            </w:r>
          </w:p>
        </w:tc>
        <w:tc>
          <w:tcPr>
            <w:tcW w:w="2264" w:type="dxa"/>
            <w:vAlign w:val="center"/>
            <w:hideMark/>
          </w:tcPr>
          <w:p w14:paraId="400C737B" w14:textId="40DE59B2" w:rsidR="00FE0F3E" w:rsidRPr="00BC49FC" w:rsidRDefault="00FE0F3E" w:rsidP="00BD7B69">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8B6F97F" w14:textId="2D23E984" w:rsidR="00FE0F3E" w:rsidRPr="00BC49FC" w:rsidRDefault="00FE0F3E" w:rsidP="00BD7B69">
            <w:pPr>
              <w:rPr>
                <w:rFonts w:ascii="Times New Roman" w:hAnsi="Times New Roman" w:cs="Times New Roman"/>
                <w:b/>
                <w:bCs/>
              </w:rPr>
            </w:pPr>
            <w:r w:rsidRPr="00BC49FC">
              <w:rPr>
                <w:rFonts w:ascii="Times New Roman" w:hAnsi="Times New Roman" w:cs="Times New Roman"/>
                <w:color w:val="000000"/>
              </w:rPr>
              <w:t>Bude upravené a diskutované v rámci prípravy vyhlášky, ktorá bude predmetom osobitného legislatívneho procesu.</w:t>
            </w:r>
          </w:p>
        </w:tc>
      </w:tr>
      <w:tr w:rsidR="00FE0F3E" w:rsidRPr="006278D2" w14:paraId="332AAF49" w14:textId="7FEA2657" w:rsidTr="00725D29">
        <w:trPr>
          <w:trHeight w:val="960"/>
        </w:trPr>
        <w:tc>
          <w:tcPr>
            <w:tcW w:w="975" w:type="dxa"/>
            <w:hideMark/>
          </w:tcPr>
          <w:p w14:paraId="12220F3C" w14:textId="77777777" w:rsidR="00FE0F3E" w:rsidRPr="00BC49FC" w:rsidRDefault="00FE0F3E" w:rsidP="00050D80">
            <w:pPr>
              <w:rPr>
                <w:rFonts w:ascii="Times New Roman" w:hAnsi="Times New Roman" w:cs="Times New Roman"/>
                <w:b/>
                <w:bCs/>
              </w:rPr>
            </w:pPr>
            <w:r w:rsidRPr="00BC49FC">
              <w:rPr>
                <w:rFonts w:ascii="Times New Roman" w:hAnsi="Times New Roman" w:cs="Times New Roman"/>
                <w:b/>
                <w:bCs/>
              </w:rPr>
              <w:t>817.</w:t>
            </w:r>
          </w:p>
        </w:tc>
        <w:tc>
          <w:tcPr>
            <w:tcW w:w="2656" w:type="dxa"/>
            <w:hideMark/>
          </w:tcPr>
          <w:p w14:paraId="3FAF1D9B" w14:textId="77777777" w:rsidR="00FE0F3E" w:rsidRPr="00BC49FC" w:rsidRDefault="00FE0F3E" w:rsidP="00050D80">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3C0F8E9D" w14:textId="77777777" w:rsidR="00FE0F3E" w:rsidRPr="00BC49FC" w:rsidRDefault="00FE0F3E" w:rsidP="00050D80">
            <w:pPr>
              <w:rPr>
                <w:rFonts w:ascii="Times New Roman" w:hAnsi="Times New Roman" w:cs="Times New Roman"/>
              </w:rPr>
            </w:pPr>
            <w:r w:rsidRPr="00BC49FC">
              <w:rPr>
                <w:rFonts w:ascii="Times New Roman" w:hAnsi="Times New Roman" w:cs="Times New Roman"/>
              </w:rPr>
              <w:t>O</w:t>
            </w:r>
          </w:p>
        </w:tc>
        <w:tc>
          <w:tcPr>
            <w:tcW w:w="5615" w:type="dxa"/>
            <w:hideMark/>
          </w:tcPr>
          <w:p w14:paraId="3BDEE591" w14:textId="77777777" w:rsidR="00FE0F3E" w:rsidRPr="00BC49FC" w:rsidRDefault="00FE0F3E" w:rsidP="00050D80">
            <w:pPr>
              <w:rPr>
                <w:rFonts w:ascii="Times New Roman" w:hAnsi="Times New Roman" w:cs="Times New Roman"/>
                <w:b/>
                <w:bCs/>
              </w:rPr>
            </w:pPr>
            <w:r w:rsidRPr="00BC49FC">
              <w:rPr>
                <w:rFonts w:ascii="Times New Roman" w:hAnsi="Times New Roman" w:cs="Times New Roman"/>
                <w:b/>
                <w:bCs/>
              </w:rPr>
              <w:t xml:space="preserve">Čl. I § 9 </w:t>
            </w:r>
            <w:r w:rsidRPr="00BC49FC">
              <w:rPr>
                <w:rFonts w:ascii="Times New Roman" w:hAnsi="Times New Roman" w:cs="Times New Roman"/>
              </w:rPr>
              <w:t>Navrhujeme doplniť splnomocňovacie ustanovenie na vydanie vykonávacieho predpisu, ktorý upraví metodiku • výpočtu účinnosti prenosovej sústavy, • výpočtu strát elektriny v prenosovej sústave, • zohľadnenia tranzitných a cezhraničných tokov.  Táto pripomienka je zásadná.  Odôvodnenie: Straty v prenosovej sústave nie sú determinované len vnútornými faktormi, ale významne závisia od • cezhraničných tokov elektriny, • fyzikálnych tokov mimo obchodných nominácií, • variabilnej výroby z obnoviteľných zdrojov. Bez jednoznačnej metodiky hrozí nesprávne vyhodnocovanie efektívnosti prevádzkovania prenosovej sústavy.</w:t>
            </w:r>
          </w:p>
        </w:tc>
        <w:tc>
          <w:tcPr>
            <w:tcW w:w="2264" w:type="dxa"/>
            <w:hideMark/>
          </w:tcPr>
          <w:p w14:paraId="7119BEEB" w14:textId="17B87BB7" w:rsidR="00FE0F3E" w:rsidRPr="00BC49FC" w:rsidRDefault="00FE0F3E" w:rsidP="00050D80">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03BE3602" w14:textId="1B6EE30A" w:rsidR="00FE0F3E" w:rsidRPr="00BC49FC" w:rsidRDefault="00FE0F3E" w:rsidP="00050D80">
            <w:pPr>
              <w:rPr>
                <w:rFonts w:ascii="Times New Roman" w:hAnsi="Times New Roman" w:cs="Times New Roman"/>
                <w:b/>
                <w:bCs/>
              </w:rPr>
            </w:pPr>
            <w:r w:rsidRPr="00AC55C1">
              <w:rPr>
                <w:rFonts w:ascii="Times New Roman" w:hAnsi="Times New Roman" w:cs="Times New Roman"/>
                <w:b/>
                <w:bCs/>
              </w:rPr>
              <w:t> </w:t>
            </w:r>
            <w:r w:rsidRPr="00B55155">
              <w:rPr>
                <w:rFonts w:ascii="Times New Roman" w:hAnsi="Times New Roman" w:cs="Times New Roman"/>
                <w:b/>
                <w:bCs/>
              </w:rPr>
              <w:t>Požadované spresnenie nie je z hľadiska účelu ustanovenia potrebné.</w:t>
            </w:r>
          </w:p>
        </w:tc>
      </w:tr>
      <w:tr w:rsidR="00FE0F3E" w:rsidRPr="006278D2" w14:paraId="7B373623" w14:textId="69FCDF27" w:rsidTr="00725D29">
        <w:trPr>
          <w:trHeight w:val="960"/>
        </w:trPr>
        <w:tc>
          <w:tcPr>
            <w:tcW w:w="975" w:type="dxa"/>
            <w:hideMark/>
          </w:tcPr>
          <w:p w14:paraId="07936514" w14:textId="77777777" w:rsidR="00FE0F3E" w:rsidRPr="00BC49FC" w:rsidRDefault="00FE0F3E" w:rsidP="00453320">
            <w:pPr>
              <w:rPr>
                <w:rFonts w:ascii="Times New Roman" w:hAnsi="Times New Roman" w:cs="Times New Roman"/>
                <w:b/>
                <w:bCs/>
              </w:rPr>
            </w:pPr>
            <w:r w:rsidRPr="00BC49FC">
              <w:rPr>
                <w:rFonts w:ascii="Times New Roman" w:hAnsi="Times New Roman" w:cs="Times New Roman"/>
                <w:b/>
                <w:bCs/>
              </w:rPr>
              <w:t>818.</w:t>
            </w:r>
          </w:p>
        </w:tc>
        <w:tc>
          <w:tcPr>
            <w:tcW w:w="2656" w:type="dxa"/>
            <w:hideMark/>
          </w:tcPr>
          <w:p w14:paraId="3C9976C6" w14:textId="77777777" w:rsidR="00FE0F3E" w:rsidRPr="00BC49FC" w:rsidRDefault="00FE0F3E" w:rsidP="00453320">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666E60D8" w14:textId="77777777" w:rsidR="00FE0F3E" w:rsidRPr="00BC49FC" w:rsidRDefault="00FE0F3E" w:rsidP="00453320">
            <w:pPr>
              <w:rPr>
                <w:rFonts w:ascii="Times New Roman" w:hAnsi="Times New Roman" w:cs="Times New Roman"/>
              </w:rPr>
            </w:pPr>
            <w:r w:rsidRPr="00BC49FC">
              <w:rPr>
                <w:rFonts w:ascii="Times New Roman" w:hAnsi="Times New Roman" w:cs="Times New Roman"/>
              </w:rPr>
              <w:t>O</w:t>
            </w:r>
          </w:p>
        </w:tc>
        <w:tc>
          <w:tcPr>
            <w:tcW w:w="5615" w:type="dxa"/>
            <w:hideMark/>
          </w:tcPr>
          <w:p w14:paraId="33863348" w14:textId="77777777" w:rsidR="00FE0F3E" w:rsidRPr="00BC49FC" w:rsidRDefault="00FE0F3E" w:rsidP="00453320">
            <w:pPr>
              <w:rPr>
                <w:rFonts w:ascii="Times New Roman" w:hAnsi="Times New Roman" w:cs="Times New Roman"/>
                <w:b/>
                <w:bCs/>
              </w:rPr>
            </w:pPr>
            <w:r w:rsidRPr="00BC49FC">
              <w:rPr>
                <w:rFonts w:ascii="Times New Roman" w:hAnsi="Times New Roman" w:cs="Times New Roman"/>
                <w:b/>
                <w:bCs/>
              </w:rPr>
              <w:t xml:space="preserve">Čl. I § 10 </w:t>
            </w:r>
            <w:r w:rsidRPr="00BC49FC">
              <w:rPr>
                <w:rFonts w:ascii="Times New Roman" w:hAnsi="Times New Roman" w:cs="Times New Roman"/>
              </w:rPr>
              <w:t>Navrhujeme upraviť rozsah a štruktúru poskytovaných údajov tak, aby boli • zosúladené s existujúcimi povinnosťami definovanými v ENTSO E, ACER a Európskou komisiou, • eliminované duplicity v reportovaní, • zohľadnené požiadavky na ochranu citlivých a bezpečnostných údajov.  Táto pripomienka je zásadná.  Odôvodnenie: SEPS už v súčasnosti plní rozsiahle oznamovacie povinnosti na európskej úrovni. Zavedenie paralelného systému bez harmonizácie povedie k neprimeranej administratívnej záťaži.</w:t>
            </w:r>
          </w:p>
        </w:tc>
        <w:tc>
          <w:tcPr>
            <w:tcW w:w="2264" w:type="dxa"/>
            <w:hideMark/>
          </w:tcPr>
          <w:p w14:paraId="3E6A31D0" w14:textId="0808BC05" w:rsidR="00FE0F3E" w:rsidRPr="00BC49FC" w:rsidRDefault="00FE0F3E" w:rsidP="00453320">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0B05DE8B" w14:textId="5221C6EF" w:rsidR="00FE0F3E" w:rsidRPr="00BC49FC" w:rsidRDefault="00FE0F3E" w:rsidP="00453320">
            <w:pPr>
              <w:rPr>
                <w:rFonts w:ascii="Times New Roman" w:hAnsi="Times New Roman" w:cs="Times New Roman"/>
                <w:b/>
                <w:bCs/>
              </w:rPr>
            </w:pPr>
            <w:r w:rsidRPr="00AC55C1">
              <w:rPr>
                <w:rFonts w:ascii="Times New Roman" w:hAnsi="Times New Roman" w:cs="Times New Roman"/>
                <w:b/>
                <w:bCs/>
              </w:rPr>
              <w:t> </w:t>
            </w:r>
            <w:r w:rsidRPr="00B55155">
              <w:rPr>
                <w:rFonts w:ascii="Times New Roman" w:hAnsi="Times New Roman" w:cs="Times New Roman"/>
                <w:b/>
                <w:bCs/>
              </w:rPr>
              <w:t>Požadované spresnenie nie je z hľadiska účelu ustanovenia potrebné.</w:t>
            </w:r>
          </w:p>
        </w:tc>
      </w:tr>
      <w:tr w:rsidR="00FE0F3E" w:rsidRPr="006278D2" w14:paraId="1ED24DC4" w14:textId="0317DD96" w:rsidTr="00725D29">
        <w:trPr>
          <w:trHeight w:val="960"/>
        </w:trPr>
        <w:tc>
          <w:tcPr>
            <w:tcW w:w="975" w:type="dxa"/>
            <w:hideMark/>
          </w:tcPr>
          <w:p w14:paraId="1024CD09" w14:textId="77777777" w:rsidR="00FE0F3E" w:rsidRPr="00BC49FC" w:rsidRDefault="00FE0F3E" w:rsidP="005D52B2">
            <w:pPr>
              <w:rPr>
                <w:rFonts w:ascii="Times New Roman" w:hAnsi="Times New Roman" w:cs="Times New Roman"/>
                <w:b/>
                <w:bCs/>
              </w:rPr>
            </w:pPr>
            <w:r w:rsidRPr="00BC49FC">
              <w:rPr>
                <w:rFonts w:ascii="Times New Roman" w:hAnsi="Times New Roman" w:cs="Times New Roman"/>
                <w:b/>
                <w:bCs/>
              </w:rPr>
              <w:t>819.</w:t>
            </w:r>
          </w:p>
        </w:tc>
        <w:tc>
          <w:tcPr>
            <w:tcW w:w="2656" w:type="dxa"/>
            <w:hideMark/>
          </w:tcPr>
          <w:p w14:paraId="6EDA9088" w14:textId="77777777" w:rsidR="00FE0F3E" w:rsidRPr="00BC49FC" w:rsidRDefault="00FE0F3E" w:rsidP="005D52B2">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51E7AF6F" w14:textId="77777777" w:rsidR="00FE0F3E" w:rsidRPr="00BC49FC" w:rsidRDefault="00FE0F3E" w:rsidP="005D52B2">
            <w:pPr>
              <w:rPr>
                <w:rFonts w:ascii="Times New Roman" w:hAnsi="Times New Roman" w:cs="Times New Roman"/>
              </w:rPr>
            </w:pPr>
            <w:r w:rsidRPr="00BC49FC">
              <w:rPr>
                <w:rFonts w:ascii="Times New Roman" w:hAnsi="Times New Roman" w:cs="Times New Roman"/>
              </w:rPr>
              <w:t>O</w:t>
            </w:r>
          </w:p>
        </w:tc>
        <w:tc>
          <w:tcPr>
            <w:tcW w:w="5615" w:type="dxa"/>
            <w:hideMark/>
          </w:tcPr>
          <w:p w14:paraId="4042233F" w14:textId="77777777" w:rsidR="00FE0F3E" w:rsidRPr="00BC49FC" w:rsidRDefault="00FE0F3E" w:rsidP="005D52B2">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Navrhujeme explicitne rozlíšiť postavenie prevádzkovateľa prenosovej sústavy od ostatných povinných subjektov.  Odôvodnenie: Uplatnenie rovnakých povinností ako pre dodávateľov alebo distribútorov nezodpovedá jeho skutočnej funkcii v energetickom systéme, nakoľko prevádzkovateľ prenosovej sústavy • neovplyvňuje konečnú spotrebu energie, • zabezpečuje systémové služby a stabilitu sústavy, • vykonáva činnosti v regulovanom režime podľa legislatívy EÚ.</w:t>
            </w:r>
          </w:p>
        </w:tc>
        <w:tc>
          <w:tcPr>
            <w:tcW w:w="2264" w:type="dxa"/>
            <w:hideMark/>
          </w:tcPr>
          <w:p w14:paraId="444EED45" w14:textId="74D9A4B9" w:rsidR="00FE0F3E" w:rsidRPr="00BC49FC" w:rsidRDefault="00FE0F3E" w:rsidP="005D52B2">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22F1518D" w14:textId="5C914E9B" w:rsidR="00FE0F3E" w:rsidRPr="00BC49FC" w:rsidRDefault="00FE0F3E" w:rsidP="005D52B2">
            <w:pPr>
              <w:rPr>
                <w:rFonts w:ascii="Times New Roman" w:hAnsi="Times New Roman" w:cs="Times New Roman"/>
                <w:b/>
                <w:bCs/>
              </w:rPr>
            </w:pPr>
            <w:r w:rsidRPr="00AC55C1">
              <w:rPr>
                <w:rFonts w:ascii="Times New Roman" w:hAnsi="Times New Roman" w:cs="Times New Roman"/>
                <w:b/>
                <w:bCs/>
              </w:rPr>
              <w:t> </w:t>
            </w:r>
            <w:r w:rsidRPr="00B55155">
              <w:rPr>
                <w:rFonts w:ascii="Times New Roman" w:hAnsi="Times New Roman" w:cs="Times New Roman"/>
                <w:b/>
                <w:bCs/>
              </w:rPr>
              <w:t>Požadované spresnenie nie je z hľadiska účelu ustanovenia potrebné.</w:t>
            </w:r>
          </w:p>
        </w:tc>
      </w:tr>
      <w:tr w:rsidR="00FE0F3E" w:rsidRPr="006278D2" w14:paraId="7CD18EDB" w14:textId="3E1660A9" w:rsidTr="00725D29">
        <w:trPr>
          <w:trHeight w:val="960"/>
        </w:trPr>
        <w:tc>
          <w:tcPr>
            <w:tcW w:w="975" w:type="dxa"/>
            <w:hideMark/>
          </w:tcPr>
          <w:p w14:paraId="04FE0CE2" w14:textId="77777777" w:rsidR="00FE0F3E" w:rsidRPr="00BC49FC" w:rsidRDefault="00FE0F3E" w:rsidP="00B928DC">
            <w:pPr>
              <w:rPr>
                <w:rFonts w:ascii="Times New Roman" w:hAnsi="Times New Roman" w:cs="Times New Roman"/>
                <w:b/>
                <w:bCs/>
              </w:rPr>
            </w:pPr>
            <w:r w:rsidRPr="00BC49FC">
              <w:rPr>
                <w:rFonts w:ascii="Times New Roman" w:hAnsi="Times New Roman" w:cs="Times New Roman"/>
                <w:b/>
                <w:bCs/>
              </w:rPr>
              <w:t>820.</w:t>
            </w:r>
          </w:p>
        </w:tc>
        <w:tc>
          <w:tcPr>
            <w:tcW w:w="2656" w:type="dxa"/>
            <w:hideMark/>
          </w:tcPr>
          <w:p w14:paraId="2140E1D1" w14:textId="77777777" w:rsidR="00FE0F3E" w:rsidRPr="00BC49FC" w:rsidRDefault="00FE0F3E" w:rsidP="00B928DC">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5123CCBE" w14:textId="77777777" w:rsidR="00FE0F3E" w:rsidRPr="00BC49FC" w:rsidRDefault="00FE0F3E" w:rsidP="00B928DC">
            <w:pPr>
              <w:rPr>
                <w:rFonts w:ascii="Times New Roman" w:hAnsi="Times New Roman" w:cs="Times New Roman"/>
              </w:rPr>
            </w:pPr>
            <w:r w:rsidRPr="00BC49FC">
              <w:rPr>
                <w:rFonts w:ascii="Times New Roman" w:hAnsi="Times New Roman" w:cs="Times New Roman"/>
              </w:rPr>
              <w:t>O</w:t>
            </w:r>
          </w:p>
        </w:tc>
        <w:tc>
          <w:tcPr>
            <w:tcW w:w="5615" w:type="dxa"/>
            <w:hideMark/>
          </w:tcPr>
          <w:p w14:paraId="6572693E" w14:textId="77777777" w:rsidR="00FE0F3E" w:rsidRPr="00BC49FC" w:rsidRDefault="00FE0F3E" w:rsidP="00B928DC">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Navrhujeme explicitne deklarovať, že nasledovné povinnosti prevádzkovateľa sústavy majú prednosť: • zabezpečenie bezpečnosti prevádzky sústavy, • nediskriminačný prístup do sústavy, • podporu integrácie trhu.  Odôvodnenie: Navrhovaná úprava by mala rešpektovať kľúčové povinnosti prevádzkovateľa prenosovej sústavy stanovené nariadením EPaR (EÚ) 2019/943.</w:t>
            </w:r>
          </w:p>
        </w:tc>
        <w:tc>
          <w:tcPr>
            <w:tcW w:w="2264" w:type="dxa"/>
            <w:hideMark/>
          </w:tcPr>
          <w:p w14:paraId="713C4FA7" w14:textId="4D8184D2" w:rsidR="00FE0F3E" w:rsidRPr="00BC49FC" w:rsidRDefault="00FE0F3E" w:rsidP="00B928DC">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31C8BB98" w14:textId="7CD1576F" w:rsidR="00FE0F3E" w:rsidRPr="00BC49FC" w:rsidRDefault="00FE0F3E" w:rsidP="00B928DC">
            <w:pPr>
              <w:rPr>
                <w:rFonts w:ascii="Times New Roman" w:hAnsi="Times New Roman" w:cs="Times New Roman"/>
                <w:b/>
                <w:bCs/>
              </w:rPr>
            </w:pPr>
            <w:r w:rsidRPr="00AC55C1">
              <w:rPr>
                <w:rFonts w:ascii="Times New Roman" w:hAnsi="Times New Roman" w:cs="Times New Roman"/>
                <w:b/>
                <w:bCs/>
              </w:rPr>
              <w:t> </w:t>
            </w:r>
            <w:r w:rsidRPr="00B55155">
              <w:rPr>
                <w:rFonts w:ascii="Times New Roman" w:hAnsi="Times New Roman" w:cs="Times New Roman"/>
                <w:b/>
                <w:bCs/>
              </w:rPr>
              <w:t>Požadované spresnenie nie je z hľadiska účelu ustanovenia potrebné.</w:t>
            </w:r>
          </w:p>
        </w:tc>
      </w:tr>
      <w:tr w:rsidR="00FE0F3E" w:rsidRPr="006278D2" w14:paraId="177FF716" w14:textId="134B5035" w:rsidTr="00725D29">
        <w:trPr>
          <w:trHeight w:val="960"/>
        </w:trPr>
        <w:tc>
          <w:tcPr>
            <w:tcW w:w="975" w:type="dxa"/>
            <w:hideMark/>
          </w:tcPr>
          <w:p w14:paraId="0E626332" w14:textId="77777777" w:rsidR="00FE0F3E" w:rsidRPr="00BC49FC" w:rsidRDefault="00FE0F3E" w:rsidP="003010DE">
            <w:pPr>
              <w:rPr>
                <w:rFonts w:ascii="Times New Roman" w:hAnsi="Times New Roman" w:cs="Times New Roman"/>
                <w:b/>
                <w:bCs/>
              </w:rPr>
            </w:pPr>
            <w:r w:rsidRPr="00BC49FC">
              <w:rPr>
                <w:rFonts w:ascii="Times New Roman" w:hAnsi="Times New Roman" w:cs="Times New Roman"/>
                <w:b/>
                <w:bCs/>
              </w:rPr>
              <w:t>821.</w:t>
            </w:r>
          </w:p>
        </w:tc>
        <w:tc>
          <w:tcPr>
            <w:tcW w:w="2656" w:type="dxa"/>
            <w:hideMark/>
          </w:tcPr>
          <w:p w14:paraId="6F841D8C" w14:textId="77777777" w:rsidR="00FE0F3E" w:rsidRPr="00BC49FC" w:rsidRDefault="00FE0F3E" w:rsidP="003010DE">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3A6E8064" w14:textId="77777777" w:rsidR="00FE0F3E" w:rsidRPr="00BC49FC" w:rsidRDefault="00FE0F3E" w:rsidP="003010DE">
            <w:pPr>
              <w:rPr>
                <w:rFonts w:ascii="Times New Roman" w:hAnsi="Times New Roman" w:cs="Times New Roman"/>
              </w:rPr>
            </w:pPr>
            <w:r w:rsidRPr="00BC49FC">
              <w:rPr>
                <w:rFonts w:ascii="Times New Roman" w:hAnsi="Times New Roman" w:cs="Times New Roman"/>
              </w:rPr>
              <w:t>O</w:t>
            </w:r>
          </w:p>
        </w:tc>
        <w:tc>
          <w:tcPr>
            <w:tcW w:w="5615" w:type="dxa"/>
            <w:hideMark/>
          </w:tcPr>
          <w:p w14:paraId="3C4051F9" w14:textId="77777777" w:rsidR="00FE0F3E" w:rsidRPr="00BC49FC" w:rsidRDefault="00FE0F3E" w:rsidP="003010DE">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Navrhujeme doplniť ustanovenie zabezpečujúce kompatibilitu národného plánovania s desaťročným plánom rozvoja siete, a tiež s cezhraničným plánovaním infraštruktúry.</w:t>
            </w:r>
          </w:p>
        </w:tc>
        <w:tc>
          <w:tcPr>
            <w:tcW w:w="2264" w:type="dxa"/>
            <w:hideMark/>
          </w:tcPr>
          <w:p w14:paraId="0A95888A" w14:textId="061433CA" w:rsidR="00FE0F3E" w:rsidRPr="00BC49FC" w:rsidRDefault="00FE0F3E" w:rsidP="003010DE">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25A3C9C3" w14:textId="5013869A" w:rsidR="00FE0F3E" w:rsidRPr="00BC49FC" w:rsidRDefault="00FE0F3E" w:rsidP="003010DE">
            <w:pPr>
              <w:rPr>
                <w:rFonts w:ascii="Times New Roman" w:hAnsi="Times New Roman" w:cs="Times New Roman"/>
                <w:b/>
                <w:bCs/>
              </w:rPr>
            </w:pPr>
            <w:r w:rsidRPr="00AC55C1">
              <w:rPr>
                <w:rFonts w:ascii="Times New Roman" w:hAnsi="Times New Roman" w:cs="Times New Roman"/>
                <w:b/>
                <w:bCs/>
              </w:rPr>
              <w:t> </w:t>
            </w:r>
            <w:r w:rsidRPr="00B55155">
              <w:rPr>
                <w:rFonts w:ascii="Times New Roman" w:hAnsi="Times New Roman" w:cs="Times New Roman"/>
                <w:b/>
                <w:bCs/>
              </w:rPr>
              <w:t>Požadované spresnenie nie je z hľadiska účelu ustanovenia potrebné.</w:t>
            </w:r>
          </w:p>
        </w:tc>
      </w:tr>
      <w:tr w:rsidR="00FE0F3E" w:rsidRPr="006278D2" w14:paraId="781DFB47" w14:textId="53F25E9C" w:rsidTr="00725D29">
        <w:trPr>
          <w:trHeight w:val="960"/>
        </w:trPr>
        <w:tc>
          <w:tcPr>
            <w:tcW w:w="975" w:type="dxa"/>
            <w:hideMark/>
          </w:tcPr>
          <w:p w14:paraId="2336D82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822.</w:t>
            </w:r>
          </w:p>
        </w:tc>
        <w:tc>
          <w:tcPr>
            <w:tcW w:w="2656" w:type="dxa"/>
            <w:hideMark/>
          </w:tcPr>
          <w:p w14:paraId="0A0EAC0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SEPS </w:t>
            </w:r>
            <w:r w:rsidRPr="00BC49FC">
              <w:rPr>
                <w:rFonts w:ascii="Times New Roman" w:hAnsi="Times New Roman" w:cs="Times New Roman"/>
              </w:rPr>
              <w:t>Slovenská elektrizačná prenosová sústava, a.s.</w:t>
            </w:r>
          </w:p>
        </w:tc>
        <w:tc>
          <w:tcPr>
            <w:tcW w:w="612" w:type="dxa"/>
            <w:hideMark/>
          </w:tcPr>
          <w:p w14:paraId="6FEB59C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2E0B03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Navrhujeme doplniť explicitné ustanovenia o ochrane: • obchodne citlivých údajov, • údajov súvisiacich s bezpečnosťou kritickej infraštruktúry.</w:t>
            </w:r>
          </w:p>
        </w:tc>
        <w:tc>
          <w:tcPr>
            <w:tcW w:w="2264" w:type="dxa"/>
            <w:hideMark/>
          </w:tcPr>
          <w:p w14:paraId="70D5F8C9" w14:textId="181FA0F5"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5BB6350C" w14:textId="106E96C5"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B55155">
              <w:rPr>
                <w:rFonts w:ascii="Times New Roman" w:hAnsi="Times New Roman" w:cs="Times New Roman"/>
                <w:b/>
                <w:bCs/>
              </w:rPr>
              <w:t>Požadované spresnenie nie je z hľadiska účelu ustanovenia potrebné.</w:t>
            </w:r>
          </w:p>
        </w:tc>
      </w:tr>
      <w:tr w:rsidR="00FE0F3E" w:rsidRPr="006278D2" w14:paraId="46B8D8AF" w14:textId="7BFF9B81" w:rsidTr="00725D29">
        <w:trPr>
          <w:trHeight w:val="960"/>
        </w:trPr>
        <w:tc>
          <w:tcPr>
            <w:tcW w:w="975" w:type="dxa"/>
            <w:hideMark/>
          </w:tcPr>
          <w:p w14:paraId="313DBE8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828.</w:t>
            </w:r>
          </w:p>
        </w:tc>
        <w:tc>
          <w:tcPr>
            <w:tcW w:w="2656" w:type="dxa"/>
            <w:hideMark/>
          </w:tcPr>
          <w:p w14:paraId="28C395C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SK8 </w:t>
            </w:r>
            <w:r w:rsidRPr="00BC49FC">
              <w:rPr>
                <w:rFonts w:ascii="Times New Roman" w:hAnsi="Times New Roman" w:cs="Times New Roman"/>
              </w:rPr>
              <w:t>Samosprávne kraje Slovenska</w:t>
            </w:r>
          </w:p>
        </w:tc>
        <w:tc>
          <w:tcPr>
            <w:tcW w:w="612" w:type="dxa"/>
            <w:hideMark/>
          </w:tcPr>
          <w:p w14:paraId="72554DA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D91DF0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§35 5d) </w:t>
            </w:r>
            <w:r w:rsidRPr="00BC49FC">
              <w:rPr>
                <w:rFonts w:ascii="Times New Roman" w:hAnsi="Times New Roman" w:cs="Times New Roman"/>
              </w:rPr>
              <w:t>"§35 5d) iným spôsobom zabezpečiť optimalizáciu energetickej spotreby verejného subjektu a dlhodobé znižovanie energetickej spotreby verejného subjektu o 1,9% ročne  Požadujeme stanoviť metodiku výpočty stanovenej hodnoty konečnej spotreby energie verejného subjektu. Nie je jasné, či sa zníženie týka úspory subjektu ako vlastníka viacerých budov, alebo každej budovy samostatne. Ani ako sa vypočíta dosiahnutý cieľ pre jednotlivé typy energií. "</w:t>
            </w:r>
          </w:p>
        </w:tc>
        <w:tc>
          <w:tcPr>
            <w:tcW w:w="2264" w:type="dxa"/>
            <w:vAlign w:val="center"/>
            <w:hideMark/>
          </w:tcPr>
          <w:p w14:paraId="70251EA0" w14:textId="73799EDD" w:rsidR="00FE0F3E" w:rsidRPr="00BC49FC" w:rsidRDefault="00FE0F3E" w:rsidP="00666928">
            <w:pPr>
              <w:rPr>
                <w:rFonts w:ascii="Times New Roman" w:hAnsi="Times New Roman" w:cs="Times New Roman"/>
                <w:b/>
                <w:bCs/>
              </w:rPr>
            </w:pPr>
            <w:r w:rsidRPr="006278D2">
              <w:rPr>
                <w:rFonts w:ascii="Times New Roman" w:eastAsia="Times New Roman" w:hAnsi="Times New Roman" w:cs="Times New Roman"/>
                <w:b/>
                <w:bCs/>
                <w:kern w:val="0"/>
                <w:lang w:eastAsia="sk-SK"/>
                <w14:ligatures w14:val="none"/>
              </w:rPr>
              <w:t>ČA</w:t>
            </w:r>
          </w:p>
        </w:tc>
        <w:tc>
          <w:tcPr>
            <w:tcW w:w="2753" w:type="dxa"/>
            <w:hideMark/>
          </w:tcPr>
          <w:p w14:paraId="5B14C43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C921B11" w14:textId="17841500" w:rsidTr="00725D29">
        <w:trPr>
          <w:trHeight w:val="645"/>
        </w:trPr>
        <w:tc>
          <w:tcPr>
            <w:tcW w:w="975" w:type="dxa"/>
            <w:hideMark/>
          </w:tcPr>
          <w:p w14:paraId="3C5D95D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829.</w:t>
            </w:r>
          </w:p>
        </w:tc>
        <w:tc>
          <w:tcPr>
            <w:tcW w:w="2656" w:type="dxa"/>
            <w:hideMark/>
          </w:tcPr>
          <w:p w14:paraId="6D49C13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SK8 </w:t>
            </w:r>
            <w:r w:rsidRPr="00BC49FC">
              <w:rPr>
                <w:rFonts w:ascii="Times New Roman" w:hAnsi="Times New Roman" w:cs="Times New Roman"/>
              </w:rPr>
              <w:t>Samosprávne kraje Slovenska</w:t>
            </w:r>
          </w:p>
        </w:tc>
        <w:tc>
          <w:tcPr>
            <w:tcW w:w="612" w:type="dxa"/>
            <w:hideMark/>
          </w:tcPr>
          <w:p w14:paraId="4185C3E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3B950D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§19 </w:t>
            </w:r>
            <w:r w:rsidRPr="00BC49FC">
              <w:rPr>
                <w:rFonts w:ascii="Times New Roman" w:hAnsi="Times New Roman" w:cs="Times New Roman"/>
              </w:rPr>
              <w:t>Požadujeme definovať termín, odkedy bude možné sa zúčastniť vzdelávania a skúšok na tieto pozície ( úloha pre SIEA pripraviť typ vzdelávania) a zadefinovať prechodné obdobie, dokedy verejné subjekty musia takýmito kapacitami disponovať, pretože máme zato, že na trhu práce nie je dostatok kvalifikovaných ľudí pre tieto pozície</w:t>
            </w:r>
          </w:p>
        </w:tc>
        <w:tc>
          <w:tcPr>
            <w:tcW w:w="2264" w:type="dxa"/>
            <w:vAlign w:val="center"/>
            <w:hideMark/>
          </w:tcPr>
          <w:p w14:paraId="375FB687" w14:textId="268C22C9" w:rsidR="00FE0F3E" w:rsidRPr="00BC49FC" w:rsidRDefault="00FE0F3E" w:rsidP="00666928">
            <w:pPr>
              <w:rPr>
                <w:rFonts w:ascii="Times New Roman" w:hAnsi="Times New Roman" w:cs="Times New Roman"/>
                <w:b/>
                <w:bCs/>
              </w:rPr>
            </w:pPr>
            <w:r w:rsidRPr="006278D2">
              <w:rPr>
                <w:rFonts w:ascii="Times New Roman" w:eastAsia="Times New Roman" w:hAnsi="Times New Roman" w:cs="Times New Roman"/>
                <w:b/>
                <w:bCs/>
                <w:kern w:val="0"/>
                <w:lang w:eastAsia="sk-SK"/>
                <w14:ligatures w14:val="none"/>
              </w:rPr>
              <w:t>ČA</w:t>
            </w:r>
          </w:p>
        </w:tc>
        <w:tc>
          <w:tcPr>
            <w:tcW w:w="2753" w:type="dxa"/>
            <w:hideMark/>
          </w:tcPr>
          <w:p w14:paraId="6DEA322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4347A94" w14:textId="1D4B159E" w:rsidTr="00725D29">
        <w:trPr>
          <w:trHeight w:val="645"/>
        </w:trPr>
        <w:tc>
          <w:tcPr>
            <w:tcW w:w="975" w:type="dxa"/>
            <w:hideMark/>
          </w:tcPr>
          <w:p w14:paraId="1C25376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830.</w:t>
            </w:r>
          </w:p>
        </w:tc>
        <w:tc>
          <w:tcPr>
            <w:tcW w:w="2656" w:type="dxa"/>
            <w:hideMark/>
          </w:tcPr>
          <w:p w14:paraId="5ACBA7F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SK8 </w:t>
            </w:r>
            <w:r w:rsidRPr="00BC49FC">
              <w:rPr>
                <w:rFonts w:ascii="Times New Roman" w:hAnsi="Times New Roman" w:cs="Times New Roman"/>
              </w:rPr>
              <w:t>Samosprávne kraje Slovenska</w:t>
            </w:r>
          </w:p>
        </w:tc>
        <w:tc>
          <w:tcPr>
            <w:tcW w:w="612" w:type="dxa"/>
            <w:hideMark/>
          </w:tcPr>
          <w:p w14:paraId="51F85D8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0286B2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§22, bod 2 </w:t>
            </w:r>
            <w:r w:rsidRPr="00BC49FC">
              <w:rPr>
                <w:rFonts w:ascii="Times New Roman" w:hAnsi="Times New Roman" w:cs="Times New Roman"/>
              </w:rPr>
              <w:t>Jednotné kontaktné miesta v energetickej efektívnosti - žiadame upresniť v ktorých mestách, regiónoch vzniknú tieto odborné  kapacity a termíny ich uvádzania do prevádzky, nakoľko podobné regionálne centrá už boli v regiónoch prezentované (Regionálne centrá udržateľnej energetiky) a doteraz nevznikli</w:t>
            </w:r>
          </w:p>
        </w:tc>
        <w:tc>
          <w:tcPr>
            <w:tcW w:w="2264" w:type="dxa"/>
            <w:vAlign w:val="center"/>
            <w:hideMark/>
          </w:tcPr>
          <w:p w14:paraId="69A41EC5" w14:textId="6C8D6F36" w:rsidR="00FE0F3E" w:rsidRPr="00BC49FC" w:rsidRDefault="00FE0F3E" w:rsidP="00666928">
            <w:pPr>
              <w:rPr>
                <w:rFonts w:ascii="Times New Roman" w:hAnsi="Times New Roman" w:cs="Times New Roman"/>
                <w:b/>
                <w:bCs/>
              </w:rPr>
            </w:pPr>
            <w:r w:rsidRPr="006278D2">
              <w:rPr>
                <w:rFonts w:ascii="Times New Roman" w:eastAsia="Times New Roman" w:hAnsi="Times New Roman" w:cs="Times New Roman"/>
                <w:b/>
                <w:bCs/>
                <w:kern w:val="0"/>
                <w:lang w:eastAsia="sk-SK"/>
                <w14:ligatures w14:val="none"/>
              </w:rPr>
              <w:t>ČA</w:t>
            </w:r>
          </w:p>
        </w:tc>
        <w:tc>
          <w:tcPr>
            <w:tcW w:w="2753" w:type="dxa"/>
            <w:hideMark/>
          </w:tcPr>
          <w:p w14:paraId="583D56B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900704C" w14:textId="6DB6DD61" w:rsidTr="00725D29">
        <w:trPr>
          <w:trHeight w:val="960"/>
        </w:trPr>
        <w:tc>
          <w:tcPr>
            <w:tcW w:w="975" w:type="dxa"/>
            <w:hideMark/>
          </w:tcPr>
          <w:p w14:paraId="2C4F604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831.</w:t>
            </w:r>
          </w:p>
        </w:tc>
        <w:tc>
          <w:tcPr>
            <w:tcW w:w="2656" w:type="dxa"/>
            <w:hideMark/>
          </w:tcPr>
          <w:p w14:paraId="7C2D357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SKSI </w:t>
            </w:r>
            <w:r w:rsidRPr="00BC49FC">
              <w:rPr>
                <w:rFonts w:ascii="Times New Roman" w:hAnsi="Times New Roman" w:cs="Times New Roman"/>
              </w:rPr>
              <w:t xml:space="preserve">Slovenská komora stavebných inžinierov </w:t>
            </w:r>
          </w:p>
        </w:tc>
        <w:tc>
          <w:tcPr>
            <w:tcW w:w="612" w:type="dxa"/>
            <w:hideMark/>
          </w:tcPr>
          <w:p w14:paraId="6D6926D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603F5D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písm. i) </w:t>
            </w:r>
            <w:r w:rsidRPr="00BC49FC">
              <w:rPr>
                <w:rFonts w:ascii="Times New Roman" w:hAnsi="Times New Roman" w:cs="Times New Roman"/>
              </w:rPr>
              <w:t>Odporúčame upraviť znenie poznámky pod čiarou k odkazu 3) nasledovne: 3) Napríklad STN 73 0540-2+Z1+Z2 Tepelná ochrana budov. Tepelnotechnické vlastnosti stavebných konštrukcií a budov. Časť 2: Funkčné požiadavky. Konsolidované znenie. (73 0540)</w:t>
            </w:r>
          </w:p>
        </w:tc>
        <w:tc>
          <w:tcPr>
            <w:tcW w:w="2264" w:type="dxa"/>
            <w:hideMark/>
          </w:tcPr>
          <w:p w14:paraId="10FA72E7" w14:textId="5FBD1F09"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7316B3E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50709378" w14:textId="66BB5AEC" w:rsidTr="00725D29">
        <w:trPr>
          <w:trHeight w:val="1275"/>
        </w:trPr>
        <w:tc>
          <w:tcPr>
            <w:tcW w:w="975" w:type="dxa"/>
            <w:hideMark/>
          </w:tcPr>
          <w:p w14:paraId="30E0E34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832.</w:t>
            </w:r>
          </w:p>
        </w:tc>
        <w:tc>
          <w:tcPr>
            <w:tcW w:w="2656" w:type="dxa"/>
            <w:hideMark/>
          </w:tcPr>
          <w:p w14:paraId="3E7B380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SKSI </w:t>
            </w:r>
            <w:r w:rsidRPr="00BC49FC">
              <w:rPr>
                <w:rFonts w:ascii="Times New Roman" w:hAnsi="Times New Roman" w:cs="Times New Roman"/>
              </w:rPr>
              <w:t xml:space="preserve">Slovenská komora stavebných inžinierov </w:t>
            </w:r>
          </w:p>
        </w:tc>
        <w:tc>
          <w:tcPr>
            <w:tcW w:w="612" w:type="dxa"/>
            <w:hideMark/>
          </w:tcPr>
          <w:p w14:paraId="1821A20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D521B4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16 ods. 3 </w:t>
            </w:r>
            <w:r w:rsidRPr="00BC49FC">
              <w:rPr>
                <w:rFonts w:ascii="Times New Roman" w:hAnsi="Times New Roman" w:cs="Times New Roman"/>
              </w:rPr>
              <w:t>Odporúčame podrobnosti o aktualizačnej odbornej príprave ustanoviť príslušným vykonávacím predpisom. Nie je jednoznačné, čo má obsahovať aktualizačná odborná príprava podľa § 45 ods. 1 písm. m). Tento odkaz  udáva mnohé povinnosti (obsah skúšky, zostavenie skúšobnej komisie atď.), ale nie obsah aktualizačnej odbornej prípravy. Podrobnosti by mala určiť vyhláška, a teda treba doplniť odkaz v tomto zmysle. Zákon však neudáva konzekvencie, ak sa odborne spôsobilá osoba vyhne aktualizačnej príprave a neabsolvuje ju v stanovenom termíne. Nie sú stanovené podmienky na vyčiarknutie z registra odborne spôsobilých osôb. § 42 Správne delikty toto nerieši.</w:t>
            </w:r>
          </w:p>
        </w:tc>
        <w:tc>
          <w:tcPr>
            <w:tcW w:w="2264" w:type="dxa"/>
            <w:hideMark/>
          </w:tcPr>
          <w:p w14:paraId="31ED0467" w14:textId="1B3EBF88"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CA</w:t>
            </w:r>
          </w:p>
        </w:tc>
        <w:tc>
          <w:tcPr>
            <w:tcW w:w="2753" w:type="dxa"/>
            <w:hideMark/>
          </w:tcPr>
          <w:p w14:paraId="6CCEB13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1A605D7" w14:textId="53930CCC" w:rsidTr="00725D29">
        <w:trPr>
          <w:trHeight w:val="960"/>
        </w:trPr>
        <w:tc>
          <w:tcPr>
            <w:tcW w:w="975" w:type="dxa"/>
            <w:hideMark/>
          </w:tcPr>
          <w:p w14:paraId="09D6476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833.</w:t>
            </w:r>
          </w:p>
        </w:tc>
        <w:tc>
          <w:tcPr>
            <w:tcW w:w="2656" w:type="dxa"/>
            <w:hideMark/>
          </w:tcPr>
          <w:p w14:paraId="7C7CED1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SKSI </w:t>
            </w:r>
            <w:r w:rsidRPr="00BC49FC">
              <w:rPr>
                <w:rFonts w:ascii="Times New Roman" w:hAnsi="Times New Roman" w:cs="Times New Roman"/>
              </w:rPr>
              <w:t xml:space="preserve">Slovenská komora stavebných inžinierov </w:t>
            </w:r>
          </w:p>
        </w:tc>
        <w:tc>
          <w:tcPr>
            <w:tcW w:w="612" w:type="dxa"/>
            <w:hideMark/>
          </w:tcPr>
          <w:p w14:paraId="5FA1571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B95DF7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17 ods. 2 písm. a) a b) </w:t>
            </w:r>
            <w:r w:rsidRPr="00BC49FC">
              <w:rPr>
                <w:rFonts w:ascii="Times New Roman" w:hAnsi="Times New Roman" w:cs="Times New Roman"/>
              </w:rPr>
              <w:t>Odporúčame zvážiť potrebu rozlíšenia odborne spôsobilej osoby energetický manažér, energetický manažér vo verejnej správe, ak nebude medzi nimi rozdiel v aktualizačnej odbornej príprave alebo skúške odbornej spôsobilosti, ale iba rozdiel v zamestnaneckom pomere.  Nadväzne upraviť § 18 a 19.</w:t>
            </w:r>
          </w:p>
        </w:tc>
        <w:tc>
          <w:tcPr>
            <w:tcW w:w="2264" w:type="dxa"/>
            <w:hideMark/>
          </w:tcPr>
          <w:p w14:paraId="4FAA0210" w14:textId="4C63CAB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481DFDF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5B15BB28" w14:textId="47B86655" w:rsidTr="00725D29">
        <w:trPr>
          <w:trHeight w:val="960"/>
        </w:trPr>
        <w:tc>
          <w:tcPr>
            <w:tcW w:w="975" w:type="dxa"/>
            <w:hideMark/>
          </w:tcPr>
          <w:p w14:paraId="193AD9A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834.</w:t>
            </w:r>
          </w:p>
        </w:tc>
        <w:tc>
          <w:tcPr>
            <w:tcW w:w="2656" w:type="dxa"/>
            <w:hideMark/>
          </w:tcPr>
          <w:p w14:paraId="01BCBF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SKSI </w:t>
            </w:r>
            <w:r w:rsidRPr="00BC49FC">
              <w:rPr>
                <w:rFonts w:ascii="Times New Roman" w:hAnsi="Times New Roman" w:cs="Times New Roman"/>
              </w:rPr>
              <w:t xml:space="preserve">Slovenská komora stavebných inžinierov </w:t>
            </w:r>
          </w:p>
        </w:tc>
        <w:tc>
          <w:tcPr>
            <w:tcW w:w="612" w:type="dxa"/>
            <w:hideMark/>
          </w:tcPr>
          <w:p w14:paraId="41101C7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21FE13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17 ods. 2 písm. e) </w:t>
            </w:r>
            <w:r w:rsidRPr="00BC49FC">
              <w:rPr>
                <w:rFonts w:ascii="Times New Roman" w:hAnsi="Times New Roman" w:cs="Times New Roman"/>
              </w:rPr>
              <w:t>Odporúčame doplniť predmet činnosti kontroly odborne spôsobilej osoby na kontrolu.</w:t>
            </w:r>
          </w:p>
        </w:tc>
        <w:tc>
          <w:tcPr>
            <w:tcW w:w="2264" w:type="dxa"/>
            <w:hideMark/>
          </w:tcPr>
          <w:p w14:paraId="3C0EB984" w14:textId="7D9ACD2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1BEFD6F2" w14:textId="36BCEC85"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5CAD7C5F" w14:textId="55E5C509" w:rsidTr="00725D29">
        <w:trPr>
          <w:trHeight w:val="960"/>
        </w:trPr>
        <w:tc>
          <w:tcPr>
            <w:tcW w:w="975" w:type="dxa"/>
            <w:hideMark/>
          </w:tcPr>
          <w:p w14:paraId="6BB9E50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835.</w:t>
            </w:r>
          </w:p>
        </w:tc>
        <w:tc>
          <w:tcPr>
            <w:tcW w:w="2656" w:type="dxa"/>
            <w:hideMark/>
          </w:tcPr>
          <w:p w14:paraId="5594A5F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42B0065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5EF287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15 </w:t>
            </w:r>
            <w:r w:rsidRPr="00BC49FC">
              <w:rPr>
                <w:rFonts w:ascii="Times New Roman" w:hAnsi="Times New Roman" w:cs="Times New Roman"/>
              </w:rPr>
              <w:t>Navrhuje sa v čl. I, § 10 ods. 15 nahradiť výraz "výkonom" slovom "príkonom" a zároveň zadefinovať odkaz na Čl. 2 bod 14 delegovaného nariadenia Komisie (EÚ) 2024/1364 z 14. marca 2024 o prvej fáze stanovenia spoločnej schémy Únie na hodnotenie dátových centier (Ú. v. ES L 1364 17.5.2024).  Zdôvodnenie:  Nesprávne použitý výraz (aj v rozpore s § 13 ods. 1 úvodná veta).</w:t>
            </w:r>
          </w:p>
        </w:tc>
        <w:tc>
          <w:tcPr>
            <w:tcW w:w="2264" w:type="dxa"/>
            <w:hideMark/>
          </w:tcPr>
          <w:p w14:paraId="72F14628" w14:textId="7A27D533"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2D1D6B6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3574B51D" w14:textId="40FDA979" w:rsidTr="00725D29">
        <w:trPr>
          <w:trHeight w:val="3683"/>
        </w:trPr>
        <w:tc>
          <w:tcPr>
            <w:tcW w:w="975" w:type="dxa"/>
            <w:hideMark/>
          </w:tcPr>
          <w:p w14:paraId="06892653" w14:textId="77777777" w:rsidR="00FE0F3E" w:rsidRPr="00BC49FC" w:rsidRDefault="00FE0F3E" w:rsidP="00A92772">
            <w:pPr>
              <w:rPr>
                <w:rFonts w:ascii="Times New Roman" w:hAnsi="Times New Roman" w:cs="Times New Roman"/>
                <w:b/>
                <w:bCs/>
              </w:rPr>
            </w:pPr>
            <w:r w:rsidRPr="00BC49FC">
              <w:rPr>
                <w:rFonts w:ascii="Times New Roman" w:hAnsi="Times New Roman" w:cs="Times New Roman"/>
                <w:b/>
                <w:bCs/>
              </w:rPr>
              <w:t>836.</w:t>
            </w:r>
          </w:p>
        </w:tc>
        <w:tc>
          <w:tcPr>
            <w:tcW w:w="2656" w:type="dxa"/>
            <w:hideMark/>
          </w:tcPr>
          <w:p w14:paraId="56900183" w14:textId="77777777" w:rsidR="00FE0F3E" w:rsidRPr="00BC49FC" w:rsidRDefault="00FE0F3E" w:rsidP="00A92772">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6D96E3BE" w14:textId="77777777" w:rsidR="00FE0F3E" w:rsidRPr="00BC49FC" w:rsidRDefault="00FE0F3E" w:rsidP="00A92772">
            <w:pPr>
              <w:rPr>
                <w:rFonts w:ascii="Times New Roman" w:hAnsi="Times New Roman" w:cs="Times New Roman"/>
              </w:rPr>
            </w:pPr>
            <w:r w:rsidRPr="00BC49FC">
              <w:rPr>
                <w:rFonts w:ascii="Times New Roman" w:hAnsi="Times New Roman" w:cs="Times New Roman"/>
              </w:rPr>
              <w:t>O</w:t>
            </w:r>
          </w:p>
        </w:tc>
        <w:tc>
          <w:tcPr>
            <w:tcW w:w="5615" w:type="dxa"/>
            <w:hideMark/>
          </w:tcPr>
          <w:p w14:paraId="50ABD21B" w14:textId="77777777" w:rsidR="00FE0F3E" w:rsidRPr="00BC49FC" w:rsidRDefault="00FE0F3E" w:rsidP="00A92772">
            <w:pPr>
              <w:rPr>
                <w:rFonts w:ascii="Times New Roman" w:hAnsi="Times New Roman" w:cs="Times New Roman"/>
                <w:b/>
                <w:bCs/>
              </w:rPr>
            </w:pPr>
            <w:r w:rsidRPr="00BC49FC">
              <w:rPr>
                <w:rFonts w:ascii="Times New Roman" w:hAnsi="Times New Roman" w:cs="Times New Roman"/>
                <w:b/>
                <w:bCs/>
              </w:rPr>
              <w:t xml:space="preserve">Čl. I § 30 </w:t>
            </w:r>
            <w:r w:rsidRPr="00BC49FC">
              <w:rPr>
                <w:rFonts w:ascii="Times New Roman" w:hAnsi="Times New Roman" w:cs="Times New Roman"/>
              </w:rPr>
              <w:t>Zásadná pripomienka   Text pripomienky: Navrhuje sa korigovať celé znenie § 30 Podporná energetická služba tak, aby zodpovedal definícii energetickej služby podľa smernice EED a odstrániť administratívnu záťaž poskytovateľa podpornej energetickej služby (PES) vo forme povinnej registrácie PES a povinného zasielania údajov do monitorovacieho systému.  Zdôvodnenie:  Podľa vymedzenia pojmov v rámci smernice EED sa pod pojmom „energetická služba“ rozumie hmotný prospech, úžitok alebo statok získaný kombináciou energie s energeticky účinnou technológiou alebo s činnosťou, ktorá môže zahŕňať prevádzku, údržbu a kontrolu potrebnú na dodanie služby, ktorá sa dodáva na základe zmluvy a v dôsledku ktorej za bežných okolností preukázateľne dochádza k overiteľnému a merateľnému alebo odhadnuteľnému zlepšeniu energetickej efektívnosti alebo k úsporám primárnej energie.  Zároveň, „zmluvou o energetickej efektívnosti“ sa podľa smernice EED rozumie dohoda na zmluvnom základe uzatvorená medzi príjemcom a poskytovateľom opatrenia na zlepšenie energetickej efektívnosti, ktorá sa overuje a monitoruje počas celého trvania zmluvného vzťahu, podľa ktorej sa za práce, dodávky alebo služby v rámci opatrenia platí na základe zmluvne dohodnutej úrovne zlepšenia energetickej efektívnosti alebo iného dohodnutého kritéria energetickej efektívnosti, ako sú napríklad finančné úspory. Návrh zákona sa v súvislosti s vymedzením energetických služieb od uvedených vymedzení odchyľuje. Odchýlky od smernice EED je možné považovať za odchýlky nad rámec článku 1 ods. 2 smernice EED, pričom zároveň v tejto súvislosti dochádza k rozširovaniu administratívnej záťaže podnikateľov. Príkladom je vymedzenie podpornej energetickej služby v odseku 1. Je otázne, ako konkrétne môže viesť činnosť podľa písm. d) alebo e) k overiteľnému a merateľnému alebo odhadnuteľnému zlepšeniu energetickej efektívnosti alebo k úsporám primárnej energie. Dodávatelia tepla v praxi zabezpečujú pre odberateľov rozúčtovanie nákladov, a to v súvislosti s dodávkou tepla. V takom prípade by mohla byť činnosť dodávateľa posúdená podľa príslušných ustanovení návrhu zákona a dodávateľ by musel spĺňať príslušné administratívne podmienky, vrátane plnenia administratívnych povinností.</w:t>
            </w:r>
          </w:p>
        </w:tc>
        <w:tc>
          <w:tcPr>
            <w:tcW w:w="2264" w:type="dxa"/>
            <w:hideMark/>
          </w:tcPr>
          <w:p w14:paraId="6AA826CE" w14:textId="08CA6956" w:rsidR="00FE0F3E" w:rsidRPr="00BC49FC" w:rsidRDefault="00FE0F3E" w:rsidP="00A92772">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7A865CBF" w14:textId="77777777" w:rsidR="00FE0F3E" w:rsidRPr="002A60DD" w:rsidRDefault="00FE0F3E" w:rsidP="00A92772">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4FE5943D" w14:textId="6BC7C36C" w:rsidR="00FE0F3E" w:rsidRPr="00BC49FC" w:rsidRDefault="00FE0F3E" w:rsidP="00A92772">
            <w:pPr>
              <w:rPr>
                <w:rFonts w:ascii="Times New Roman" w:hAnsi="Times New Roman" w:cs="Times New Roman"/>
                <w:b/>
                <w:bCs/>
              </w:rPr>
            </w:pPr>
          </w:p>
        </w:tc>
      </w:tr>
      <w:tr w:rsidR="00FE0F3E" w:rsidRPr="006278D2" w14:paraId="55D9E8A2" w14:textId="34C943C1" w:rsidTr="00725D29">
        <w:trPr>
          <w:trHeight w:val="960"/>
        </w:trPr>
        <w:tc>
          <w:tcPr>
            <w:tcW w:w="975" w:type="dxa"/>
            <w:hideMark/>
          </w:tcPr>
          <w:p w14:paraId="5954E1E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837.</w:t>
            </w:r>
          </w:p>
        </w:tc>
        <w:tc>
          <w:tcPr>
            <w:tcW w:w="2656" w:type="dxa"/>
            <w:hideMark/>
          </w:tcPr>
          <w:p w14:paraId="286BB9A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47BF22B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AA3FD3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w:t>
            </w:r>
            <w:r w:rsidRPr="00BC49FC">
              <w:rPr>
                <w:rFonts w:ascii="Times New Roman" w:hAnsi="Times New Roman" w:cs="Times New Roman"/>
              </w:rPr>
              <w:t>Pripomienka k Článku III. bodu 1 (zákon č. 657/2004 Z.z. § 2 písm. z)  Navrhujeme doplniť za slovo „použitá“ výraz „najmä“.  Zdôvodnenie:  Navrhuje sa doplniť vymedzenie demonštratívnosti výpočtu využitia tepla, nakoľko do úvahy prichádzajú aj iné účely využitia, ktorých bezprostredným účelom nie je úprava teploty (napr. sušenie, sterilizácia, absorpcia a pod.).</w:t>
            </w:r>
          </w:p>
        </w:tc>
        <w:tc>
          <w:tcPr>
            <w:tcW w:w="2264" w:type="dxa"/>
            <w:vAlign w:val="center"/>
            <w:hideMark/>
          </w:tcPr>
          <w:p w14:paraId="50369B19" w14:textId="25FEC3E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9E8DFAD" w14:textId="69A0E7CA" w:rsidR="00FE0F3E" w:rsidRPr="00BC49FC" w:rsidRDefault="00FE0F3E" w:rsidP="00666928">
            <w:pPr>
              <w:rPr>
                <w:rFonts w:ascii="Times New Roman" w:hAnsi="Times New Roman" w:cs="Times New Roman"/>
                <w:b/>
                <w:bCs/>
              </w:rPr>
            </w:pPr>
            <w:r>
              <w:rPr>
                <w:rFonts w:ascii="Times New Roman" w:hAnsi="Times New Roman" w:cs="Times New Roman"/>
                <w:b/>
                <w:bCs/>
                <w:color w:val="000000"/>
              </w:rPr>
              <w:t>D</w:t>
            </w:r>
            <w:r w:rsidRPr="00BC49FC">
              <w:rPr>
                <w:rFonts w:ascii="Times New Roman" w:hAnsi="Times New Roman" w:cs="Times New Roman"/>
                <w:b/>
                <w:bCs/>
                <w:color w:val="000000"/>
              </w:rPr>
              <w:t>efinícia je prevzatá zo zákona 321</w:t>
            </w:r>
            <w:r w:rsidRPr="00BC49FC">
              <w:rPr>
                <w:rFonts w:ascii="Times New Roman" w:hAnsi="Times New Roman" w:cs="Times New Roman"/>
                <w:b/>
                <w:bCs/>
                <w:color w:val="000000"/>
              </w:rPr>
              <w:br/>
              <w:t>možná úprava na:</w:t>
            </w:r>
            <w:r w:rsidRPr="00BC49FC">
              <w:rPr>
                <w:rFonts w:ascii="Times New Roman" w:hAnsi="Times New Roman" w:cs="Times New Roman"/>
                <w:b/>
                <w:bCs/>
                <w:color w:val="000000"/>
              </w:rPr>
              <w:br/>
              <w:t>teplom energia použitá na vykurovanie, na chladenie, na prípravu teplej vody alebo na energetické využitie vo výrobných alebo technologických procesoch,</w:t>
            </w:r>
          </w:p>
        </w:tc>
      </w:tr>
      <w:tr w:rsidR="00FE0F3E" w:rsidRPr="006278D2" w14:paraId="3A550216" w14:textId="13D525D3" w:rsidTr="00725D29">
        <w:trPr>
          <w:trHeight w:val="960"/>
        </w:trPr>
        <w:tc>
          <w:tcPr>
            <w:tcW w:w="975" w:type="dxa"/>
            <w:hideMark/>
          </w:tcPr>
          <w:p w14:paraId="23BE613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838.</w:t>
            </w:r>
          </w:p>
        </w:tc>
        <w:tc>
          <w:tcPr>
            <w:tcW w:w="2656" w:type="dxa"/>
            <w:hideMark/>
          </w:tcPr>
          <w:p w14:paraId="59A3ACE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772D0FC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6C33AC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2 </w:t>
            </w:r>
            <w:r w:rsidRPr="00BC49FC">
              <w:rPr>
                <w:rFonts w:ascii="Times New Roman" w:hAnsi="Times New Roman" w:cs="Times New Roman"/>
              </w:rPr>
              <w:t>Obyčajná pripomienka k Článku III. bodu 2 (zákon č. 657/2004 Z.z. § 2 písm. aa)  Text pripomienky: Navrhujeme doplniť za slovo „použitá“ výraz „najmä“.  Zdôvodnenie:  Navrhuje sa doplniť vymedzenie demonštratívnosti výpočtu využitia chlad, nakoľko do úvahy prichádzajú aj iné účely využitia.</w:t>
            </w:r>
          </w:p>
        </w:tc>
        <w:tc>
          <w:tcPr>
            <w:tcW w:w="2264" w:type="dxa"/>
            <w:vAlign w:val="center"/>
            <w:hideMark/>
          </w:tcPr>
          <w:p w14:paraId="5AB2DD4D" w14:textId="32C2BF7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1AE0BA3A" w14:textId="0398BBA2"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346BA120" w14:textId="751904F9" w:rsidTr="00725D29">
        <w:trPr>
          <w:trHeight w:val="960"/>
        </w:trPr>
        <w:tc>
          <w:tcPr>
            <w:tcW w:w="975" w:type="dxa"/>
            <w:hideMark/>
          </w:tcPr>
          <w:p w14:paraId="6A3DD69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839.</w:t>
            </w:r>
          </w:p>
        </w:tc>
        <w:tc>
          <w:tcPr>
            <w:tcW w:w="2656" w:type="dxa"/>
            <w:hideMark/>
          </w:tcPr>
          <w:p w14:paraId="615F2FF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1BBFAB9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32579D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3 </w:t>
            </w:r>
            <w:r w:rsidRPr="00BC49FC">
              <w:rPr>
                <w:rFonts w:ascii="Times New Roman" w:hAnsi="Times New Roman" w:cs="Times New Roman"/>
              </w:rPr>
              <w:t>Zásadná pripomienka k článku III. bodu 3 (zákon č. 657/2004 Z.z. § 2 písm. al)  Text pripomienky: Navrhujeme vypustiť definíciu zmluvy o nákupe tepla alebo chladu z obnoviteľných zdrojov.  Zdôvodnenie:  Použitie takto definovaného pojmu v § 21, ods. 1 nedáva zmysel. Iný výskyt pojmu v návrhu nie je. Podrobnejšie odôvodnenie pripomienky je uvedené v pripomienke k bodu 26.</w:t>
            </w:r>
          </w:p>
        </w:tc>
        <w:tc>
          <w:tcPr>
            <w:tcW w:w="2264" w:type="dxa"/>
            <w:vAlign w:val="center"/>
            <w:hideMark/>
          </w:tcPr>
          <w:p w14:paraId="6FBF4434" w14:textId="6C891460"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17A873B5" w14:textId="5C58B92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53C49810" w14:textId="7695D911" w:rsidTr="00725D29">
        <w:trPr>
          <w:trHeight w:val="960"/>
        </w:trPr>
        <w:tc>
          <w:tcPr>
            <w:tcW w:w="975" w:type="dxa"/>
            <w:hideMark/>
          </w:tcPr>
          <w:p w14:paraId="20110F3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840.</w:t>
            </w:r>
          </w:p>
        </w:tc>
        <w:tc>
          <w:tcPr>
            <w:tcW w:w="2656" w:type="dxa"/>
            <w:hideMark/>
          </w:tcPr>
          <w:p w14:paraId="4981422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7ED3296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5E85BD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6 </w:t>
            </w:r>
            <w:r w:rsidRPr="00BC49FC">
              <w:rPr>
                <w:rFonts w:ascii="Times New Roman" w:hAnsi="Times New Roman" w:cs="Times New Roman"/>
              </w:rPr>
              <w:t>Pripomienka k Článku III. bodu 6 (zákon č. 657/2004 Z.z. §12 ods. 1)  Typ: obyčajná pripomienka: Navrhuje sa doplniť za slovo „objektu“ slová „spotreby tepla“.  Zdôvodnenie:  Zabezpečenie súladu s definíciou decentralizovaného zdroja tepla v § 2 písm. v)</w:t>
            </w:r>
          </w:p>
        </w:tc>
        <w:tc>
          <w:tcPr>
            <w:tcW w:w="2264" w:type="dxa"/>
            <w:vAlign w:val="center"/>
            <w:hideMark/>
          </w:tcPr>
          <w:p w14:paraId="3E171D18" w14:textId="1B1EE9D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17C3F617" w14:textId="1245AA8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Predmetné ustanovenia sa využíva pri povinnom odbere tepla z OZE v rámci ZoT</w:t>
            </w:r>
          </w:p>
        </w:tc>
      </w:tr>
      <w:tr w:rsidR="00FE0F3E" w:rsidRPr="006278D2" w14:paraId="0FC61A1F" w14:textId="72C7A29A" w:rsidTr="00725D29">
        <w:trPr>
          <w:trHeight w:val="960"/>
        </w:trPr>
        <w:tc>
          <w:tcPr>
            <w:tcW w:w="975" w:type="dxa"/>
            <w:hideMark/>
          </w:tcPr>
          <w:p w14:paraId="380A712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841.</w:t>
            </w:r>
          </w:p>
        </w:tc>
        <w:tc>
          <w:tcPr>
            <w:tcW w:w="2656" w:type="dxa"/>
            <w:hideMark/>
          </w:tcPr>
          <w:p w14:paraId="03A2FE9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1F0DCD8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F91C83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9 </w:t>
            </w:r>
            <w:r w:rsidRPr="00BC49FC">
              <w:rPr>
                <w:rFonts w:ascii="Times New Roman" w:hAnsi="Times New Roman" w:cs="Times New Roman"/>
              </w:rPr>
              <w:t>Zásadná pripomienka k čl. III. bodu 9  Text pripomienky: Navrhujeme upraviť a doplniť novelizačný bod 9 tak, že po doplnení znie: „V § 12 ods. 5 úvodnej vete sa za slovo „výstavbou“ vkladajú slová: „a významnou modernizáciou“. Zároveň sa v § 12 ods. 5 úvodnej vete nahrádza spojka „a“ za slovným spojením „z existujúceho účinného centralizovaného zásobovania teplom“ spojkou „alebo“.“  Zdôvodnenie:  Zosúladenie podmienok vydania osvedčenia s podmienkami ochrany účinného centralizovaného zásobovania teplo podľa iných ustanovení zákona.</w:t>
            </w:r>
          </w:p>
        </w:tc>
        <w:tc>
          <w:tcPr>
            <w:tcW w:w="2264" w:type="dxa"/>
            <w:vAlign w:val="center"/>
            <w:hideMark/>
          </w:tcPr>
          <w:p w14:paraId="46BAFDEF" w14:textId="09E90B3B"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0EACA1C1" w14:textId="2FBF93F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úprava bola vykonaná v rámci SZVT</w:t>
            </w:r>
          </w:p>
        </w:tc>
      </w:tr>
      <w:tr w:rsidR="00FE0F3E" w:rsidRPr="006278D2" w14:paraId="157DD455" w14:textId="27CF8496" w:rsidTr="00725D29">
        <w:trPr>
          <w:trHeight w:val="960"/>
        </w:trPr>
        <w:tc>
          <w:tcPr>
            <w:tcW w:w="975" w:type="dxa"/>
            <w:hideMark/>
          </w:tcPr>
          <w:p w14:paraId="3DE4C2C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842.</w:t>
            </w:r>
          </w:p>
        </w:tc>
        <w:tc>
          <w:tcPr>
            <w:tcW w:w="2656" w:type="dxa"/>
            <w:hideMark/>
          </w:tcPr>
          <w:p w14:paraId="0C11D40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23006BD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236A3C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12 </w:t>
            </w:r>
            <w:r w:rsidRPr="00BC49FC">
              <w:rPr>
                <w:rFonts w:ascii="Times New Roman" w:hAnsi="Times New Roman" w:cs="Times New Roman"/>
              </w:rPr>
              <w:t>Zásadná pripomienka k Článku III. bod 12 (zákon č. 657/2004 Z.z. § 13 ods. 1)  Text pripomienky: Navrhujeme doplniť novelizačný bod 12 nasledovne: „V § 13 ods. 1 písm. a) a b) štvrtom bode sa za slová „podnikateľský zámer,“ vkladajú slová „ekonomickú analýzu nákladov a prínosov zvyšovania energetickej efektívnosti dodávky tepla a chladu v prípadoch podľa §25, ods.9 a“.  Zdôvodnenie:  Zosúladenie podmienok vydania osvedčenia s § 25, ods. 9 zákona v znení návrhu podľa novelizačného bodu 29.</w:t>
            </w:r>
          </w:p>
        </w:tc>
        <w:tc>
          <w:tcPr>
            <w:tcW w:w="2264" w:type="dxa"/>
            <w:vAlign w:val="center"/>
            <w:hideMark/>
          </w:tcPr>
          <w:p w14:paraId="6536B0E2" w14:textId="7E85A912"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7E2CBDE4" w14:textId="6138F79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65047E0F" w14:textId="11BB1882" w:rsidTr="00725D29">
        <w:trPr>
          <w:trHeight w:val="960"/>
        </w:trPr>
        <w:tc>
          <w:tcPr>
            <w:tcW w:w="975" w:type="dxa"/>
            <w:hideMark/>
          </w:tcPr>
          <w:p w14:paraId="1747882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843.</w:t>
            </w:r>
          </w:p>
        </w:tc>
        <w:tc>
          <w:tcPr>
            <w:tcW w:w="2656" w:type="dxa"/>
            <w:hideMark/>
          </w:tcPr>
          <w:p w14:paraId="2E3E769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2D584A7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F2D4EE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16 </w:t>
            </w:r>
            <w:r w:rsidRPr="00BC49FC">
              <w:rPr>
                <w:rFonts w:ascii="Times New Roman" w:hAnsi="Times New Roman" w:cs="Times New Roman"/>
              </w:rPr>
              <w:t>Zásadná pripomienka k článku III. bod 16 (zákon č. 657/2004 Z.z. § 18 ods. 1 písm. a))  Text pripomienky: Navrhujeme preformulovať novelizačný bod 16 tak, aby bolo zrozumiteľné, aká povinnosť „neplatí“ v prípade povinnosti „merať množstvo dodaného tepla určeným meradlom, ktoré je vybavené funkciou diaľkového odpočtu“. Navrhnuté znenie neguje celú povinnosť merať. Zároveň navrhujeme v súvislosti s nákladovou efektívnosťou vymedziť, že táto sa posudzuje z pohľadu dodávateľa.  Zdôvodnenie:  Nevhodná a nezrozumiteľná formulácia.</w:t>
            </w:r>
          </w:p>
        </w:tc>
        <w:tc>
          <w:tcPr>
            <w:tcW w:w="2264" w:type="dxa"/>
            <w:vAlign w:val="center"/>
            <w:hideMark/>
          </w:tcPr>
          <w:p w14:paraId="78390367" w14:textId="4233F4B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E44808D" w14:textId="46B6629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6013DE39" w14:textId="3E3E9DED" w:rsidTr="00725D29">
        <w:trPr>
          <w:trHeight w:val="960"/>
        </w:trPr>
        <w:tc>
          <w:tcPr>
            <w:tcW w:w="975" w:type="dxa"/>
            <w:hideMark/>
          </w:tcPr>
          <w:p w14:paraId="7864E14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844.</w:t>
            </w:r>
          </w:p>
        </w:tc>
        <w:tc>
          <w:tcPr>
            <w:tcW w:w="2656" w:type="dxa"/>
            <w:hideMark/>
          </w:tcPr>
          <w:p w14:paraId="5124881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0184AB1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9A4BD6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18 </w:t>
            </w:r>
            <w:r w:rsidRPr="00BC49FC">
              <w:rPr>
                <w:rFonts w:ascii="Times New Roman" w:hAnsi="Times New Roman" w:cs="Times New Roman"/>
              </w:rPr>
              <w:t>Pripomienka k Článku III. bod 18 (zákon č. 657/2004 Z.z. § 18 ods. 4 písm. f))  Text pripomienky: Navrhujeme zmeniť výraz „nákladovo primeraná“ na „nákladovo efektívna“.  Zdôvodnenie:  Zosúladenie pojmov.</w:t>
            </w:r>
          </w:p>
        </w:tc>
        <w:tc>
          <w:tcPr>
            <w:tcW w:w="2264" w:type="dxa"/>
            <w:vAlign w:val="center"/>
            <w:hideMark/>
          </w:tcPr>
          <w:p w14:paraId="200280F8" w14:textId="7E3C5B64"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1B1A6EA8" w14:textId="2C4C1D5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Predmetné ustanovenia sa využíva pri povinnom odbere tepla z OZE v rámci ZoT</w:t>
            </w:r>
          </w:p>
        </w:tc>
      </w:tr>
      <w:tr w:rsidR="00FE0F3E" w:rsidRPr="006278D2" w14:paraId="7DA12ACC" w14:textId="372670DE" w:rsidTr="00725D29">
        <w:trPr>
          <w:trHeight w:val="960"/>
        </w:trPr>
        <w:tc>
          <w:tcPr>
            <w:tcW w:w="975" w:type="dxa"/>
            <w:hideMark/>
          </w:tcPr>
          <w:p w14:paraId="75411D9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845.</w:t>
            </w:r>
          </w:p>
        </w:tc>
        <w:tc>
          <w:tcPr>
            <w:tcW w:w="2656" w:type="dxa"/>
            <w:hideMark/>
          </w:tcPr>
          <w:p w14:paraId="5E188DA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6F00410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7CB63D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22 </w:t>
            </w:r>
            <w:r w:rsidRPr="00BC49FC">
              <w:rPr>
                <w:rFonts w:ascii="Times New Roman" w:hAnsi="Times New Roman" w:cs="Times New Roman"/>
              </w:rPr>
              <w:t>Zásadná pripomienka k Článku III. bod 22 (zákon č. 657/2004 Z.z. § 18b ods. 4)  Text pripomienky: Navrhujeme preformulovať novelizačný bod 22 odsek 4 tak, aby bol v súlade so znením smernice EED.  Zdôvodnenie:  Aktuálne navrhované znenie je nezrozumiteľné. Nie je zrejmé, akým spôsobom a kedy má byť splnená podmienka účinného CZT (ak vôbec).</w:t>
            </w:r>
          </w:p>
        </w:tc>
        <w:tc>
          <w:tcPr>
            <w:tcW w:w="2264" w:type="dxa"/>
            <w:vAlign w:val="center"/>
            <w:hideMark/>
          </w:tcPr>
          <w:p w14:paraId="50C1EEDE" w14:textId="3D8ED4F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AF5AAAB" w14:textId="0292369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úprava bola vykonaná v rámci SZVT</w:t>
            </w:r>
          </w:p>
        </w:tc>
      </w:tr>
      <w:tr w:rsidR="00FE0F3E" w:rsidRPr="006278D2" w14:paraId="6E0B9619" w14:textId="4BF3D2EB" w:rsidTr="00725D29">
        <w:trPr>
          <w:trHeight w:val="960"/>
        </w:trPr>
        <w:tc>
          <w:tcPr>
            <w:tcW w:w="975" w:type="dxa"/>
            <w:hideMark/>
          </w:tcPr>
          <w:p w14:paraId="2AF3DBA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846.</w:t>
            </w:r>
          </w:p>
        </w:tc>
        <w:tc>
          <w:tcPr>
            <w:tcW w:w="2656" w:type="dxa"/>
            <w:hideMark/>
          </w:tcPr>
          <w:p w14:paraId="683E862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41ACB8D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A3BFEE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22 </w:t>
            </w:r>
            <w:r w:rsidRPr="00BC49FC">
              <w:rPr>
                <w:rFonts w:ascii="Times New Roman" w:hAnsi="Times New Roman" w:cs="Times New Roman"/>
              </w:rPr>
              <w:t>Pripomienka k Článku III. bod 22 (zákon č. 657/2004 Z.z. § 18b ods. 6)  Navrhujeme preformulovať novelizačný bod 22 odsek 6 nasledovne: „Držiteľ povolenia pred uplynutím platnosti potvrdenia o splnení podmienky účinného centralizovaného systému zásobovania teplom predloží príspevkovej organizácií zriadenej ministerstvom podklady potrebné na posúdenie splnenia podmienky účinného centralizovaného zásobovania teplom.“  Zdôvodnenie:  Legislatívno-technická úprava.</w:t>
            </w:r>
          </w:p>
        </w:tc>
        <w:tc>
          <w:tcPr>
            <w:tcW w:w="2264" w:type="dxa"/>
            <w:vAlign w:val="center"/>
            <w:hideMark/>
          </w:tcPr>
          <w:p w14:paraId="0AAF9661" w14:textId="33675206"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0D28B745" w14:textId="4ACB5846"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7ACCFB9C" w14:textId="72D89B65" w:rsidTr="00725D29">
        <w:trPr>
          <w:trHeight w:val="960"/>
        </w:trPr>
        <w:tc>
          <w:tcPr>
            <w:tcW w:w="975" w:type="dxa"/>
            <w:hideMark/>
          </w:tcPr>
          <w:p w14:paraId="4D8A3A9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847.</w:t>
            </w:r>
          </w:p>
        </w:tc>
        <w:tc>
          <w:tcPr>
            <w:tcW w:w="2656" w:type="dxa"/>
            <w:hideMark/>
          </w:tcPr>
          <w:p w14:paraId="4AF66FE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6B308BF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077989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26 </w:t>
            </w:r>
            <w:r w:rsidRPr="00BC49FC">
              <w:rPr>
                <w:rFonts w:ascii="Times New Roman" w:hAnsi="Times New Roman" w:cs="Times New Roman"/>
              </w:rPr>
              <w:t>Zásadná pripomienka k Článku III. bod 26 (zákon č. 657/2004 Z.z. § 21 ods. 1)  Text pripomienky: Navrhujeme vypustiť novelizačný bod 26.  Zdôvodnenie:  Navrhované znenie je nelogické, nakoľko spája nevhodným spôsobom právo držiteľa povolenia na rozvod tepla uzavrieť zmluvu na teplo alebo chlad vyrobené z OZE s povinnosťou odoberať teplo vyrobené z OZE alebo odpadové teplo.</w:t>
            </w:r>
          </w:p>
        </w:tc>
        <w:tc>
          <w:tcPr>
            <w:tcW w:w="2264" w:type="dxa"/>
            <w:vAlign w:val="center"/>
            <w:hideMark/>
          </w:tcPr>
          <w:p w14:paraId="4726BD4A" w14:textId="65729C0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34389C32" w14:textId="3B4EA6A0"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146EAEFE" w14:textId="7395B565" w:rsidTr="00725D29">
        <w:trPr>
          <w:trHeight w:val="1275"/>
        </w:trPr>
        <w:tc>
          <w:tcPr>
            <w:tcW w:w="975" w:type="dxa"/>
            <w:hideMark/>
          </w:tcPr>
          <w:p w14:paraId="24DD7A8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848.</w:t>
            </w:r>
          </w:p>
        </w:tc>
        <w:tc>
          <w:tcPr>
            <w:tcW w:w="2656" w:type="dxa"/>
            <w:hideMark/>
          </w:tcPr>
          <w:p w14:paraId="5FB21B0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4EC4C0A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D1F94F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w:t>
            </w:r>
            <w:r w:rsidRPr="00BC49FC">
              <w:rPr>
                <w:rFonts w:ascii="Times New Roman" w:hAnsi="Times New Roman" w:cs="Times New Roman"/>
              </w:rPr>
              <w:t>Zásadná pripomienka k Článku III. - Doplnenie nového novelizačného bodu (zákon č. 657/2004 Z.z. § 21 ods. 3 a 4)  Text pripomienky: Navrhujeme za novelizačný bod 26 doplniť nový novelizačný bod, ktorým sa navrhne zmena poradia odsekov 3 a 4 v § 21 Povinný odber tepla.  Zdôvodnenie:  Takouto úpravou budú zrozumiteľnejšie upravené väzby medzi jednotlivými odsekmi 1 až 4 v § 21. V súčasnom usporiadaní odsekov nie je zrejmé, že sa právo držiteľa povolenia odmietnuť odoberať teplo uvedené v odseku 3 vzťahuje aj na povinnosť prevádzkovateľa systému centralizovaného zásobovania teplom s prepravným výkonom systému vyšším ako 25 MW uvedenú v odseku 4 tak, ako to vyplýva zo Smernice RED III.</w:t>
            </w:r>
          </w:p>
        </w:tc>
        <w:tc>
          <w:tcPr>
            <w:tcW w:w="2264" w:type="dxa"/>
            <w:vAlign w:val="center"/>
            <w:hideMark/>
          </w:tcPr>
          <w:p w14:paraId="6FA2C0D0" w14:textId="32CE24B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51CBD9C8" w14:textId="70EF334D"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Predmetné ustanovenia sa využíva pri povinnom odbere tepla z OZE v rámci ZoT</w:t>
            </w:r>
          </w:p>
        </w:tc>
      </w:tr>
      <w:tr w:rsidR="00FE0F3E" w:rsidRPr="006278D2" w14:paraId="1BF49682" w14:textId="3C0285E8" w:rsidTr="00725D29">
        <w:trPr>
          <w:trHeight w:val="960"/>
        </w:trPr>
        <w:tc>
          <w:tcPr>
            <w:tcW w:w="975" w:type="dxa"/>
            <w:hideMark/>
          </w:tcPr>
          <w:p w14:paraId="753BF7E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849.</w:t>
            </w:r>
          </w:p>
        </w:tc>
        <w:tc>
          <w:tcPr>
            <w:tcW w:w="2656" w:type="dxa"/>
            <w:hideMark/>
          </w:tcPr>
          <w:p w14:paraId="18A12FA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7AAE0D6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246272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35 </w:t>
            </w:r>
            <w:r w:rsidRPr="00BC49FC">
              <w:rPr>
                <w:rFonts w:ascii="Times New Roman" w:hAnsi="Times New Roman" w:cs="Times New Roman"/>
              </w:rPr>
              <w:t>Obyčajná pripomienka  - Článok III. bod 35 (zákon č. 657/2004 Z.z. § 35 ods.1 písm. b)  Text pripomienky: Z navrhnutého znenia je potrebné odstrániť odkaz na § 18b ods. 9.  Zdôvodnenie:  Odkazované ustanovenie v návrhu neexistuje.</w:t>
            </w:r>
          </w:p>
        </w:tc>
        <w:tc>
          <w:tcPr>
            <w:tcW w:w="2264" w:type="dxa"/>
            <w:vAlign w:val="center"/>
            <w:hideMark/>
          </w:tcPr>
          <w:p w14:paraId="5858D61D" w14:textId="64D4BD4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631AF34C" w14:textId="3A93E7D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úprava bola vykonaná v rámci SZVT</w:t>
            </w:r>
          </w:p>
        </w:tc>
      </w:tr>
      <w:tr w:rsidR="00FE0F3E" w:rsidRPr="006278D2" w14:paraId="6820524E" w14:textId="3AD7BB8A" w:rsidTr="00725D29">
        <w:trPr>
          <w:trHeight w:val="960"/>
        </w:trPr>
        <w:tc>
          <w:tcPr>
            <w:tcW w:w="975" w:type="dxa"/>
            <w:hideMark/>
          </w:tcPr>
          <w:p w14:paraId="113EC24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850.</w:t>
            </w:r>
          </w:p>
        </w:tc>
        <w:tc>
          <w:tcPr>
            <w:tcW w:w="2656" w:type="dxa"/>
            <w:hideMark/>
          </w:tcPr>
          <w:p w14:paraId="2FB021D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130E2AB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189758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bod 38 </w:t>
            </w:r>
            <w:r w:rsidRPr="00BC49FC">
              <w:rPr>
                <w:rFonts w:ascii="Times New Roman" w:hAnsi="Times New Roman" w:cs="Times New Roman"/>
              </w:rPr>
              <w:t>Zásadná pripomienka - Článok III. bod 38 (zákon č. 657/2004 Z.z. § 38ai)  Text pripomienky: V navrhovanom znení vkladaného § 38ai absentuje úprava prechodných ustanovení vo vzťahu k zmenám obsahových náležitostí zmluvy. Rovnako v prípade, ak dôjde k zmene definícii tepla a chladu, bude potrebné/vhodné právne vzťahy aktualizovať.  Zdôvodnenie:  Bez prechodných ustanovení nie je zrejmý časový dopad na existujúce právne vzťahy.</w:t>
            </w:r>
          </w:p>
        </w:tc>
        <w:tc>
          <w:tcPr>
            <w:tcW w:w="2264" w:type="dxa"/>
            <w:vAlign w:val="center"/>
            <w:hideMark/>
          </w:tcPr>
          <w:p w14:paraId="316E03EC" w14:textId="1DF35F30"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64994CB3" w14:textId="7807275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49C9C601" w14:textId="7700E1F2" w:rsidTr="00725D29">
        <w:trPr>
          <w:trHeight w:val="1275"/>
        </w:trPr>
        <w:tc>
          <w:tcPr>
            <w:tcW w:w="975" w:type="dxa"/>
            <w:hideMark/>
          </w:tcPr>
          <w:p w14:paraId="3B026E0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851.</w:t>
            </w:r>
          </w:p>
        </w:tc>
        <w:tc>
          <w:tcPr>
            <w:tcW w:w="2656" w:type="dxa"/>
            <w:hideMark/>
          </w:tcPr>
          <w:p w14:paraId="6743C76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SOPK </w:t>
            </w:r>
            <w:r w:rsidRPr="00BC49FC">
              <w:rPr>
                <w:rFonts w:ascii="Times New Roman" w:hAnsi="Times New Roman" w:cs="Times New Roman"/>
              </w:rPr>
              <w:t>Slovenská obchodná a priemyselná komora</w:t>
            </w:r>
          </w:p>
        </w:tc>
        <w:tc>
          <w:tcPr>
            <w:tcW w:w="612" w:type="dxa"/>
            <w:hideMark/>
          </w:tcPr>
          <w:p w14:paraId="2E45917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DEB1E6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 Všeobecne k novele zákona č. 250/2012 Z.z. o regulácii v sieťových odvetviach </w:t>
            </w:r>
            <w:r w:rsidRPr="00BC49FC">
              <w:rPr>
                <w:rFonts w:ascii="Times New Roman" w:hAnsi="Times New Roman" w:cs="Times New Roman"/>
              </w:rPr>
              <w:t>Zásadná pripomienka k článku V.  - Všeobecne k novele zákona č. 250/2012 Z.z. o regulácii v sieťových odvetviach  Text pripomienky: Navrhujeme vypustiť z regulovaných činností v § 2 písm. c) výrobu, distribúciu a dodávku chladu. Následne vypustiť „chlad“ zo všetkých relevantných ustanovení zákona.  Zdôvodnenie:  Máme za to, že nedošlo k takej zmene podmienok, ktorá by odôvodňovala reguláciu dodávky chladu. V tejto súvislosti je potrebné poukázať aj na skutočnosť, že podradenie dodávky chladu pod reguláciu predstavuje výrazný zásah do existujúcich právnych vzťahov. Pre výrobu chladu existuje viacero možností, ktoré si navzájom konkurujú, preto je regulácia tejto činnosti neopodstatnená.</w:t>
            </w:r>
          </w:p>
        </w:tc>
        <w:tc>
          <w:tcPr>
            <w:tcW w:w="2264" w:type="dxa"/>
            <w:vAlign w:val="center"/>
            <w:hideMark/>
          </w:tcPr>
          <w:p w14:paraId="7FFB60BC" w14:textId="5CE91D67" w:rsidR="00FE0F3E" w:rsidRPr="00BC49FC" w:rsidRDefault="00FE0F3E" w:rsidP="00666928">
            <w:pPr>
              <w:rPr>
                <w:rFonts w:ascii="Times New Roman" w:hAnsi="Times New Roman" w:cs="Times New Roman"/>
                <w:b/>
                <w:bCs/>
              </w:rPr>
            </w:pPr>
            <w:r>
              <w:rPr>
                <w:rFonts w:ascii="Times New Roman" w:hAnsi="Times New Roman" w:cs="Times New Roman"/>
                <w:b/>
                <w:bCs/>
                <w:color w:val="000000"/>
              </w:rPr>
              <w:t>A</w:t>
            </w:r>
          </w:p>
        </w:tc>
        <w:tc>
          <w:tcPr>
            <w:tcW w:w="2753" w:type="dxa"/>
            <w:vAlign w:val="center"/>
            <w:hideMark/>
          </w:tcPr>
          <w:p w14:paraId="69BB1962" w14:textId="7619DD45" w:rsidR="00FE0F3E" w:rsidRPr="00BC49FC" w:rsidRDefault="00FE0F3E" w:rsidP="00666928">
            <w:pPr>
              <w:rPr>
                <w:rFonts w:ascii="Times New Roman" w:hAnsi="Times New Roman" w:cs="Times New Roman"/>
                <w:b/>
                <w:bCs/>
              </w:rPr>
            </w:pPr>
          </w:p>
        </w:tc>
      </w:tr>
      <w:tr w:rsidR="00FE0F3E" w:rsidRPr="006278D2" w14:paraId="2F7A1D1E" w14:textId="456ED8D8" w:rsidTr="00725D29">
        <w:trPr>
          <w:trHeight w:val="2535"/>
        </w:trPr>
        <w:tc>
          <w:tcPr>
            <w:tcW w:w="975" w:type="dxa"/>
            <w:hideMark/>
          </w:tcPr>
          <w:p w14:paraId="5CBDE27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852.</w:t>
            </w:r>
          </w:p>
        </w:tc>
        <w:tc>
          <w:tcPr>
            <w:tcW w:w="2656" w:type="dxa"/>
            <w:hideMark/>
          </w:tcPr>
          <w:p w14:paraId="7BA4C6D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7B6E06D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70A52C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 ods. n) </w:t>
            </w:r>
            <w:r w:rsidRPr="00BC49FC">
              <w:rPr>
                <w:rFonts w:ascii="Times New Roman" w:hAnsi="Times New Roman" w:cs="Times New Roman"/>
              </w:rPr>
              <w:t>Navrhujeme vypustiť § 3 písm. n) zákona o energetickej efektívnosti slová „distribútor energie, prevádzkovateľ prenosovej sústavy, prevádzkovateľ prepravnej a vodíkovej siete alebo“ Výsledné znenie: „n) povinným subjektom dodávateľ energie povinný dosiahnuť úsporu energie na splnenie cieľa úspor energie u konečného spotrebiteľa,“  Odôvodnenie: Ak majú byť povinným subjektom aj prevádzkovatelia sústav, nie je jasné, a ani vykonateľné, ako majú dosiahnuť u konečného spotrebiteľa úsporu energie. Distribútor predsa zabezpečuje distribúciu do odberného miesta v požadovanej kvalite a v rozsahu rezervovanej kapacity - teda je presne vymedzený objem aj kvalita distribuovanej služby, ktorú musí plniť. Akým spôsobom odberateľ užíva energiu vo svojom odbernom mieste nie je v kompetencii distribútora. Navrhujeme preto ponechať pôvodné znenie, aby povinným subjektom boli dodávatelia energií, ktorí úspory vedia zabezpečiť cez podporné alebo garantované energetické služby, resp. cez projekty energetickej efektívnosti. Rozumieme, že smernica 2023/1791 o energetickej efektívnosti uvažuje aj takto zadefinovať povinný subjekt, no znenie z čl. 9 ods. 3 predmetnej smernice dáva členským štátom možnosť povinné subjekty si zvoliť: „Členské štáty určia na základe objektívnych a nediskriminačných kritérií povinné subjekty spomedzi prevádzkovateľov prenosovej sústavy, prevádzkovateľov distribučnej sústavy, distribútorov energie, maloobchodných energetických spoločností a distribútorov pohonných hmôt alebo maloobchodných predajcov pohonných hmôt pôsobiacich na ich území.“</w:t>
            </w:r>
          </w:p>
        </w:tc>
        <w:tc>
          <w:tcPr>
            <w:tcW w:w="2264" w:type="dxa"/>
            <w:hideMark/>
          </w:tcPr>
          <w:p w14:paraId="72169E4A" w14:textId="594A8CA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68C382B4" w14:textId="1C022AB3" w:rsidR="00FE0F3E" w:rsidRPr="00BC49FC" w:rsidRDefault="00FE0F3E" w:rsidP="00666928">
            <w:pPr>
              <w:rPr>
                <w:rFonts w:ascii="Times New Roman" w:hAnsi="Times New Roman" w:cs="Times New Roman"/>
                <w:b/>
                <w:bCs/>
              </w:rPr>
            </w:pPr>
            <w:r w:rsidRPr="00BC49FC">
              <w:rPr>
                <w:rFonts w:ascii="Times New Roman" w:hAnsi="Times New Roman" w:cs="Times New Roman"/>
                <w:color w:val="196B24"/>
              </w:rPr>
              <w:t xml:space="preserve"> </w:t>
            </w:r>
            <w:r w:rsidRPr="00BC49FC">
              <w:rPr>
                <w:rFonts w:ascii="Times New Roman" w:hAnsi="Times New Roman" w:cs="Times New Roman"/>
                <w:color w:val="000000"/>
              </w:rPr>
              <w:t xml:space="preserve">Boli doplnené odkazy na PPS a PDVS. Distribútor je definovaný v písmene d) a odberateľ v písmene e) </w:t>
            </w:r>
          </w:p>
        </w:tc>
      </w:tr>
      <w:tr w:rsidR="00FE0F3E" w:rsidRPr="006278D2" w14:paraId="29248350" w14:textId="21EA5500" w:rsidTr="00725D29">
        <w:trPr>
          <w:trHeight w:val="1590"/>
        </w:trPr>
        <w:tc>
          <w:tcPr>
            <w:tcW w:w="975" w:type="dxa"/>
            <w:hideMark/>
          </w:tcPr>
          <w:p w14:paraId="7ABBC6A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853.</w:t>
            </w:r>
          </w:p>
        </w:tc>
        <w:tc>
          <w:tcPr>
            <w:tcW w:w="2656" w:type="dxa"/>
            <w:hideMark/>
          </w:tcPr>
          <w:p w14:paraId="10C2300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04B900D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86112F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18 </w:t>
            </w:r>
            <w:r w:rsidRPr="00BC49FC">
              <w:rPr>
                <w:rFonts w:ascii="Times New Roman" w:hAnsi="Times New Roman" w:cs="Times New Roman"/>
              </w:rPr>
              <w:t>Navrhujeme vypustiť v § 10 ods. 18 zákona o energetickej efektívnosti. Odôvodnenie: Ustanovenie je v rozpore so zásadou minimalizácie nariadenia GDPR. Rozsah osobných údajov je definovaný veľmi široko. Sme presvedčení, že na účely zberu dát podľa odseku 9 postačujú prevádzkovateľovi monitorovacieho systému agregované alebo anonymizované údaje. Spoločnosti poskytujúce údaje do monitorovacieho systému sú viazané prísnou ochranou osobných údajov, ku ktorej pristupujú citlivo, a každé poskytovanie musí byť dôvodné. Sme presvedčení, že neexistuje právny základ na poskytovanie tak širokého rozsahu citlivých údajov ako je dokonca tel. číslo či emailová adresa na účely dosahovania cieľov energetickej efektívnosti podľa tohto zákona. Rozsah požadovaných osobných údajov musí byť zúžený na nevyhnutne potrebný na dosiahnutie daného účelu.</w:t>
            </w:r>
          </w:p>
        </w:tc>
        <w:tc>
          <w:tcPr>
            <w:tcW w:w="2264" w:type="dxa"/>
            <w:hideMark/>
          </w:tcPr>
          <w:p w14:paraId="4F215AAE" w14:textId="1A2CD492"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4DA0B3F4" w14:textId="37035EC4"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Požiadavka pre potreby zberu osobných údajov musí byť uvedená v zákone v požadovanom rozsahu. § 10 ods.18 je upravený podľa požiadavky UOOU</w:t>
            </w:r>
            <w:r>
              <w:rPr>
                <w:rFonts w:ascii="Times New Roman" w:hAnsi="Times New Roman" w:cs="Times New Roman"/>
                <w:color w:val="196B24"/>
              </w:rPr>
              <w:t>. (§ 10 ods. 20)</w:t>
            </w:r>
          </w:p>
        </w:tc>
      </w:tr>
      <w:tr w:rsidR="00FE0F3E" w:rsidRPr="006278D2" w14:paraId="1535C038" w14:textId="52EF6EBD" w:rsidTr="00725D29">
        <w:trPr>
          <w:trHeight w:val="645"/>
        </w:trPr>
        <w:tc>
          <w:tcPr>
            <w:tcW w:w="975" w:type="dxa"/>
            <w:hideMark/>
          </w:tcPr>
          <w:p w14:paraId="78CE6E9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854.</w:t>
            </w:r>
          </w:p>
        </w:tc>
        <w:tc>
          <w:tcPr>
            <w:tcW w:w="2656" w:type="dxa"/>
            <w:hideMark/>
          </w:tcPr>
          <w:p w14:paraId="2274E76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79DF1B5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F288AC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44 ods. 9 </w:t>
            </w:r>
            <w:r w:rsidRPr="00BC49FC">
              <w:rPr>
                <w:rFonts w:ascii="Times New Roman" w:hAnsi="Times New Roman" w:cs="Times New Roman"/>
              </w:rPr>
              <w:t>Navrhujeme v 44 ods. 9 zákona o energetickej efektívnosti opraviť rok „2021“. Domnievame sa, že sa jedná o chybu v písaní.</w:t>
            </w:r>
          </w:p>
        </w:tc>
        <w:tc>
          <w:tcPr>
            <w:tcW w:w="2264" w:type="dxa"/>
            <w:hideMark/>
          </w:tcPr>
          <w:p w14:paraId="5161F5A6" w14:textId="1757596D"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hideMark/>
          </w:tcPr>
          <w:p w14:paraId="3619C20A" w14:textId="0D0E645F"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Referenčný rok, potrebné k stanoveniu cieľa.    </w:t>
            </w:r>
            <w:r w:rsidRPr="00BC49FC">
              <w:rPr>
                <w:rFonts w:ascii="Times New Roman" w:hAnsi="Times New Roman" w:cs="Times New Roman"/>
                <w:b/>
                <w:bCs/>
                <w:color w:val="FF0000"/>
              </w:rPr>
              <w:t xml:space="preserve"> </w:t>
            </w:r>
            <w:r w:rsidRPr="00BC49FC">
              <w:rPr>
                <w:rFonts w:ascii="Times New Roman" w:hAnsi="Times New Roman" w:cs="Times New Roman"/>
                <w:color w:val="000000"/>
              </w:rPr>
              <w:t>(9)  Údaje podľa § 10 ods. 6 a  ods. 12 až 16, ak sú tieto údaje k dispozícii,  sa zasielajú  prvýkrát za rok 2021, a to najneskôr do</w:t>
            </w:r>
            <w:r w:rsidRPr="00BC49FC">
              <w:rPr>
                <w:rFonts w:ascii="Times New Roman" w:hAnsi="Times New Roman" w:cs="Times New Roman"/>
                <w:color w:val="FF0000"/>
              </w:rPr>
              <w:t xml:space="preserve"> </w:t>
            </w:r>
            <w:r w:rsidRPr="00BC49FC">
              <w:rPr>
                <w:rFonts w:ascii="Times New Roman" w:hAnsi="Times New Roman" w:cs="Times New Roman"/>
                <w:color w:val="000000"/>
              </w:rPr>
              <w:t>28.</w:t>
            </w:r>
            <w:r w:rsidRPr="00BC49FC">
              <w:rPr>
                <w:rFonts w:ascii="Times New Roman" w:hAnsi="Times New Roman" w:cs="Times New Roman"/>
                <w:color w:val="FF0000"/>
              </w:rPr>
              <w:t xml:space="preserve"> </w:t>
            </w:r>
            <w:r w:rsidRPr="00BC49FC">
              <w:rPr>
                <w:rFonts w:ascii="Times New Roman" w:hAnsi="Times New Roman" w:cs="Times New Roman"/>
                <w:color w:val="000000"/>
              </w:rPr>
              <w:t xml:space="preserve">februára 2027, ak tento zákon neustanovuje inak.   </w:t>
            </w:r>
            <w:r w:rsidRPr="00BC49FC">
              <w:rPr>
                <w:rFonts w:ascii="Times New Roman" w:hAnsi="Times New Roman" w:cs="Times New Roman"/>
                <w:b/>
                <w:bCs/>
                <w:color w:val="FF0000"/>
              </w:rPr>
              <w:t xml:space="preserve"> </w:t>
            </w:r>
          </w:p>
        </w:tc>
      </w:tr>
      <w:tr w:rsidR="00FE0F3E" w:rsidRPr="006278D2" w14:paraId="52EFF7BF" w14:textId="2C7A32A5" w:rsidTr="00725D29">
        <w:trPr>
          <w:trHeight w:val="645"/>
        </w:trPr>
        <w:tc>
          <w:tcPr>
            <w:tcW w:w="975" w:type="dxa"/>
            <w:hideMark/>
          </w:tcPr>
          <w:p w14:paraId="4A1BDBD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855.</w:t>
            </w:r>
          </w:p>
        </w:tc>
        <w:tc>
          <w:tcPr>
            <w:tcW w:w="2656" w:type="dxa"/>
            <w:hideMark/>
          </w:tcPr>
          <w:p w14:paraId="29CE9DF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768F60D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5836DA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1. § 4 ods. 15 </w:t>
            </w:r>
            <w:r w:rsidRPr="00BC49FC">
              <w:rPr>
                <w:rFonts w:ascii="Times New Roman" w:hAnsi="Times New Roman" w:cs="Times New Roman"/>
              </w:rPr>
              <w:t>V § 4 ods. 15 písm. a) zákona č. 309/2009 Z.z. o podpore OZE navrhujeme došpecifikovať, čo sa myslí „výzvou na predkladanie ponúk, pokiaľ ide o práce súvisiace s pripojením“.  Odôvodnenie: Rozumieme, že sa jedná o textáciu zo smernice, no nie je zrejmé, čo sa tým myslí, preto je ustanovenie nevykonateľné.</w:t>
            </w:r>
          </w:p>
        </w:tc>
        <w:tc>
          <w:tcPr>
            <w:tcW w:w="2264" w:type="dxa"/>
            <w:vAlign w:val="center"/>
            <w:hideMark/>
          </w:tcPr>
          <w:p w14:paraId="4E126D38" w14:textId="5BB1EBE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3F4D72F" w14:textId="7C2D45B5"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1 vypustený. </w:t>
            </w:r>
          </w:p>
        </w:tc>
      </w:tr>
      <w:tr w:rsidR="00FE0F3E" w:rsidRPr="006278D2" w14:paraId="0D7C74B7" w14:textId="339FA1FC" w:rsidTr="00725D29">
        <w:trPr>
          <w:trHeight w:val="1905"/>
        </w:trPr>
        <w:tc>
          <w:tcPr>
            <w:tcW w:w="975" w:type="dxa"/>
            <w:hideMark/>
          </w:tcPr>
          <w:p w14:paraId="5B0033C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856.</w:t>
            </w:r>
          </w:p>
        </w:tc>
        <w:tc>
          <w:tcPr>
            <w:tcW w:w="2656" w:type="dxa"/>
            <w:hideMark/>
          </w:tcPr>
          <w:p w14:paraId="31CF278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732BE51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5FFAF8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 5 ods. 6 písm. a) </w:t>
            </w:r>
            <w:r w:rsidRPr="00BC49FC">
              <w:rPr>
                <w:rFonts w:ascii="Times New Roman" w:hAnsi="Times New Roman" w:cs="Times New Roman"/>
              </w:rPr>
              <w:t>V § 5 ods. 6 písm. a) zákona č. 309/2009 Z.z. o podpore OZE navrhujeme vypustiť slová „výrobcovi elektriny z obnoviteľných zdrojov energie alebo“ a na konci doplniť slová „o ktoré tento výrobca požiada“. Výsledné znenie: „(6) Prevádzkovateľ prenosovej sústavy a prevádzkovateľ distribučnej sústavy  a) poskytne výrobcovi vyrábajúcemu elektrinu vysoko účinnou kombinovanou výrobou, ktorý žiada o pripojenie, informácie, o ktoré tento výrobca požiada“  Odôvodnenie: Žiadame znenie zosúladiť so znením smernice, ktorá hovorí len o výrobcoch elektriny z vysokoúčinnej kombinovanej výroby, a iba ak o tieto informácie výrobca požiada. Povinnosť nie je možné rozširovať aj na výrobcov OZE nad rámec smernice. Znenie z Prílohy XIV. smernice 2023/1791 o energetickej efektívnosti: „Prevádzkovatelia prenosových sústav a prevádzkovatelia distribučných sústav ... b) poskytnú každému novému výrobcovi elektriny z vysokoúčinnej kombinovanej výroby, ktorý chce byť pripojený do sústavy, komplexné a nevyhnutné informácie, o ktoré tento výrobca požiada“.</w:t>
            </w:r>
          </w:p>
        </w:tc>
        <w:tc>
          <w:tcPr>
            <w:tcW w:w="2264" w:type="dxa"/>
            <w:vAlign w:val="center"/>
            <w:hideMark/>
          </w:tcPr>
          <w:p w14:paraId="6CFD3BFC" w14:textId="78A85E6B"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49F31514" w14:textId="6FD82F9B"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2CD90BBB" w14:textId="77E1ABDD" w:rsidTr="00725D29">
        <w:trPr>
          <w:trHeight w:val="1590"/>
        </w:trPr>
        <w:tc>
          <w:tcPr>
            <w:tcW w:w="975" w:type="dxa"/>
            <w:hideMark/>
          </w:tcPr>
          <w:p w14:paraId="7A9638C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857.</w:t>
            </w:r>
          </w:p>
        </w:tc>
        <w:tc>
          <w:tcPr>
            <w:tcW w:w="2656" w:type="dxa"/>
            <w:hideMark/>
          </w:tcPr>
          <w:p w14:paraId="700D92F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53CB279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3BB291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 5 ods. 6 písm. a) bod 3. </w:t>
            </w:r>
            <w:r w:rsidRPr="00BC49FC">
              <w:rPr>
                <w:rFonts w:ascii="Times New Roman" w:hAnsi="Times New Roman" w:cs="Times New Roman"/>
              </w:rPr>
              <w:t>V § 5 ods. 6 písm. a) bod 3. zákona č. 309/2009 Z.z. o podpore OZE navrhujeme preformulovať podľa smernice slovo „nepresiahne“ slovami „by nemal presiahnuť“. Výsledné znenie: „3. primeranom orientačnom harmonograme pre každé navrhované pripojenie do sústavy, pričom celý proces pripájania do sústavy, pri ktorom sa prihliada na praktickú uskutočniteľnosť a nediskriminačný prístup, by nemal presiahnuť 24 mesiacov od podania žiadosti o pripojenie,“  Odôvodnenie: Žiadame znenie zosúladiť so znením smernice, ktorá nehovorí o tom, že proces nesmie presiahnuť 24 mesiacov, ale by nemal presiahnuť. Znenie z Prílohy XIV. písm. b) iii) smernice 2023/1791 o energetickej efektívnosti: „iii) primeraného orientačného harmonogramu pre každé navrhované pripojenie do sústavy; celý proces pripájania do sústavy by nemal presiahnuť 24 mesiacov, pričom sa prihliada na praktickú uskutočniteľnosť a nediskriminačný prístup“</w:t>
            </w:r>
          </w:p>
        </w:tc>
        <w:tc>
          <w:tcPr>
            <w:tcW w:w="2264" w:type="dxa"/>
            <w:vAlign w:val="center"/>
            <w:hideMark/>
          </w:tcPr>
          <w:p w14:paraId="2E254C80" w14:textId="383E5F72"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67F493DA" w14:textId="53A73B14"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74F90B9D" w14:textId="4B2322BB" w:rsidTr="00725D29">
        <w:trPr>
          <w:trHeight w:val="2220"/>
        </w:trPr>
        <w:tc>
          <w:tcPr>
            <w:tcW w:w="975" w:type="dxa"/>
            <w:hideMark/>
          </w:tcPr>
          <w:p w14:paraId="1DA3D03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858.</w:t>
            </w:r>
          </w:p>
        </w:tc>
        <w:tc>
          <w:tcPr>
            <w:tcW w:w="2656" w:type="dxa"/>
            <w:hideMark/>
          </w:tcPr>
          <w:p w14:paraId="30787CB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1954658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5C87E2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 5 ods. 6 písm. d) </w:t>
            </w:r>
            <w:r w:rsidRPr="00BC49FC">
              <w:rPr>
                <w:rFonts w:ascii="Times New Roman" w:hAnsi="Times New Roman" w:cs="Times New Roman"/>
              </w:rPr>
              <w:t>V § 5 ods. 6 zákona č. 309/2009 Z.z. o podpore OZE navrhujeme vypustiť písm. d). Odôvodnenie: Predmetným ustanovením sa má zaviesť povinnosť PDS pripojiť za zníženú cenu zariadenie vysoko účinnej kombinovanej výroby, ak je v blízkosti oblastí dopytu po teple. Takúto povinnosť smernica naukladá zaviesť, preto ide zo strany predkladateľa o neopodstatnený gold-plating. Smernica 2023/1791 o energetickej efektívnosti v článku 27 ods. 9 ustanovuje: „V prípade potreby môžu národné regulačné orgány vyžadovať od prevádzkovateľov prenosovej sústavy a prevádzkovateľov distribučnej sústavy, aby podporovali umiestnenie vysokoúčinnej kombinovanej výroby v blízkosti oblastí dopytu po teple znížením poplatkov za pripojenie a systémových poplatkov.“ Takáto potreba neexistuje na území Slovenskej republiky. Súčasné už funkčné CZT pokrýva dostatočne potreby obyvateľstva, pričom pri individuálnom vykurovaní je toto ustanovenie neaplikovateľné. Zároveň takáto právna úprava poškodzuje ostatných žiadateľov o pripojenie zariadení na výrobu elektriny, čím ohrozuje aj plnenie cieľov EU a SR v oblasti rozvoja obnoviteľných zdrojov. Vzhľadom na nastavenú cenovú reguláciu dôjde k nárastu cien za prístup do distribučnej sústavy a distribúciu elektriny pre všetkých ostatných užívateľov sústav. Nie je preto pravdivé tvrdenie o pozitívnom vplyve na podnikateľské prostredie, vrátane MSP.</w:t>
            </w:r>
          </w:p>
        </w:tc>
        <w:tc>
          <w:tcPr>
            <w:tcW w:w="2264" w:type="dxa"/>
            <w:vAlign w:val="center"/>
            <w:hideMark/>
          </w:tcPr>
          <w:p w14:paraId="079BA2C4" w14:textId="366FF51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78BFE675" w14:textId="51924C26"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74925995" w14:textId="3962A3F8" w:rsidTr="00725D29">
        <w:trPr>
          <w:trHeight w:val="1275"/>
        </w:trPr>
        <w:tc>
          <w:tcPr>
            <w:tcW w:w="975" w:type="dxa"/>
            <w:hideMark/>
          </w:tcPr>
          <w:p w14:paraId="113F82A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859.</w:t>
            </w:r>
          </w:p>
        </w:tc>
        <w:tc>
          <w:tcPr>
            <w:tcW w:w="2656" w:type="dxa"/>
            <w:hideMark/>
          </w:tcPr>
          <w:p w14:paraId="4C83AA1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722200E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D88E2F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 bod 6. § 9 ods. 3 písm. a) </w:t>
            </w:r>
            <w:r w:rsidRPr="00BC49FC">
              <w:rPr>
                <w:rFonts w:ascii="Times New Roman" w:hAnsi="Times New Roman" w:cs="Times New Roman"/>
              </w:rPr>
              <w:t>Navrhujeme vypustiť v § 9 ods. 3 písm. a) zákona č. 250/2012 Z.z. o regulácii na konci ustanovenia tieto slová: „zavádzania inteligentných meracích systémov a modernizácie sústav a sietí zameranej na zvýšenie efektívnosti pri využívaní energie“ Odôvodnenie: Agenda zavádzania IMS je v kompetencii MHSR, nie je preto dôvod aby úrad vypracovával v oblasti zavádzania IMS ďalšie metodické usmernenie. Problematika je podrobne upravená vyhláškou MHSR č. 358/2013 Z.z., ktorou sa ustanovuje postup a podmienky v oblasti zavádzania a prevádzky inteligentných meracích systémov v elektroenergetike. Žiadame preto vypustiť túto časť. Zároveň v súvislosti s predmetným ustanovením by podľa nášho názoru mal mať úrad vo všeobecnosti vyššie náklady na tieto analýzy.</w:t>
            </w:r>
          </w:p>
        </w:tc>
        <w:tc>
          <w:tcPr>
            <w:tcW w:w="2264" w:type="dxa"/>
            <w:vAlign w:val="center"/>
            <w:hideMark/>
          </w:tcPr>
          <w:p w14:paraId="27776011" w14:textId="7E418F4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9AD3336" w14:textId="6C6109EC"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V texte je uvedené v spolupráci s MH SR</w:t>
            </w:r>
            <w:r>
              <w:rPr>
                <w:rFonts w:ascii="Times New Roman" w:hAnsi="Times New Roman" w:cs="Times New Roman"/>
                <w:color w:val="000000"/>
              </w:rPr>
              <w:t>.</w:t>
            </w:r>
          </w:p>
        </w:tc>
      </w:tr>
      <w:tr w:rsidR="00FE0F3E" w:rsidRPr="006278D2" w14:paraId="59EB9FC2" w14:textId="5B6502CD" w:rsidTr="00725D29">
        <w:trPr>
          <w:trHeight w:val="960"/>
        </w:trPr>
        <w:tc>
          <w:tcPr>
            <w:tcW w:w="975" w:type="dxa"/>
            <w:hideMark/>
          </w:tcPr>
          <w:p w14:paraId="2D83A77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860.</w:t>
            </w:r>
          </w:p>
        </w:tc>
        <w:tc>
          <w:tcPr>
            <w:tcW w:w="2656" w:type="dxa"/>
            <w:hideMark/>
          </w:tcPr>
          <w:p w14:paraId="2EBC16E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00C8AA1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D31F0F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7. § 31 ods. 3 písm. ad) </w:t>
            </w:r>
            <w:r w:rsidRPr="00BC49FC">
              <w:rPr>
                <w:rFonts w:ascii="Times New Roman" w:hAnsi="Times New Roman" w:cs="Times New Roman"/>
              </w:rPr>
              <w:t>Navrhujeme preformulovať v § 31 ods. 3 písm. ad) zákona č. 251/2012 Z.z. slovo „odberateľ“ na konci ustanovenia na „užívateľ sústavy“. Výsledné znenie: „ad) uplatňovať princíp prvoradosti energetickej efektívnosti55ac) pri prevádzkovaní distribučnej sústavy, plánovaní jej rozvoja a investičných rozhodnutiach, pokiaľ tým nie je negatívne dotknutý užívateľ sústavy“  Odôvodnenie: Pojem "užívateľ sústavy" je širší ako "odberateľ", aj § 31 ods. 2 písm. b) zákona č. 251/2012 o energetike hovorí o zabezpečení nediskriminačných podmienok pripojenia pre užívateľov sústavy.</w:t>
            </w:r>
          </w:p>
        </w:tc>
        <w:tc>
          <w:tcPr>
            <w:tcW w:w="2264" w:type="dxa"/>
            <w:hideMark/>
          </w:tcPr>
          <w:p w14:paraId="6FF65846" w14:textId="74803E7E"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58A55646" w14:textId="76EA6F2A"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Upravené  „ad) uplatňovať zásadu prvoradosti energetickej efektívnosti55ac) pri plánovaní distribučnej sústavy, rozvoji distribučnej sústavy a investičných rozhodnutiach, pokiaľ tým nie je negatívne dotknutý užívateľ sústavy,  </w:t>
            </w:r>
          </w:p>
        </w:tc>
      </w:tr>
      <w:tr w:rsidR="00FE0F3E" w:rsidRPr="006278D2" w14:paraId="2966484D" w14:textId="38BA7FB5" w:rsidTr="00725D29">
        <w:trPr>
          <w:trHeight w:val="1275"/>
        </w:trPr>
        <w:tc>
          <w:tcPr>
            <w:tcW w:w="975" w:type="dxa"/>
            <w:hideMark/>
          </w:tcPr>
          <w:p w14:paraId="3F5CB7A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861.</w:t>
            </w:r>
          </w:p>
        </w:tc>
        <w:tc>
          <w:tcPr>
            <w:tcW w:w="2656" w:type="dxa"/>
            <w:hideMark/>
          </w:tcPr>
          <w:p w14:paraId="62FD99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SSD </w:t>
            </w:r>
            <w:r w:rsidRPr="00BC49FC">
              <w:rPr>
                <w:rFonts w:ascii="Times New Roman" w:hAnsi="Times New Roman" w:cs="Times New Roman"/>
              </w:rPr>
              <w:t>Stredoslovenská distribučná, a. s.</w:t>
            </w:r>
          </w:p>
        </w:tc>
        <w:tc>
          <w:tcPr>
            <w:tcW w:w="612" w:type="dxa"/>
            <w:hideMark/>
          </w:tcPr>
          <w:p w14:paraId="35FFEA5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5CDB6B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7. § 31 ods. 3 písm. ag) </w:t>
            </w:r>
            <w:r w:rsidRPr="00BC49FC">
              <w:rPr>
                <w:rFonts w:ascii="Times New Roman" w:hAnsi="Times New Roman" w:cs="Times New Roman"/>
              </w:rPr>
              <w:t>V § 31 ods. 3 písm. ag) zákona č. 251/2012 Z.z. na konci ustanovenia „prijaté opatrenia podľa predchádzajúcej vety a očakávané úspory energie dosiahnuté prostredníctvom zníženia strát nahlasuje prevádzkovateľ distribučnej sústavy každoročne do 30. júna úradu a prevádzkovateľovi monitorovacieho systému energetickej efektívnosti“ navrhujeme túto  povinnosť zosúladiť s existujúcimi povinnosťami o zasielaní dát.  Odôvodnenie: Údaje o stratách PDS posielajú SIEA už v súčasnosti, nevidíme dôvod na ich duplikovanie. Súčasne platné povinnosti o nahlasovaní dát je potrebné zosúladiť s novými z dôvodu minimalizácie byrokracie. Zároveň opatrenia na znižovanie strát PDS robia už v súčasnosti, no formulácia "s ohľadom na zavádzanie inteligentných systémov" je nevykonateľná, pretože inteligentný systém nie je nikde definovaný.</w:t>
            </w:r>
          </w:p>
        </w:tc>
        <w:tc>
          <w:tcPr>
            <w:tcW w:w="2264" w:type="dxa"/>
            <w:hideMark/>
          </w:tcPr>
          <w:p w14:paraId="2FE668C9" w14:textId="1AB7A72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354EC19C" w14:textId="1294579E"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 </w:t>
            </w:r>
            <w:r w:rsidRPr="00BC49FC">
              <w:rPr>
                <w:rFonts w:ascii="Times New Roman" w:hAnsi="Times New Roman" w:cs="Times New Roman"/>
                <w:b/>
                <w:bCs/>
                <w:color w:val="000000"/>
              </w:rPr>
              <w:t xml:space="preserve"> Upravené  </w:t>
            </w:r>
            <w:r w:rsidRPr="00BC49FC">
              <w:rPr>
                <w:rFonts w:ascii="Times New Roman" w:hAnsi="Times New Roman" w:cs="Times New Roman"/>
                <w:color w:val="000000"/>
              </w:rPr>
              <w:t xml:space="preserve">ag) monitorovať a kvantifikovať straty elektriny v distribučnej sústave, a ak je to technicky možné a ak ekonomická analýza nákladov a prínosov preukáže opodstatnenosť takéhoto opatrenia, zaviesť opatrenia na optimalizáciu a zvyšovanie efektívnosti distribučnej sústavy, a to s ohľadom na existujúce systémy; prijaté opatrenia podľa predchádzajúcej vety a očakávané úspory energie dosiahnuté prostredníctvom zníženia strát nahlasuje prevádzkovateľ distribučnej sústavy každoročne do 30. júna úradu a prevádzkovateľovi monitorovacieho systému energetickej efektívnosti,   </w:t>
            </w:r>
          </w:p>
        </w:tc>
      </w:tr>
      <w:tr w:rsidR="00FE0F3E" w:rsidRPr="006278D2" w14:paraId="0B68A8C4" w14:textId="4458D448" w:rsidTr="00725D29">
        <w:trPr>
          <w:trHeight w:val="5055"/>
        </w:trPr>
        <w:tc>
          <w:tcPr>
            <w:tcW w:w="975" w:type="dxa"/>
            <w:hideMark/>
          </w:tcPr>
          <w:p w14:paraId="53F08884" w14:textId="77777777" w:rsidR="00FE0F3E" w:rsidRPr="00242B5F" w:rsidRDefault="00FE0F3E" w:rsidP="00666928">
            <w:pPr>
              <w:rPr>
                <w:b/>
                <w:bCs/>
              </w:rPr>
            </w:pPr>
            <w:r w:rsidRPr="00242B5F">
              <w:rPr>
                <w:b/>
                <w:bCs/>
              </w:rPr>
              <w:t>862.</w:t>
            </w:r>
          </w:p>
        </w:tc>
        <w:tc>
          <w:tcPr>
            <w:tcW w:w="2656" w:type="dxa"/>
            <w:hideMark/>
          </w:tcPr>
          <w:p w14:paraId="4DB201ED" w14:textId="77777777" w:rsidR="00FE0F3E" w:rsidRPr="00242B5F" w:rsidRDefault="00FE0F3E" w:rsidP="00666928">
            <w:pPr>
              <w:rPr>
                <w:b/>
                <w:bCs/>
              </w:rPr>
            </w:pPr>
            <w:r w:rsidRPr="00242B5F">
              <w:rPr>
                <w:b/>
                <w:bCs/>
              </w:rPr>
              <w:t xml:space="preserve">SSD </w:t>
            </w:r>
            <w:r w:rsidRPr="00242B5F">
              <w:t>Stredoslovenská distribučná, a. s.</w:t>
            </w:r>
          </w:p>
        </w:tc>
        <w:tc>
          <w:tcPr>
            <w:tcW w:w="612" w:type="dxa"/>
            <w:hideMark/>
          </w:tcPr>
          <w:p w14:paraId="4100AFF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26CADB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 28 ods. 2 písm. l) </w:t>
            </w:r>
            <w:r w:rsidRPr="00BC49FC">
              <w:rPr>
                <w:rFonts w:ascii="Times New Roman" w:hAnsi="Times New Roman" w:cs="Times New Roman"/>
              </w:rPr>
              <w:t>Navrhujeme ustanovenie § 28 ods. 2 písm. l) zákona č. 251/2012 Z. z. doplniť na konci nasledovne: "Ak o pripojenie do prenosovej sústavy žiada iný účastník trhu s elektrinou, ako je prevádzkovateľ regionálnej distribučnej sústavy, prevádzkovateľ prenosovej sústavy s takýmto žiadateľom uzatvorí zmluvu o pripojení do sústavy len v prípade, ak žiadateľ prevádzkovateľovi prenosovej sústavy preukáže, že pred podaním žiadosti o pripojenie do prenosovej sústavy požiadal o pridelenie kapacity na pripojenie do regionálnej distribučnej sústavy a prevádzkovateľ regionálnej distribučnej sústavy jeho žiadosť v súlade s § 31 ods. 1 písm. d) odmietol." Výsledné znenie:  "Prevádzkovateľ prenosovej sústavy je povinný: uzatvoriť zmluvu o pripojení do sústavy s každým, kto o to požiada, ak sú splnené technické podmienky a obchodné podmienky pripojenia do sústavy, a pripojiť do prenosovej sústavy elektroenergetické zariadenie alebo odberné elektrické zariadenie v súlade so všeobecne záväzným právnym predpisom vydaným podľa § 95 ods. 2 písm. n). Ak o pripojenie do prenosovej sústavy žiada iný účastník trhu s elektrinou, ako je prevádzkovateľ regionálnej distribučnej sústavy, prevádzkovateľ prenosovej sústavy s takýmto žiadateľom uzatvorí zmluvu o pripojení do sústavy len v prípade, ak žiadateľ prevádzkovateľovi prenosovej sústavy preukáže, že pred podaním žiadosti o pripojenie do prenosovej sústavy požiadal o pridelenie kapacity na pripojenie do regionálnej distribučnej sústavy a prevádzkovateľ regionálnej distribučnej sústavy jeho žiadosť v súlade s § 31 ods. 1 písm. d) odmietol."  Odôvodnenie: Zákon o energetike vyžaduje od prevádzkovateľov sústavy efektívne a hospodárne využitie dostupnej kapacity. Ak prevádzkovateľ prenosovej sústavy poskytol kapacitu v prenosovej sústave pre prevádzkovateľa regionálnej distribučnej sústavy, je hospodárne a efektívne využiť túto dostupnú  kapacitu pre účastníkov trhu s elektrinou najskôr u prevádzkovateľa regionálnej distribučnej kapacity a pokiaľ tento PRDS nedisponuje dostatočnou kapacitou, je dôvodné poskytnúť kapacitu priamo v prenosovej sústave. V opačnom prípade môže nastať situácia, že PRDS vybuduje dostatočnú kapacitu pre účastníkov trhu na základe ich legitímnych požiadaviek, ktoré však nakoniec nemusí byť využitá a PRDS vynaloží zbytočné náklady na prevádzku sústavy  nad rámec potrebnej kapacity pre účastníkov trhu s elektrinou.   Efektívne a hospodárne využitie existujúcej kapacity distribučnej sústavy je verejným záujmom, o čom svedčí aj ustanovenie § 31 ods. 2 písm. a) zákona o energetike. Za situácie, kedy distribučná sústava disponuje dostatočnou kapacitou na pripojenie, by bolo zásadne nehospodárne, ak by odberatelia nevyužívali dostupné kapacity distribučnej sústavy, ale čerpali kapacitu prenosovej sústavy. Máme za to, že principiálne je potrebné zabezpečovať kapacitu sústavy na nižšej napäťovej úrovni, nakoľko platí, že čím nižšia napäťová hladina, tým vyššie náklady na zabezpečenie distribúcie sú na strane prevádzkovateľa distribučnej sústavy – a teda pokiaľ táto sústava (nižšej napäťovej hladiny) je už vybudovaná a má dostatočnú kapacitu na pripojenie, nie je s ohľadom na prevádzku prenosovej a distribučnej sústavy hospodárne a ani účelné umožňovať pripojenie na vyššej napäťovej hladine."</w:t>
            </w:r>
          </w:p>
        </w:tc>
        <w:tc>
          <w:tcPr>
            <w:tcW w:w="2264" w:type="dxa"/>
            <w:hideMark/>
          </w:tcPr>
          <w:p w14:paraId="2E521F47" w14:textId="5FF1F0B5" w:rsidR="00FE0F3E" w:rsidRPr="00BC49FC" w:rsidRDefault="00FE0F3E" w:rsidP="00666928">
            <w:pPr>
              <w:rPr>
                <w:rFonts w:ascii="Times New Roman" w:hAnsi="Times New Roman" w:cs="Times New Roman"/>
                <w:b/>
                <w:bCs/>
              </w:rPr>
            </w:pPr>
            <w:r>
              <w:rPr>
                <w:b/>
                <w:bCs/>
              </w:rPr>
              <w:t> N</w:t>
            </w:r>
          </w:p>
        </w:tc>
        <w:tc>
          <w:tcPr>
            <w:tcW w:w="2753" w:type="dxa"/>
            <w:hideMark/>
          </w:tcPr>
          <w:p w14:paraId="7D29AA9F" w14:textId="218FA559" w:rsidR="00FE0F3E" w:rsidRDefault="00FE0F3E" w:rsidP="00666928">
            <w:pPr>
              <w:jc w:val="center"/>
              <w:rPr>
                <w:rFonts w:ascii="Times New Roman" w:eastAsia="Times New Roman" w:hAnsi="Times New Roman" w:cs="Times New Roman"/>
                <w:b/>
                <w:color w:val="000000"/>
              </w:rPr>
            </w:pPr>
            <w:r>
              <w:rPr>
                <w:b/>
                <w:bCs/>
              </w:rPr>
              <w:t> </w:t>
            </w:r>
          </w:p>
          <w:p w14:paraId="428384E1" w14:textId="77777777" w:rsidR="00FE0F3E" w:rsidRDefault="00FE0F3E" w:rsidP="00666928">
            <w:pPr>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Nad rámec predkladaného návrhu zákona. </w:t>
            </w:r>
          </w:p>
          <w:p w14:paraId="4A8D93F7" w14:textId="77777777" w:rsidR="00FE0F3E" w:rsidRDefault="00FE0F3E" w:rsidP="00666928">
            <w:pPr>
              <w:jc w:val="center"/>
              <w:rPr>
                <w:rFonts w:ascii="Times New Roman" w:eastAsia="Times New Roman" w:hAnsi="Times New Roman" w:cs="Times New Roman"/>
                <w:bCs/>
                <w:color w:val="000000"/>
              </w:rPr>
            </w:pPr>
          </w:p>
          <w:p w14:paraId="1F86A4B0" w14:textId="5FAC4551" w:rsidR="00FE0F3E" w:rsidRPr="00BC49FC" w:rsidRDefault="00FE0F3E" w:rsidP="00666928">
            <w:pPr>
              <w:rPr>
                <w:rFonts w:ascii="Times New Roman" w:hAnsi="Times New Roman" w:cs="Times New Roman"/>
                <w:b/>
                <w:bCs/>
              </w:rPr>
            </w:pPr>
            <w:r>
              <w:rPr>
                <w:rFonts w:ascii="Times New Roman" w:eastAsia="Times New Roman" w:hAnsi="Times New Roman" w:cs="Times New Roman"/>
                <w:bCs/>
                <w:color w:val="000000"/>
              </w:rPr>
              <w:t>Prevádzkovateľ sústavy musí zabezpečiť prístup do prenosovej sústavy na transparentnom a nediskriminačnom princípe a pripojiť každého, kto splní technické podmienky a obchodné podmienky pripojenia do sústavy.</w:t>
            </w:r>
          </w:p>
        </w:tc>
      </w:tr>
      <w:tr w:rsidR="00FE0F3E" w:rsidRPr="006278D2" w14:paraId="0EBC4004" w14:textId="2A15CD76" w:rsidTr="00725D29">
        <w:trPr>
          <w:trHeight w:val="8192"/>
        </w:trPr>
        <w:tc>
          <w:tcPr>
            <w:tcW w:w="975" w:type="dxa"/>
            <w:hideMark/>
          </w:tcPr>
          <w:p w14:paraId="491F1CD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863.</w:t>
            </w:r>
          </w:p>
        </w:tc>
        <w:tc>
          <w:tcPr>
            <w:tcW w:w="2656" w:type="dxa"/>
            <w:hideMark/>
          </w:tcPr>
          <w:p w14:paraId="49A2B32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1BEF45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5AFC6E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Navrhujeme zákon (najmä jeho článok I) stiahnuť z legislatívneho procesu a vrátiť predkladateľovi na dopracovanie.  Predložený návrh zákona vykazuje viaceré zásadné systémové, legislatívno-technické a vecné nedostatky, ktoré neumožňujú jeho prijatie v predloženej podobe. Návrh zákona pôsobí prevažne ako rámcový transpozičný predpis bez dostatočného materiálneho rozpracovania jednotlivých mechanizmov energetickej efektívnosti, pričom významná časť budúcich práv a povinností má byť určovaná až vykonávacími predpismi, metodickými usmerneniami alebo budúcimi technickými pravidlami. Návrh zákona zároveň nevytvára dostatočne určitý, predvídateľný a systematicky vystavaný regulačný rámec, čo vyvoláva vážne pochybnosti z pohľadu požiadaviek kvalitnej normotvorby podľa zákona č. 400/2015 Z. z. o tvorbe právnych predpisov a o Zbierke zákonov Slovenskej republiky.  V prípade neakceptovania pripomienky predkladáme alternatívne  pripomienky k jednotlivým ustanoveniam návrhu zákona.  Odôvodnenie:  I. Nadmerne blanketový charakter návrhu zákona a presúvanie materiálneho obsahu regulácie mimo zákona Návrh zákona obsahuje rozsiahle množstvo všeobecných, neurčitých a blanketových ustanovení, pričom podstatná časť práv a povinností regulovaných subjektov je ponechaná vykonávacím právnym predpisom, metodickým usmerneniam ministerstva, metodickým tabuľkám, budúcim technickým pravidlám monitorovacích systémov alebo administratívnym procesom, ktorých obsah nie je v zákone dostatočne určený. Takýto spôsob regulácie vytvára významný deficit právnej istoty, keďže adresáti právnych povinností nie sú schopní už pri prijatí zákona identifikovať rozsah svojich budúcich povinností, rozsah požadovaných údajov, rozsah reportovacích povinností, metodiku výpočtov ani praktické požiadavky, ktoré na nich budú v budúcnosti kladené. Návrh zákona tak miestami nepôsobí ako normatívny právny predpis obsahujúci konkrétne pravidlá správania, ale skôr ako rámcový administratívny dokument, ktorý vytvára základ pre následnú rozsiahlu podzákonnú reguláciu. Takýto prístup je problematický aj z pohľadu § 4 ods. 3 zákona č. 400/2015 Z. z., podľa ktorého vykonávacím právnym predpisom nemožno ukladať povinnosti nad rámec zákona ani upravovať spoločenské vzťahy v zákone neupravené.   II. Nedostatočné normatívne ukotvenie princípu prvoradosti energetickej efektívnosti Za jeden z najzásadnejších nedostatkov návrhu zákona považujeme spôsob implementácie princípu prvoradosti energetickej efektívnosti („Energy Efficiency First“), ktorý predstavuje jeden zo základných princípov európskej energetickej politiky. Napriek významu tohto princípu návrh zákona nevytvára jeho materiálny právny obsah, neurčuje spôsob jeho aplikácie, neurčuje záväzné rozhodovacie procesy, neurčuje povinnosť vyhodnocovania alternatív, neurčuje kritériá posudzovania ani právne následky jeho nerešpektovania. Princíp je v zákone prakticky definovaný iba odkazom na externý právny predpis (nariadenie 2018/1999), pričom následne zákon už neobsahuje dostatočne konkrétne pravidlá jeho praktického uplatňovania. Zákon tak vytvára situáciu, v ktorej princíp formálne existuje, no absentuje jeho vykonateľný právny rámec. Z logiky zákona pritom vyplýva, že princíp prvoradosti energetickej efektívnosti má byť uplatňovaný pri energetickom plánovaní, pri tvorbe verejných politík, pri investičnom rozhodovaní, pri rozvoji energetických systémov aj pri navrhovaní opatrení energetickej efektívnosti. Napriek tomu zákon vôbec neurčuje, ako sa má tento princíp prakticky aplikovať, aké analýzy sa majú vykonávať, kto ich má vykonávať, aké alternatívy sa majú posudzovať ani podľa akých kritérií sa má rozhodovať. Praktická aplikácia princípu má byť pritom vo významnej miere ponechaná na metodické usmernenia ministerstva. Takýto prístup však považujeme za nedostatočný, keďže metodické usmernenie nemá všeobecne záväzný charakter a nemôže nahrádzať zákonnú úpravu jedného zo základných princípov energetickej politiky štátu. Návrh zákona tým podľa nášho názoru implementuje princíp „Energy Efficiency First“ prevažne deklaratórnym spôsobom bez vytvorenia reálne vykonateľného mechanizmu jeho uplatňovania. Takýto prístup je problematický aj z hľadiska praktickej aplikácie práva, pretože orgány verejnej správy nebudú mať jasné pravidlá rozhodovania, investori nebudú vedieť predvídať regulačné požiadavky a vznikne priestor pre nejednotnú aplikačnú prax a rozdielny výklad. Zákon zároveň nevytvára dostatočný vzťah medzi princípom prvoradosti energetickej efektívnosti a územným plánovaním, povoľovacími procesmi, investičnými rozhodnutiami, energetickou infraštruktúrou, teplárenstvom, ani verejnými investíciami. Výsledkom je, že jeden zo základných princípov európskej energetickej politiky je do vnútroštátneho právneho poriadku transponovaný prevažne deklaratórnym spôsobom bez dostatočného normatívneho obsahu a bez vytvorenia prakticky vykonateľného právneho rámca.  III. Nadmerná koncentrácia kompetencií na Ministerstvo hospodárstva Slovenskej republiky Návrh zákona koncentruje plánovacie, metodické, monitorovacie, koordinačné, analytické aj interpretačné kompetencie prakticky výlučne do pôsobnosti ministerstva. V zákone absentuje nezávislá odborná platforma, konzultačný mechanizmus, participatívny model tvorby energetickej politiky, odborný poradný orgán, aj transparentný proces nastavovania strategických cieľov. Takýto model nezodpovedá princípom participatívnej tvorby energetickej politiky ani governance princípom podľa nariadenia 2018/1999, ktoré sú založené na transparentnosti, participácii zainteresovaných strán, viacúrovňovom riadení a odbornej participácii verejnosti.  IV. Neprimerane široký a neurčitý monitorovací a dátový systém Návrh zákona vytvára rozsiahly monitorovací, registračný a dátový systém zahŕňajúci široký okruh subjektov verejného aj súkromného sektora. Orgány verejnej správy, obce, banky a finančné inštitúcie, podnikateľské subjekty, energetické podniky, prevádzkovateľov sústav, spoločenstvá vlastníkov bytov, dátové centrá, energetických audítorov, ako aj ďalšie subjekty. Rozsah požadovaných údajov a reportovacích povinností je formulovaný veľmi všeobecne a otvorene. Nie je zrejmé, akým spôsobom budú jednotlivé databázy a registre vytvárané, kto bude zodpovedať za ich správu ani aké budú technické a finančné náklady ich prevádzky. Zákon neurčuje dostatočne konkrétny rozsah údajov, neurčuje hranice spracovania údajov, neurčuje architektúru systému, neurčuje zodpovednostné vzťahy, neurčuje procesné garancie, ani neobsahuje dostatočné vyhodnotenie proporcionality takto rozsiahleho dátového režimu.  Návrh zákona zároveň neobsahuje dostatočné vyhodnotenie administratívnych dopadov, nákladov implementácie ani dopadov na podnikateľské prostredie a verejnú správu.  V. Absencia jasnej strategickej vízie štátu v oblasti energetickej efektívnosti Zo zákona nie je zrejmé, aké sú strategické priority štátu v oblasti energetickej efektívnosti, aké sektory majú byť prioritne transformované ani akým spôsobom má byť zabezpečená rovnováha medzi dekarbonizáciou, energetickou bezpečnosťou, konkurencieschopnosťou hospodárstva a sociálnymi dopadmi. Návrh zákona preto vytvára dojem prevažne administratívno-transpozičného rámca bez jasného strategického smerovania štátu.  VI. Nedostatočné systémové ukotvenie energetických manažérov a osobitných režimov vo verejnej správe Návrh zákona vytvára osobitnú kategóriu energetického manažéra vo verejnej správe, osobitné podporné energetické služby vo verejnej správe a ďalšie nové odborné mechanizmy bez dostatočného vysvetlenia ich systémovej funkcie, praktického významu a ekonomickej logiky. Existuje preto riziko vytvorenia formálneho administratívneho systému bez jasného praktického prínosu pre dosahovanie energetických úspor.  VII. Významná právna neistota pri garantovaných energetických službách Za osobitne problematickú považujeme právnu úpravu garantovaných energetických služieb vo verejnom sektore vo väzbe na metodiku posudzovania verejného dlhu a pravidlá rozpočtovej zodpovednosti. Návrh zákona vytvára stav právnej neistoty, keď nesplnenie podmienok metodiky alebo nepožiadanie Ministerstva financií Slovenskej republiky o príslušný súhlas môže mať za následok neplatnosť zmluvy. Takto nastavený režim vytvára významné právne a investičné riziká a môže v praxi viesť k obmedzeniu využívania garantovaných energetických služieb vo verejnom sektore.  VIII. Terminologická nekonzistentnosť a absencia normatívneho obsahu viacerých pojmov Návrh zákona obsahuje viacero pojmov a právnych inštitútov, ktoré sa v zákone objavia len jednorazovo, nie sú ďalej normatívne rozpracované alebo sa následne v texte zákona vôbec nepoužívajú. Ide napríklad o pojmy „povinný subjekt“, „účinné individuálne vykurovanie a chladenie“ alebo „zmluva o nákupe tepla alebo chladu z obnoviteľných zdrojov“. Takýto spôsob tvorby právnej úpravy znižuje vnútornú konzistentnosť zákona, komplikuje jeho výklad a vytvára právnu neistotu. Takýto prístup je problematický aj z pohľadu požiadaviek zákona č. 400/2015 Z. z., podľa ktorého právny predpis musí byť terminologicky správny a jednotný, presný, všeobecne zrozumiteľný a musí obsahovať ustanovenia s normatívnym obsahom.      IX. Záver Vzhľadom na uvedené zásadné systémové, legislatívne a aplikačné nedostatky považujeme návrh zákona v predloženej podobe za nedostatočne pripravený na prijatie. Návrh zákona nevytvára dostatočne určitý a predvídateľný regulačný rámec, vo významnej miere presúva materiálny obsah regulácie mimo samotného zákona a nevytvára vykonateľný právny rámec princípu prvoradosti energetickej efektívnosti. Z uvedených dôvodov navrhujeme návrh zákona stiahnuť z legislatívneho procesu, vykonať jeho zásadné koncepčné a legislatívne dopracovanie a následne ho opätovne predložiť do medzirezortného pripomienkového konania po vykonaní riadnej odbornej diskusie so zainteresovanými subjektmi.  Pripomienka je zásadná.</w:t>
            </w:r>
          </w:p>
        </w:tc>
        <w:tc>
          <w:tcPr>
            <w:tcW w:w="2264" w:type="dxa"/>
            <w:hideMark/>
          </w:tcPr>
          <w:p w14:paraId="136D7E75" w14:textId="2FAB39E3"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N</w:t>
            </w:r>
          </w:p>
        </w:tc>
        <w:tc>
          <w:tcPr>
            <w:tcW w:w="2753" w:type="dxa"/>
            <w:hideMark/>
          </w:tcPr>
          <w:p w14:paraId="6A991B61" w14:textId="7BBFBFA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D76A35">
              <w:rPr>
                <w:rFonts w:ascii="Times New Roman" w:hAnsi="Times New Roman" w:cs="Times New Roman"/>
                <w:b/>
                <w:bCs/>
              </w:rPr>
              <w:t>Návrh zákona nie je možné stiahnuť z legislatívneho procesu, pretože sa jedná o transpozíciu smernice o energetickej efektívnosti 2023/1791 V zákone sú základné rámce povinností a detaily budú predmetom samostatných vyhlášok zabezpečované riadnym legislatívnym procesom Predmetné návrhy vyhlášok, v ktorých budú rozpracované všetky detailné princípy, sú nasledovné: k cieľom, plánom a opatreniam energetickej efektívnosti, k energetickej účinnosti a faktorom primárnej energie, k monitorovaciemu systému a súboru údajov, do monitorovacieho systému k  registrom energetickej efektívnosti. k energetickej efektívnosti dátových centier, o odbornej spôsobilosti v energetickej efektívnosti, o energetickom audite a o systéme energetického manažérstva,  energetických službách, k informovaniu energetickej efektívnosti, k financovaniu energetickej efektívnosti, k aplikácii zásady prvoradosti energetickej efektívnosti, o účinnom centralizovanom zásobovaní teplom, ku komplexnému posúdeniu vykurovania a chladenia. Návrh metodických usmernení: k energetickým službám, k miestnym a regionálnym koncepciám v tepelnej energetike Základné tézy vyhlášok a metodických usmernení sú súčasťou predkladaného zákona</w:t>
            </w:r>
          </w:p>
        </w:tc>
      </w:tr>
      <w:tr w:rsidR="00FE0F3E" w:rsidRPr="006278D2" w14:paraId="6A3818D1" w14:textId="78C9D167" w:rsidTr="00725D29">
        <w:trPr>
          <w:trHeight w:val="1905"/>
        </w:trPr>
        <w:tc>
          <w:tcPr>
            <w:tcW w:w="975" w:type="dxa"/>
            <w:hideMark/>
          </w:tcPr>
          <w:p w14:paraId="66F0A2E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864.</w:t>
            </w:r>
          </w:p>
        </w:tc>
        <w:tc>
          <w:tcPr>
            <w:tcW w:w="2656" w:type="dxa"/>
            <w:hideMark/>
          </w:tcPr>
          <w:p w14:paraId="38A5923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2E81BB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D7BB7A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8 nový ods. 9 </w:t>
            </w:r>
            <w:r w:rsidRPr="00BC49FC">
              <w:rPr>
                <w:rFonts w:ascii="Times New Roman" w:hAnsi="Times New Roman" w:cs="Times New Roman"/>
              </w:rPr>
              <w:t>V čl. I sa § 8 dopĺňa odsekom 9, ktorý znie: „(9) Gestor opatrenia energetickej efektívnosti a poskytovateľ financovania energetickej efektívnosti pre verejný sektor sú povinní nastaviť podmienky financovania opatrenia energetickej efektívnosti na obnovu verejných budov tak, aby sa pre ich realizáciu vyžadovalo doplnenie garantovanou energetickou službou pre verejný sektor podľa § 32.“.  Odôvodnenie: Rešpektovanie princípu prvoradosti energetickej efektívnosti pri obnove verejných budov znamená potrebu prednostného využitia garantovaných energetických služieb z dôvodu efektívnejšieho využitia verejných zdrojov, mobilizácie súkromného kapitálu s následkom v podobe pákového efektu a v neposlednom rade prostredníctvom zmeny správania sa vlastníka, či správcu verejnej budovy, ktoré je spojené s dosahovaním úspor v schéme garantovanej energetickej služby. Aj keď návrh zákona (čl. I) nemožno považovať za dostatočne kvalitnú transpozíciu smernice o energetickej efektívnosti, do zákona je vhodné implementovať aspoň túto základnú požiadavku vyplývajúcu z princípu prvoradosti energetickej efektívnosti.     Pripomienka je zásadná.</w:t>
            </w:r>
          </w:p>
        </w:tc>
        <w:tc>
          <w:tcPr>
            <w:tcW w:w="2264" w:type="dxa"/>
            <w:vAlign w:val="center"/>
            <w:hideMark/>
          </w:tcPr>
          <w:p w14:paraId="6E419E1E" w14:textId="6EEC0E0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665BC8ED" w14:textId="70E378C3"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Už je riešené v § 34. </w:t>
            </w:r>
          </w:p>
        </w:tc>
      </w:tr>
      <w:tr w:rsidR="00FE0F3E" w:rsidRPr="006278D2" w14:paraId="25CBF2B8" w14:textId="06B00618" w:rsidTr="00725D29">
        <w:trPr>
          <w:trHeight w:val="6315"/>
        </w:trPr>
        <w:tc>
          <w:tcPr>
            <w:tcW w:w="975" w:type="dxa"/>
            <w:hideMark/>
          </w:tcPr>
          <w:p w14:paraId="051CF94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865.</w:t>
            </w:r>
          </w:p>
        </w:tc>
        <w:tc>
          <w:tcPr>
            <w:tcW w:w="2656" w:type="dxa"/>
            <w:hideMark/>
          </w:tcPr>
          <w:p w14:paraId="4393A2C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1D7CC6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EC8B8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2 písm. f) a q) </w:t>
            </w:r>
            <w:r w:rsidRPr="00BC49FC">
              <w:rPr>
                <w:rFonts w:ascii="Times New Roman" w:hAnsi="Times New Roman" w:cs="Times New Roman"/>
              </w:rPr>
              <w:t>V čl. III pred bod 1 sa vkladajú nové body 1 a 2, ktoré znejú:  1. „V § 2 písm. f) sa na konci bodka nahrádza bodkočiarkou a dopĺňajú sa slová „konečný spotrebiteľ nemá uzatvorenú zmluvu o dodávke a odbere tepla s dodávateľom,“.  2. V § 2 písm. q) sa slovo „územie“ nahrádza slovami „geograficky ohraničené územie intravilánu obce alebo jej časti“.“.  Nasledujúce body sa primerane prečíslujú.   Odôvodnenie: V súvislosti s transpozíciou smernice o energetickej efektívnosti je nevyhnutné jednoznačne odlíšiť koncového odberateľa (ako osobitný typ odberateľa) od konečného spotrebiteľa, a to formou zdôraznenia, že konečný spotrebiteľ nemá priamy zmluvný vzťah na dodávku a odber tepla s dodávateľom tepla (bod 1).  V novom bode 2 sa navrhuje sprecizovať koncepciu určovania vymedzeného územia pre podnikanie v tepelnej energetike, a to z týchto dôvodov. Už pri  prvom prijatí zákona č. 657/2004 Z. z. o tepelnej energetike v roku 2004 zákonodarca zaviedol pojem „vymedzené územie“, ako územie s povinnosťou distribúcie a dodávky tepla.  Vymedzené územie slúži hlavne na určenie teritória, kde má dodávateľ povinnosť dodávať teplo (napr. dodávateľ centrálneho zásobovania teplom CZT) každému, kto o dodávku písomne požiada, vybuduje si prípojku a uzatvorí zmluvu o dodávke a odbere tepla. Avšak zo strany ÚRSO, ktorý si arbitrárne prisvojil právo vykladať zákon o tepelnej energetike a zmenil arbitrárne, bez zmocňovacieho ustanovenia v zákone úlohu pojmu „vymedzené územie“.  ÚRSO si vykladá pojem „vymedzené územie“ po svojom a za vymedzené územie považuje grafické zakreslenie sústavy tepelných zariadení, teda vymedzené územie je určené zariadeniami a nie plochou (napr. viď. vyjadrenie úradu z 18.mája 2018 Ústrednému inšpektorátu Slovenskej obchodnej inšpekcie). Ministerstvo hospodárstva SR ako navrhovateľ a predkladateľ zákona sa ako zvyčajne k pojmu vymedzené územie nevyjadril. Toto svoje tvrdenie si najnovšie ÚRSO svojvoľne, v rozpore so zákonom o tepelnej energetike, v ktorom sa definícia vymedzeného územia nezmenila od prijatia zákona v roku 2004, ošetril aj vo svojej vyhláške č. 167/2025 Z. z., ktorou sa ustanovujú vzory žiadostí na podnikanie v tepelnej energetike. „Vymedzené územie“ zadefinoval v prílohe č. 2 vyhlášky ako „vymedzené územie s vyznačením zariadení na výrobu tepla a rozvod tepla na katastrálnej mape“. Ak by sme pripustili, že vymedzené územie sa má zhodovať s umiestnením zariadení, na ktorých držiteľ povolenia podniká a nie s územím, ktoré fakticky zásobuje teplom, mohli by sme dospieť k absurdnému záveru, že držiteľovi povolenia nemusí vôbec vzniknúť povinnosť dodávky tepla podľa § 19 ods. 3 písm. a) zákona o tepelnej energetike. Príslušný objekt spotreby tepla, ktorému má byť teplo dodávané, sa spravidla nenachádza na tom istom mieste ako zariadenie na rozvod tepla. Pri takomto výklade (ktorý presadzuje úrad), by tak vyššie uvedené zákonné ustanovenie o predpokladoch vzniku povinnosti dodávky tepla nebolo prakticky realizovateľné. Držiteľovi by nikdy nevznikla povinnosť dodávky, keďže zásobované objekty nie sú spravidla umiestnené na rovnakom mieste ako rozvody tepla. Zákon pritom nikdy nemožno vykladať spôsobom, ktorý je v rozpore s jeho účelom.  Každý dodávateľ tepla podľa zákona musí mať pre svoje podnikanie konkrétne, nie imaginárne, rôznymi vysvetleniami úradu,  územie, na ktorom je povinný distribuovať a dodávať teplo.  Aby nedochádzalo k nezrovnalostiam (napr. aby dodávateľ nemohol diskriminovať odberateľov podľa toho, kde sa nachádzajú v jeho území) a aby nedochádzalo k svojvoľným výkladom úradu, navrhujeme do súčasného znenia „vymedzeného územia“ doplniť „geograficky ohraničené územie intravilánu obce“. Z nálezu Ústavného súdu SR sp. zn. PL. ÚS 6/2019-78 zo dňa 18.11.2020, ako aj z uznesenia Správneho súdu v Banskej Bystrici zo dňa 17.9.2025 sp. zn. 5S/15/2025 jednoznačne vyplýva, že vymedzené územie zahŕňa celé územie, na ktoré sa povolenie vzťahuje, a to bez ohľadu na existenciu fyzicky vybudovaných rozvodov tepla.  Pripomienka je zásadná.</w:t>
            </w:r>
          </w:p>
        </w:tc>
        <w:tc>
          <w:tcPr>
            <w:tcW w:w="2264" w:type="dxa"/>
            <w:vAlign w:val="center"/>
            <w:hideMark/>
          </w:tcPr>
          <w:p w14:paraId="155F909E" w14:textId="3B30491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0E3BC39C" w14:textId="011384AE"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sz w:val="22"/>
                <w:szCs w:val="22"/>
              </w:rPr>
              <w:t>akceptovanie by znamenalo:</w:t>
            </w:r>
            <w:r w:rsidRPr="00BC49FC">
              <w:rPr>
                <w:rFonts w:ascii="Times New Roman" w:hAnsi="Times New Roman" w:cs="Times New Roman"/>
                <w:color w:val="000000"/>
                <w:sz w:val="22"/>
                <w:szCs w:val="22"/>
              </w:rPr>
              <w:br/>
              <w:t>KS môže byť aj s BOST a vtedy môžu nastať situácie, keď KS má uzatvorenú zmluvu na dodávku a odber tepla s dodávateľom</w:t>
            </w:r>
            <w:r w:rsidRPr="00BC49FC">
              <w:rPr>
                <w:rFonts w:ascii="Times New Roman" w:hAnsi="Times New Roman" w:cs="Times New Roman"/>
                <w:color w:val="000000"/>
                <w:sz w:val="22"/>
                <w:szCs w:val="22"/>
              </w:rPr>
              <w:br/>
              <w:t>Novela zákona zavádza osvedčenie pre všetky zdroje v rámci vymedzeného územia, kde akceptovaním tejto zmeny by mohlo dôjsť k nadmernej byrokratickej záťaži. Bola by možná čiastočná akceptácia napr. stanovením "koridoru" vzdialenosti od rozvodov, alebo iného parametra definujúceho pôsobnosť dodávateľa tepla. geograficky ohraničené územie by znamenalo celé katastrálne územie obce.</w:t>
            </w:r>
          </w:p>
        </w:tc>
      </w:tr>
      <w:tr w:rsidR="00FE0F3E" w:rsidRPr="006278D2" w14:paraId="276A6AC2" w14:textId="444ECE31" w:rsidTr="00725D29">
        <w:trPr>
          <w:trHeight w:val="2220"/>
        </w:trPr>
        <w:tc>
          <w:tcPr>
            <w:tcW w:w="975" w:type="dxa"/>
            <w:hideMark/>
          </w:tcPr>
          <w:p w14:paraId="1C2B356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866.</w:t>
            </w:r>
          </w:p>
        </w:tc>
        <w:tc>
          <w:tcPr>
            <w:tcW w:w="2656" w:type="dxa"/>
            <w:hideMark/>
          </w:tcPr>
          <w:p w14:paraId="40AD02A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84C27D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CA08AF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bod 3 § 2 písmená ah), aj), al) a am) </w:t>
            </w:r>
            <w:r w:rsidRPr="00BC49FC">
              <w:rPr>
                <w:rFonts w:ascii="Times New Roman" w:hAnsi="Times New Roman" w:cs="Times New Roman"/>
              </w:rPr>
              <w:t>V čl. III bode 3 v § 2 sa vypúšťajú písmená ah), aj), al) a am). Doterajšie písmená ai) a ak) sa označujú ako písmená ah) a ai).  Odôvodnenie: Vypúšťané písmená ah), aj) a al) obsahujú definície pojmov účinné vykurovanie a chladenie, účinné individuálne vykurovanie a chladenie a zmluvu o nákupe tepla alebo chladu z obnoviteľných zdrojov energie. Tieto pojmy sa však neobjavujú nikde inde v texte zákona, a to ani po navrhovanej novelizácii. Nemajú žiadnu logickú nadväznosť na ustanovenia zákona o tepelnej energetike. Dôvodom je skutočnosť, že zákon o tepelnej energetike upravuje primárne vzťahy súvisiace s podnikaním v tepelnej energetike a nie vzťahy týkajúce sa individuálneho vykurovania a chladenia. Preto by ich právna úprava mala patriť skôr do zákona o energetickej efektívnosti. Rovnako aj problematika zmlúv o nákupe tepla a chladu z obnoviteľných zdrojov patrí skôr do oblasti podpory obnoviteľných zdrojov, ktorú upravuje zákon č. 309/2009 Z. z.   Navyše navrhujeme vypustiť aj písmeno am) obsahujúce definíciu lokálny zdroj, ktorú považujeme za nadbytočnú, pretože z obsahového hľadiska ide o decentralizovaný zdroj tepla a znakom lokálneho zdroja malo byť jeho umiestnenie mimo vymedzeného územia dodávateľa. Uvedené je možné dosiahnuť aj bez ďalšieho zneprehľadňovania terminológie v zákone, a to prostredníctvom úprav, ktoré navrhujeme v § 12 zákona o tepelnej energetike. ,  Pripomienka je zásadná.</w:t>
            </w:r>
          </w:p>
        </w:tc>
        <w:tc>
          <w:tcPr>
            <w:tcW w:w="2264" w:type="dxa"/>
            <w:vAlign w:val="center"/>
            <w:hideMark/>
          </w:tcPr>
          <w:p w14:paraId="2600F4BD" w14:textId="09F64F4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0DB9AE8F" w14:textId="0C8D9609"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Ustanovenia sa presúvajú z 321/2014 do ZoT</w:t>
            </w:r>
          </w:p>
        </w:tc>
      </w:tr>
      <w:tr w:rsidR="00FE0F3E" w:rsidRPr="006278D2" w14:paraId="37F04283" w14:textId="1844A4BD" w:rsidTr="00725D29">
        <w:trPr>
          <w:trHeight w:val="1905"/>
        </w:trPr>
        <w:tc>
          <w:tcPr>
            <w:tcW w:w="975" w:type="dxa"/>
            <w:hideMark/>
          </w:tcPr>
          <w:p w14:paraId="388E60E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867.</w:t>
            </w:r>
          </w:p>
        </w:tc>
        <w:tc>
          <w:tcPr>
            <w:tcW w:w="2656" w:type="dxa"/>
            <w:hideMark/>
          </w:tcPr>
          <w:p w14:paraId="4928623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D4DED0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18B96E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7 a 9 nové body 5 a 6 </w:t>
            </w:r>
            <w:r w:rsidRPr="00BC49FC">
              <w:rPr>
                <w:rFonts w:ascii="Times New Roman" w:hAnsi="Times New Roman" w:cs="Times New Roman"/>
              </w:rPr>
              <w:t>V čl. III sa za bod 4 vkladajú nové body 5 a 6, ktoré znejú:   „5. V § 7 ods. 2 písm. j) sa za slovo „územie“ vkladajú slová „na podnikanie“. „6. V § 9 ods. 2 sa vypúšťa písmeno b). Doterajšie písmená c) až g) sa označujú ako písmená b) až f).“.  Nasledujúce body sa primerane prečíslujú.   Odôvodnenie: Navrhuje sa zosúladiť obsah povolenia na podnikanie v tepelnej energetike vydaným právnickej osobe s povolením vydaným fyzickej osobe (§ 7 ods. 1 písm. h) zákona). V navrhovanom novelizačnom bode 6 sa navrhuje vypustiť mimoriadne prísnu kompetenciu ÚRSO zrušiť povolenie v prípade opakovaného alebo závažného porušenia akejkoľvek povinnosti vyplývajúcej zo zákona. Súčasné znenie zákona bolo prijaté novelou č. 128/2024 Z. z. v čase riešenia krízovej situácie v Humennom, tzv. novela LEX Humenné. Toto znenie zákona dáva úradu neadekvátne právomoci pri zániku alebo zrušení povolenia na podnikanie v tepelnej energetike. Uplatniť túto sankciu (zánik povolenia) za opakované (teda aj len dva krát) porušenie povinností, bez špecifikácie akých (môže byť napr. nedodržanie štandardov kvality a podobne), je v zákone neprípustné. Úrad môže svojvoľne rušiť povolenia na podnikanie.  Pripomienka je zásadná.</w:t>
            </w:r>
          </w:p>
        </w:tc>
        <w:tc>
          <w:tcPr>
            <w:tcW w:w="2264" w:type="dxa"/>
            <w:vAlign w:val="center"/>
            <w:hideMark/>
          </w:tcPr>
          <w:p w14:paraId="03285EC8" w14:textId="4DD7529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bottom"/>
            <w:hideMark/>
          </w:tcPr>
          <w:p w14:paraId="3EC8C9BE" w14:textId="54189244"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Upravu v § 7 je možné akceptovať</w:t>
            </w:r>
            <w:r w:rsidRPr="00BC49FC">
              <w:rPr>
                <w:rFonts w:ascii="Times New Roman" w:hAnsi="Times New Roman" w:cs="Times New Roman"/>
                <w:color w:val="000000"/>
              </w:rPr>
              <w:br/>
              <w:t>§ 9 predmetné ustanovenie bolo zavedené ešte v roku 2004, odvtedy došlo k drobnej úprave z dôvodu situácie v Humennom</w:t>
            </w:r>
          </w:p>
        </w:tc>
      </w:tr>
      <w:tr w:rsidR="00FE0F3E" w:rsidRPr="006278D2" w14:paraId="78B381DE" w14:textId="1FE376BF" w:rsidTr="00725D29">
        <w:trPr>
          <w:trHeight w:val="3165"/>
        </w:trPr>
        <w:tc>
          <w:tcPr>
            <w:tcW w:w="975" w:type="dxa"/>
            <w:hideMark/>
          </w:tcPr>
          <w:p w14:paraId="173466D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868.</w:t>
            </w:r>
          </w:p>
        </w:tc>
        <w:tc>
          <w:tcPr>
            <w:tcW w:w="2656" w:type="dxa"/>
            <w:hideMark/>
          </w:tcPr>
          <w:p w14:paraId="505947D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C264D9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47A5F3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10 ods. 16 bod 5 </w:t>
            </w:r>
            <w:r w:rsidRPr="00BC49FC">
              <w:rPr>
                <w:rFonts w:ascii="Times New Roman" w:hAnsi="Times New Roman" w:cs="Times New Roman"/>
              </w:rPr>
              <w:t>V čl. III sa vypúšťa bod 5.  Odôvodnenie: Ustanovenie povinnosti zohľadňovať princíp prvoradosti energetickej efektívnosti spôsobom, akým je legislatívne naformulované, tzn. bez bližšieho určenia obsahu tejto povinnosti s referenciou len na metodické usmernenie ministerstva hospodárstva (§ 45 ods. 2 písm. a) navrhovaného zákona o energetickej efektívnosti), nemožno považovať za určité a jednoznačné. Takýto postup nemožno považovať za súladný s požiadavkou zákona č. 400/2015 Z. z. o tvorbe právnych predpisov, aby bol právny predpis stručný, vnútorne bezrozporný a aby obsahoval ustanovenia s normatívnym obsahom, ktoré sú systematicky a obsahovo vzájomne previazané.   Ako pritom vyplýva zo smernice 2023/1791 o energetickej efektívnosti, princíp prvoradosti energetickej efektívnosti znamená, že každý podnik, predtým ako investuje do novej výroby energie, sietí alebo dodávok energie, musí najprv posúdiť, či sa rovnaký cieľ nedá lacnejšie, bezpečnejšie alebo spoločensky výhodnejšie dosiahnuť úsporou energie alebo efektívnejším využívaním existujúcej energie. Uplatňovať sa má pri tvorbe politík, plánovaní, pri investičných rozhodnutiach, ako aj pri tvorbe pravidiel na strane dodávky energií. V zákone o energetickej efektívnosti však chýba nielen definícia tohto princípu (odkazuje sa len na znenie nariadenia 2018/1999). Zákon nešpecifikuje ani základné rámce a medze tohto princípu, na základe ktorých by si povinné subjekty mohli sami určiť obsah tejto povinnosti pri plnení svojich úloh. Metodické usmernenia, ktoré má vydávať ministerstvo, majú spornú právnu silu (nie sú vyhláškou ani iným všeobecne záväzným právnym predpisom), čo ešte viac znižuje právnu istotu povinných subjektov. Absentujú akékoľvek transparentné a nediskriminačné nástroje na definovanie týchto metodík, ktoré by umožňovali účasť zainteresovaných osôb pri ich tvorbe a kontrolu ich dodržiavania orgánom dohľadu. Navrhovaná úprava tak možno je stručná, ale nie je systematicky a obsahovo vzájomne previazaná.  Pripomienka je zásadná.</w:t>
            </w:r>
          </w:p>
        </w:tc>
        <w:tc>
          <w:tcPr>
            <w:tcW w:w="2264" w:type="dxa"/>
            <w:vAlign w:val="center"/>
            <w:hideMark/>
          </w:tcPr>
          <w:p w14:paraId="55A3628C" w14:textId="387ACD0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bottom"/>
            <w:hideMark/>
          </w:tcPr>
          <w:p w14:paraId="78087D15" w14:textId="52DF028F"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sz w:val="22"/>
                <w:szCs w:val="22"/>
              </w:rPr>
              <w:t>transpozičné ustanovenie 2023/1793 čl. 3 ods. 1</w:t>
            </w:r>
          </w:p>
        </w:tc>
      </w:tr>
      <w:tr w:rsidR="00FE0F3E" w:rsidRPr="006278D2" w14:paraId="36368766" w14:textId="32321FD8" w:rsidTr="00725D29">
        <w:trPr>
          <w:trHeight w:val="645"/>
        </w:trPr>
        <w:tc>
          <w:tcPr>
            <w:tcW w:w="975" w:type="dxa"/>
            <w:hideMark/>
          </w:tcPr>
          <w:p w14:paraId="198A099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869.</w:t>
            </w:r>
          </w:p>
        </w:tc>
        <w:tc>
          <w:tcPr>
            <w:tcW w:w="2656" w:type="dxa"/>
            <w:hideMark/>
          </w:tcPr>
          <w:p w14:paraId="5F9E23D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0D1EE5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0B11D0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12 ods. 1 </w:t>
            </w:r>
            <w:r w:rsidRPr="00BC49FC">
              <w:rPr>
                <w:rFonts w:ascii="Times New Roman" w:hAnsi="Times New Roman" w:cs="Times New Roman"/>
              </w:rPr>
              <w:t>V čl. III bode 6 v § 12 ods. 1 sa slová „výkonu decentralizovaného zdroja tepla objektu pripojeného na centralizované zásobovanie teplom“ nahrádzajú slovami „inštalovaného výkonu decentralizovaného zdroja tepla pre objekt spotreby tepla umiestnený na vymedzenom území dodávateľa“.  Odôvodnenie: Spresnenie definície.  Pripomienka je zásadná.</w:t>
            </w:r>
          </w:p>
        </w:tc>
        <w:tc>
          <w:tcPr>
            <w:tcW w:w="2264" w:type="dxa"/>
            <w:vAlign w:val="center"/>
            <w:hideMark/>
          </w:tcPr>
          <w:p w14:paraId="45B46453" w14:textId="65C7AB4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4798D82" w14:textId="6D5E85C0"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nové navhované znenie: Výstavbu sústavy tepelných zariadení alebo jej časti a výstavbu alebo zvýšenie inštalovaného výkonu decentralizovaného zdroja tepla pre objekt spotreby tepla umiestnený na vymedzenom území dodávateľa možno uskutočniť len na základe osvedčenia na výstavbu sústavy tepelných zariadení alebo jej časti (ďalej len „osvedčenie“), ktoré vydáva ministerstvo alebo obec. O vydanie osvedčenia môže písomne požiadať fyzická osoba alebo právnická osoba.</w:t>
            </w:r>
          </w:p>
        </w:tc>
      </w:tr>
      <w:tr w:rsidR="00FE0F3E" w:rsidRPr="006278D2" w14:paraId="4B4DF5A5" w14:textId="1A9C60FA" w:rsidTr="00725D29">
        <w:trPr>
          <w:trHeight w:val="1275"/>
        </w:trPr>
        <w:tc>
          <w:tcPr>
            <w:tcW w:w="975" w:type="dxa"/>
            <w:hideMark/>
          </w:tcPr>
          <w:p w14:paraId="64F51F5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870.</w:t>
            </w:r>
          </w:p>
        </w:tc>
        <w:tc>
          <w:tcPr>
            <w:tcW w:w="2656" w:type="dxa"/>
            <w:hideMark/>
          </w:tcPr>
          <w:p w14:paraId="2AC0D4F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2B667E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ABC41B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12 ods. 2 </w:t>
            </w:r>
            <w:r w:rsidRPr="00BC49FC">
              <w:rPr>
                <w:rFonts w:ascii="Times New Roman" w:hAnsi="Times New Roman" w:cs="Times New Roman"/>
              </w:rPr>
              <w:t>V čl. III bode 7 v § 12 odsek 2 znie:  „(2) Osvedčenie sa nevyžaduje pri výstavbe zariadenia na rozvod tepla, ktoré predstavuje rozšírenie, rekonštrukciu alebo modernizáciu existujúceho zariadenia na rozvod tepla v časti vymedzeného územia držiteľa povolenia na rozvod tepla alebo v území bezprostredne nadväzujúcom na vymedzené územie.“.  Odôvodnenie: V zmysle navrhovaného odseku 1 (v § 12) sa osvedčenie vyžaduje pre decentralizované zdroje tepla len v prípade, ak sú objekty spotreby tepla umiestnené na vymedzenom území dodávateľa. Z toho dôvodu nie je potrebné ďalej definovať v odseku 2 osobitnú výnimku z osvedčovacieho procesu pri výstavbe lokálnych zdrojov resp. decentralizovaných zdrojov vo všeobecnosti.   Pripomienka je zásadná.</w:t>
            </w:r>
          </w:p>
        </w:tc>
        <w:tc>
          <w:tcPr>
            <w:tcW w:w="2264" w:type="dxa"/>
            <w:vAlign w:val="center"/>
            <w:hideMark/>
          </w:tcPr>
          <w:p w14:paraId="5332B412" w14:textId="4C1F368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5B32EA28" w14:textId="28C16E7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Návrh ZoT doplnil definíciu lokálneho zdroja tepla a upravil definíciu decentralizovaného zdroja tepla v dôsledku čoho vytvoril pre lokálny zdroj tepla výnimku, nakoľko tento je mimo vymedzeného územia dodávateľa z CZT</w:t>
            </w:r>
          </w:p>
        </w:tc>
      </w:tr>
      <w:tr w:rsidR="00FE0F3E" w:rsidRPr="006278D2" w14:paraId="2E804836" w14:textId="2FFF2831" w:rsidTr="00725D29">
        <w:trPr>
          <w:trHeight w:val="4740"/>
        </w:trPr>
        <w:tc>
          <w:tcPr>
            <w:tcW w:w="975" w:type="dxa"/>
            <w:hideMark/>
          </w:tcPr>
          <w:p w14:paraId="08D5911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871.</w:t>
            </w:r>
          </w:p>
        </w:tc>
        <w:tc>
          <w:tcPr>
            <w:tcW w:w="2656" w:type="dxa"/>
            <w:hideMark/>
          </w:tcPr>
          <w:p w14:paraId="042CB4A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21BC14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DD2099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12 ods. 5 Čl. III § 12 ods. 5 </w:t>
            </w:r>
            <w:r w:rsidRPr="00BC49FC">
              <w:rPr>
                <w:rFonts w:ascii="Times New Roman" w:hAnsi="Times New Roman" w:cs="Times New Roman"/>
              </w:rPr>
              <w:t>V čl. III bode 9 v § 12 ods. 5 sa vypúšťajú slová „ a významnou modernizáciou “ a za slová „výstavbou sústavy tepelných zariadení“ vkladajú slová „alebo decentralizovaného zdroja tepla“, spojka „a“ za slovami „centralizovaného zásobovania teplom“ sa nahrádza spojkou „alebo“ a dopĺňa sa písmeno c), ktoré znie:  „c) zvýšia náklady za teplo koncovým odberateľom, ktorým sa dodáva teplo z účinného centralizovaného zásobovania teplom.“.  Odôvodnenie:  Navrhujeme preformulovať novelizačný bod 9 (v čl. III návrhu zákona) tak, že sa vypustí spojenie „významná modernizácia“. K výstavbe decentralizovaného zdroja môže totiž dôjsť aj pri menšej rekonštrukcii alebo modernizácii, napríklad pri zmene účelu užívania stavby spojenom so stavebnými úpravami v podobe výstavby decentralizovaného zdroja tepla. Zároveň navrhujeme pri výstavbe, ktorá znižuje množstvo odobratého tepla z účinného CZT porovnávať aj výšku nákladov za teplo koncovým odberateľom, ktorým sa dodáva teplo z účinného centralizovaného zásobovania teplom, ako tomu bolo do roku 2022.  Pri vydávaní osvedčenia na zdroje v systéme CZT, ktoré znižujú objem dodaného tepla zo systému CZT, majú negatívny dopad  pre ostatných spotrebiteľov na tom istom systéme CZT, narastie cena tepla. Dôvodom je, že systémy zahŕňajú vo svojej regulovanej tarife aj fixné náklady (náklady na infraštruktúru), ktoré sa už rozpočítavajú na menší objem odobratého tepla, čím rastie jednotková cena pre zostávajúcich odberateľov. Každý nový zdroj tepla znižuje objem odberu, na ktorý sú rozpočítané fixné náklady, čím sa znižuje ekonomická stabilita systému. Ak by došlo k rozsiahlejšiemu budovaniu nových zdrojov, mohlo by to viesť k nerovnováhe a potenciálnemu zhoršeniu podmienok pre všetkých zostávajúcich odberateľov (vyššie ceny, slabšia energetická efektívnosť, väčšie riziko deinvestičných tlakov). Zvýšené náklady pri zostávajúcich spotrebiteľoch v predmetom CZT môže neprimerane postihnúť sociálne zraniteľnejšie skupiny ľudí, ako sú staršie osoby, nízkopríjmové domácnosti či verejné inštitúcie ako školy alebo opatrovateľské domovy. Toto potvrdzuje aj Rozsudok Krajského súdu v Prešove, sp. zn. 4Sp/45/2015 zo dňa 20.10.2016 : „Pokiaľ ide o ekonomickú výhodnosť, táto sa neskúma len z pohľadu odpájaného objektu tepla, t.j. jednostranne, ale je nevyhnutné ju skúmať aj vo vzťahu k tomu, ako sa zvýšia náklady za teplo ostatným odberateľom, ktorým sa dodáva teplo z CZT, a to v dôsledku zníženia odberu tepla z CZT. “  Jadro problému, ktoré sa snažíme vyriešiť je v tom, že štát podporuje dotáciami nové zdroje priamo v objektoch zásobovaných teplom z CZT. Tým ohrozuje stabilitu CZT. A absurdné je, že ten istý štát podporuje dotáciami aj systémy CZT. Problém spočíva v tom, že nastavený trend rozloží systémy CZT, lebo pri úbytku tepla cca 30-40 % prevádzkovanie systému stráca zmysel (údaje z Dánska) a systém zanikne. Štát však nemá pripravenú žiadnu alternatívu. Pozor, energetická transformácia vykurovania bez koncepcie sa môže zmeniť na sociálnu krízu.  Pripomienka je zásadná.</w:t>
            </w:r>
          </w:p>
        </w:tc>
        <w:tc>
          <w:tcPr>
            <w:tcW w:w="2264" w:type="dxa"/>
            <w:vAlign w:val="center"/>
            <w:hideMark/>
          </w:tcPr>
          <w:p w14:paraId="3DC604E6" w14:textId="1620C87E"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70B6C3BE" w14:textId="70381BB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xml:space="preserve">návrh nového znenia: Ministerstvo alebo obec osvedčenie podľa odseku 1 nevydá, ak sa výstavbou </w:t>
            </w:r>
            <w:r w:rsidRPr="00BC49FC">
              <w:rPr>
                <w:rFonts w:ascii="Times New Roman" w:hAnsi="Times New Roman" w:cs="Times New Roman"/>
                <w:b/>
                <w:bCs/>
                <w:color w:val="000000"/>
                <w:u w:val="single"/>
              </w:rPr>
              <w:t>alebo</w:t>
            </w:r>
            <w:r w:rsidRPr="00BC49FC">
              <w:rPr>
                <w:rFonts w:ascii="Times New Roman" w:hAnsi="Times New Roman" w:cs="Times New Roman"/>
                <w:b/>
                <w:bCs/>
                <w:color w:val="000000"/>
              </w:rPr>
              <w:t xml:space="preserve"> významnou modernizáciou sústavy tepelných zariadení zníži odber tepla z existujúceho účinného centralizovaného zásobovania teplom a v porovnaní s týmto existujúcim zásobovaním tepla sa preukázateľne na základe energetického auditu podľa osobitného predpisu12e)</w:t>
            </w:r>
            <w:r w:rsidRPr="00BC49FC">
              <w:rPr>
                <w:rFonts w:ascii="Times New Roman" w:hAnsi="Times New Roman" w:cs="Times New Roman"/>
                <w:b/>
                <w:bCs/>
                <w:color w:val="000000"/>
              </w:rPr>
              <w:br/>
              <w:t>doplnenie textu: alebo decentralizovaného zdroja tepla nemá opodstatnenie, nakoľko definícia sústavy tep. zariadení obsahuje aj výrobu tepla (všeobecne)</w:t>
            </w:r>
          </w:p>
        </w:tc>
      </w:tr>
      <w:tr w:rsidR="00FE0F3E" w:rsidRPr="006278D2" w14:paraId="3C3E1B7C" w14:textId="7DF722A8" w:rsidTr="00725D29">
        <w:trPr>
          <w:trHeight w:val="1590"/>
        </w:trPr>
        <w:tc>
          <w:tcPr>
            <w:tcW w:w="975" w:type="dxa"/>
            <w:hideMark/>
          </w:tcPr>
          <w:p w14:paraId="0A5F009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872.</w:t>
            </w:r>
          </w:p>
        </w:tc>
        <w:tc>
          <w:tcPr>
            <w:tcW w:w="2656" w:type="dxa"/>
            <w:hideMark/>
          </w:tcPr>
          <w:p w14:paraId="79A61A1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444970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6631FA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10 ods. 6 </w:t>
            </w:r>
            <w:r w:rsidRPr="00BC49FC">
              <w:rPr>
                <w:rFonts w:ascii="Times New Roman" w:hAnsi="Times New Roman" w:cs="Times New Roman"/>
              </w:rPr>
              <w:t>V čl. III bode 10 v § 12 odsek 6 znie:  „(6) Ministerstvo alebo obec osvedčenie podľa odseku 1 nevydá ani vtedy, ak sa po výstavbe sústavy tepelných zariadení alebo decentralizovaného zdroja tepla zvýši miera používania fosílnych palív, alebo sa pri výstavbe sústavy tepelných zariadení centralizovaného zásobovania teplom zvýši miera používania fosílnych palív iných než zemný plyn v porovnaní s ročnou spotrebou, ktorá sa stanoví ako priemer za predchádzajúce tri kalendárne roky úplnej prevádzky pred výstavbou alebo významnou modernizáciou alebo sa majú využívať nové zdroje tepla v centralizovanom zásobovaní teplom, ktoré používajú fosílne palivá iné než zemný plyn.“.  Odôvodnenie:  Navrhujeme doplniť do ustanovenia novo navrhovaného odseku 6 (v § 12) aj decentralizovaný zdroj tepla, pri ktorom by mali platiť rovnaké pravidlá využívania fosílnych palív ako u zariadení CZT.  Pripomienka je zásadná.</w:t>
            </w:r>
          </w:p>
        </w:tc>
        <w:tc>
          <w:tcPr>
            <w:tcW w:w="2264" w:type="dxa"/>
            <w:vAlign w:val="center"/>
            <w:hideMark/>
          </w:tcPr>
          <w:p w14:paraId="23C1BBA9" w14:textId="507CC8C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A48F725" w14:textId="782EE3C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5F13D03B" w14:textId="57D0AB49" w:rsidTr="00725D29">
        <w:trPr>
          <w:trHeight w:val="4110"/>
        </w:trPr>
        <w:tc>
          <w:tcPr>
            <w:tcW w:w="975" w:type="dxa"/>
            <w:hideMark/>
          </w:tcPr>
          <w:p w14:paraId="35B1441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873.</w:t>
            </w:r>
          </w:p>
        </w:tc>
        <w:tc>
          <w:tcPr>
            <w:tcW w:w="2656" w:type="dxa"/>
            <w:hideMark/>
          </w:tcPr>
          <w:p w14:paraId="6C8E946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4E0100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2D3C9D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12 ods. 9,10 a12 nové body 12 a 13 </w:t>
            </w:r>
            <w:r w:rsidRPr="00BC49FC">
              <w:rPr>
                <w:rFonts w:ascii="Times New Roman" w:hAnsi="Times New Roman" w:cs="Times New Roman"/>
              </w:rPr>
              <w:t>V čl. III sa za bod 11 vkladajú nové body 12 a 13, ktoré znejú: „12. V § 12 ods. 9, 11 a 12 sa za slová „sústava tepelných zariadení“ v príslušnom gramatickom tvare vkladajú slová „alebo decentralizovaný zdroj tepla“ v príslušnom gramatickom tvare.  „13. § 12 sa dopĺňa odsekom 14, ktorý znie:  „(14) Prostriedky mechanizmu na podporu obnovy a odolnosti podľa osobitného predpisu13d), príspevky a príspevky na finančné nástroje poskytované z fondov Európskej únie podľa osobitného predpisu13e) a inú podporu financovanú z prostriedkov Európskej únie alebo štátneho rozpočtu nemožno poskytnúť na výstavbu decentralizovaného zdroja tepla, ak by svojou prevádzkou zhoršil hospodárnosť účinného centralizovaného zásobovania teplom, do ktorého je objekt spotreby tepla pripojený, najmä zvýšením strát pri výrobe tepla alebo rozvode tepla. To platí aj pre nový objekt spotreby tepla, ak sa naň vzťahujú povinnosti pripojenia k účinnému centralizovanému zásobovaniu teplom a pokrytia potreby tepla od dodávateľa z účinného centralizovaného zásobovania teplom podľa § 21 ods. 4.“  Poznámky pod čiarou k odkazom 13d a 13e znejú: „13d) zákon č. 368/2021 Z. z. o mechanizme na podporu obnovy a odolnosti a o zmene a doplnení niektorých zákonov v znení neskorších predpisov. 13e) zákon č. 121/2022 Z. z. o príspevkoch z fondov Európskej únie a o zmene a doplnení niektorých zákonov v znení neskorších predpisov.“.   Nasledujúce body sa primerane prečíslujú.  Odôvodnenie:  Z dôvodu navrhovaného rozlišovania medzi pojmom sústava tepelných zariadení a decentralizovaný zdroj navrhujeme zohľadniť toto rozlíšenie vo všetkých odsekoch § 12. V súčasnosti dochádza k podpore výstavby decentralizovaných zdrojov tepla v systémoch CZT z EŠIF, Modernizačného fondu a zo Štátneho fondu na podporu bývania.  Súčasne  z týchto verejných zdrojov dochádza aj k podpore systémov CZT pri prechode na účinné CZT v zmysle Smernice o EE. V podstate ide reálne o plytvanie verejných zdrojov, lebo na jednej strane podporujem výstavbu decentralizovaných zdrojov, ktoré odoberajú teplo zo systému CZT a súčasne podporujem aj investície do systémov CZT, ktoré nastavujú projekty zdrojov a rozvodov na určitý odber tepla. V Českej republike daný problém ošetrili v zákone tým, že investičnú podporu a decentralizované zdroje v systémoch nepovoľujú. Pri otázkach prečo vypisuje štát takúto podporu decentralizovaných zdrojov v systémoch CZT, odpoveď – „musíme.  Nemáme zmocnenie na to, aby sme decentralizované zdroje v systémoch CZT nepodporili.“  Pripomienka je zásadná.</w:t>
            </w:r>
          </w:p>
        </w:tc>
        <w:tc>
          <w:tcPr>
            <w:tcW w:w="2264" w:type="dxa"/>
            <w:vAlign w:val="center"/>
            <w:hideMark/>
          </w:tcPr>
          <w:p w14:paraId="61F3FDA6" w14:textId="2580B134"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6856A564" w14:textId="4DB013DE"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Definícia sústavy tepelných zariadení už obsahuje zariadenia na výrobu, rozvod a spotrebu tepla - došlo by k duplicite. § 2 písm. l</w:t>
            </w:r>
          </w:p>
        </w:tc>
      </w:tr>
      <w:tr w:rsidR="00FE0F3E" w:rsidRPr="006278D2" w14:paraId="33EE84C8" w14:textId="78B8D0BC" w:rsidTr="00725D29">
        <w:trPr>
          <w:trHeight w:val="4110"/>
        </w:trPr>
        <w:tc>
          <w:tcPr>
            <w:tcW w:w="975" w:type="dxa"/>
            <w:hideMark/>
          </w:tcPr>
          <w:p w14:paraId="16285EA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874.</w:t>
            </w:r>
          </w:p>
        </w:tc>
        <w:tc>
          <w:tcPr>
            <w:tcW w:w="2656" w:type="dxa"/>
            <w:hideMark/>
          </w:tcPr>
          <w:p w14:paraId="25C3B96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0AC9FF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982017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15 ods. 1 nový bod 13 </w:t>
            </w:r>
            <w:r w:rsidRPr="00BC49FC">
              <w:rPr>
                <w:rFonts w:ascii="Times New Roman" w:hAnsi="Times New Roman" w:cs="Times New Roman"/>
              </w:rPr>
              <w:t>V čl. III sa za bod 12 vkladá nový bod 13, ktorý znie:   „13. V § 15 ods. 1 písm. c) sa slová „dodávateľa z účinného centralizovaného zásobovania teplom pri dodávke tepla do objektu spotrebu tepla koncového odberateľa, ktorý skončil odber tepla dohodou alebo na základe zákona z dôvodov podľa § 20 ods. 2 písm. d)“ nahrádzajú slovami „dodávateľa z centralizovaného zásobovania teplom pri dodávke tepla do objektu spotreby tepla koncového odberateľa, ktorý si teplo alebo jeho časť vyrába v decentralizovanom zdroji tepla“.“.  Nasledujúce body sa primerane prečíslujú.   Odôvodnenie: Súčasné znenie písm. c) považujeme za zmätočné. V podstate umožňuje dodávku tepla za neregulovanú cenu, ale len pre odberateľa, ktorý skončil odber tepla, čo je logický nezmysel. Dnešná plošná regulácia cien tepla je v neprospech tých, ktorí odoberajú teplo len zo systému CZT. Objekty spotreby tepla s vlastným decentralizovaným zdrojom tepla, ktorým si vyrábajú časť tepla sami, zostávajúcu časť tepla zo systému majú za cenu rovnakú ako ostatní spotrebitelia. Pritom systém CZT im mimo dodávky časti tepla zabezpečuje aj 100 % rezervu pre prípad výpadku ich zdroja tepla, lebo v zmysle zákona je dodávateľ povinný „dodávať teplo z verejného rozvodu tepla na vymedzenom území každému, kto o dodávku tepla písomne požiada, má vybudovanú tepelnú prípojku“ (§19 ods. 3 písm. b) zákona). Systém CZT je  prepojený mechanizmus, v ktorom platí, že keď sa mení štruktúra odberu u jedného objektu, tak sa mení aj nákladová báza zvyšných používateľov. Objekty s vlastným zdrojom tepla v systéme znižujú objem odberu, na ktorý sú rozpočítané fixné náklady, čím znižujú ekonomickú stabilitu systému a spôsobujú vyššie ceny tepla a tým postihujú sociálne zraniteľnejšie skupiny ľudí ako sú staršie osoby, nízkopríjmové domácnosti, či verejné inštitúcie ako školy alebo opatrovateľské domovy. V podstate všetky zvýšené náklady spôsobené vlastnými zdrojmi tepla sú socializované na všetkých zostávajúcich spotrebiteľov.  ÚRSO je o tomto probléme dlhodobo informované, avšak nepredložil riešenie, ktoré by eliminovalo zvyšovanie nákladov za teplo z dôvodu výstavby decentralizovaných zdrojov tepla. Navrhujeme, aby dodávka tepla pre takéto objekty nepodliehala regulácii a zakotviť to v zákone. Tým sa vytvoria spravodlivé podmienky pre nastavenie cenotvorby v systéme tak, aby neboli postihnuté sociálne zraniteľnejšie skupiny ľudí, ako sú staršie osoby, nízkopríjmové domácnosti a podobne. Je to ochrana verejného záujmu aj technickej bezpečnosti systému.  Pripomienka je zásadná.</w:t>
            </w:r>
          </w:p>
        </w:tc>
        <w:tc>
          <w:tcPr>
            <w:tcW w:w="2264" w:type="dxa"/>
            <w:vAlign w:val="center"/>
            <w:hideMark/>
          </w:tcPr>
          <w:p w14:paraId="6B7E8B7D" w14:textId="7AEF278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70BA3E22" w14:textId="7E7A93FE"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Súčasné znenie ZoT už rieši špičkovú dodávku tepla z UCZT, požadovaná zmena by znamenala vytvorenie špičkovej dodávky tepla pre neúčinné CZT.</w:t>
            </w:r>
          </w:p>
        </w:tc>
      </w:tr>
      <w:tr w:rsidR="00FE0F3E" w:rsidRPr="006278D2" w14:paraId="627563A9" w14:textId="00A5A35E" w:rsidTr="00725D29">
        <w:trPr>
          <w:trHeight w:val="645"/>
        </w:trPr>
        <w:tc>
          <w:tcPr>
            <w:tcW w:w="975" w:type="dxa"/>
            <w:hideMark/>
          </w:tcPr>
          <w:p w14:paraId="6068ABD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875.</w:t>
            </w:r>
          </w:p>
        </w:tc>
        <w:tc>
          <w:tcPr>
            <w:tcW w:w="2656" w:type="dxa"/>
            <w:hideMark/>
          </w:tcPr>
          <w:p w14:paraId="2A9475D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C79E88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BD9CBE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1 </w:t>
            </w:r>
            <w:r w:rsidRPr="00BC49FC">
              <w:rPr>
                <w:rFonts w:ascii="Times New Roman" w:hAnsi="Times New Roman" w:cs="Times New Roman"/>
              </w:rPr>
              <w:t>V čl. III bode 22 v § 18b ods. 1 písm. b), c), d), e) a f) sa slová „vyrobeného aspoň z“ nahrádzajú slovami „aspoň“.  Odôvodnenie :  Legislatívno-technické upresnenia.  Pripomienka je zásadná.</w:t>
            </w:r>
          </w:p>
        </w:tc>
        <w:tc>
          <w:tcPr>
            <w:tcW w:w="2264" w:type="dxa"/>
            <w:vAlign w:val="center"/>
            <w:hideMark/>
          </w:tcPr>
          <w:p w14:paraId="3D6FF605" w14:textId="4F83FF3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0B3DF1E4" w14:textId="3F8C687E"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2023/1793 čl. 26 úprava by bola mimo dikciu smernice.</w:t>
            </w:r>
          </w:p>
        </w:tc>
      </w:tr>
      <w:tr w:rsidR="00FE0F3E" w:rsidRPr="006278D2" w14:paraId="6D0E86CB" w14:textId="26940C52" w:rsidTr="00725D29">
        <w:trPr>
          <w:trHeight w:val="645"/>
        </w:trPr>
        <w:tc>
          <w:tcPr>
            <w:tcW w:w="975" w:type="dxa"/>
            <w:hideMark/>
          </w:tcPr>
          <w:p w14:paraId="4C7D2E3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876.</w:t>
            </w:r>
          </w:p>
        </w:tc>
        <w:tc>
          <w:tcPr>
            <w:tcW w:w="2656" w:type="dxa"/>
            <w:hideMark/>
          </w:tcPr>
          <w:p w14:paraId="7962324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72F4F7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D077BE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1 </w:t>
            </w:r>
            <w:r w:rsidRPr="00BC49FC">
              <w:rPr>
                <w:rFonts w:ascii="Times New Roman" w:hAnsi="Times New Roman" w:cs="Times New Roman"/>
              </w:rPr>
              <w:t>V čl. III bode 22 v § 18b ods. 1 písm. b), c), d) e) a f) tretí bod sa vypúšťa slovo „kombinácie“.  Odôvodnenie :  Legislatívno-technické upresnenia.  Pripomienka je zásadná.</w:t>
            </w:r>
          </w:p>
        </w:tc>
        <w:tc>
          <w:tcPr>
            <w:tcW w:w="2264" w:type="dxa"/>
            <w:vAlign w:val="center"/>
            <w:hideMark/>
          </w:tcPr>
          <w:p w14:paraId="2328AB81" w14:textId="0D48343E"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6A482709" w14:textId="08916EF0"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2023/1793 čl. 26 úprava by bola mimo dikciu smernice.</w:t>
            </w:r>
          </w:p>
        </w:tc>
      </w:tr>
      <w:tr w:rsidR="00FE0F3E" w:rsidRPr="006278D2" w14:paraId="43CE95DB" w14:textId="744CE156" w:rsidTr="00725D29">
        <w:trPr>
          <w:trHeight w:val="645"/>
        </w:trPr>
        <w:tc>
          <w:tcPr>
            <w:tcW w:w="975" w:type="dxa"/>
            <w:hideMark/>
          </w:tcPr>
          <w:p w14:paraId="6156039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877.</w:t>
            </w:r>
          </w:p>
        </w:tc>
        <w:tc>
          <w:tcPr>
            <w:tcW w:w="2656" w:type="dxa"/>
            <w:hideMark/>
          </w:tcPr>
          <w:p w14:paraId="3BD5B79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0EFF02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FDBA2D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1 </w:t>
            </w:r>
            <w:r w:rsidRPr="00BC49FC">
              <w:rPr>
                <w:rFonts w:ascii="Times New Roman" w:hAnsi="Times New Roman" w:cs="Times New Roman"/>
              </w:rPr>
              <w:t>V čl. III bode 22 v § 18b ods. 1 písm. b) piaty bod znie:   „5.  50 % energie z obnoviteľných zdrojov energie, odpadového tepla a tepla z vysokoúčinnej kombinovanej výroby, pričom podiel energie z obnoviteľných zdrojov energie predstavuje aspoň 5 %,“.   Odôvodnenie:  Legislatívno-technické upresnenia.  Pripomienka je zásadná.</w:t>
            </w:r>
          </w:p>
        </w:tc>
        <w:tc>
          <w:tcPr>
            <w:tcW w:w="2264" w:type="dxa"/>
            <w:vAlign w:val="center"/>
            <w:hideMark/>
          </w:tcPr>
          <w:p w14:paraId="0801DF55" w14:textId="517DEEB6"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4AE16438" w14:textId="5D78A252"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2023/1793 čl. 26 kde je definované 80% VUKVET, navrhovaná úprava to nezohľadňuje.</w:t>
            </w:r>
          </w:p>
        </w:tc>
      </w:tr>
      <w:tr w:rsidR="00FE0F3E" w:rsidRPr="006278D2" w14:paraId="257EC5A5" w14:textId="1FE164A9" w:rsidTr="00725D29">
        <w:trPr>
          <w:trHeight w:val="645"/>
        </w:trPr>
        <w:tc>
          <w:tcPr>
            <w:tcW w:w="975" w:type="dxa"/>
            <w:hideMark/>
          </w:tcPr>
          <w:p w14:paraId="6757C06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878.</w:t>
            </w:r>
          </w:p>
        </w:tc>
        <w:tc>
          <w:tcPr>
            <w:tcW w:w="2656" w:type="dxa"/>
            <w:hideMark/>
          </w:tcPr>
          <w:p w14:paraId="2C7D4B6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DC3287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2F3C92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1 </w:t>
            </w:r>
            <w:r w:rsidRPr="00BC49FC">
              <w:rPr>
                <w:rFonts w:ascii="Times New Roman" w:hAnsi="Times New Roman" w:cs="Times New Roman"/>
              </w:rPr>
              <w:t>V čl. III bode 22 v § 18b ods. 1 písm. c) štvrtý bod znie:  „4.  80 % energie z obnoviteľných zdrojov energie, odpadového tepla a tepla z vysokoúčinnej kombinovanej výroby, pričom podiel energie z obnoviteľných zdrojov energie alebo odpadového tepla predstavuje aspoň 35 %,“.  Odôvodnenie :  Legislatívno-technické upresnenia.  Pripomienka je zásadná.</w:t>
            </w:r>
          </w:p>
        </w:tc>
        <w:tc>
          <w:tcPr>
            <w:tcW w:w="2264" w:type="dxa"/>
            <w:vAlign w:val="center"/>
            <w:hideMark/>
          </w:tcPr>
          <w:p w14:paraId="7D789CEE" w14:textId="12E4582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17294668" w14:textId="77F7FDB3"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2023/1793 čl. 26 kde je definované chýba slovo "aspoň" 80%, navrahovaná úprava to nezohľadňuje</w:t>
            </w:r>
            <w:r>
              <w:rPr>
                <w:rFonts w:ascii="Times New Roman" w:hAnsi="Times New Roman" w:cs="Times New Roman"/>
                <w:color w:val="000000"/>
              </w:rPr>
              <w:t>.</w:t>
            </w:r>
          </w:p>
        </w:tc>
      </w:tr>
      <w:tr w:rsidR="00FE0F3E" w:rsidRPr="006278D2" w14:paraId="06A4450F" w14:textId="35111658" w:rsidTr="00725D29">
        <w:trPr>
          <w:trHeight w:val="645"/>
        </w:trPr>
        <w:tc>
          <w:tcPr>
            <w:tcW w:w="975" w:type="dxa"/>
            <w:hideMark/>
          </w:tcPr>
          <w:p w14:paraId="0B7117D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879.</w:t>
            </w:r>
          </w:p>
        </w:tc>
        <w:tc>
          <w:tcPr>
            <w:tcW w:w="2656" w:type="dxa"/>
            <w:hideMark/>
          </w:tcPr>
          <w:p w14:paraId="0CAB94B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D7486D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A65006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1 </w:t>
            </w:r>
            <w:r w:rsidRPr="00BC49FC">
              <w:rPr>
                <w:rFonts w:ascii="Times New Roman" w:hAnsi="Times New Roman" w:cs="Times New Roman"/>
              </w:rPr>
              <w:t>V čl. III bode 22 v § 18b ods. 1 písm. d) štvrtý bod znie:  „4.  95 % energie z obnoviteľných zdrojov energie, odpadového tepla a tepla z vysokoúčinnej kombinovanej výroby, pričom podiel energie z obnoviteľných zdrojov energie alebo odpadového tepla predstavuje aspoň 35 %,“.  Odôvodnenie:  Legislatívno-technické upresnenia.  Pripomienka je zásadná.</w:t>
            </w:r>
          </w:p>
        </w:tc>
        <w:tc>
          <w:tcPr>
            <w:tcW w:w="2264" w:type="dxa"/>
            <w:vAlign w:val="center"/>
            <w:hideMark/>
          </w:tcPr>
          <w:p w14:paraId="3FCE4325" w14:textId="66C3BD9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66F2AB58" w14:textId="6C2FF73F"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2023/1793 čl. 26 kde je definované chýba slovo "aspoň" 95%, navrhovaná úprava to nezohľadňuje.</w:t>
            </w:r>
          </w:p>
        </w:tc>
      </w:tr>
      <w:tr w:rsidR="00FE0F3E" w:rsidRPr="006278D2" w14:paraId="26950F8C" w14:textId="0065C3AE" w:rsidTr="00725D29">
        <w:trPr>
          <w:trHeight w:val="645"/>
        </w:trPr>
        <w:tc>
          <w:tcPr>
            <w:tcW w:w="975" w:type="dxa"/>
            <w:hideMark/>
          </w:tcPr>
          <w:p w14:paraId="66FA0E1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880.</w:t>
            </w:r>
          </w:p>
        </w:tc>
        <w:tc>
          <w:tcPr>
            <w:tcW w:w="2656" w:type="dxa"/>
            <w:hideMark/>
          </w:tcPr>
          <w:p w14:paraId="21FC5B2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942DC1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50212C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2 </w:t>
            </w:r>
            <w:r w:rsidRPr="00BC49FC">
              <w:rPr>
                <w:rFonts w:ascii="Times New Roman" w:hAnsi="Times New Roman" w:cs="Times New Roman"/>
              </w:rPr>
              <w:t>V čl. III bode 22 v § 18b ods. 2 sa slová „spĺňa maximálne“ nahrádzajú slovom „neprekročí“ a slová „, ktorým je“ sa nahrádzajú dvojbodkou.  Odôvodnenie:  Legislatívno-technické upresnenia.  Pripomienka je zásadná.</w:t>
            </w:r>
          </w:p>
        </w:tc>
        <w:tc>
          <w:tcPr>
            <w:tcW w:w="2264" w:type="dxa"/>
            <w:vAlign w:val="center"/>
            <w:hideMark/>
          </w:tcPr>
          <w:p w14:paraId="7B98485E" w14:textId="236DAE7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1C1D2EB1" w14:textId="072D27E6"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2023/1793 čl. 26 úprava by bola mimo dikciu smernice čl. 26 ods. 2.</w:t>
            </w:r>
          </w:p>
        </w:tc>
      </w:tr>
      <w:tr w:rsidR="00FE0F3E" w:rsidRPr="006278D2" w14:paraId="4D0DA58F" w14:textId="52E9B735" w:rsidTr="00725D29">
        <w:trPr>
          <w:trHeight w:val="645"/>
        </w:trPr>
        <w:tc>
          <w:tcPr>
            <w:tcW w:w="975" w:type="dxa"/>
            <w:hideMark/>
          </w:tcPr>
          <w:p w14:paraId="3F82402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881.</w:t>
            </w:r>
          </w:p>
        </w:tc>
        <w:tc>
          <w:tcPr>
            <w:tcW w:w="2656" w:type="dxa"/>
            <w:hideMark/>
          </w:tcPr>
          <w:p w14:paraId="02E31CC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DD3387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B29D59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3 </w:t>
            </w:r>
            <w:r w:rsidRPr="00BC49FC">
              <w:rPr>
                <w:rFonts w:ascii="Times New Roman" w:hAnsi="Times New Roman" w:cs="Times New Roman"/>
              </w:rPr>
              <w:t>V čl. III bode 22 v § 18b ods. 3 sa slová „využívania účinného centralizovaného zásobovania teplom“ nahrádzajú slovami „uplatňovania kritérií“.  Odôvodnenie :  Legislatívno-technické upresnenia.  Pripomienka je zásadná.</w:t>
            </w:r>
          </w:p>
        </w:tc>
        <w:tc>
          <w:tcPr>
            <w:tcW w:w="2264" w:type="dxa"/>
            <w:vAlign w:val="center"/>
            <w:hideMark/>
          </w:tcPr>
          <w:p w14:paraId="5EF4FB91" w14:textId="159F1AA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7763DC76" w14:textId="457AA0F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518FC545" w14:textId="47AE5A9F" w:rsidTr="00725D29">
        <w:trPr>
          <w:trHeight w:val="1275"/>
        </w:trPr>
        <w:tc>
          <w:tcPr>
            <w:tcW w:w="975" w:type="dxa"/>
            <w:hideMark/>
          </w:tcPr>
          <w:p w14:paraId="1F95412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882.</w:t>
            </w:r>
          </w:p>
        </w:tc>
        <w:tc>
          <w:tcPr>
            <w:tcW w:w="2656" w:type="dxa"/>
            <w:hideMark/>
          </w:tcPr>
          <w:p w14:paraId="3BF2609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C6F993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0563E4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4 a 6 </w:t>
            </w:r>
            <w:r w:rsidRPr="00BC49FC">
              <w:rPr>
                <w:rFonts w:ascii="Times New Roman" w:hAnsi="Times New Roman" w:cs="Times New Roman"/>
              </w:rPr>
              <w:t>V čl. III bode 22 v § 18b sa vypúšťa odsek 4 a odsek 6. Doterajšie odseky 5, 7 a 8 sa označujú ako odseky 4, 5 a 6.  Odôvodnenie: Uvedené ustanovenia zavádzajú povinnosti nad rámec smernice, ktorá v článku 26 odsek 4 požaduje len to, aby sa systém centralizovaného zásobovania teplom a chladom, ktorý sa buduje alebo ktorého dodávkové jednotky sa významne obnovujú, považoval za účinný; členské štáty zabezpečia, aby spĺňal kritériá stanovené v odseku 1 alebo 2 platné v čase, keď začína svoju prevádzku alebo v nej po obnove pokračuje. Smernica neobmedzuje výstavbu alebo modernizáciu systému CZT, ktorý nebude považovaný za účinný systém CZT.  Pripomienka je zásadná.</w:t>
            </w:r>
          </w:p>
        </w:tc>
        <w:tc>
          <w:tcPr>
            <w:tcW w:w="2264" w:type="dxa"/>
            <w:vAlign w:val="center"/>
            <w:hideMark/>
          </w:tcPr>
          <w:p w14:paraId="479F2AF0" w14:textId="177018B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403F2589" w14:textId="6A604758"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2023/1791 čl. 26 smernica požaduje, aby novopostavené a významne modernizované spĺňali kritériá ods. 1 a 2, rovnako ako požaduje návrh ZoT, Smernica neumožňuje výnimku pre "neúčinné CZT" predpokladá existenciu len účinných CZT.</w:t>
            </w:r>
          </w:p>
        </w:tc>
      </w:tr>
      <w:tr w:rsidR="00FE0F3E" w:rsidRPr="006278D2" w14:paraId="05D45BE5" w14:textId="14C08EE2" w:rsidTr="00725D29">
        <w:trPr>
          <w:trHeight w:val="960"/>
        </w:trPr>
        <w:tc>
          <w:tcPr>
            <w:tcW w:w="975" w:type="dxa"/>
            <w:hideMark/>
          </w:tcPr>
          <w:p w14:paraId="138FD35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883.</w:t>
            </w:r>
          </w:p>
        </w:tc>
        <w:tc>
          <w:tcPr>
            <w:tcW w:w="2656" w:type="dxa"/>
            <w:hideMark/>
          </w:tcPr>
          <w:p w14:paraId="0FAC74D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60A748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A26446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5 pôvodne ods. 7 </w:t>
            </w:r>
            <w:r w:rsidRPr="00BC49FC">
              <w:rPr>
                <w:rFonts w:ascii="Times New Roman" w:hAnsi="Times New Roman" w:cs="Times New Roman"/>
              </w:rPr>
              <w:t>V čl. III bode 22 v § 18b ods. 5 (pôvodne ods. 7) písmeno a) znie:  „a)  vydá potvrdenie o splnení podmienky účinného centralizovaného systému zásobovania teplom za posudzované obdobie; platnosť potvrdenia sú tri roky,“.  Odôvodnenie: Navrhujeme, aby sa preukazovanie splnenia podmienky účinného CZT preukazovalo v trojročných intervaloch, obdobne ako tomu je pri overovaní hospodárnosti prevádzky.   Pripomienka je zásadná.</w:t>
            </w:r>
          </w:p>
        </w:tc>
        <w:tc>
          <w:tcPr>
            <w:tcW w:w="2264" w:type="dxa"/>
            <w:vAlign w:val="center"/>
            <w:hideMark/>
          </w:tcPr>
          <w:p w14:paraId="6919FA14" w14:textId="100FAC6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49BBDFD" w14:textId="017E5350"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V súčasnosti sa vykonáva overovanie hospodárnosti podľa § 25 ods. 2 písm. d) každoročne ZoT.</w:t>
            </w:r>
          </w:p>
        </w:tc>
      </w:tr>
      <w:tr w:rsidR="00FE0F3E" w:rsidRPr="006278D2" w14:paraId="09283D55" w14:textId="76B31B09" w:rsidTr="00725D29">
        <w:trPr>
          <w:trHeight w:val="960"/>
        </w:trPr>
        <w:tc>
          <w:tcPr>
            <w:tcW w:w="975" w:type="dxa"/>
            <w:hideMark/>
          </w:tcPr>
          <w:p w14:paraId="3ED6108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884.</w:t>
            </w:r>
          </w:p>
        </w:tc>
        <w:tc>
          <w:tcPr>
            <w:tcW w:w="2656" w:type="dxa"/>
            <w:hideMark/>
          </w:tcPr>
          <w:p w14:paraId="35449E3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476DDB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F250D6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18b ods. 6 pôvodne ods. 8 </w:t>
            </w:r>
            <w:r w:rsidRPr="00BC49FC">
              <w:rPr>
                <w:rFonts w:ascii="Times New Roman" w:hAnsi="Times New Roman" w:cs="Times New Roman"/>
              </w:rPr>
              <w:t>V čl. III bode 22 v § 18b odsek 6 (pôvodne ods. 8) znie:  „(6) Fyzická osoba alebo právnická osoba, ktorá vykonáva činnosť podľa § 1 ods. 3 písm. c) na vymedzenom území držiteľa povolenia, poskytne na základe jeho žiadosti informácie o množstve tepla alebo chladu vyrobenom z obnoviteľných zdrojov; to neplatí, ak teplo alebo chlad nie je vyrobené z obnoviteľných zdrojov.“.  Odôvodnenie: Navrhujeme sprecizovať text predmetného ustanovenia.  Pripomienka je zásadná.</w:t>
            </w:r>
          </w:p>
        </w:tc>
        <w:tc>
          <w:tcPr>
            <w:tcW w:w="2264" w:type="dxa"/>
            <w:vAlign w:val="center"/>
            <w:hideMark/>
          </w:tcPr>
          <w:p w14:paraId="4B80D4CE" w14:textId="1554E6BB"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2870C452" w14:textId="0CE56C8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3C4BF49B" w14:textId="34959EC0" w:rsidTr="00725D29">
        <w:trPr>
          <w:trHeight w:val="2535"/>
        </w:trPr>
        <w:tc>
          <w:tcPr>
            <w:tcW w:w="975" w:type="dxa"/>
            <w:hideMark/>
          </w:tcPr>
          <w:p w14:paraId="67C59A8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885.</w:t>
            </w:r>
          </w:p>
        </w:tc>
        <w:tc>
          <w:tcPr>
            <w:tcW w:w="2656" w:type="dxa"/>
            <w:hideMark/>
          </w:tcPr>
          <w:p w14:paraId="22C707A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87DC29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B9E55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19 nový odsek 3 </w:t>
            </w:r>
            <w:r w:rsidRPr="00BC49FC">
              <w:rPr>
                <w:rFonts w:ascii="Times New Roman" w:hAnsi="Times New Roman" w:cs="Times New Roman"/>
              </w:rPr>
              <w:t>V čl. III bod 23 znie:   „23. V § 19 sa za odsek 2 vkladá nový odsek 3, ktorý znie:  „(3) Ak sa zmluva o dodávke a odbere tepla uzatvára medzi dodávateľom a koncovým odberateľom, jej podstatnými náležitosťami sú aj: a) meno, adresa a kontaktné údaje dodávateľa, b) typy služieb údržby zahrnutých do zmluvy, ktoré sa vykonávajú bez dodatočných poplatkov, c) spôsob ako možno získať aktuálne informácie o všetkých uplatniteľných tarifách, poplatkoch za údržbu a balíčkoch produktov alebo služieb, d) dĺžka trvania zmluvy, podmienky obnovenia a ukončenia zmluvy a služieb vrátane produktov a služieb, ktoré s danými službami tvoria balíček, a informáciu či je povolené bezplatné ukončenie zmluvy, e) akékoľvek kompenzácie a dohody o vrátení peňazí, ktoré sa uplatňujú, keď sa nedosiahnu zmluvne dohodnuté úrovne kvality služieb vrátane nesprávneho alebo omeškaného vyúčtovania, f) metóda iniciovania postupu mimosúdneho urovnania sporov, g) informácie týkajúce sa práv spotrebiteľa vrátane informácií o postupoch vybavovania sťažností a všetkých informácií uvedených v tomto odseku, ktoré sa jasne uvádzajú na vyúčtovaní alebo na webovom sídle podniku a zahŕňajú kontaktné údaje alebo odkaz na webové sídlo jednotného kontaktného miesta, h) kontaktné údaje jednotného kontaktného miesta.“.  Doterajšie odseky 3 a 4 sa označujú ako odseky 4 a 5.“.  Odôvodnenie : Smernica o energetickej efektívnosti rozširuje síce podstatné náležitostí zmlúv o dodávke energie, ale len vo vzťahu dodávateľ a koncový odberateľ. Niet žiadneho relevantného dôvodu zaťažiť rovnakými požiadavkami aj obchodné vzťahy, ktorých účastníkom nie je koncový odberateľ.  Pripomienka je zásadná.</w:t>
            </w:r>
          </w:p>
        </w:tc>
        <w:tc>
          <w:tcPr>
            <w:tcW w:w="2264" w:type="dxa"/>
            <w:vAlign w:val="center"/>
            <w:hideMark/>
          </w:tcPr>
          <w:p w14:paraId="244794E6" w14:textId="0800519B"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6927F0C0" w14:textId="3EF1488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transpozičné ustanovenie 2023/1791 čl. 21 ods. 2, v súčasnom znení ZoT § 19 ods. 1 sa uvádza: Dodávka tepla sa uskutočňuje na základe písomnej zmluvy o dodávke a odbere tepla medzi dodávateľom a odberateľom.</w:t>
            </w:r>
          </w:p>
        </w:tc>
      </w:tr>
      <w:tr w:rsidR="00FE0F3E" w:rsidRPr="006278D2" w14:paraId="03F77DD0" w14:textId="3C219DD1" w:rsidTr="00725D29">
        <w:trPr>
          <w:trHeight w:val="2220"/>
        </w:trPr>
        <w:tc>
          <w:tcPr>
            <w:tcW w:w="975" w:type="dxa"/>
            <w:hideMark/>
          </w:tcPr>
          <w:p w14:paraId="48F3A5A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886.</w:t>
            </w:r>
          </w:p>
        </w:tc>
        <w:tc>
          <w:tcPr>
            <w:tcW w:w="2656" w:type="dxa"/>
            <w:hideMark/>
          </w:tcPr>
          <w:p w14:paraId="46265B6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88E05B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B7E224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19 nový odsek 5 </w:t>
            </w:r>
            <w:r w:rsidRPr="00BC49FC">
              <w:rPr>
                <w:rFonts w:ascii="Times New Roman" w:hAnsi="Times New Roman" w:cs="Times New Roman"/>
              </w:rPr>
              <w:t>V čl. III bod 24 znie:   „24. V § 19 sa za 4 vkladá nový odsek 5, ktorý znie: „(5)  Dodávateľ, ktorý dodáva teplo koncovému odberateľovi je tiež povinný: a) poskytnúť dodávateľské podmienky koncovým odberateľom pred uzavretím alebo potvrdením zmluvy; ak je zmluva uzavretá cez sprostredkovateľov, táto informácia sa  rovnako poskytne pred uzavretím zmluvy, b) koncovým odberateľom a konečným spotrebiteľom poskytnúť zhrnutie kľúčových zmluvných podmienok, vrátane cien a taríf, a to zrozumiteľným spôsobom, c) informuje koncového odberateľa primeraným spôsobom o návrhu zmeny zmluvy, d) oznámi koncovým odberateľom transparentným a zrozumiteľným spôsobom úpravy cien dodávok, dôvody úpravy, podmienky úpravy a rozsah úpravy najneskôr dva týždne pred úpravou ceny, e) oznámi koncovým odberateľom v domácnosti transparentným a zrozumiteľným spôsobom úpravy cien dodávok, dôvody úpravy, podmienky úpravy a rozsah úpravy najneskôr jeden mesiac pred úpravou ceny, f) umožní odberateľovi využiť rôzne rovnocenné platobné metódy.“. Doterajší odsek 5 sa označuje ako odsek 6.“.  Odôvodnenie : Smernica o energetickej efektívnosti rozširuje síce podstatné náležitostí zmlúv o dodávke energie, ale len vo vzťahu dodávateľ a koncový odberateľ. Niet žiadneho relevantného dôvodu zaťažiť rovnakými požiadavkami aj obchodné vzťahy, ktorých účastníkom nie je koncový odberateľ.  Pripomienka je zásadná.</w:t>
            </w:r>
          </w:p>
        </w:tc>
        <w:tc>
          <w:tcPr>
            <w:tcW w:w="2264" w:type="dxa"/>
            <w:vAlign w:val="center"/>
            <w:hideMark/>
          </w:tcPr>
          <w:p w14:paraId="00F52395" w14:textId="6CBADA4B"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5762CA4B" w14:textId="0A9DDBEE" w:rsidR="00FE0F3E" w:rsidRPr="00BC49FC" w:rsidRDefault="00FE0F3E" w:rsidP="00666928">
            <w:pPr>
              <w:rPr>
                <w:rFonts w:ascii="Times New Roman" w:hAnsi="Times New Roman" w:cs="Times New Roman"/>
              </w:rPr>
            </w:pPr>
            <w:r w:rsidRPr="00BC49FC">
              <w:rPr>
                <w:rFonts w:ascii="Times New Roman" w:hAnsi="Times New Roman" w:cs="Times New Roman"/>
                <w:color w:val="000000"/>
              </w:rPr>
              <w:t>Transpozičné ustanovenie 2023/1791 čl. 21 ods. 2, v súčasnom znení ZoT § 19 ods. 1 sa uvádza: Dodávka tepla sa uskutočňuje na základe písomnej zmluvy o dodávke a odbere tepla medzi dodávateľom a odberateľom.</w:t>
            </w:r>
          </w:p>
        </w:tc>
      </w:tr>
      <w:tr w:rsidR="00FE0F3E" w:rsidRPr="006278D2" w14:paraId="24DD4C13" w14:textId="30FC5084" w:rsidTr="00725D29">
        <w:trPr>
          <w:trHeight w:val="1905"/>
        </w:trPr>
        <w:tc>
          <w:tcPr>
            <w:tcW w:w="975" w:type="dxa"/>
            <w:hideMark/>
          </w:tcPr>
          <w:p w14:paraId="48A235F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887.</w:t>
            </w:r>
          </w:p>
        </w:tc>
        <w:tc>
          <w:tcPr>
            <w:tcW w:w="2656" w:type="dxa"/>
            <w:hideMark/>
          </w:tcPr>
          <w:p w14:paraId="11FDB87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D9ACF1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706F2E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19 nový odsek 7 </w:t>
            </w:r>
            <w:r w:rsidRPr="00BC49FC">
              <w:rPr>
                <w:rFonts w:ascii="Times New Roman" w:hAnsi="Times New Roman" w:cs="Times New Roman"/>
              </w:rPr>
              <w:t>V čl. III sa za bod 24 vkladá nový bod 25, ktorý znie:  „25. § 19 sa dopĺňa odsekom 7, ktorý znie: „(7) Dodávateľ môže vypovedať zmluvu o dodávke a odbere tepla, ak si koncový odberateľ bez písomného súhlasu dodávateľa alebo v rozpore s ním zriadi pre objekt spotreby tepla decentralizovaný zdroj alebo inak poruší povinnosti podľa § 22 ods. 3. Výpovedná lehota je šesť mesiacov od prvého dňa nasledujúceho mesiaca odo dňa doručenia výpovede.“.“.   Nasledujúce body sa primerane prečíslujú.  Odôvodnenie: V súčasnosti môže od zmluvy o dodávke a odbere tepla odstúpiť len odberateľ. Dodávateľ tepla nemôže od zmluvy odstúpiť, čo je v obchodnom vzťahu nemysliteľné. Preto navrhujeme, aby mal dodávateľ právo vypovedať zmluvu o dodávke a odbere tepla, ak koncový odberateľ bez písomného súhlasu dodávateľa alebo v rozpore s ním zriadi pre objekt spotreby tepla decentralizovaný zdroj alebo inak poruší povinnosti podľa § 22 ods. 3.   Návrh je v súlade so systémom výpovede zo strany odberateľa, ktorý musí výpoveď písomne oznámi dodávateľovi detto najmenej šesť mesiacov pred požadovaným skončením odberu tepla.  Pripomienka je zásadná.</w:t>
            </w:r>
          </w:p>
        </w:tc>
        <w:tc>
          <w:tcPr>
            <w:tcW w:w="2264" w:type="dxa"/>
            <w:vAlign w:val="center"/>
            <w:hideMark/>
          </w:tcPr>
          <w:p w14:paraId="70A264EE" w14:textId="6DAAC21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10701D0" w14:textId="78691486"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Vypovedanie zmluvy o dodávke a odbere tepla zo strany dodávateľa, keď si zriadi DZT</w:t>
            </w:r>
          </w:p>
        </w:tc>
      </w:tr>
      <w:tr w:rsidR="00FE0F3E" w:rsidRPr="006278D2" w14:paraId="03B7BDC6" w14:textId="5C6FFEC7" w:rsidTr="00725D29">
        <w:trPr>
          <w:trHeight w:val="2535"/>
        </w:trPr>
        <w:tc>
          <w:tcPr>
            <w:tcW w:w="975" w:type="dxa"/>
            <w:hideMark/>
          </w:tcPr>
          <w:p w14:paraId="58BC41A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888.</w:t>
            </w:r>
          </w:p>
        </w:tc>
        <w:tc>
          <w:tcPr>
            <w:tcW w:w="2656" w:type="dxa"/>
            <w:hideMark/>
          </w:tcPr>
          <w:p w14:paraId="492E975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B70433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CCE61D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20 </w:t>
            </w:r>
            <w:r w:rsidRPr="00BC49FC">
              <w:rPr>
                <w:rFonts w:ascii="Times New Roman" w:hAnsi="Times New Roman" w:cs="Times New Roman"/>
              </w:rPr>
              <w:t>V čl. III sa za bod 25 vkladajú nové body 26, 27 a 28, ktoré znejú:  „26. V § 20 ods. 2 sa vypúšťa písmeno c) a d).  „27. V § 20 ods. 3 sa vypúšťajú slová „Ak je so skončením odberu tepla spojené odpojenie objektu spotreby tepla od sústavy tepelných zariadení dodávateľa,“ a na konci sa pripája nová druhá veta, ktorá znie: „To platí aj pri skončení odberu tepla z dôvodu výpovede dodávateľa podľa § 19 ods. 7.“.  „28. V § 20 sa vypúšťa odsek 4. Doterajšie odseky 5 a 6 sa označujú ako odseky 4 a 5.“.  Nasledujúce body sa primerane prečíslujú.  Odôvodnenie: Súčasné znenie zákona je zmätočné a logicky sa nedá pochopiť. Formulácia „Ak je so skončením odberu tepla spojené odpojenie objektu spotreby tepla od sústavy tepelných zariadení dodávateľa, odberateľ môže skončiť odber tepla len vtedy, ak uhradí dodávateľovi ekonomicky oprávnené náklady vyvolané odpojením odberateľa od sústavy tepelných zariadení dodávateľa“ nedáva zmysel. V praxi sa totiž odberateľ tepla od systému fyzicky neodpojí, ani o odpojenie nepožiada, lebo by sa musel podieľať na nákladoch likvidácie prípojky. A fyzicky sa neodpojí aj preto, že v budúcnosti, ak požiada dodávateľa tepla o dodávku, ten je povinný mu teplo dodávať. Za likvidáciu prípojky je zo zákona však zodpovedný dodávateľ tepla. Preto navrhujeme, aby bol odberateľ povinný uhradiť ekonomicky oprávnené náklady súvisiace s odpojením v prípade, ak ukončí odber tepla, nie len vtedy, ak je so skončením odberu tepla spojené odpojenie sa od sústavy.  Pripomienka je zásadná.</w:t>
            </w:r>
          </w:p>
        </w:tc>
        <w:tc>
          <w:tcPr>
            <w:tcW w:w="2264" w:type="dxa"/>
            <w:vAlign w:val="center"/>
            <w:hideMark/>
          </w:tcPr>
          <w:p w14:paraId="548BD03D" w14:textId="4EDAB124"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12C0A647" w14:textId="13C843A6"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Problematika skončenia odberu tepla vrátane likvidácie prípojky je v súčasnom znení ZoT už riešená. V prípade nezlikvidovania prípojky a "nulovom" alebo minimálnom odbere je potrebné riešiť špičkovú dodávku tepla, ktorá je tiež riešená v § 15 ods. 1 písm. c)</w:t>
            </w:r>
          </w:p>
        </w:tc>
      </w:tr>
      <w:tr w:rsidR="00FE0F3E" w:rsidRPr="006278D2" w14:paraId="6486E8EC" w14:textId="200F794A" w:rsidTr="00725D29">
        <w:trPr>
          <w:trHeight w:val="645"/>
        </w:trPr>
        <w:tc>
          <w:tcPr>
            <w:tcW w:w="975" w:type="dxa"/>
            <w:hideMark/>
          </w:tcPr>
          <w:p w14:paraId="3AF80F7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889.</w:t>
            </w:r>
          </w:p>
        </w:tc>
        <w:tc>
          <w:tcPr>
            <w:tcW w:w="2656" w:type="dxa"/>
            <w:hideMark/>
          </w:tcPr>
          <w:p w14:paraId="5975834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C3AD04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75418B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21 ods. 1 </w:t>
            </w:r>
            <w:r w:rsidRPr="00BC49FC">
              <w:rPr>
                <w:rFonts w:ascii="Times New Roman" w:hAnsi="Times New Roman" w:cs="Times New Roman"/>
              </w:rPr>
              <w:t>V čl. III bode 26 v § 21 ods. 1 sa slová „zmluvu na teplo alebo chlad vyrobené“ nahrádzajú slovami „zmluvu o dodávke a odbere tepla vyrobeného“.  Odôvodnenie: Legislatívno-technická úprava opierajúca sa o správnu terminológiu používanú zákonom o tepelnej energetike.  Pripomienka je zásadná.</w:t>
            </w:r>
          </w:p>
        </w:tc>
        <w:tc>
          <w:tcPr>
            <w:tcW w:w="2264" w:type="dxa"/>
            <w:vAlign w:val="center"/>
            <w:hideMark/>
          </w:tcPr>
          <w:p w14:paraId="0044184B" w14:textId="37EEF47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4F64AE7E" w14:textId="58968DF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p>
        </w:tc>
      </w:tr>
      <w:tr w:rsidR="00FE0F3E" w:rsidRPr="006278D2" w14:paraId="6BCD9EC0" w14:textId="6D624D1D" w:rsidTr="00725D29">
        <w:trPr>
          <w:trHeight w:val="1905"/>
        </w:trPr>
        <w:tc>
          <w:tcPr>
            <w:tcW w:w="975" w:type="dxa"/>
            <w:hideMark/>
          </w:tcPr>
          <w:p w14:paraId="26A2831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890.</w:t>
            </w:r>
          </w:p>
        </w:tc>
        <w:tc>
          <w:tcPr>
            <w:tcW w:w="2656" w:type="dxa"/>
            <w:hideMark/>
          </w:tcPr>
          <w:p w14:paraId="438C15F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034AF2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0304B0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21 a 22 nové body 27 a 28 </w:t>
            </w:r>
            <w:r w:rsidRPr="00BC49FC">
              <w:rPr>
                <w:rFonts w:ascii="Times New Roman" w:hAnsi="Times New Roman" w:cs="Times New Roman"/>
              </w:rPr>
              <w:t>V čl. III sa za bod 26 vkladajú nové body 27 a 28, ktoré znejú:  „27. V § 21 ods. 7 sa vypúšťajú slová „z obnoviteľných zdrojov energie“. „28. V § 22 odsek 3 znie: „(3) Zásah do sústavy tepelných zariadení alebo jej časti vrátane zariadení na rozvod tepla alebo nadväzujúcich zariadení na spotrebu energie, ktorý môže ovplyvniť množstvo prepraveného alebo spotrebovaného tepla, používanú teplonosnú látku alebo jej parametre, hospodárnosť sústavy alebo inak ovplyvniť prevádzku sústavy tepelných zariadení alebo jej časti, možno vykonať len s písomným súhlasom držiteľa povolenia na výrobu a rozvod tepla.“.“  Nasledujúce body sa primerane prečíslujú.  Odôvodnenie: V návrhu zákona sa vypúšťa inštitút účinného CZT z obnoviteľných zdrojov energie (viď § 2 písm. aa) zákona). Z tohto dôvodu je potrebné upraviť aj ust. § 21 ods. 7 zákona. V bode 28 precizujeme doterajší text a navrhujeme zaviesť mechanizmus zabezpečujúci, že na prípadné zásahy do sústavy tepelných zariadení ovplyvňujúce parametre dodávaného tepla bude požadovaný písomný súhlas držiteľa povolenia, ktorý tieto zaradenia prevádzkuje.    Pripomienka je zásadná.</w:t>
            </w:r>
          </w:p>
        </w:tc>
        <w:tc>
          <w:tcPr>
            <w:tcW w:w="2264" w:type="dxa"/>
            <w:vAlign w:val="center"/>
            <w:hideMark/>
          </w:tcPr>
          <w:p w14:paraId="47BA2521" w14:textId="064CDA4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4B2F2C91" w14:textId="61BB722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Návrh úpravy: sa vypúšťajú slová „z obnoviteľných zdrojov energie“.  Nasledujúce body sa primerane prečíslujú.  Odôvodnenie: V návrhu zákona sa vypúšťa inštitút účinného CZT z obnoviteľných zdrojov energie (viď § 2 písm. aa) zákona). Z tohto dôvodu je potrebné upraviť aj ust. § 21 ods. 7 zákona</w:t>
            </w:r>
            <w:r w:rsidRPr="00BC49FC">
              <w:rPr>
                <w:rFonts w:ascii="Times New Roman" w:hAnsi="Times New Roman" w:cs="Times New Roman"/>
                <w:b/>
                <w:bCs/>
                <w:color w:val="000000"/>
              </w:rPr>
              <w:br/>
              <w:t>ostatné sa neakceptuje</w:t>
            </w:r>
            <w:r>
              <w:rPr>
                <w:rFonts w:ascii="Times New Roman" w:hAnsi="Times New Roman" w:cs="Times New Roman"/>
                <w:b/>
                <w:bCs/>
                <w:color w:val="000000"/>
              </w:rPr>
              <w:t>.</w:t>
            </w:r>
          </w:p>
        </w:tc>
      </w:tr>
      <w:tr w:rsidR="00FE0F3E" w:rsidRPr="006278D2" w14:paraId="43A67BC5" w14:textId="475E2DB9" w:rsidTr="00725D29">
        <w:trPr>
          <w:trHeight w:val="645"/>
        </w:trPr>
        <w:tc>
          <w:tcPr>
            <w:tcW w:w="975" w:type="dxa"/>
            <w:hideMark/>
          </w:tcPr>
          <w:p w14:paraId="4A50110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891.</w:t>
            </w:r>
          </w:p>
        </w:tc>
        <w:tc>
          <w:tcPr>
            <w:tcW w:w="2656" w:type="dxa"/>
            <w:hideMark/>
          </w:tcPr>
          <w:p w14:paraId="7CAB0FB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987B4B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62C3EB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25 ods. 2 </w:t>
            </w:r>
            <w:r w:rsidRPr="00BC49FC">
              <w:rPr>
                <w:rFonts w:ascii="Times New Roman" w:hAnsi="Times New Roman" w:cs="Times New Roman"/>
              </w:rPr>
              <w:t>V čl. III bod 27 znie:   „27. V § 25 ods. 2 písmeno d) znie:  „d) zabezpečiť jedenkrát za tri roky preukázanie splnenia podmienky účinného centralizovaného zásobovania teplom.“.“  Odôvodnenie: V súlade so zaužívanou praxou pri overovaní hospodárnosti prevádzky navrhujeme, aby aj overovanie splnenia podmienky účinného CZT prebiehalo v trojročnej periodicite.  Pripomienka je zásadná.</w:t>
            </w:r>
          </w:p>
        </w:tc>
        <w:tc>
          <w:tcPr>
            <w:tcW w:w="2264" w:type="dxa"/>
            <w:vAlign w:val="center"/>
            <w:hideMark/>
          </w:tcPr>
          <w:p w14:paraId="1A6F172D" w14:textId="3D58275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2D8D66A" w14:textId="29015A7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V súčasnosti sa vykonáva overovanie hospodárnosti podľa § 25 ods. 2 písm. d) každoročne ZoT.</w:t>
            </w:r>
          </w:p>
        </w:tc>
      </w:tr>
      <w:tr w:rsidR="00FE0F3E" w:rsidRPr="006278D2" w14:paraId="22905707" w14:textId="0B3A884E" w:rsidTr="00725D29">
        <w:trPr>
          <w:trHeight w:val="645"/>
        </w:trPr>
        <w:tc>
          <w:tcPr>
            <w:tcW w:w="975" w:type="dxa"/>
            <w:hideMark/>
          </w:tcPr>
          <w:p w14:paraId="64E7178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892.</w:t>
            </w:r>
          </w:p>
        </w:tc>
        <w:tc>
          <w:tcPr>
            <w:tcW w:w="2656" w:type="dxa"/>
            <w:hideMark/>
          </w:tcPr>
          <w:p w14:paraId="107F2DA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A081B3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407FC5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body 28 a 29 </w:t>
            </w:r>
            <w:r w:rsidRPr="00BC49FC">
              <w:rPr>
                <w:rFonts w:ascii="Times New Roman" w:hAnsi="Times New Roman" w:cs="Times New Roman"/>
              </w:rPr>
              <w:t>V čl. III sa vypúšťajú body 28 a 29.   Odôvodnenie:  Navrhujeme ponechať doterajšiu úpravu, a to preukazovanie splnenia podmienky účinného centralizovaného zásobovania teplom za úhradu u Slovenskej inovačnej energetickej agentúry. Zároveň navrhujeme presunúť úpravu v navrhovanom § 25 ods. 9 do zákona o energetickej efektívnosti, nakoľko tam podľa svojho obsahu patrí.  Pripomienka je zásadná.</w:t>
            </w:r>
          </w:p>
        </w:tc>
        <w:tc>
          <w:tcPr>
            <w:tcW w:w="2264" w:type="dxa"/>
            <w:vAlign w:val="center"/>
            <w:hideMark/>
          </w:tcPr>
          <w:p w14:paraId="61698CC5" w14:textId="0A27F5A4"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94A4D9D" w14:textId="650AEE95" w:rsidR="00FE0F3E" w:rsidRPr="00BC49FC" w:rsidRDefault="00FE0F3E" w:rsidP="00666928">
            <w:pPr>
              <w:rPr>
                <w:rFonts w:ascii="Times New Roman" w:hAnsi="Times New Roman" w:cs="Times New Roman"/>
                <w:b/>
                <w:bCs/>
              </w:rPr>
            </w:pPr>
            <w:r>
              <w:rPr>
                <w:rFonts w:ascii="Times New Roman" w:hAnsi="Times New Roman" w:cs="Times New Roman"/>
                <w:b/>
                <w:bCs/>
                <w:color w:val="000000"/>
              </w:rPr>
              <w:t>T</w:t>
            </w:r>
            <w:r w:rsidRPr="00BC49FC">
              <w:rPr>
                <w:rFonts w:ascii="Times New Roman" w:hAnsi="Times New Roman" w:cs="Times New Roman"/>
                <w:b/>
                <w:bCs/>
                <w:color w:val="000000"/>
              </w:rPr>
              <w:t>ranspozičné ustanovenie smernice 2023/1791 čl. 26 ods. 7</w:t>
            </w:r>
          </w:p>
        </w:tc>
      </w:tr>
      <w:tr w:rsidR="00FE0F3E" w:rsidRPr="006278D2" w14:paraId="673001B3" w14:textId="0C64C479" w:rsidTr="00725D29">
        <w:trPr>
          <w:trHeight w:val="960"/>
        </w:trPr>
        <w:tc>
          <w:tcPr>
            <w:tcW w:w="975" w:type="dxa"/>
            <w:hideMark/>
          </w:tcPr>
          <w:p w14:paraId="16677CF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893.</w:t>
            </w:r>
          </w:p>
        </w:tc>
        <w:tc>
          <w:tcPr>
            <w:tcW w:w="2656" w:type="dxa"/>
            <w:hideMark/>
          </w:tcPr>
          <w:p w14:paraId="1B31C5E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F82154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C76D68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29 ods. 4 </w:t>
            </w:r>
            <w:r w:rsidRPr="00BC49FC">
              <w:rPr>
                <w:rFonts w:ascii="Times New Roman" w:hAnsi="Times New Roman" w:cs="Times New Roman"/>
              </w:rPr>
              <w:t>V čl. III bode 32 v § 29 ods. 4 sa za slovo „teplom,“ vkladajú slová „pri započítaní odpadového tepla a tepla z obnoviteľných zdrojov energie vyrobeného v decentralizovaných zdrojoch tepla na vymedzenom území držiteľa povolenia“.  Odôvodnenie: Pri účinnom CZT zohráva úlohu aj odpadové teplo a teplo z OZE vyrobené v decentralizovaných zdrojoch, ktoré sú umiestnené na vymedzenom území držiteľa povolenia. Navrhujeme preto tieto zdroje tepla zohľadniť v rámci zákonného zmocnenia pre vydanie vyhlášky ministerstva hospodárstva.  Pripomienka je zásadná.</w:t>
            </w:r>
          </w:p>
        </w:tc>
        <w:tc>
          <w:tcPr>
            <w:tcW w:w="2264" w:type="dxa"/>
            <w:vAlign w:val="center"/>
            <w:hideMark/>
          </w:tcPr>
          <w:p w14:paraId="1611BAF0" w14:textId="446D02C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413D4940" w14:textId="1C825D1E"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Rozsah, spôsob a postup pri výpočte preukazujúcom splnenie podmienky účinného centralizovaného zásobovania teplom, pri započítaní odpadového tepla a tepla z obnoviteľných zdrojov energie vyrobeného v decentralizovaných zdrojoch tepla na vymedzenom území držiteľa povolenia podrobnosti vydávania potvrdenia podľa § 18b a náležitosti návrhu plánu prechodu ustanoví všeobecne záväzný právny predpis, ktorý vydá ministerstvo.</w:t>
            </w:r>
          </w:p>
        </w:tc>
      </w:tr>
      <w:tr w:rsidR="00FE0F3E" w:rsidRPr="006278D2" w14:paraId="4ACE2960" w14:textId="56F5EC4F" w:rsidTr="00725D29">
        <w:trPr>
          <w:trHeight w:val="1275"/>
        </w:trPr>
        <w:tc>
          <w:tcPr>
            <w:tcW w:w="975" w:type="dxa"/>
            <w:hideMark/>
          </w:tcPr>
          <w:p w14:paraId="37BE2DF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894.</w:t>
            </w:r>
          </w:p>
        </w:tc>
        <w:tc>
          <w:tcPr>
            <w:tcW w:w="2656" w:type="dxa"/>
            <w:hideMark/>
          </w:tcPr>
          <w:p w14:paraId="15F6DCF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A88917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441DEA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38ai </w:t>
            </w:r>
            <w:r w:rsidRPr="00BC49FC">
              <w:rPr>
                <w:rFonts w:ascii="Times New Roman" w:hAnsi="Times New Roman" w:cs="Times New Roman"/>
              </w:rPr>
              <w:t>V čl. III bode 38 § 38ai znie:  „§ 38ai (1) Držiteľ povolenia na rozvod tepla v centralizovanom zásobovaní teplom so schváleným alebo zrealizovaným plánom prechodu, ktorý bol schválený podľa doterajších predpisov, sa na účely tohto zákona považuje za držiteľa povolenia na rozvod tepla v účinnom centralizovanom zásobovaní teplom najdlhšie do 31. decembra 2027. (2) Držiteľ povolenia na rozvod tepla podľa § 18a ods. 1 v znení od 1. januára 2027 je povinný predložiť ministerstvu na schválenie návrh plánu prechodu prvý krát najneskôr do 31. decembra 2027.“.  Odôvodnenie: Navrhuje sa sprecizovanie prechodného ustanovenia zákona.  Pripomienka je zásadná.</w:t>
            </w:r>
          </w:p>
        </w:tc>
        <w:tc>
          <w:tcPr>
            <w:tcW w:w="2264" w:type="dxa"/>
            <w:vAlign w:val="center"/>
            <w:hideMark/>
          </w:tcPr>
          <w:p w14:paraId="0E082ECD" w14:textId="6A55DFA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6AF8186E" w14:textId="776470A2"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Smernice o OZE predmetné umožňuje len do 31.12.2025</w:t>
            </w:r>
            <w:r>
              <w:rPr>
                <w:rFonts w:ascii="Times New Roman" w:hAnsi="Times New Roman" w:cs="Times New Roman"/>
                <w:b/>
                <w:bCs/>
                <w:color w:val="000000"/>
              </w:rPr>
              <w:t>.</w:t>
            </w:r>
          </w:p>
        </w:tc>
      </w:tr>
      <w:tr w:rsidR="00FE0F3E" w:rsidRPr="006278D2" w14:paraId="3039C607" w14:textId="16D82DDE" w:rsidTr="00725D29">
        <w:trPr>
          <w:trHeight w:val="3480"/>
        </w:trPr>
        <w:tc>
          <w:tcPr>
            <w:tcW w:w="975" w:type="dxa"/>
            <w:hideMark/>
          </w:tcPr>
          <w:p w14:paraId="621613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895.</w:t>
            </w:r>
          </w:p>
        </w:tc>
        <w:tc>
          <w:tcPr>
            <w:tcW w:w="2656" w:type="dxa"/>
            <w:hideMark/>
          </w:tcPr>
          <w:p w14:paraId="03FBD37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EEC5D1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CBCF60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 body 9, 10, 12, 13 a 14 </w:t>
            </w:r>
            <w:r w:rsidRPr="00BC49FC">
              <w:rPr>
                <w:rFonts w:ascii="Times New Roman" w:hAnsi="Times New Roman" w:cs="Times New Roman"/>
              </w:rPr>
              <w:t>V čl. V sa vypúšťajú body 9, 10, 12, 13 a 14.  Odôvodnenie: Navrhujeme vypustiť novelizačné body 9, 10, 12, 13 a 14, ktorými sa zavádza cenová regulácia výroby a dodávky chladu v Slovenskej republike a regulácia štandardov kvality výroby a dodávky chladu. Na takúto zmenu nie sú dané hospodárske dôvody, keďže výroba a dodávka chladu je v súčasnosti okrajovým sektorom zahŕňajúcim zanedbateľné množstvo zákazníkov prevažne z obchodnej sféry. Téma sa prakticky vôbec nedotýka domácností (spotrebiteľov) a vzhľadom na povahu a spôsob zásobovania bytového fondu ani v dlhodobom horizonte nebude. Na trhu nepôsobia žiadni dominantní hráči, pri ktorých by existovala hrozba zneužívania dominantného postavenia alebo aspoň neférového správania, trhové prostredie je zdravo konkurenčné. Niet tak žiadneho relevantného dôvodu na zavedenie regulácie výroby a dodávky chladu.  Poukazujeme pritom aj na zákon č. 18/1996 Z. z. o cenách, podľa ktorého možno regulovať zmluvné ceny iba v prípade, ak vznikne mimoriadna trhová situácia s priamym vplyvom na ceny tovarov na tuzemskom trhu ohrozujúcim cenovú stabilitu alebo dostupnosť tovarov, dôjde k ohrozeniu trhu vplyvom nedostatočne rozvinutého konkurenčného prostredia alebo si to vyžaduje ochrana spotrebiteľa alebo iný verejný záujem (§ 4a). Zavádzať reguláciu tak možno len v prípade, ak to odôvodňuje situácia na trhu. Zavedenie cenovej regulácie chladu je jednoznačne arbitrárnym opatrením, ktoré nespĺňa kritéria proporcionality vyžadované pre zásah do slobodného podnikateľského prostredia (čl. 35 Ústavy SR). Predkladateľ nevysvetlil návrh na zavedenie cenovej regulácie a regulácie štandardov kvality, ani ho riadne nezdôvodnil (argumentuje legislatívno-technickou zmenou v súvislosti s rozšírením pôsobnosti úradu).    A pokiaľ malo byť dôvodom pre zavedenie regulácie chladu potreba efektívnejšej regulácie výroby a dodávky tepla, poukazujeme na to, že ÚRSO má už dnes dostatočné nástroje na zohľadnenie výnosov z neregulovanej činnosti v rámci cenotvorby. Niet preto žiadneho dôvodu na rozšírenie regulácie aj na výrobu a dodávku chladu.  Pripomienka je zásadná.</w:t>
            </w:r>
          </w:p>
        </w:tc>
        <w:tc>
          <w:tcPr>
            <w:tcW w:w="2264" w:type="dxa"/>
            <w:vAlign w:val="center"/>
            <w:hideMark/>
          </w:tcPr>
          <w:p w14:paraId="78384CBA" w14:textId="5CC2CDC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2E46D17" w14:textId="2D72DEE8"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Pripomienka má preklep, text sa nachádza v § 10 ods. 1 písm. d) </w:t>
            </w:r>
            <w:r w:rsidRPr="00BC49FC">
              <w:rPr>
                <w:rFonts w:ascii="Times New Roman" w:hAnsi="Times New Roman" w:cs="Times New Roman"/>
                <w:color w:val="000000"/>
              </w:rPr>
              <w:br/>
              <w:t>pripomienka je nad rámec návrhu zákona</w:t>
            </w:r>
            <w:r>
              <w:rPr>
                <w:rFonts w:ascii="Times New Roman" w:hAnsi="Times New Roman" w:cs="Times New Roman"/>
                <w:b/>
                <w:bCs/>
                <w:color w:val="000000"/>
              </w:rPr>
              <w:t>.</w:t>
            </w:r>
          </w:p>
        </w:tc>
      </w:tr>
      <w:tr w:rsidR="00FE0F3E" w:rsidRPr="006278D2" w14:paraId="4DF7283D" w14:textId="4EBD9CF3" w:rsidTr="00725D29">
        <w:trPr>
          <w:trHeight w:val="1275"/>
        </w:trPr>
        <w:tc>
          <w:tcPr>
            <w:tcW w:w="975" w:type="dxa"/>
            <w:hideMark/>
          </w:tcPr>
          <w:p w14:paraId="336EB6A3" w14:textId="77777777" w:rsidR="00FE0F3E" w:rsidRPr="00BC49FC" w:rsidRDefault="00FE0F3E" w:rsidP="00315FDB">
            <w:pPr>
              <w:rPr>
                <w:rFonts w:ascii="Times New Roman" w:hAnsi="Times New Roman" w:cs="Times New Roman"/>
                <w:b/>
                <w:bCs/>
              </w:rPr>
            </w:pPr>
            <w:r w:rsidRPr="00BC49FC">
              <w:rPr>
                <w:rFonts w:ascii="Times New Roman" w:hAnsi="Times New Roman" w:cs="Times New Roman"/>
                <w:b/>
                <w:bCs/>
              </w:rPr>
              <w:t>896.</w:t>
            </w:r>
          </w:p>
        </w:tc>
        <w:tc>
          <w:tcPr>
            <w:tcW w:w="2656" w:type="dxa"/>
            <w:hideMark/>
          </w:tcPr>
          <w:p w14:paraId="3961589E" w14:textId="77777777" w:rsidR="00FE0F3E" w:rsidRPr="00BC49FC" w:rsidRDefault="00FE0F3E" w:rsidP="00315FDB">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6917139" w14:textId="77777777" w:rsidR="00FE0F3E" w:rsidRPr="00BC49FC" w:rsidRDefault="00FE0F3E" w:rsidP="00315FDB">
            <w:pPr>
              <w:rPr>
                <w:rFonts w:ascii="Times New Roman" w:hAnsi="Times New Roman" w:cs="Times New Roman"/>
              </w:rPr>
            </w:pPr>
            <w:r w:rsidRPr="00BC49FC">
              <w:rPr>
                <w:rFonts w:ascii="Times New Roman" w:hAnsi="Times New Roman" w:cs="Times New Roman"/>
              </w:rPr>
              <w:t>O</w:t>
            </w:r>
          </w:p>
        </w:tc>
        <w:tc>
          <w:tcPr>
            <w:tcW w:w="5615" w:type="dxa"/>
            <w:hideMark/>
          </w:tcPr>
          <w:p w14:paraId="74B19103" w14:textId="77777777" w:rsidR="00FE0F3E" w:rsidRPr="00BC49FC" w:rsidRDefault="00FE0F3E" w:rsidP="00315FDB">
            <w:pPr>
              <w:rPr>
                <w:rFonts w:ascii="Times New Roman" w:hAnsi="Times New Roman" w:cs="Times New Roman"/>
                <w:b/>
                <w:bCs/>
              </w:rPr>
            </w:pPr>
            <w:r w:rsidRPr="00BC49FC">
              <w:rPr>
                <w:rFonts w:ascii="Times New Roman" w:hAnsi="Times New Roman" w:cs="Times New Roman"/>
                <w:b/>
                <w:bCs/>
              </w:rPr>
              <w:t xml:space="preserve">Čl. V § 22 ods. 1 </w:t>
            </w:r>
            <w:r w:rsidRPr="00BC49FC">
              <w:rPr>
                <w:rFonts w:ascii="Times New Roman" w:hAnsi="Times New Roman" w:cs="Times New Roman"/>
              </w:rPr>
              <w:t>V čl. V bod 12 znie:  „12. V § 22 ods. 1 sa na konci pripájajú tieto slová „okrem dodávky tepla odberateľom, ktorí si časť tepla na vykurovanie alebo prípravu teplej vody vyrábajú v decentralizovanom zdroji tepla,35c).“.  Poznámka pod čiarou k odkazu 35c znie: „35c) § 2 písm. v) zákona č. 657/2004 Z. z.“.“.  Odôvodnenie: V súvislosti s návrhom na precizovanie výnimky z uplatňovania cenovej regulácie (pripomienka č. 12) navrhujeme, aby sa rovnaká výnimka vzťahovala aj na uplatňovanie štandardov kvality. Prevádzka doplnkového zdroja tepla znamená prevzatie zodpovednosti za kvalitu vlastného zásobovania teplom a teplou vodou.  Pripomienka je zásadná.</w:t>
            </w:r>
          </w:p>
        </w:tc>
        <w:tc>
          <w:tcPr>
            <w:tcW w:w="2264" w:type="dxa"/>
            <w:vAlign w:val="center"/>
            <w:hideMark/>
          </w:tcPr>
          <w:p w14:paraId="5B152337" w14:textId="2ADE40D3" w:rsidR="00FE0F3E" w:rsidRPr="00BC49FC" w:rsidRDefault="00FE0F3E" w:rsidP="00315FDB">
            <w:pPr>
              <w:rPr>
                <w:rFonts w:ascii="Times New Roman" w:hAnsi="Times New Roman" w:cs="Times New Roman"/>
                <w:b/>
                <w:bCs/>
              </w:rPr>
            </w:pPr>
            <w:r>
              <w:rPr>
                <w:rFonts w:ascii="Times New Roman" w:eastAsia="Times New Roman" w:hAnsi="Times New Roman" w:cs="Times New Roman"/>
                <w:b/>
                <w:bCs/>
                <w:kern w:val="0"/>
                <w:lang w:eastAsia="sk-SK"/>
                <w14:ligatures w14:val="none"/>
              </w:rPr>
              <w:t>N</w:t>
            </w:r>
          </w:p>
        </w:tc>
        <w:tc>
          <w:tcPr>
            <w:tcW w:w="2753" w:type="dxa"/>
            <w:vAlign w:val="center"/>
            <w:hideMark/>
          </w:tcPr>
          <w:p w14:paraId="54F4CA06" w14:textId="10A9B907" w:rsidR="00FE0F3E" w:rsidRPr="00BC49FC" w:rsidRDefault="00FE0F3E" w:rsidP="00315FDB">
            <w:pPr>
              <w:rPr>
                <w:rFonts w:ascii="Times New Roman" w:hAnsi="Times New Roman" w:cs="Times New Roman"/>
                <w:b/>
                <w:bCs/>
              </w:rPr>
            </w:pPr>
            <w:r>
              <w:rPr>
                <w:rFonts w:ascii="Times New Roman" w:eastAsia="Times New Roman" w:hAnsi="Times New Roman" w:cs="Times New Roman"/>
                <w:kern w:val="0"/>
                <w:lang w:eastAsia="sk-SK"/>
                <w14:ligatures w14:val="none"/>
              </w:rPr>
              <w:t>V určitých prípadoch by mohlo dôjsť ku kolízií, resp. k situáciám, keď KS má uzavretú zmluvu s dodávateľom. napr. KS môže byť aj s BOST, čo znamená, že KS môže mať uzavretú zmluvu na dodávku a odber tepla. Po dohode na rozporovom konaní rozpor odstránený.</w:t>
            </w:r>
          </w:p>
        </w:tc>
      </w:tr>
      <w:tr w:rsidR="00FE0F3E" w:rsidRPr="006278D2" w14:paraId="284A936F" w14:textId="579E59C5" w:rsidTr="00725D29">
        <w:trPr>
          <w:trHeight w:val="4740"/>
        </w:trPr>
        <w:tc>
          <w:tcPr>
            <w:tcW w:w="975" w:type="dxa"/>
            <w:hideMark/>
          </w:tcPr>
          <w:p w14:paraId="1DCF80C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897.</w:t>
            </w:r>
          </w:p>
        </w:tc>
        <w:tc>
          <w:tcPr>
            <w:tcW w:w="2656" w:type="dxa"/>
            <w:hideMark/>
          </w:tcPr>
          <w:p w14:paraId="3C8B48B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671CE8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70CEB6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 10 ods. 4 </w:t>
            </w:r>
            <w:r w:rsidRPr="00BC49FC">
              <w:rPr>
                <w:rFonts w:ascii="Times New Roman" w:hAnsi="Times New Roman" w:cs="Times New Roman"/>
              </w:rPr>
              <w:t>33. V čl. III sa v § 10 ods. 4 písm. d) vypustiť slová „mimo zastavaného územia obce“.  Odôvodnenie: Navrhovaná právna úprava zachováva územné obmedzenie oprávnenia držiteľa povolenia zriaďovať verejný rozvod tepla a súvisiace energetické zariadenia výlučne na cudzie pozemky mimo zastavaného územia obce. Takéto obmedzenie predstavuje neodôvodnené a systémovo nesúladné odchýlenie od právnej úpravy iných sieťových odvetví (najmä elektroenergetiky, plynárenstva a elektronických komunikácií), v ktorých sa oprávnenia na zriaďovanie a prevádzku infraštruktúry neuplatňujú na základe kritéria intravilánu alebo extravilánu, ale výlučne na základe verejného záujmu, územného plánovania a režimu stavebného práva. Takto koncipované obmedzenie však v aplikačnej praxi spôsobuje neodôvodnené rozdiely v právnom režime realizácie totožných technických a verejnoprospešných stavieb v závislosti od ich umiestnenia, hoci ich účel, funkcia aj verejnoprospešný charakter sú identické. Zriaďovanie a modernizácia sústav centralizovaného zásobovania teplom (CZT) predstavuje výkon činnosti vo verejnom záujme, ktorý priamo súvisí so zabezpečením dodávky tepla ako základnej služby pre obyvateľstvo, verejné budovy a hospodárske subjekty. Uvedené sústavy sú z hľadiska energetickej politiky štátu kľúčovou infraštruktúrou, ktorá má významný vplyv na energetickú bezpečnosť, efektívnosť dodávok tepla a plnenie klimatických cieľov. Obmedzenie výkonu tohto oprávnenia na „mimo zastavaného územia obce“ zároveň neprimerane zužuje možnosti rozvoja a rekonštrukcie existujúcich rozvodov tepla v urbanizovanom prostredí, kde sa tieto sústavy fakticky nachádzajú v prevažujúcej miere. V dôsledku toho vzniká právne neodôvodnená duplicita režimov, keď: • v zastavanom území sa realizácia totožnej verejnoprospešnej infraštruktúry riadi výlučne všeobecnými predpismi stavebného práva, • mimo zastavaného územia sa uplatňuje osobitný režim energetického práva. Takéto rozlíšenie nemá objektívne opodstatnenie z hľadiska ochrany vlastníckych práv, územného plánovania ani verejného záujmu na rozvoji energetickej infraštruktúry. Navrhované vypustenie predmetnej časti ustanovenia sleduje: • zosúladenie právnej úpravy s reálnym umiestnením a charakterom sústav CZT, • odstránenie neodôvodneného územného obmedzenia výkonu verejnoprospešnej činnosti, • zvýšenie právnej istoty pri príprave, modernizácii a rozvoji energetickej infraštruktúry, • zjednodušenie povoľovacích procesov bez zníženia úrovne ochrany vlastníckych práv. Zásah do vlastníckeho práva zostáva aj po navrhovanej úprave primerane regulovaný prostredníctvom existujúcich inštitútov stavebného práva, inštitútu vecných bremien, prípadne vyvlastnenia za splnenia zákonných podmienok verejného záujmu a primeranej náhrady, v súlade s čl. 20 Ústavy Slovenskej republiky. Navrhovaná úprava preto nepredstavuje rozšírenie zásahov do vlastníckeho práva, ale len odstránenie územne diferencovaného obmedzenia, ktoré nie je vecne odôvodnené povahou regulovanej činnosti.  Pripomienka je zásadná.</w:t>
            </w:r>
          </w:p>
        </w:tc>
        <w:tc>
          <w:tcPr>
            <w:tcW w:w="2264" w:type="dxa"/>
            <w:vAlign w:val="center"/>
            <w:hideMark/>
          </w:tcPr>
          <w:p w14:paraId="65AFD0DE" w14:textId="604974A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4ECB78E" w14:textId="56E2B7F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Ustanovenia sa presúvajú z 321/2014 do ZoT</w:t>
            </w:r>
          </w:p>
        </w:tc>
      </w:tr>
      <w:tr w:rsidR="00FE0F3E" w:rsidRPr="006278D2" w14:paraId="2A815651" w14:textId="07FC4397" w:rsidTr="00725D29">
        <w:trPr>
          <w:trHeight w:val="960"/>
        </w:trPr>
        <w:tc>
          <w:tcPr>
            <w:tcW w:w="975" w:type="dxa"/>
            <w:hideMark/>
          </w:tcPr>
          <w:p w14:paraId="5006E2C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898.</w:t>
            </w:r>
          </w:p>
        </w:tc>
        <w:tc>
          <w:tcPr>
            <w:tcW w:w="2656" w:type="dxa"/>
            <w:hideMark/>
          </w:tcPr>
          <w:p w14:paraId="3337349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7E8D96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AE8EA6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Odporúčame v celom materiáli nahradiť text "princíp prvoradosti energetickej efektívnosti" za text "zásada prvoradosti energetickej efektívnosti" a to vo všetkých pádoch.  Odôvodnenie:  V nariadení Európskeho parlamentu a Rady (EÚ) 2018/1999 z 11. decembra 2018 o riadení energetickej únie ... a v Smernici Európskeho parlamentu a Rady (EÚ) 2023/1791 z 13. septembra 2023 o energetickej efektívnosti a o zmene nariadenia (EÚ) 2023/955  sa používa pojem „zásada prvoradosti energetickej efektívnosti“</w:t>
            </w:r>
          </w:p>
        </w:tc>
        <w:tc>
          <w:tcPr>
            <w:tcW w:w="2264" w:type="dxa"/>
            <w:hideMark/>
          </w:tcPr>
          <w:p w14:paraId="04757525" w14:textId="29BFF43D"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291BCC8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5D196D32" w14:textId="5F14EC97" w:rsidTr="00725D29">
        <w:trPr>
          <w:trHeight w:val="960"/>
        </w:trPr>
        <w:tc>
          <w:tcPr>
            <w:tcW w:w="975" w:type="dxa"/>
            <w:hideMark/>
          </w:tcPr>
          <w:p w14:paraId="3ED9390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899.</w:t>
            </w:r>
          </w:p>
        </w:tc>
        <w:tc>
          <w:tcPr>
            <w:tcW w:w="2656" w:type="dxa"/>
            <w:hideMark/>
          </w:tcPr>
          <w:p w14:paraId="2E6D354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EA0E08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CD31DD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w:t>
            </w:r>
            <w:r w:rsidRPr="00BC49FC">
              <w:rPr>
                <w:rFonts w:ascii="Times New Roman" w:hAnsi="Times New Roman" w:cs="Times New Roman"/>
              </w:rPr>
              <w:t>Odporúčame aspoň v dôvodovej správe vysvetliť pojem energetická efektívnosť, keďže v súčasných právnych predpisoch je tento pojem definovaný iným spôsobom a to: „energetickou efektívnosťou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  Odôvodnenie: Text v návrhu zákona je možné interpretovať tak, že energetická efektívnosť je súčasne energetická účinnosť a energetická náročnosť.</w:t>
            </w:r>
          </w:p>
        </w:tc>
        <w:tc>
          <w:tcPr>
            <w:tcW w:w="2264" w:type="dxa"/>
            <w:hideMark/>
          </w:tcPr>
          <w:p w14:paraId="7A2CD024" w14:textId="307ADFC0"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2439EBD7" w14:textId="64ED60C5" w:rsidR="00FE0F3E" w:rsidRPr="00BC49FC" w:rsidRDefault="00FE0F3E" w:rsidP="00666928">
            <w:pPr>
              <w:rPr>
                <w:rFonts w:ascii="Times New Roman" w:hAnsi="Times New Roman" w:cs="Times New Roman"/>
              </w:rPr>
            </w:pPr>
            <w:r w:rsidRPr="00BC49FC">
              <w:rPr>
                <w:rFonts w:ascii="Times New Roman" w:hAnsi="Times New Roman" w:cs="Times New Roman"/>
              </w:rPr>
              <w:t>Pojem je zadefinovaný v § 2 písm. d).</w:t>
            </w:r>
          </w:p>
        </w:tc>
      </w:tr>
      <w:tr w:rsidR="00FE0F3E" w:rsidRPr="006278D2" w14:paraId="68D1591A" w14:textId="33AFA61D" w:rsidTr="00725D29">
        <w:trPr>
          <w:trHeight w:val="645"/>
        </w:trPr>
        <w:tc>
          <w:tcPr>
            <w:tcW w:w="975" w:type="dxa"/>
            <w:hideMark/>
          </w:tcPr>
          <w:p w14:paraId="337F0C0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900.</w:t>
            </w:r>
          </w:p>
        </w:tc>
        <w:tc>
          <w:tcPr>
            <w:tcW w:w="2656" w:type="dxa"/>
            <w:hideMark/>
          </w:tcPr>
          <w:p w14:paraId="2BFE365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277D63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A60D1D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ods. i </w:t>
            </w:r>
            <w:r w:rsidRPr="00BC49FC">
              <w:rPr>
                <w:rFonts w:ascii="Times New Roman" w:hAnsi="Times New Roman" w:cs="Times New Roman"/>
              </w:rPr>
              <w:t>V písmene i) odporúčame zmeniť odkaz pod čiarou 3) nasledovne „§ 1 ods. 6 až 11 vyhlášky MDRR SR č. 364/2012 Z. z., ktorou sa vykonáva zákon č. 555/2005 Z. z. o energetickej hospodárnosti budov a o zmene a doplnení niektorých zákonov v znení neskorších predpisov.“  Odôvodnenie: Vhodnejšie je odkazovať na všeobecne záväzný právny predpis.</w:t>
            </w:r>
          </w:p>
        </w:tc>
        <w:tc>
          <w:tcPr>
            <w:tcW w:w="2264" w:type="dxa"/>
            <w:hideMark/>
          </w:tcPr>
          <w:p w14:paraId="4F5E2BB9" w14:textId="033D2A2B"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6AC02827" w14:textId="01A649D3" w:rsidR="00FE0F3E" w:rsidRPr="00BC49FC" w:rsidRDefault="00FE0F3E" w:rsidP="00666928">
            <w:pPr>
              <w:rPr>
                <w:rFonts w:ascii="Times New Roman" w:hAnsi="Times New Roman" w:cs="Times New Roman"/>
              </w:rPr>
            </w:pPr>
            <w:r w:rsidRPr="00BC49FC">
              <w:rPr>
                <w:rFonts w:ascii="Times New Roman" w:hAnsi="Times New Roman" w:cs="Times New Roman"/>
                <w:b/>
                <w:bCs/>
              </w:rPr>
              <w:t> </w:t>
            </w:r>
            <w:r w:rsidRPr="00BC49FC">
              <w:rPr>
                <w:rFonts w:ascii="Times New Roman" w:hAnsi="Times New Roman" w:cs="Times New Roman"/>
              </w:rPr>
              <w:t>Text ustanovenia bol zmenený.</w:t>
            </w:r>
          </w:p>
        </w:tc>
      </w:tr>
      <w:tr w:rsidR="00FE0F3E" w:rsidRPr="006278D2" w14:paraId="0569E0A9" w14:textId="2200C1B7" w:rsidTr="00725D29">
        <w:trPr>
          <w:trHeight w:val="645"/>
        </w:trPr>
        <w:tc>
          <w:tcPr>
            <w:tcW w:w="975" w:type="dxa"/>
            <w:hideMark/>
          </w:tcPr>
          <w:p w14:paraId="42541AB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901.</w:t>
            </w:r>
          </w:p>
        </w:tc>
        <w:tc>
          <w:tcPr>
            <w:tcW w:w="2656" w:type="dxa"/>
            <w:hideMark/>
          </w:tcPr>
          <w:p w14:paraId="2F923B1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7F0F1C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1789A7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w:t>
            </w:r>
            <w:r w:rsidRPr="00BC49FC">
              <w:rPr>
                <w:rFonts w:ascii="Times New Roman" w:hAnsi="Times New Roman" w:cs="Times New Roman"/>
              </w:rPr>
              <w:t>V §2 písm. j) odporúčame naradiť text „a správa o príslušných zisteniach“ textom „ výstupom z energetického auditu je písomná správa z energetického auditu (ďalej len „správa z energetického auditu“).  Odôvodnenie:  Zaužívaná prax pri výkone energetického auditu.</w:t>
            </w:r>
          </w:p>
        </w:tc>
        <w:tc>
          <w:tcPr>
            <w:tcW w:w="2264" w:type="dxa"/>
            <w:hideMark/>
          </w:tcPr>
          <w:p w14:paraId="5ACA9707" w14:textId="636AD87A" w:rsidR="00FE0F3E" w:rsidRPr="00BC49FC" w:rsidRDefault="00FE0F3E" w:rsidP="00666928">
            <w:pPr>
              <w:rPr>
                <w:rFonts w:ascii="Times New Roman" w:hAnsi="Times New Roman" w:cs="Times New Roman"/>
                <w:b/>
                <w:bCs/>
              </w:rPr>
            </w:pPr>
            <w:r>
              <w:rPr>
                <w:rFonts w:ascii="Times New Roman" w:hAnsi="Times New Roman" w:cs="Times New Roman"/>
                <w:b/>
                <w:bCs/>
              </w:rPr>
              <w:t>ČA</w:t>
            </w:r>
          </w:p>
        </w:tc>
        <w:tc>
          <w:tcPr>
            <w:tcW w:w="2753" w:type="dxa"/>
            <w:hideMark/>
          </w:tcPr>
          <w:p w14:paraId="2910D28B" w14:textId="1129B073" w:rsidR="00FE0F3E" w:rsidRPr="00BC49FC" w:rsidRDefault="00FE0F3E" w:rsidP="00666928">
            <w:pPr>
              <w:rPr>
                <w:rFonts w:ascii="Times New Roman" w:hAnsi="Times New Roman" w:cs="Times New Roman"/>
              </w:rPr>
            </w:pPr>
            <w:r w:rsidRPr="00BC49FC">
              <w:rPr>
                <w:rFonts w:ascii="Times New Roman" w:hAnsi="Times New Roman" w:cs="Times New Roman"/>
                <w:b/>
                <w:bCs/>
              </w:rPr>
              <w:t> </w:t>
            </w:r>
            <w:r w:rsidRPr="00BC49FC">
              <w:rPr>
                <w:rFonts w:ascii="Times New Roman" w:hAnsi="Times New Roman" w:cs="Times New Roman"/>
              </w:rPr>
              <w:t>Uvedené v § 26 ods.14.</w:t>
            </w:r>
          </w:p>
        </w:tc>
      </w:tr>
      <w:tr w:rsidR="00FE0F3E" w:rsidRPr="006278D2" w14:paraId="48EAA2D6" w14:textId="46FBA3DF" w:rsidTr="00725D29">
        <w:trPr>
          <w:trHeight w:val="645"/>
        </w:trPr>
        <w:tc>
          <w:tcPr>
            <w:tcW w:w="975" w:type="dxa"/>
            <w:hideMark/>
          </w:tcPr>
          <w:p w14:paraId="49DC75C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902.</w:t>
            </w:r>
          </w:p>
        </w:tc>
        <w:tc>
          <w:tcPr>
            <w:tcW w:w="2656" w:type="dxa"/>
            <w:hideMark/>
          </w:tcPr>
          <w:p w14:paraId="299F50F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FF1453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5F8CE4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w:t>
            </w:r>
            <w:r w:rsidRPr="00BC49FC">
              <w:rPr>
                <w:rFonts w:ascii="Times New Roman" w:hAnsi="Times New Roman" w:cs="Times New Roman"/>
              </w:rPr>
              <w:t>V § 2 písm. n) odporúčame spojku „a“ nahradiť spojkou „alebo“.  Odôvodnenie:  Opatrením energetickej efektívnosti môže byť koordinačné, alebo individuálne samostatne.</w:t>
            </w:r>
          </w:p>
        </w:tc>
        <w:tc>
          <w:tcPr>
            <w:tcW w:w="2264" w:type="dxa"/>
            <w:hideMark/>
          </w:tcPr>
          <w:p w14:paraId="750F6E2F" w14:textId="27B850B6"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6C02F7D5" w14:textId="1219A3AC"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3B691CD5" w14:textId="3BE9926F" w:rsidTr="00725D29">
        <w:trPr>
          <w:trHeight w:val="645"/>
        </w:trPr>
        <w:tc>
          <w:tcPr>
            <w:tcW w:w="975" w:type="dxa"/>
            <w:hideMark/>
          </w:tcPr>
          <w:p w14:paraId="6C75BA5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903.</w:t>
            </w:r>
          </w:p>
        </w:tc>
        <w:tc>
          <w:tcPr>
            <w:tcW w:w="2656" w:type="dxa"/>
            <w:hideMark/>
          </w:tcPr>
          <w:p w14:paraId="7B7A8A3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714A44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DEE812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w:t>
            </w:r>
            <w:r w:rsidRPr="00BC49FC">
              <w:rPr>
                <w:rFonts w:ascii="Times New Roman" w:hAnsi="Times New Roman" w:cs="Times New Roman"/>
              </w:rPr>
              <w:t>V § 2 písm. u) je potrebné doplniť vysvetlenie, nakoľko existuje pochybnosť o tom,  čo sa považuje za primárnu energiu v prípade elektriny z  fotovoltických panelov alebo elektriny a tepla z jadrových elektrární.  Odôvodnenie:  V prípade fotovoltických panelov a jadrových reaktorov dochádza k procesu premeny.</w:t>
            </w:r>
          </w:p>
        </w:tc>
        <w:tc>
          <w:tcPr>
            <w:tcW w:w="2264" w:type="dxa"/>
            <w:hideMark/>
          </w:tcPr>
          <w:p w14:paraId="21DE3EDE" w14:textId="14FF9C56"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661E81DE" w14:textId="589DA71B" w:rsidR="00FE0F3E" w:rsidRPr="00BC49FC" w:rsidRDefault="00FE0F3E" w:rsidP="00666928">
            <w:pPr>
              <w:rPr>
                <w:rFonts w:ascii="Times New Roman" w:hAnsi="Times New Roman" w:cs="Times New Roman"/>
                <w:b/>
                <w:bCs/>
              </w:rPr>
            </w:pPr>
            <w:r w:rsidRPr="00916DB7">
              <w:rPr>
                <w:b/>
                <w:bCs/>
              </w:rPr>
              <w:t>požiadavka presahuje potrebný rozsah úpravy</w:t>
            </w:r>
          </w:p>
        </w:tc>
      </w:tr>
      <w:tr w:rsidR="00FE0F3E" w:rsidRPr="006278D2" w14:paraId="5CE7F897" w14:textId="135FDD81" w:rsidTr="00725D29">
        <w:trPr>
          <w:trHeight w:val="645"/>
        </w:trPr>
        <w:tc>
          <w:tcPr>
            <w:tcW w:w="975" w:type="dxa"/>
            <w:hideMark/>
          </w:tcPr>
          <w:p w14:paraId="4A83E28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904.</w:t>
            </w:r>
          </w:p>
        </w:tc>
        <w:tc>
          <w:tcPr>
            <w:tcW w:w="2656" w:type="dxa"/>
            <w:hideMark/>
          </w:tcPr>
          <w:p w14:paraId="40965C5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362374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9EF49F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w:t>
            </w:r>
            <w:r w:rsidRPr="00BC49FC">
              <w:rPr>
                <w:rFonts w:ascii="Times New Roman" w:hAnsi="Times New Roman" w:cs="Times New Roman"/>
              </w:rPr>
              <w:t>V § 2 písm. y) odporúčame doplniť o aký systém sa jedná.  Odôvodnenie:  Z textu nie je zrejmé o efektívnosť akého systému sa jedná.</w:t>
            </w:r>
          </w:p>
        </w:tc>
        <w:tc>
          <w:tcPr>
            <w:tcW w:w="2264" w:type="dxa"/>
            <w:hideMark/>
          </w:tcPr>
          <w:p w14:paraId="7BF4E117" w14:textId="3320A58E"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7C6C2C2F" w14:textId="5DC814B4" w:rsidR="00FE0F3E" w:rsidRPr="00BC49FC" w:rsidRDefault="00FE0F3E" w:rsidP="00666928">
            <w:pPr>
              <w:rPr>
                <w:rFonts w:ascii="Times New Roman" w:hAnsi="Times New Roman" w:cs="Times New Roman"/>
                <w:b/>
                <w:bCs/>
              </w:rPr>
            </w:pPr>
            <w:r w:rsidRPr="00916DB7">
              <w:rPr>
                <w:b/>
                <w:bCs/>
              </w:rPr>
              <w:t>požiadavka presahuje potrebný rozsah úpravy</w:t>
            </w:r>
          </w:p>
        </w:tc>
      </w:tr>
      <w:tr w:rsidR="00FE0F3E" w:rsidRPr="006278D2" w14:paraId="1C185AA9" w14:textId="3859008C" w:rsidTr="00725D29">
        <w:trPr>
          <w:trHeight w:val="645"/>
        </w:trPr>
        <w:tc>
          <w:tcPr>
            <w:tcW w:w="975" w:type="dxa"/>
            <w:hideMark/>
          </w:tcPr>
          <w:p w14:paraId="4A3899E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905.</w:t>
            </w:r>
          </w:p>
        </w:tc>
        <w:tc>
          <w:tcPr>
            <w:tcW w:w="2656" w:type="dxa"/>
            <w:hideMark/>
          </w:tcPr>
          <w:p w14:paraId="78747BE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7C2DA2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9373C9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w:t>
            </w:r>
            <w:r w:rsidRPr="00BC49FC">
              <w:rPr>
                <w:rFonts w:ascii="Times New Roman" w:hAnsi="Times New Roman" w:cs="Times New Roman"/>
              </w:rPr>
              <w:t>V § 2 písm. ae) odporúčame doplniť účel zákazky na poskytnutie služieb s významným energetickým obsahom.  Odôvodnenie:  Zákazkou na poskytnutie služieb s významným energetickým obsahom môže byť aj modernizácia verejného osvetlenia, prevádzka ČOV a iné.</w:t>
            </w:r>
          </w:p>
        </w:tc>
        <w:tc>
          <w:tcPr>
            <w:tcW w:w="2264" w:type="dxa"/>
            <w:hideMark/>
          </w:tcPr>
          <w:p w14:paraId="571D5350" w14:textId="5FCF276A"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1B11FCB5" w14:textId="7B02B194" w:rsidR="00FE0F3E" w:rsidRPr="00BC49FC" w:rsidRDefault="00FE0F3E" w:rsidP="00666928">
            <w:pPr>
              <w:rPr>
                <w:rFonts w:ascii="Times New Roman" w:hAnsi="Times New Roman" w:cs="Times New Roman"/>
                <w:b/>
                <w:bCs/>
              </w:rPr>
            </w:pPr>
            <w:r w:rsidRPr="006D2135">
              <w:rPr>
                <w:b/>
                <w:bCs/>
              </w:rPr>
              <w:t>Požiadavka stratila opodstatnenie v dôsledku vypustenia dotknutého ustanoveni</w:t>
            </w:r>
            <w:r>
              <w:rPr>
                <w:b/>
                <w:bCs/>
              </w:rPr>
              <w:t>a</w:t>
            </w:r>
          </w:p>
        </w:tc>
      </w:tr>
      <w:tr w:rsidR="00FE0F3E" w:rsidRPr="006278D2" w14:paraId="5B16FDEF" w14:textId="3DEB3996" w:rsidTr="00725D29">
        <w:trPr>
          <w:trHeight w:val="960"/>
        </w:trPr>
        <w:tc>
          <w:tcPr>
            <w:tcW w:w="975" w:type="dxa"/>
            <w:hideMark/>
          </w:tcPr>
          <w:p w14:paraId="6D5AD3F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906.</w:t>
            </w:r>
          </w:p>
        </w:tc>
        <w:tc>
          <w:tcPr>
            <w:tcW w:w="2656" w:type="dxa"/>
            <w:hideMark/>
          </w:tcPr>
          <w:p w14:paraId="5083A5D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57F136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717795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 nové písm. ah) </w:t>
            </w:r>
            <w:r w:rsidRPr="00BC49FC">
              <w:rPr>
                <w:rFonts w:ascii="Times New Roman" w:hAnsi="Times New Roman" w:cs="Times New Roman"/>
              </w:rPr>
              <w:t>V § 2 odporúčame doplniť písmeno ah), ktoré znie: „ah) energetickým manažmentom a energetickým manažmentom verejného subjektu je systematická činnosť zameraná na zníženie energetickej spotreby subjektu alebo subjektu verejného sektora prostredníctvom  opatrení energetickej efektívnosti a energetickej hospodárnosti.“  Odôvodnenie:  v kontexte povinnosti danej v § 18 návrh zákona považujeme za nevyhnutné definovať, čo je predmetom energetického manažmentu a energetického manažmentu verejného sektora.</w:t>
            </w:r>
          </w:p>
        </w:tc>
        <w:tc>
          <w:tcPr>
            <w:tcW w:w="2264" w:type="dxa"/>
            <w:hideMark/>
          </w:tcPr>
          <w:p w14:paraId="3A978155" w14:textId="64D52F10"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61497B95" w14:textId="3163738D"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Uvedené v DS.</w:t>
            </w:r>
          </w:p>
        </w:tc>
      </w:tr>
      <w:tr w:rsidR="00FE0F3E" w:rsidRPr="006278D2" w14:paraId="17F7CBA9" w14:textId="12A306ED" w:rsidTr="00725D29">
        <w:trPr>
          <w:trHeight w:val="645"/>
        </w:trPr>
        <w:tc>
          <w:tcPr>
            <w:tcW w:w="975" w:type="dxa"/>
            <w:hideMark/>
          </w:tcPr>
          <w:p w14:paraId="1C18AED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907.</w:t>
            </w:r>
          </w:p>
        </w:tc>
        <w:tc>
          <w:tcPr>
            <w:tcW w:w="2656" w:type="dxa"/>
            <w:hideMark/>
          </w:tcPr>
          <w:p w14:paraId="79F9237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5D325A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058A78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 </w:t>
            </w:r>
            <w:r w:rsidRPr="00BC49FC">
              <w:rPr>
                <w:rFonts w:ascii="Times New Roman" w:hAnsi="Times New Roman" w:cs="Times New Roman"/>
              </w:rPr>
              <w:t>V § 3 písm. a) odporúčame upraviť text nasledovne: „a) podnikom akýkoľvek subjekt, ktorý vykonáva hospodársku činnosť, bez ohľadu na jeho právnu formu; mikropodnikom, malým podnikom a stredným podnikom podnik podľa osobitného predpisu, 9)“  Odôvodnenie:  Doplnenie všeobecnej definície podniku.</w:t>
            </w:r>
          </w:p>
        </w:tc>
        <w:tc>
          <w:tcPr>
            <w:tcW w:w="2264" w:type="dxa"/>
            <w:hideMark/>
          </w:tcPr>
          <w:p w14:paraId="141FA56F" w14:textId="4F54BA91"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1D1A6094" w14:textId="31C71853"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14680DCE" w14:textId="3ACBB59C" w:rsidTr="00725D29">
        <w:trPr>
          <w:trHeight w:val="645"/>
        </w:trPr>
        <w:tc>
          <w:tcPr>
            <w:tcW w:w="975" w:type="dxa"/>
            <w:hideMark/>
          </w:tcPr>
          <w:p w14:paraId="184CC73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908.</w:t>
            </w:r>
          </w:p>
        </w:tc>
        <w:tc>
          <w:tcPr>
            <w:tcW w:w="2656" w:type="dxa"/>
            <w:hideMark/>
          </w:tcPr>
          <w:p w14:paraId="54838B5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585FDF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06DF49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 </w:t>
            </w:r>
            <w:r w:rsidRPr="00BC49FC">
              <w:rPr>
                <w:rFonts w:ascii="Times New Roman" w:hAnsi="Times New Roman" w:cs="Times New Roman"/>
              </w:rPr>
              <w:t>V § 3 písm. k) odporúčame nahradiť text „v zariadení alebo priestoroch“ slovom „pre“.  Odôvodnenie:  Poskytovanie podpornej energetickej služby nemusí byť realizované v zariadení alebo priestoroch prijímateľa, môžu byť poskytované aj na diaľku. Lokalizácia miesta poskytovania je preto nadbytočná.</w:t>
            </w:r>
          </w:p>
        </w:tc>
        <w:tc>
          <w:tcPr>
            <w:tcW w:w="2264" w:type="dxa"/>
            <w:hideMark/>
          </w:tcPr>
          <w:p w14:paraId="654DB765" w14:textId="3DFD0763"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71819CC4" w14:textId="42436B6E"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6B969192" w14:textId="6F7B39EE" w:rsidTr="00725D29">
        <w:trPr>
          <w:trHeight w:val="645"/>
        </w:trPr>
        <w:tc>
          <w:tcPr>
            <w:tcW w:w="975" w:type="dxa"/>
            <w:hideMark/>
          </w:tcPr>
          <w:p w14:paraId="76E6626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909.</w:t>
            </w:r>
          </w:p>
        </w:tc>
        <w:tc>
          <w:tcPr>
            <w:tcW w:w="2656" w:type="dxa"/>
            <w:hideMark/>
          </w:tcPr>
          <w:p w14:paraId="7F5965E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3A7252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E49726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 </w:t>
            </w:r>
            <w:r w:rsidRPr="00BC49FC">
              <w:rPr>
                <w:rFonts w:ascii="Times New Roman" w:hAnsi="Times New Roman" w:cs="Times New Roman"/>
              </w:rPr>
              <w:t>V §3 odporúčame vypustiť písmeno n).  Odôvodnenie:  V SR nie sú zavedené povinné schémy energetickej efektívnosti.</w:t>
            </w:r>
          </w:p>
        </w:tc>
        <w:tc>
          <w:tcPr>
            <w:tcW w:w="2264" w:type="dxa"/>
            <w:hideMark/>
          </w:tcPr>
          <w:p w14:paraId="42B7CC50" w14:textId="2F7D4429"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2025F78D" w14:textId="4374266B"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4BA8FA7B" w14:textId="1BB49E17" w:rsidTr="00725D29">
        <w:trPr>
          <w:trHeight w:val="645"/>
        </w:trPr>
        <w:tc>
          <w:tcPr>
            <w:tcW w:w="975" w:type="dxa"/>
            <w:hideMark/>
          </w:tcPr>
          <w:p w14:paraId="0A5B747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910.</w:t>
            </w:r>
          </w:p>
        </w:tc>
        <w:tc>
          <w:tcPr>
            <w:tcW w:w="2656" w:type="dxa"/>
            <w:hideMark/>
          </w:tcPr>
          <w:p w14:paraId="718FDEC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761970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5EC171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 ods. 1 </w:t>
            </w:r>
            <w:r w:rsidRPr="00BC49FC">
              <w:rPr>
                <w:rFonts w:ascii="Times New Roman" w:hAnsi="Times New Roman" w:cs="Times New Roman"/>
              </w:rPr>
              <w:t>V § 4 odseku 1 odporúčame vypustiť text „a zlepšenie energetickej efektívnosti“.  Odôvodnenie:  Zlepšenie energetickej efektívnosti je možné prostredníctvom zvyšovania energetickej účinnosti a znižovania energetickej náročnosti, čo je v texte už obsiahnuté.</w:t>
            </w:r>
          </w:p>
        </w:tc>
        <w:tc>
          <w:tcPr>
            <w:tcW w:w="2264" w:type="dxa"/>
            <w:hideMark/>
          </w:tcPr>
          <w:p w14:paraId="3D3F0A53" w14:textId="59F2A552"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367BEFBD" w14:textId="0DD2CA65"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508B610F" w14:textId="70A4D973" w:rsidTr="00725D29">
        <w:trPr>
          <w:trHeight w:val="645"/>
        </w:trPr>
        <w:tc>
          <w:tcPr>
            <w:tcW w:w="975" w:type="dxa"/>
            <w:hideMark/>
          </w:tcPr>
          <w:p w14:paraId="2C9E0BD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911.</w:t>
            </w:r>
          </w:p>
        </w:tc>
        <w:tc>
          <w:tcPr>
            <w:tcW w:w="2656" w:type="dxa"/>
            <w:hideMark/>
          </w:tcPr>
          <w:p w14:paraId="4638F1B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19D3B8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801087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 ods. 2 </w:t>
            </w:r>
            <w:r w:rsidRPr="00BC49FC">
              <w:rPr>
                <w:rFonts w:ascii="Times New Roman" w:hAnsi="Times New Roman" w:cs="Times New Roman"/>
              </w:rPr>
              <w:t>V §4 do odseku 2 odporúčame doplniť frekvenciu a termín prvého predloženia plánu energetickej efektívnosti.  Odôvodnenie:  Z textu nie je známy termín prvého predloženia a následného opakovania.</w:t>
            </w:r>
          </w:p>
        </w:tc>
        <w:tc>
          <w:tcPr>
            <w:tcW w:w="2264" w:type="dxa"/>
            <w:hideMark/>
          </w:tcPr>
          <w:p w14:paraId="3AAEFBC6" w14:textId="6AAB4055"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F55893">
              <w:rPr>
                <w:rFonts w:ascii="Times New Roman" w:hAnsi="Times New Roman" w:cs="Times New Roman"/>
                <w:b/>
                <w:bCs/>
              </w:rPr>
              <w:t>N</w:t>
            </w:r>
          </w:p>
        </w:tc>
        <w:tc>
          <w:tcPr>
            <w:tcW w:w="2753" w:type="dxa"/>
            <w:hideMark/>
          </w:tcPr>
          <w:p w14:paraId="65FDB165" w14:textId="46CFED32"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F55893">
              <w:rPr>
                <w:b/>
                <w:bCs/>
              </w:rPr>
              <w:t>požiadavka presahuje potrebný rozsah úpravy</w:t>
            </w:r>
          </w:p>
        </w:tc>
      </w:tr>
      <w:tr w:rsidR="00FE0F3E" w:rsidRPr="006278D2" w14:paraId="0E48476B" w14:textId="3D9F2E3F" w:rsidTr="00725D29">
        <w:trPr>
          <w:trHeight w:val="960"/>
        </w:trPr>
        <w:tc>
          <w:tcPr>
            <w:tcW w:w="975" w:type="dxa"/>
            <w:hideMark/>
          </w:tcPr>
          <w:p w14:paraId="0E174F7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912.</w:t>
            </w:r>
          </w:p>
        </w:tc>
        <w:tc>
          <w:tcPr>
            <w:tcW w:w="2656" w:type="dxa"/>
            <w:hideMark/>
          </w:tcPr>
          <w:p w14:paraId="2F50925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10A4AE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2E9389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 ods. 3 </w:t>
            </w:r>
            <w:r w:rsidRPr="00BC49FC">
              <w:rPr>
                <w:rFonts w:ascii="Times New Roman" w:hAnsi="Times New Roman" w:cs="Times New Roman"/>
              </w:rPr>
              <w:t>V § 4 odporúčame vypustiť text odseku 3, prípadne ustanovenie uviesť vo vykonávacom predpise.  Odôvodnenie: Keďže Integrovaný národný energetický a klimatický plán má povinný rozsah ustanovený nariadením č. 2018/1999 a prípadné rozšírenia a doplnenia je možné vykonať aj bez zákonnej povinnosti je takto uvedené ustanovenie ako súčasť návrhu zákona nadbytočné a málo flexibilné. Naviac text obsahuje aj ustanovenie písmena h), ktoré je súčasťou relevantného nariadenia (oddiel B, 4.3)</w:t>
            </w:r>
          </w:p>
        </w:tc>
        <w:tc>
          <w:tcPr>
            <w:tcW w:w="2264" w:type="dxa"/>
            <w:hideMark/>
          </w:tcPr>
          <w:p w14:paraId="082CF889" w14:textId="31CB7BB8" w:rsidR="00FE0F3E" w:rsidRPr="00BC49FC" w:rsidRDefault="00FE0F3E" w:rsidP="00666928">
            <w:pPr>
              <w:rPr>
                <w:rFonts w:ascii="Times New Roman" w:hAnsi="Times New Roman" w:cs="Times New Roman"/>
                <w:b/>
                <w:bCs/>
              </w:rPr>
            </w:pPr>
            <w:r>
              <w:rPr>
                <w:rFonts w:ascii="Times New Roman" w:hAnsi="Times New Roman" w:cs="Times New Roman"/>
                <w:b/>
                <w:bCs/>
              </w:rPr>
              <w:t>N</w:t>
            </w:r>
          </w:p>
        </w:tc>
        <w:tc>
          <w:tcPr>
            <w:tcW w:w="2753" w:type="dxa"/>
            <w:hideMark/>
          </w:tcPr>
          <w:p w14:paraId="40476707" w14:textId="6656128A"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3ADA218B" w14:textId="1167A544" w:rsidTr="00725D29">
        <w:trPr>
          <w:trHeight w:val="2259"/>
        </w:trPr>
        <w:tc>
          <w:tcPr>
            <w:tcW w:w="975" w:type="dxa"/>
            <w:hideMark/>
          </w:tcPr>
          <w:p w14:paraId="05E89F7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913.</w:t>
            </w:r>
          </w:p>
        </w:tc>
        <w:tc>
          <w:tcPr>
            <w:tcW w:w="2656" w:type="dxa"/>
            <w:hideMark/>
          </w:tcPr>
          <w:p w14:paraId="483AC95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24BB78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DCD49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 ods. 4 </w:t>
            </w:r>
            <w:r w:rsidRPr="00BC49FC">
              <w:rPr>
                <w:rFonts w:ascii="Times New Roman" w:hAnsi="Times New Roman" w:cs="Times New Roman"/>
              </w:rPr>
              <w:t>V § 4 odporúčame vypustiť text odseku 4, prípadne ustanovenia uviesť vo vykonávacom predpise.  Odôvodnenie:  Keďže Integrovaná národná energetická a klimatická správa má povinný rozsah ustanovený vykonávacím nariadením Komisie (EÚ) 2022/2299 a prípadné rozšírenia a doplnenia je možné vykonať aj bez zákonnej povinnosti je takto uvedené ustanovenie ako súčasť návrhu zákona nadbytočné a málo flexibilné.</w:t>
            </w:r>
          </w:p>
        </w:tc>
        <w:tc>
          <w:tcPr>
            <w:tcW w:w="2264" w:type="dxa"/>
            <w:hideMark/>
          </w:tcPr>
          <w:p w14:paraId="478E822D" w14:textId="0F122A07" w:rsidR="00FE0F3E" w:rsidRPr="00BC49FC" w:rsidRDefault="00FE0F3E" w:rsidP="00666928">
            <w:pPr>
              <w:rPr>
                <w:rFonts w:ascii="Times New Roman" w:hAnsi="Times New Roman" w:cs="Times New Roman"/>
                <w:b/>
                <w:bCs/>
              </w:rPr>
            </w:pPr>
            <w:r>
              <w:rPr>
                <w:rFonts w:ascii="Times New Roman" w:hAnsi="Times New Roman" w:cs="Times New Roman"/>
                <w:b/>
                <w:bCs/>
              </w:rPr>
              <w:t>N</w:t>
            </w:r>
          </w:p>
        </w:tc>
        <w:tc>
          <w:tcPr>
            <w:tcW w:w="2753" w:type="dxa"/>
            <w:hideMark/>
          </w:tcPr>
          <w:p w14:paraId="4124C659" w14:textId="46E3059D"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50E5A0B4" w14:textId="36C7E82C" w:rsidTr="00725D29">
        <w:trPr>
          <w:trHeight w:val="645"/>
        </w:trPr>
        <w:tc>
          <w:tcPr>
            <w:tcW w:w="975" w:type="dxa"/>
            <w:hideMark/>
          </w:tcPr>
          <w:p w14:paraId="5D45A9D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914.</w:t>
            </w:r>
          </w:p>
        </w:tc>
        <w:tc>
          <w:tcPr>
            <w:tcW w:w="2656" w:type="dxa"/>
            <w:hideMark/>
          </w:tcPr>
          <w:p w14:paraId="5491568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6B04B9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450803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5 ods. 2 </w:t>
            </w:r>
            <w:r w:rsidRPr="00BC49FC">
              <w:rPr>
                <w:rFonts w:ascii="Times New Roman" w:hAnsi="Times New Roman" w:cs="Times New Roman"/>
              </w:rPr>
              <w:t>v § 5 ods. 2 odporúčame doplniť text tak aby bolo zrejmé v akom dokumente a v akom čase budú vypracované trajektórie podľa § 5 odsek 2 písmeno a) body 2 až 4 a plán plnenia cieľa na celé desaťročné obdobie podľa § 5 odsek 2 písmeno b).  Odôvodnenie:  Uvedená povinnosť nemá v zákone uvedený spôsob, formu a čas realizácie.</w:t>
            </w:r>
          </w:p>
        </w:tc>
        <w:tc>
          <w:tcPr>
            <w:tcW w:w="2264" w:type="dxa"/>
            <w:hideMark/>
          </w:tcPr>
          <w:p w14:paraId="6F53F687" w14:textId="5E7DAE8D" w:rsidR="00FE0F3E" w:rsidRPr="00BC49FC" w:rsidRDefault="00FE0F3E" w:rsidP="00666928">
            <w:pPr>
              <w:rPr>
                <w:rFonts w:ascii="Times New Roman" w:hAnsi="Times New Roman" w:cs="Times New Roman"/>
                <w:b/>
                <w:bCs/>
              </w:rPr>
            </w:pPr>
            <w:r>
              <w:rPr>
                <w:rFonts w:ascii="Times New Roman" w:hAnsi="Times New Roman" w:cs="Times New Roman"/>
                <w:b/>
                <w:bCs/>
              </w:rPr>
              <w:t>N</w:t>
            </w:r>
          </w:p>
        </w:tc>
        <w:tc>
          <w:tcPr>
            <w:tcW w:w="2753" w:type="dxa"/>
            <w:hideMark/>
          </w:tcPr>
          <w:p w14:paraId="0325817F" w14:textId="169E376F"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479D5542" w14:textId="7E1A5E07" w:rsidTr="00725D29">
        <w:trPr>
          <w:trHeight w:val="645"/>
        </w:trPr>
        <w:tc>
          <w:tcPr>
            <w:tcW w:w="975" w:type="dxa"/>
            <w:hideMark/>
          </w:tcPr>
          <w:p w14:paraId="145302B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915.</w:t>
            </w:r>
          </w:p>
        </w:tc>
        <w:tc>
          <w:tcPr>
            <w:tcW w:w="2656" w:type="dxa"/>
            <w:hideMark/>
          </w:tcPr>
          <w:p w14:paraId="4F9D0C5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6EF2CD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098EA2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7 ods. 3 </w:t>
            </w:r>
            <w:r w:rsidRPr="00BC49FC">
              <w:rPr>
                <w:rFonts w:ascii="Times New Roman" w:hAnsi="Times New Roman" w:cs="Times New Roman"/>
              </w:rPr>
              <w:t>V §7 ods. 3 odporúčame doplniť v písmene c) odkaz na legislatívny predpis kde je uvedená definícia domácnosti v energetickej chudobe, na domácnosti s nízkym príjmom alebo na zraniteľné skupiny obyvateľov.  Odôvodnenie:  Takto formulovaný text nie je jednoznačný.</w:t>
            </w:r>
          </w:p>
        </w:tc>
        <w:tc>
          <w:tcPr>
            <w:tcW w:w="2264" w:type="dxa"/>
            <w:hideMark/>
          </w:tcPr>
          <w:p w14:paraId="755BF27F" w14:textId="6A930B24" w:rsidR="00FE0F3E" w:rsidRPr="00BC49FC" w:rsidRDefault="00FE0F3E" w:rsidP="00666928">
            <w:pPr>
              <w:rPr>
                <w:rFonts w:ascii="Times New Roman" w:hAnsi="Times New Roman" w:cs="Times New Roman"/>
                <w:b/>
                <w:bCs/>
              </w:rPr>
            </w:pPr>
            <w:r>
              <w:rPr>
                <w:rFonts w:ascii="Times New Roman" w:hAnsi="Times New Roman" w:cs="Times New Roman"/>
                <w:b/>
                <w:bCs/>
              </w:rPr>
              <w:t>N</w:t>
            </w:r>
          </w:p>
        </w:tc>
        <w:tc>
          <w:tcPr>
            <w:tcW w:w="2753" w:type="dxa"/>
            <w:hideMark/>
          </w:tcPr>
          <w:p w14:paraId="6372D68A" w14:textId="261F5226"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770D6583" w14:textId="3E291209" w:rsidTr="00725D29">
        <w:trPr>
          <w:trHeight w:val="645"/>
        </w:trPr>
        <w:tc>
          <w:tcPr>
            <w:tcW w:w="975" w:type="dxa"/>
            <w:hideMark/>
          </w:tcPr>
          <w:p w14:paraId="79DC98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916.</w:t>
            </w:r>
          </w:p>
        </w:tc>
        <w:tc>
          <w:tcPr>
            <w:tcW w:w="2656" w:type="dxa"/>
            <w:hideMark/>
          </w:tcPr>
          <w:p w14:paraId="1EDCB41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3F50AE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AB01D2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7 ods. 5 </w:t>
            </w:r>
            <w:r w:rsidRPr="00BC49FC">
              <w:rPr>
                <w:rFonts w:ascii="Times New Roman" w:hAnsi="Times New Roman" w:cs="Times New Roman"/>
              </w:rPr>
              <w:t>V §7 ods. 5 odporúčame špecifikovať o aký zásobník sa jedná.  Odôvodnenie: Nesystematické umiestnenie textu, nakoľko v tejto časti zákona nie je zrejmé o aký zásobník sa jedná.</w:t>
            </w:r>
          </w:p>
        </w:tc>
        <w:tc>
          <w:tcPr>
            <w:tcW w:w="2264" w:type="dxa"/>
            <w:hideMark/>
          </w:tcPr>
          <w:p w14:paraId="115A5355" w14:textId="09C7C278"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513B9D4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32F8A31E" w14:textId="56FCECAF" w:rsidTr="00725D29">
        <w:trPr>
          <w:trHeight w:val="645"/>
        </w:trPr>
        <w:tc>
          <w:tcPr>
            <w:tcW w:w="975" w:type="dxa"/>
            <w:hideMark/>
          </w:tcPr>
          <w:p w14:paraId="57FC3FA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917</w:t>
            </w:r>
          </w:p>
        </w:tc>
        <w:tc>
          <w:tcPr>
            <w:tcW w:w="2656" w:type="dxa"/>
            <w:hideMark/>
          </w:tcPr>
          <w:p w14:paraId="0324086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862F32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7168DD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7 ods. 7 </w:t>
            </w:r>
            <w:r w:rsidRPr="00BC49FC">
              <w:rPr>
                <w:rFonts w:ascii="Times New Roman" w:hAnsi="Times New Roman" w:cs="Times New Roman"/>
              </w:rPr>
              <w:t>V § 7 ods. 7 odporúčame nahradiť text v písmene b) „finančného nástroja“ textom „spôsobu financovania“.  Odôvodnenie:  V prípade finančného nástroja sa jedná o spôsob financovania, čo môže byť obmedzujúce pre zamýšľaný účel.</w:t>
            </w:r>
          </w:p>
        </w:tc>
        <w:tc>
          <w:tcPr>
            <w:tcW w:w="2264" w:type="dxa"/>
            <w:hideMark/>
          </w:tcPr>
          <w:p w14:paraId="274D2357" w14:textId="1A9F4F21"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55518218" w14:textId="04569FF1"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025F59D4" w14:textId="6E8E3448" w:rsidTr="00725D29">
        <w:trPr>
          <w:trHeight w:val="645"/>
        </w:trPr>
        <w:tc>
          <w:tcPr>
            <w:tcW w:w="975" w:type="dxa"/>
            <w:hideMark/>
          </w:tcPr>
          <w:p w14:paraId="07968BE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918.</w:t>
            </w:r>
          </w:p>
        </w:tc>
        <w:tc>
          <w:tcPr>
            <w:tcW w:w="2656" w:type="dxa"/>
            <w:hideMark/>
          </w:tcPr>
          <w:p w14:paraId="35827DE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A25D8D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8FCB7F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7 ods. 10 </w:t>
            </w:r>
            <w:r w:rsidRPr="00BC49FC">
              <w:rPr>
                <w:rFonts w:ascii="Times New Roman" w:hAnsi="Times New Roman" w:cs="Times New Roman"/>
              </w:rPr>
              <w:t>V § 7 ods. 10 odporúčame špecifikovať o aký register sa jedná.  Odôvodnenie:  Nesystematické umiestnenie textu, nakoľko v tejto časti zákona nie je zrejmé o aký register sa jedná.</w:t>
            </w:r>
          </w:p>
        </w:tc>
        <w:tc>
          <w:tcPr>
            <w:tcW w:w="2264" w:type="dxa"/>
            <w:hideMark/>
          </w:tcPr>
          <w:p w14:paraId="2229CB2F" w14:textId="365B2C0B"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38647EC0" w14:textId="62B581AD" w:rsidR="00FE0F3E" w:rsidRPr="00BC49FC" w:rsidRDefault="00FE0F3E" w:rsidP="00666928">
            <w:pPr>
              <w:rPr>
                <w:rFonts w:ascii="Times New Roman" w:hAnsi="Times New Roman" w:cs="Times New Roman"/>
                <w:b/>
                <w:bCs/>
              </w:rPr>
            </w:pPr>
            <w:r w:rsidRPr="00781E45">
              <w:rPr>
                <w:b/>
                <w:bCs/>
              </w:rPr>
              <w:t> </w:t>
            </w:r>
            <w:r>
              <w:rPr>
                <w:b/>
                <w:bCs/>
              </w:rPr>
              <w:t>Register je definovaný ako register opatrení energetickej efektívnosti</w:t>
            </w:r>
          </w:p>
        </w:tc>
      </w:tr>
      <w:tr w:rsidR="00FE0F3E" w:rsidRPr="006278D2" w14:paraId="60E25525" w14:textId="6CC47AED" w:rsidTr="00725D29">
        <w:trPr>
          <w:trHeight w:val="645"/>
        </w:trPr>
        <w:tc>
          <w:tcPr>
            <w:tcW w:w="975" w:type="dxa"/>
            <w:hideMark/>
          </w:tcPr>
          <w:p w14:paraId="1F05D7D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919.</w:t>
            </w:r>
          </w:p>
        </w:tc>
        <w:tc>
          <w:tcPr>
            <w:tcW w:w="2656" w:type="dxa"/>
            <w:hideMark/>
          </w:tcPr>
          <w:p w14:paraId="3E35DA9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31016B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B44635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9 ods. 1 </w:t>
            </w:r>
            <w:r w:rsidRPr="00BC49FC">
              <w:rPr>
                <w:rFonts w:ascii="Times New Roman" w:hAnsi="Times New Roman" w:cs="Times New Roman"/>
              </w:rPr>
              <w:t>V §9 ods. 1 odporúčame odôvodniť použitie pojmu „štátny systém“.</w:t>
            </w:r>
          </w:p>
        </w:tc>
        <w:tc>
          <w:tcPr>
            <w:tcW w:w="2264" w:type="dxa"/>
            <w:hideMark/>
          </w:tcPr>
          <w:p w14:paraId="59A3D9EB" w14:textId="683CC853"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7DEBF9F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52609752" w14:textId="28625E5E" w:rsidTr="00725D29">
        <w:trPr>
          <w:trHeight w:val="645"/>
        </w:trPr>
        <w:tc>
          <w:tcPr>
            <w:tcW w:w="975" w:type="dxa"/>
            <w:hideMark/>
          </w:tcPr>
          <w:p w14:paraId="65E95E8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920.</w:t>
            </w:r>
          </w:p>
        </w:tc>
        <w:tc>
          <w:tcPr>
            <w:tcW w:w="2656" w:type="dxa"/>
            <w:hideMark/>
          </w:tcPr>
          <w:p w14:paraId="44DD5FE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BB5E7F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C915CB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9 ods. 3 </w:t>
            </w:r>
            <w:r w:rsidRPr="00BC49FC">
              <w:rPr>
                <w:rFonts w:ascii="Times New Roman" w:hAnsi="Times New Roman" w:cs="Times New Roman"/>
              </w:rPr>
              <w:t>V § 9 ods. 3 odporúčame bližšie špecifikovať o aké úlohy a činnosti sa jedná.</w:t>
            </w:r>
          </w:p>
        </w:tc>
        <w:tc>
          <w:tcPr>
            <w:tcW w:w="2264" w:type="dxa"/>
            <w:hideMark/>
          </w:tcPr>
          <w:p w14:paraId="3F9E3B09" w14:textId="40C3812A"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344B9359" w14:textId="2545D788"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916DB7">
              <w:rPr>
                <w:b/>
                <w:bCs/>
              </w:rPr>
              <w:t>požiadavka presahuje potrebný rozsah úpravy</w:t>
            </w:r>
          </w:p>
        </w:tc>
      </w:tr>
      <w:tr w:rsidR="00FE0F3E" w:rsidRPr="006278D2" w14:paraId="22A281DD" w14:textId="3BFD87CA" w:rsidTr="00725D29">
        <w:trPr>
          <w:trHeight w:val="645"/>
        </w:trPr>
        <w:tc>
          <w:tcPr>
            <w:tcW w:w="975" w:type="dxa"/>
            <w:hideMark/>
          </w:tcPr>
          <w:p w14:paraId="5E9A046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921.</w:t>
            </w:r>
          </w:p>
        </w:tc>
        <w:tc>
          <w:tcPr>
            <w:tcW w:w="2656" w:type="dxa"/>
            <w:hideMark/>
          </w:tcPr>
          <w:p w14:paraId="55A78E3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8072FD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6C41C5B" w14:textId="77777777" w:rsidR="00FE0F3E" w:rsidRPr="00BC49FC" w:rsidRDefault="00FE0F3E" w:rsidP="00666928">
            <w:pPr>
              <w:rPr>
                <w:rFonts w:ascii="Times New Roman" w:hAnsi="Times New Roman" w:cs="Times New Roman"/>
                <w:b/>
                <w:bCs/>
                <w:highlight w:val="green"/>
              </w:rPr>
            </w:pPr>
            <w:r w:rsidRPr="00BC49FC">
              <w:rPr>
                <w:rFonts w:ascii="Times New Roman" w:hAnsi="Times New Roman" w:cs="Times New Roman"/>
                <w:b/>
                <w:bCs/>
              </w:rPr>
              <w:t xml:space="preserve">Čl. I § 9 ods. 1 </w:t>
            </w:r>
            <w:r w:rsidRPr="00BC49FC">
              <w:rPr>
                <w:rFonts w:ascii="Times New Roman" w:hAnsi="Times New Roman" w:cs="Times New Roman"/>
              </w:rPr>
              <w:t>V § 9 ods. 1odporúčame v písmene a) upraviť text v bodoch 10 a 11 nasledovne: „10.energetickej účinnosti rozvodu tepla, rozvodu teplej vody, rozvodu chladu, prenosu elektriny, prepravy plynu, distribúcie elektriny a distribúcie plynu, 11. energetickej náročnosti prepravy pohonných látok, prepravy ropy, prevádzky verejného vodovodu a prevádzky verejnej kanalizácie,“  Odôvodnenie:  legislatívno-technická úprava</w:t>
            </w:r>
          </w:p>
        </w:tc>
        <w:tc>
          <w:tcPr>
            <w:tcW w:w="2264" w:type="dxa"/>
            <w:hideMark/>
          </w:tcPr>
          <w:p w14:paraId="0C80BE8E" w14:textId="1E65C088"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21B0BD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CBD3260" w14:textId="3D1B44ED" w:rsidTr="00725D29">
        <w:trPr>
          <w:trHeight w:val="645"/>
        </w:trPr>
        <w:tc>
          <w:tcPr>
            <w:tcW w:w="975" w:type="dxa"/>
            <w:hideMark/>
          </w:tcPr>
          <w:p w14:paraId="4F5CC2B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922.</w:t>
            </w:r>
          </w:p>
        </w:tc>
        <w:tc>
          <w:tcPr>
            <w:tcW w:w="2656" w:type="dxa"/>
            <w:hideMark/>
          </w:tcPr>
          <w:p w14:paraId="34A5DE1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A46C1E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7895358" w14:textId="77777777" w:rsidR="00FE0F3E" w:rsidRPr="00BC49FC" w:rsidRDefault="00FE0F3E" w:rsidP="00666928">
            <w:pPr>
              <w:rPr>
                <w:rFonts w:ascii="Times New Roman" w:hAnsi="Times New Roman" w:cs="Times New Roman"/>
                <w:b/>
                <w:bCs/>
                <w:highlight w:val="yellow"/>
              </w:rPr>
            </w:pPr>
            <w:r w:rsidRPr="00BC49FC">
              <w:rPr>
                <w:rFonts w:ascii="Times New Roman" w:hAnsi="Times New Roman" w:cs="Times New Roman"/>
                <w:b/>
                <w:bCs/>
              </w:rPr>
              <w:t xml:space="preserve">Čl. I § 10 ods. 2 </w:t>
            </w:r>
            <w:r w:rsidRPr="00BC49FC">
              <w:rPr>
                <w:rFonts w:ascii="Times New Roman" w:hAnsi="Times New Roman" w:cs="Times New Roman"/>
              </w:rPr>
              <w:t>V § 10 ods. 2 odporúčame vysvetliť text „spravodajská jednotka“.  Odôvodnenie:  Nejednoznačnosť použitého pojmu.</w:t>
            </w:r>
          </w:p>
        </w:tc>
        <w:tc>
          <w:tcPr>
            <w:tcW w:w="2264" w:type="dxa"/>
            <w:hideMark/>
          </w:tcPr>
          <w:p w14:paraId="1A4F390D" w14:textId="0B7CA2B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6C4C78A5" w14:textId="7EDE095E" w:rsidR="00FE0F3E" w:rsidRPr="00BC49FC" w:rsidRDefault="00FE0F3E" w:rsidP="00666928">
            <w:pPr>
              <w:rPr>
                <w:rFonts w:ascii="Times New Roman" w:hAnsi="Times New Roman" w:cs="Times New Roman"/>
              </w:rPr>
            </w:pPr>
            <w:r w:rsidRPr="00BC49FC">
              <w:rPr>
                <w:rFonts w:ascii="Times New Roman" w:hAnsi="Times New Roman" w:cs="Times New Roman"/>
              </w:rPr>
              <w:t xml:space="preserve"> Preformulované na „spravodajská </w:t>
            </w:r>
            <w:r>
              <w:rPr>
                <w:rFonts w:ascii="Times New Roman" w:hAnsi="Times New Roman" w:cs="Times New Roman"/>
              </w:rPr>
              <w:t>služba</w:t>
            </w:r>
            <w:r w:rsidRPr="00BC49FC">
              <w:rPr>
                <w:rFonts w:ascii="Times New Roman" w:hAnsi="Times New Roman" w:cs="Times New Roman"/>
              </w:rPr>
              <w:t>“.</w:t>
            </w:r>
          </w:p>
        </w:tc>
      </w:tr>
      <w:tr w:rsidR="00FE0F3E" w:rsidRPr="006278D2" w14:paraId="3A6FAE33" w14:textId="6415E0A0" w:rsidTr="00725D29">
        <w:trPr>
          <w:trHeight w:val="645"/>
        </w:trPr>
        <w:tc>
          <w:tcPr>
            <w:tcW w:w="975" w:type="dxa"/>
            <w:hideMark/>
          </w:tcPr>
          <w:p w14:paraId="11425E0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923.</w:t>
            </w:r>
          </w:p>
        </w:tc>
        <w:tc>
          <w:tcPr>
            <w:tcW w:w="2656" w:type="dxa"/>
            <w:hideMark/>
          </w:tcPr>
          <w:p w14:paraId="3A1DDB2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266D523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AF8DDA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5 </w:t>
            </w:r>
            <w:r w:rsidRPr="00BC49FC">
              <w:rPr>
                <w:rFonts w:ascii="Times New Roman" w:hAnsi="Times New Roman" w:cs="Times New Roman"/>
              </w:rPr>
              <w:t>V § 10 ods. 5  písmene g) odporúčame doplniť odkaz na všeobecne záväzný právny predpis.  Odôvodnenie: legislatívno-technická úprava</w:t>
            </w:r>
          </w:p>
        </w:tc>
        <w:tc>
          <w:tcPr>
            <w:tcW w:w="2264" w:type="dxa"/>
            <w:hideMark/>
          </w:tcPr>
          <w:p w14:paraId="485C344C" w14:textId="36132157"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144F1F47" w14:textId="16F2E492"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31C34E7F" w14:textId="379E1BE3" w:rsidTr="00725D29">
        <w:trPr>
          <w:trHeight w:val="645"/>
        </w:trPr>
        <w:tc>
          <w:tcPr>
            <w:tcW w:w="975" w:type="dxa"/>
            <w:hideMark/>
          </w:tcPr>
          <w:p w14:paraId="697AB85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924.</w:t>
            </w:r>
          </w:p>
        </w:tc>
        <w:tc>
          <w:tcPr>
            <w:tcW w:w="2656" w:type="dxa"/>
            <w:hideMark/>
          </w:tcPr>
          <w:p w14:paraId="23FEA4F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B0B7CE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2C2CC3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8 </w:t>
            </w:r>
            <w:r w:rsidRPr="00BC49FC">
              <w:rPr>
                <w:rFonts w:ascii="Times New Roman" w:hAnsi="Times New Roman" w:cs="Times New Roman"/>
              </w:rPr>
              <w:t>V § 10 ods. 5 písmene m) odporúčame doplniť odkaz na všeobecne záväzný právny predpis.  Odôvodnenie:  legislatívno-technická úprava</w:t>
            </w:r>
          </w:p>
        </w:tc>
        <w:tc>
          <w:tcPr>
            <w:tcW w:w="2264" w:type="dxa"/>
            <w:hideMark/>
          </w:tcPr>
          <w:p w14:paraId="061FF813" w14:textId="7F375FF8"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137CB1F2" w14:textId="0A69B05F"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0977AD95" w14:textId="3C922675" w:rsidTr="00725D29">
        <w:trPr>
          <w:trHeight w:val="645"/>
        </w:trPr>
        <w:tc>
          <w:tcPr>
            <w:tcW w:w="975" w:type="dxa"/>
            <w:hideMark/>
          </w:tcPr>
          <w:p w14:paraId="2CA7349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925.</w:t>
            </w:r>
          </w:p>
        </w:tc>
        <w:tc>
          <w:tcPr>
            <w:tcW w:w="2656" w:type="dxa"/>
            <w:hideMark/>
          </w:tcPr>
          <w:p w14:paraId="2598796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575402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E2A624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7 </w:t>
            </w:r>
            <w:r w:rsidRPr="00BC49FC">
              <w:rPr>
                <w:rFonts w:ascii="Times New Roman" w:hAnsi="Times New Roman" w:cs="Times New Roman"/>
              </w:rPr>
              <w:t>V § 10 ods. 7 odporúčame upraviť text odseku 7, nakoľko je v rozpore s ustanovením odseku 6.  Odôvodnenie:  legislatívno-technická úprava</w:t>
            </w:r>
          </w:p>
        </w:tc>
        <w:tc>
          <w:tcPr>
            <w:tcW w:w="2264" w:type="dxa"/>
            <w:hideMark/>
          </w:tcPr>
          <w:p w14:paraId="1B08508D" w14:textId="41124BBA"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2906EB2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6AC7D39C" w14:textId="0339E940" w:rsidTr="00725D29">
        <w:trPr>
          <w:trHeight w:val="645"/>
        </w:trPr>
        <w:tc>
          <w:tcPr>
            <w:tcW w:w="975" w:type="dxa"/>
            <w:hideMark/>
          </w:tcPr>
          <w:p w14:paraId="4F4AD70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926.</w:t>
            </w:r>
          </w:p>
        </w:tc>
        <w:tc>
          <w:tcPr>
            <w:tcW w:w="2656" w:type="dxa"/>
            <w:hideMark/>
          </w:tcPr>
          <w:p w14:paraId="05277C8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6E1639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FB59CA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9 </w:t>
            </w:r>
            <w:r w:rsidRPr="00BC49FC">
              <w:rPr>
                <w:rFonts w:ascii="Times New Roman" w:hAnsi="Times New Roman" w:cs="Times New Roman"/>
              </w:rPr>
              <w:t>V § 10 ods. 9 písmene b) odporúčame text „súvisiacich s energetikou“ nahradiť textom „súvisiacim s využívaním energie“.  Odôvodnenie:  Pojem energetika sa používa pre elektroenergetiku a plynárenstvo.</w:t>
            </w:r>
          </w:p>
        </w:tc>
        <w:tc>
          <w:tcPr>
            <w:tcW w:w="2264" w:type="dxa"/>
            <w:hideMark/>
          </w:tcPr>
          <w:p w14:paraId="15485B03" w14:textId="78B9AF0F"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13D8447B" w14:textId="067DD667" w:rsidR="00FE0F3E" w:rsidRPr="00BC49FC" w:rsidRDefault="00FE0F3E" w:rsidP="00666928">
            <w:pPr>
              <w:rPr>
                <w:rFonts w:ascii="Times New Roman" w:hAnsi="Times New Roman" w:cs="Times New Roman"/>
                <w:b/>
                <w:bCs/>
              </w:rPr>
            </w:pPr>
            <w:r w:rsidRPr="00781E45">
              <w:rPr>
                <w:b/>
                <w:bCs/>
              </w:rPr>
              <w:t> </w:t>
            </w:r>
            <w:r>
              <w:rPr>
                <w:b/>
                <w:bCs/>
              </w:rPr>
              <w:t>Požiadavka je na dáta aj z oblasti elektroenergetiky a plynárenstva</w:t>
            </w:r>
          </w:p>
        </w:tc>
      </w:tr>
      <w:tr w:rsidR="00FE0F3E" w:rsidRPr="006278D2" w14:paraId="74D66E61" w14:textId="5223E589" w:rsidTr="00725D29">
        <w:trPr>
          <w:trHeight w:val="645"/>
        </w:trPr>
        <w:tc>
          <w:tcPr>
            <w:tcW w:w="975" w:type="dxa"/>
            <w:hideMark/>
          </w:tcPr>
          <w:p w14:paraId="0F0DF8F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927.</w:t>
            </w:r>
          </w:p>
        </w:tc>
        <w:tc>
          <w:tcPr>
            <w:tcW w:w="2656" w:type="dxa"/>
            <w:hideMark/>
          </w:tcPr>
          <w:p w14:paraId="2614E7C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B0CCB8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4E80AA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9 </w:t>
            </w:r>
            <w:r w:rsidRPr="00BC49FC">
              <w:rPr>
                <w:rFonts w:ascii="Times New Roman" w:hAnsi="Times New Roman" w:cs="Times New Roman"/>
              </w:rPr>
              <w:t>V § 10 ods. 9 písmene c) odporúčame celý text vypustiť alebo bližšie špecifikovať pojem „analytická jednotka.  Odôvodnenie:  Pojem je použitý prvý raz a nie je uvedené o akú analytickú jednotku sa jedná</w:t>
            </w:r>
          </w:p>
        </w:tc>
        <w:tc>
          <w:tcPr>
            <w:tcW w:w="2264" w:type="dxa"/>
            <w:hideMark/>
          </w:tcPr>
          <w:p w14:paraId="54EC7224" w14:textId="2496DBF3" w:rsidR="00FE0F3E" w:rsidRPr="00BC49FC" w:rsidRDefault="00FE0F3E" w:rsidP="00666928">
            <w:pPr>
              <w:rPr>
                <w:rFonts w:ascii="Times New Roman" w:hAnsi="Times New Roman" w:cs="Times New Roman"/>
                <w:b/>
                <w:bCs/>
              </w:rPr>
            </w:pPr>
            <w:r>
              <w:rPr>
                <w:rFonts w:ascii="Times New Roman" w:hAnsi="Times New Roman" w:cs="Times New Roman"/>
                <w:b/>
                <w:bCs/>
              </w:rPr>
              <w:t>ČA</w:t>
            </w:r>
          </w:p>
        </w:tc>
        <w:tc>
          <w:tcPr>
            <w:tcW w:w="2753" w:type="dxa"/>
            <w:hideMark/>
          </w:tcPr>
          <w:p w14:paraId="0DE3BD00" w14:textId="6ADDD46F" w:rsidR="00FE0F3E" w:rsidRPr="00BC49FC" w:rsidRDefault="00FE0F3E" w:rsidP="00666928">
            <w:pPr>
              <w:rPr>
                <w:rFonts w:ascii="Times New Roman" w:hAnsi="Times New Roman" w:cs="Times New Roman"/>
              </w:rPr>
            </w:pPr>
            <w:r w:rsidRPr="00BC49FC">
              <w:rPr>
                <w:rFonts w:ascii="Times New Roman" w:hAnsi="Times New Roman" w:cs="Times New Roman"/>
                <w:b/>
                <w:bCs/>
              </w:rPr>
              <w:t> </w:t>
            </w:r>
            <w:r w:rsidRPr="00BC49FC">
              <w:rPr>
                <w:rFonts w:ascii="Times New Roman" w:hAnsi="Times New Roman" w:cs="Times New Roman"/>
              </w:rPr>
              <w:t>Preformulované.</w:t>
            </w:r>
          </w:p>
        </w:tc>
      </w:tr>
      <w:tr w:rsidR="00FE0F3E" w:rsidRPr="006278D2" w14:paraId="39181CF1" w14:textId="64B7E1EF" w:rsidTr="00725D29">
        <w:trPr>
          <w:trHeight w:val="645"/>
        </w:trPr>
        <w:tc>
          <w:tcPr>
            <w:tcW w:w="975" w:type="dxa"/>
            <w:hideMark/>
          </w:tcPr>
          <w:p w14:paraId="6155871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928.</w:t>
            </w:r>
          </w:p>
        </w:tc>
        <w:tc>
          <w:tcPr>
            <w:tcW w:w="2656" w:type="dxa"/>
            <w:hideMark/>
          </w:tcPr>
          <w:p w14:paraId="292C169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B6C1A5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D3A5F6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9 </w:t>
            </w:r>
            <w:r w:rsidRPr="00BC49FC">
              <w:rPr>
                <w:rFonts w:ascii="Times New Roman" w:hAnsi="Times New Roman" w:cs="Times New Roman"/>
              </w:rPr>
              <w:t>V § 10 ods. 9 písmene i) odporúčame text „v oblasti energetiky“ nahradiť textom „v oblasti využívania energie“.  Odôvodnenie:  Pojem energetika sa používa pre elektroenergetiku a plynárenstvo.</w:t>
            </w:r>
          </w:p>
        </w:tc>
        <w:tc>
          <w:tcPr>
            <w:tcW w:w="2264" w:type="dxa"/>
            <w:hideMark/>
          </w:tcPr>
          <w:p w14:paraId="6369F0CA" w14:textId="4A07E4E4"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72476C71" w14:textId="2BE4DAB1" w:rsidR="00FE0F3E" w:rsidRPr="00BC49FC" w:rsidRDefault="00FE0F3E" w:rsidP="00666928">
            <w:pPr>
              <w:rPr>
                <w:rFonts w:ascii="Times New Roman" w:hAnsi="Times New Roman" w:cs="Times New Roman"/>
                <w:b/>
                <w:bCs/>
              </w:rPr>
            </w:pPr>
            <w:r w:rsidRPr="00781E45">
              <w:rPr>
                <w:b/>
                <w:bCs/>
              </w:rPr>
              <w:t> </w:t>
            </w:r>
            <w:r>
              <w:rPr>
                <w:b/>
                <w:bCs/>
              </w:rPr>
              <w:t>Požiadavka je na dáta aj z oblasti elektroenergetiky a plynárenstva</w:t>
            </w:r>
          </w:p>
        </w:tc>
      </w:tr>
      <w:tr w:rsidR="00FE0F3E" w:rsidRPr="006278D2" w14:paraId="1454732B" w14:textId="62C170A1" w:rsidTr="00725D29">
        <w:trPr>
          <w:trHeight w:val="645"/>
        </w:trPr>
        <w:tc>
          <w:tcPr>
            <w:tcW w:w="975" w:type="dxa"/>
            <w:hideMark/>
          </w:tcPr>
          <w:p w14:paraId="6D1B26F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929.</w:t>
            </w:r>
          </w:p>
        </w:tc>
        <w:tc>
          <w:tcPr>
            <w:tcW w:w="2656" w:type="dxa"/>
            <w:hideMark/>
          </w:tcPr>
          <w:p w14:paraId="45B37EC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214054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51BD60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9 </w:t>
            </w:r>
            <w:r w:rsidRPr="00BC49FC">
              <w:rPr>
                <w:rFonts w:ascii="Times New Roman" w:hAnsi="Times New Roman" w:cs="Times New Roman"/>
              </w:rPr>
              <w:t>V § 10 ods. 9 písmene j) je použitý pojem „energonosičov“. Odporúčame zadefinovať tento pojem.  Odôvodnenie:  Pojem nie je uvedený v definíciách a texte nie je odkaz ani na všeobecne záväzný právny predpis.</w:t>
            </w:r>
          </w:p>
        </w:tc>
        <w:tc>
          <w:tcPr>
            <w:tcW w:w="2264" w:type="dxa"/>
            <w:hideMark/>
          </w:tcPr>
          <w:p w14:paraId="37EEA4D5" w14:textId="2B213C8D"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5936547F" w14:textId="05A6864E" w:rsidR="00FE0F3E" w:rsidRPr="00BC49FC" w:rsidRDefault="00FE0F3E" w:rsidP="00666928">
            <w:pPr>
              <w:rPr>
                <w:rFonts w:ascii="Times New Roman" w:hAnsi="Times New Roman" w:cs="Times New Roman"/>
                <w:b/>
                <w:bCs/>
              </w:rPr>
            </w:pPr>
            <w:r w:rsidRPr="00BC49FC">
              <w:rPr>
                <w:rFonts w:ascii="Times New Roman" w:hAnsi="Times New Roman" w:cs="Times New Roman"/>
              </w:rPr>
              <w:t>Upravené v zmysle pripomienky</w:t>
            </w:r>
            <w:r>
              <w:rPr>
                <w:rFonts w:ascii="Times New Roman" w:hAnsi="Times New Roman" w:cs="Times New Roman"/>
                <w:b/>
                <w:bCs/>
              </w:rPr>
              <w:t>.</w:t>
            </w:r>
          </w:p>
        </w:tc>
      </w:tr>
      <w:tr w:rsidR="00FE0F3E" w:rsidRPr="006278D2" w14:paraId="321B9362" w14:textId="3276F1C0" w:rsidTr="00725D29">
        <w:trPr>
          <w:trHeight w:val="645"/>
        </w:trPr>
        <w:tc>
          <w:tcPr>
            <w:tcW w:w="975" w:type="dxa"/>
            <w:hideMark/>
          </w:tcPr>
          <w:p w14:paraId="06D2E2B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930.</w:t>
            </w:r>
          </w:p>
        </w:tc>
        <w:tc>
          <w:tcPr>
            <w:tcW w:w="2656" w:type="dxa"/>
            <w:hideMark/>
          </w:tcPr>
          <w:p w14:paraId="6350FCE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503AD2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91736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9 </w:t>
            </w:r>
            <w:r w:rsidRPr="00BC49FC">
              <w:rPr>
                <w:rFonts w:ascii="Times New Roman" w:hAnsi="Times New Roman" w:cs="Times New Roman"/>
              </w:rPr>
              <w:t>V § 10 ods. 9 v písmene o) odporúčame nahradiť uvedený text textom: „hodnotením energetickej účinnosti rozvodu tepla, rozvodu teplej vody, rozvodu chladu, prenosu elektriny, prepravy plynu,  a distribúcie elektriny a  distribúcie plynu,“  Odôvodnenie:  legislatívno-technická úprava</w:t>
            </w:r>
          </w:p>
        </w:tc>
        <w:tc>
          <w:tcPr>
            <w:tcW w:w="2264" w:type="dxa"/>
            <w:hideMark/>
          </w:tcPr>
          <w:p w14:paraId="3A9BF4FC" w14:textId="02F505B5"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0C1238D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BBE16BC" w14:textId="47E69D82" w:rsidTr="00725D29">
        <w:trPr>
          <w:trHeight w:val="645"/>
        </w:trPr>
        <w:tc>
          <w:tcPr>
            <w:tcW w:w="975" w:type="dxa"/>
            <w:hideMark/>
          </w:tcPr>
          <w:p w14:paraId="66F1D31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931.</w:t>
            </w:r>
          </w:p>
        </w:tc>
        <w:tc>
          <w:tcPr>
            <w:tcW w:w="2656" w:type="dxa"/>
            <w:hideMark/>
          </w:tcPr>
          <w:p w14:paraId="663B236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5CA9D7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907665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9 </w:t>
            </w:r>
            <w:r w:rsidRPr="00BC49FC">
              <w:rPr>
                <w:rFonts w:ascii="Times New Roman" w:hAnsi="Times New Roman" w:cs="Times New Roman"/>
              </w:rPr>
              <w:t>V § 10 ods. 9 v písmene p) odporúčame pred slovo „ropy“ vložiť slovo „prepravy“.  Odôvodnenie:  legislatívno-technická úprava</w:t>
            </w:r>
          </w:p>
        </w:tc>
        <w:tc>
          <w:tcPr>
            <w:tcW w:w="2264" w:type="dxa"/>
            <w:hideMark/>
          </w:tcPr>
          <w:p w14:paraId="3BED494E" w14:textId="3CFDC2D2"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1922164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0D506D1" w14:textId="5733ECD8" w:rsidTr="00725D29">
        <w:trPr>
          <w:trHeight w:val="645"/>
        </w:trPr>
        <w:tc>
          <w:tcPr>
            <w:tcW w:w="975" w:type="dxa"/>
            <w:hideMark/>
          </w:tcPr>
          <w:p w14:paraId="567AFBD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932.</w:t>
            </w:r>
          </w:p>
        </w:tc>
        <w:tc>
          <w:tcPr>
            <w:tcW w:w="2656" w:type="dxa"/>
            <w:hideMark/>
          </w:tcPr>
          <w:p w14:paraId="471B72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30DB97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091E1C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10 </w:t>
            </w:r>
            <w:r w:rsidRPr="00BC49FC">
              <w:rPr>
                <w:rFonts w:ascii="Times New Roman" w:hAnsi="Times New Roman" w:cs="Times New Roman"/>
              </w:rPr>
              <w:t>V § 10 odseku 10 odporúčame upraviť text prvej vety nasledovne:  „V prípade hromadného poskytovania údajov správcom zdrojov údajov prevádzkovateľ monitorovacieho systému na základe zmluvne dojednaných technických podmienok zriadi prístup k verejnej časti monitorovacieho systému umožňujúci automatizovaný spôsob komunikácie.“  Odôvodnenie:  legislatívno-technická úprava</w:t>
            </w:r>
          </w:p>
        </w:tc>
        <w:tc>
          <w:tcPr>
            <w:tcW w:w="2264" w:type="dxa"/>
            <w:hideMark/>
          </w:tcPr>
          <w:p w14:paraId="378F6251" w14:textId="607B152F" w:rsidR="00FE0F3E" w:rsidRPr="00BC49FC" w:rsidRDefault="00FE0F3E" w:rsidP="00666928">
            <w:pPr>
              <w:rPr>
                <w:rFonts w:ascii="Times New Roman" w:hAnsi="Times New Roman" w:cs="Times New Roman"/>
                <w:b/>
                <w:bCs/>
              </w:rPr>
            </w:pPr>
            <w:r w:rsidRPr="00781E45">
              <w:rPr>
                <w:b/>
                <w:bCs/>
              </w:rPr>
              <w:t> </w:t>
            </w:r>
            <w:r>
              <w:rPr>
                <w:b/>
                <w:bCs/>
              </w:rPr>
              <w:t>ČA</w:t>
            </w:r>
          </w:p>
        </w:tc>
        <w:tc>
          <w:tcPr>
            <w:tcW w:w="2753" w:type="dxa"/>
            <w:hideMark/>
          </w:tcPr>
          <w:p w14:paraId="12BB91CC" w14:textId="6CE8846A" w:rsidR="00FE0F3E" w:rsidRPr="00BC49FC" w:rsidRDefault="00FE0F3E" w:rsidP="00666928">
            <w:pPr>
              <w:rPr>
                <w:rFonts w:ascii="Times New Roman" w:hAnsi="Times New Roman" w:cs="Times New Roman"/>
                <w:b/>
                <w:bCs/>
              </w:rPr>
            </w:pPr>
            <w:r w:rsidRPr="00781E45">
              <w:rPr>
                <w:b/>
                <w:bCs/>
              </w:rPr>
              <w:t> </w:t>
            </w:r>
            <w:r>
              <w:rPr>
                <w:b/>
                <w:bCs/>
              </w:rPr>
              <w:t>Upravené v súlade s pripomienkou</w:t>
            </w:r>
          </w:p>
        </w:tc>
      </w:tr>
      <w:tr w:rsidR="00FE0F3E" w:rsidRPr="006278D2" w14:paraId="4C1328D7" w14:textId="5F2F484B" w:rsidTr="00725D29">
        <w:trPr>
          <w:trHeight w:val="645"/>
        </w:trPr>
        <w:tc>
          <w:tcPr>
            <w:tcW w:w="975" w:type="dxa"/>
            <w:hideMark/>
          </w:tcPr>
          <w:p w14:paraId="4773533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933.</w:t>
            </w:r>
          </w:p>
        </w:tc>
        <w:tc>
          <w:tcPr>
            <w:tcW w:w="2656" w:type="dxa"/>
            <w:hideMark/>
          </w:tcPr>
          <w:p w14:paraId="2E4D712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BF9BF4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72BDAC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13 </w:t>
            </w:r>
            <w:r w:rsidRPr="00BC49FC">
              <w:rPr>
                <w:rFonts w:ascii="Times New Roman" w:hAnsi="Times New Roman" w:cs="Times New Roman"/>
              </w:rPr>
              <w:t>v § 10 ods. 13 z textu „správu o príspevku opatrenia energetickej efektívnosti“ nie je jednoznačné, či sa jedná skutočne o nejakú správu, ktorá však nemá uvedený rozsah, alebo ide len o informáciu o príspevku.  Odôvodnenie:  Nie je zrejmá jednoznačnosť ustanovenia.</w:t>
            </w:r>
          </w:p>
        </w:tc>
        <w:tc>
          <w:tcPr>
            <w:tcW w:w="2264" w:type="dxa"/>
            <w:hideMark/>
          </w:tcPr>
          <w:p w14:paraId="187542B0" w14:textId="2F2CB644" w:rsidR="00FE0F3E" w:rsidRPr="00BC49FC" w:rsidRDefault="00FE0F3E" w:rsidP="00666928">
            <w:pPr>
              <w:rPr>
                <w:rFonts w:ascii="Times New Roman" w:hAnsi="Times New Roman" w:cs="Times New Roman"/>
                <w:b/>
                <w:bCs/>
              </w:rPr>
            </w:pPr>
            <w:r>
              <w:rPr>
                <w:rFonts w:ascii="Times New Roman" w:hAnsi="Times New Roman" w:cs="Times New Roman"/>
                <w:b/>
                <w:bCs/>
              </w:rPr>
              <w:t>A</w:t>
            </w:r>
          </w:p>
        </w:tc>
        <w:tc>
          <w:tcPr>
            <w:tcW w:w="2753" w:type="dxa"/>
            <w:vAlign w:val="bottom"/>
          </w:tcPr>
          <w:p w14:paraId="658C2277" w14:textId="61592DEF" w:rsidR="00FE0F3E" w:rsidRPr="00BC49FC" w:rsidRDefault="00FE0F3E" w:rsidP="00666928">
            <w:pPr>
              <w:rPr>
                <w:rFonts w:ascii="Times New Roman" w:hAnsi="Times New Roman" w:cs="Times New Roman"/>
                <w:b/>
                <w:bCs/>
              </w:rPr>
            </w:pPr>
            <w:r>
              <w:rPr>
                <w:rFonts w:ascii="Times New Roman" w:hAnsi="Times New Roman" w:cs="Times New Roman"/>
                <w:b/>
                <w:bCs/>
              </w:rPr>
              <w:t>Vypustené.</w:t>
            </w:r>
          </w:p>
        </w:tc>
      </w:tr>
      <w:tr w:rsidR="00FE0F3E" w:rsidRPr="006278D2" w14:paraId="22894B52" w14:textId="63C174DA" w:rsidTr="00725D29">
        <w:trPr>
          <w:trHeight w:val="645"/>
        </w:trPr>
        <w:tc>
          <w:tcPr>
            <w:tcW w:w="975" w:type="dxa"/>
            <w:hideMark/>
          </w:tcPr>
          <w:p w14:paraId="1612926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934.</w:t>
            </w:r>
          </w:p>
        </w:tc>
        <w:tc>
          <w:tcPr>
            <w:tcW w:w="2656" w:type="dxa"/>
            <w:hideMark/>
          </w:tcPr>
          <w:p w14:paraId="618657A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9DD4EE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A29A8D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10 ods. 17 </w:t>
            </w:r>
            <w:r w:rsidRPr="00BC49FC">
              <w:rPr>
                <w:rFonts w:ascii="Times New Roman" w:hAnsi="Times New Roman" w:cs="Times New Roman"/>
              </w:rPr>
              <w:t>V § 10 ods. 17 v písmenách b) a c) odporúčame nahradiť slová „certifikovaných“ slovom „certifikačných“.  Odôvodnenie:  Ide o certifikačné orgány. Pojem certifikované sa nevzťahuje na orgány, ale na iné subjekty.</w:t>
            </w:r>
          </w:p>
        </w:tc>
        <w:tc>
          <w:tcPr>
            <w:tcW w:w="2264" w:type="dxa"/>
            <w:hideMark/>
          </w:tcPr>
          <w:p w14:paraId="6B3F6312" w14:textId="0E3D1950"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79C8AC5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3F6B59D7" w14:textId="205CCCE9" w:rsidTr="00725D29">
        <w:trPr>
          <w:trHeight w:val="645"/>
        </w:trPr>
        <w:tc>
          <w:tcPr>
            <w:tcW w:w="975" w:type="dxa"/>
            <w:hideMark/>
          </w:tcPr>
          <w:p w14:paraId="081B530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935.</w:t>
            </w:r>
          </w:p>
        </w:tc>
        <w:tc>
          <w:tcPr>
            <w:tcW w:w="2656" w:type="dxa"/>
            <w:hideMark/>
          </w:tcPr>
          <w:p w14:paraId="1B4DA71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D0ED10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C75C69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11 ods. 2 </w:t>
            </w:r>
            <w:r w:rsidRPr="00BC49FC">
              <w:rPr>
                <w:rFonts w:ascii="Times New Roman" w:hAnsi="Times New Roman" w:cs="Times New Roman"/>
              </w:rPr>
              <w:t>V § 11 ods. 2 v písmene d) odporúčame upraviť text nasledovne: „databázu navrhovaných opatrení energetickej efektívnosti v zásobníku podľa § 7 ods. 5,“  Odôvodnenie:  Vo všetkých ostatných písmenách je použitý pojem „databáza“.</w:t>
            </w:r>
          </w:p>
        </w:tc>
        <w:tc>
          <w:tcPr>
            <w:tcW w:w="2264" w:type="dxa"/>
            <w:hideMark/>
          </w:tcPr>
          <w:p w14:paraId="1D4F9E64" w14:textId="57D1A362"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127C2385" w14:textId="55D9186E"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916DB7">
              <w:rPr>
                <w:b/>
                <w:bCs/>
              </w:rPr>
              <w:t>požiadavka presahuje potrebný rozsah úpravy</w:t>
            </w:r>
          </w:p>
        </w:tc>
      </w:tr>
      <w:tr w:rsidR="00FE0F3E" w:rsidRPr="006278D2" w14:paraId="31808FFC" w14:textId="087DA4CF" w:rsidTr="00725D29">
        <w:trPr>
          <w:trHeight w:val="645"/>
        </w:trPr>
        <w:tc>
          <w:tcPr>
            <w:tcW w:w="975" w:type="dxa"/>
            <w:hideMark/>
          </w:tcPr>
          <w:p w14:paraId="1462739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936.</w:t>
            </w:r>
          </w:p>
        </w:tc>
        <w:tc>
          <w:tcPr>
            <w:tcW w:w="2656" w:type="dxa"/>
            <w:hideMark/>
          </w:tcPr>
          <w:p w14:paraId="1FF9EDB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221F26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B5D409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14 ods. 1 </w:t>
            </w:r>
            <w:r w:rsidRPr="00BC49FC">
              <w:rPr>
                <w:rFonts w:ascii="Times New Roman" w:hAnsi="Times New Roman" w:cs="Times New Roman"/>
              </w:rPr>
              <w:t>V § 14 ods. 1 v písmene c) odporúčame nahradiť text „atraktivity vzdelávania“ textom „povedomia o vzdelávaní“.  Odôvodnenie:  legislatívno-technická úprava</w:t>
            </w:r>
          </w:p>
        </w:tc>
        <w:tc>
          <w:tcPr>
            <w:tcW w:w="2264" w:type="dxa"/>
            <w:hideMark/>
          </w:tcPr>
          <w:p w14:paraId="4383E5A1" w14:textId="1246C924"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360D263C" w14:textId="409F2CEA" w:rsidR="00FE0F3E" w:rsidRPr="00BC49FC" w:rsidRDefault="00FE0F3E" w:rsidP="00666928">
            <w:pPr>
              <w:rPr>
                <w:rFonts w:ascii="Times New Roman" w:hAnsi="Times New Roman" w:cs="Times New Roman"/>
                <w:b/>
                <w:bCs/>
              </w:rPr>
            </w:pPr>
            <w:r w:rsidRPr="003B10E4">
              <w:rPr>
                <w:b/>
                <w:bCs/>
              </w:rPr>
              <w:t> nie je potrebné definovať vzdelávanie, ale zámer je smerovaný k tomu, že vzdelávanie v energetickej efektívnosti je zaujímavé, hodnotné,..</w:t>
            </w:r>
          </w:p>
        </w:tc>
      </w:tr>
      <w:tr w:rsidR="00FE0F3E" w:rsidRPr="006278D2" w14:paraId="4FB52A34" w14:textId="7C08A569" w:rsidTr="00725D29">
        <w:trPr>
          <w:trHeight w:val="645"/>
        </w:trPr>
        <w:tc>
          <w:tcPr>
            <w:tcW w:w="975" w:type="dxa"/>
            <w:hideMark/>
          </w:tcPr>
          <w:p w14:paraId="2C20754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937.</w:t>
            </w:r>
          </w:p>
        </w:tc>
        <w:tc>
          <w:tcPr>
            <w:tcW w:w="2656" w:type="dxa"/>
            <w:hideMark/>
          </w:tcPr>
          <w:p w14:paraId="743F667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F4A452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F4CFC3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14 ods. 2 </w:t>
            </w:r>
            <w:r w:rsidRPr="00BC49FC">
              <w:rPr>
                <w:rFonts w:ascii="Times New Roman" w:hAnsi="Times New Roman" w:cs="Times New Roman"/>
              </w:rPr>
              <w:t>V 14 ods. 2 sa v predvetí odseku používa pojem „Spoločný rámec vzdelávania v energetickej efektívnosti“. Odporúčame doplniť o aký dokument sa jedná a kto ho vypracúva.  Odôvodnenie:  Neurčitý význam uvedeného pojmu.</w:t>
            </w:r>
          </w:p>
        </w:tc>
        <w:tc>
          <w:tcPr>
            <w:tcW w:w="2264" w:type="dxa"/>
            <w:hideMark/>
          </w:tcPr>
          <w:p w14:paraId="677458D0" w14:textId="2CE962F4"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7580226A" w14:textId="1085F8F2" w:rsidR="00FE0F3E" w:rsidRPr="00BC49FC" w:rsidRDefault="00FE0F3E" w:rsidP="00666928">
            <w:pPr>
              <w:rPr>
                <w:rFonts w:ascii="Times New Roman" w:hAnsi="Times New Roman" w:cs="Times New Roman"/>
                <w:b/>
                <w:bCs/>
              </w:rPr>
            </w:pPr>
            <w:r w:rsidRPr="003B10E4">
              <w:rPr>
                <w:b/>
                <w:bCs/>
              </w:rPr>
              <w:t> V zákone sú popísané subjekty spolupracujúce v oblasti vzdelávania v energetickej efektívnosti</w:t>
            </w:r>
          </w:p>
        </w:tc>
      </w:tr>
      <w:tr w:rsidR="00FE0F3E" w:rsidRPr="006278D2" w14:paraId="73AC2910" w14:textId="6E6D3F6F" w:rsidTr="00725D29">
        <w:trPr>
          <w:trHeight w:val="960"/>
        </w:trPr>
        <w:tc>
          <w:tcPr>
            <w:tcW w:w="975" w:type="dxa"/>
            <w:hideMark/>
          </w:tcPr>
          <w:p w14:paraId="7420E3B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938.</w:t>
            </w:r>
          </w:p>
        </w:tc>
        <w:tc>
          <w:tcPr>
            <w:tcW w:w="2656" w:type="dxa"/>
            <w:hideMark/>
          </w:tcPr>
          <w:p w14:paraId="2CCD6AC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F86393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B4E0CE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14 ods. 4 </w:t>
            </w:r>
            <w:r w:rsidRPr="00BC49FC">
              <w:rPr>
                <w:rFonts w:ascii="Times New Roman" w:hAnsi="Times New Roman" w:cs="Times New Roman"/>
              </w:rPr>
              <w:t>V § 14 ods. 4 v  písmene a) sa uvádza, že poverená organizácia koordinuje a optimalizuje požiadavky na odborne spôsobilé osoby v energetickej efektívnosti a predkladá námety na zlepšovanie vzdelávacieho procesu ministerstvu školstva a Aliancii sektorových rád. Odporúčame, aby námety na zlepšovanie predkladala svojmu zriaďovateľovi a ten následne komunikoval s Ministerstvom školstva a Alianciou sektorových rád.  Odôvodnenie: Poverená organizácia je príspevkovou organizáciou Ministerstva hospodárstva SR.</w:t>
            </w:r>
          </w:p>
        </w:tc>
        <w:tc>
          <w:tcPr>
            <w:tcW w:w="2264" w:type="dxa"/>
            <w:hideMark/>
          </w:tcPr>
          <w:p w14:paraId="3C511763" w14:textId="28C62D4A" w:rsidR="00FE0F3E" w:rsidRPr="00BC49FC" w:rsidRDefault="00FE0F3E" w:rsidP="00666928">
            <w:pPr>
              <w:rPr>
                <w:rFonts w:ascii="Times New Roman" w:hAnsi="Times New Roman" w:cs="Times New Roman"/>
                <w:b/>
                <w:bCs/>
              </w:rPr>
            </w:pPr>
            <w:r w:rsidRPr="003B10E4">
              <w:rPr>
                <w:b/>
                <w:bCs/>
              </w:rPr>
              <w:t> A</w:t>
            </w:r>
          </w:p>
        </w:tc>
        <w:tc>
          <w:tcPr>
            <w:tcW w:w="2753" w:type="dxa"/>
            <w:hideMark/>
          </w:tcPr>
          <w:p w14:paraId="0DFB1047" w14:textId="55C42ADA" w:rsidR="00FE0F3E" w:rsidRPr="00BC49FC" w:rsidRDefault="00FE0F3E" w:rsidP="00666928">
            <w:pPr>
              <w:rPr>
                <w:rFonts w:ascii="Times New Roman" w:hAnsi="Times New Roman" w:cs="Times New Roman"/>
                <w:b/>
                <w:bCs/>
              </w:rPr>
            </w:pPr>
            <w:r w:rsidRPr="003B10E4">
              <w:rPr>
                <w:b/>
                <w:bCs/>
              </w:rPr>
              <w:t> </w:t>
            </w:r>
          </w:p>
        </w:tc>
      </w:tr>
      <w:tr w:rsidR="00FE0F3E" w:rsidRPr="006278D2" w14:paraId="431A5434" w14:textId="5BA50BFC" w:rsidTr="00725D29">
        <w:trPr>
          <w:trHeight w:val="645"/>
        </w:trPr>
        <w:tc>
          <w:tcPr>
            <w:tcW w:w="975" w:type="dxa"/>
            <w:hideMark/>
          </w:tcPr>
          <w:p w14:paraId="2EB050A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939.</w:t>
            </w:r>
          </w:p>
        </w:tc>
        <w:tc>
          <w:tcPr>
            <w:tcW w:w="2656" w:type="dxa"/>
            <w:hideMark/>
          </w:tcPr>
          <w:p w14:paraId="3D12409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0442C8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26E25A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14 ods. 4 </w:t>
            </w:r>
            <w:r w:rsidRPr="00BC49FC">
              <w:rPr>
                <w:rFonts w:ascii="Times New Roman" w:hAnsi="Times New Roman" w:cs="Times New Roman"/>
              </w:rPr>
              <w:t>V § 14 ods. 4 v  písmene b) sa uvádza, že poverená organizácia zasiela súhrnnú informáciu o registri odborne spôsobilých osôb podľa § 17 ods.1 Aliancii sektorových rád pre potreby analýzy podľa odseku 5. Odporúčame doplniť podrobnosti.  Odôvodnenie:  Register obsahuje osobné údaje a je potrebné uviesť akým spôsobom budú tieto poskytované tretej osobe.</w:t>
            </w:r>
          </w:p>
        </w:tc>
        <w:tc>
          <w:tcPr>
            <w:tcW w:w="2264" w:type="dxa"/>
            <w:hideMark/>
          </w:tcPr>
          <w:p w14:paraId="66A7E20B" w14:textId="3C14992D"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5197AED0" w14:textId="7D4520AC" w:rsidR="00FE0F3E" w:rsidRPr="00BC49FC" w:rsidRDefault="00FE0F3E" w:rsidP="00666928">
            <w:pPr>
              <w:rPr>
                <w:rFonts w:ascii="Times New Roman" w:hAnsi="Times New Roman" w:cs="Times New Roman"/>
                <w:b/>
                <w:bCs/>
              </w:rPr>
            </w:pPr>
            <w:r w:rsidRPr="003B10E4">
              <w:rPr>
                <w:b/>
                <w:bCs/>
              </w:rPr>
              <w:t>Požiadavka stratila opodstatnenie v dôsledku vypustenia dotknutého ustanovenia</w:t>
            </w:r>
          </w:p>
        </w:tc>
      </w:tr>
      <w:tr w:rsidR="00FE0F3E" w:rsidRPr="006278D2" w14:paraId="33306B67" w14:textId="4DC5D89D" w:rsidTr="00725D29">
        <w:trPr>
          <w:trHeight w:val="645"/>
        </w:trPr>
        <w:tc>
          <w:tcPr>
            <w:tcW w:w="975" w:type="dxa"/>
            <w:hideMark/>
          </w:tcPr>
          <w:p w14:paraId="641D254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940.</w:t>
            </w:r>
          </w:p>
        </w:tc>
        <w:tc>
          <w:tcPr>
            <w:tcW w:w="2656" w:type="dxa"/>
            <w:hideMark/>
          </w:tcPr>
          <w:p w14:paraId="4D2C258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1A98FB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0FBB5E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14 ods. 4 </w:t>
            </w:r>
            <w:r w:rsidRPr="00BC49FC">
              <w:rPr>
                <w:rFonts w:ascii="Times New Roman" w:hAnsi="Times New Roman" w:cs="Times New Roman"/>
              </w:rPr>
              <w:t>V § 14 ods. 4 v písmene c) odporúčame doplniť koho poverená organizácia informuje o možnostiach vzdelávania v energetickej efektívnosti.  Odôvodnenie:  Rozsah povinnosti nike je dostatočne vymedzený.</w:t>
            </w:r>
          </w:p>
        </w:tc>
        <w:tc>
          <w:tcPr>
            <w:tcW w:w="2264" w:type="dxa"/>
            <w:hideMark/>
          </w:tcPr>
          <w:p w14:paraId="637F1964" w14:textId="7A6263E4"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77348F17" w14:textId="77777777" w:rsidR="00FE0F3E" w:rsidRPr="003B10E4" w:rsidRDefault="00FE0F3E" w:rsidP="00666928">
            <w:pPr>
              <w:rPr>
                <w:b/>
                <w:bCs/>
              </w:rPr>
            </w:pPr>
            <w:r w:rsidRPr="003B10E4">
              <w:rPr>
                <w:b/>
                <w:bCs/>
              </w:rPr>
              <w:t> požiadavka presahuje potrebný rozsah úpravy</w:t>
            </w:r>
          </w:p>
          <w:p w14:paraId="1DFDF86F" w14:textId="2B9F2B8C" w:rsidR="00FE0F3E" w:rsidRPr="00BC49FC" w:rsidRDefault="00FE0F3E" w:rsidP="00666928">
            <w:pPr>
              <w:rPr>
                <w:rFonts w:ascii="Times New Roman" w:hAnsi="Times New Roman" w:cs="Times New Roman"/>
                <w:b/>
                <w:bCs/>
              </w:rPr>
            </w:pPr>
          </w:p>
        </w:tc>
      </w:tr>
      <w:tr w:rsidR="00FE0F3E" w:rsidRPr="006278D2" w14:paraId="585B9480" w14:textId="050F042A" w:rsidTr="00725D29">
        <w:trPr>
          <w:trHeight w:val="645"/>
        </w:trPr>
        <w:tc>
          <w:tcPr>
            <w:tcW w:w="975" w:type="dxa"/>
            <w:hideMark/>
          </w:tcPr>
          <w:p w14:paraId="6395274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941.</w:t>
            </w:r>
          </w:p>
        </w:tc>
        <w:tc>
          <w:tcPr>
            <w:tcW w:w="2656" w:type="dxa"/>
            <w:hideMark/>
          </w:tcPr>
          <w:p w14:paraId="6C10DF5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E54821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B10824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14 ods. 5 </w:t>
            </w:r>
            <w:r w:rsidRPr="00BC49FC">
              <w:rPr>
                <w:rFonts w:ascii="Times New Roman" w:hAnsi="Times New Roman" w:cs="Times New Roman"/>
              </w:rPr>
              <w:t>V § 14 navrhujeme kvôli systematike odsek 5 označiť ako odsek 4 a súčasný odsek 4 označiť ako odsek 5.  Odôvodnenie:  legislatívno-technická úprava</w:t>
            </w:r>
          </w:p>
        </w:tc>
        <w:tc>
          <w:tcPr>
            <w:tcW w:w="2264" w:type="dxa"/>
            <w:hideMark/>
          </w:tcPr>
          <w:p w14:paraId="7361CAC8" w14:textId="5D16D0C5"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3B10E4">
              <w:rPr>
                <w:rFonts w:ascii="Times New Roman" w:hAnsi="Times New Roman" w:cs="Times New Roman"/>
                <w:b/>
                <w:bCs/>
              </w:rPr>
              <w:t>A</w:t>
            </w:r>
          </w:p>
        </w:tc>
        <w:tc>
          <w:tcPr>
            <w:tcW w:w="2753" w:type="dxa"/>
            <w:hideMark/>
          </w:tcPr>
          <w:p w14:paraId="09AD4C7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089F9C58" w14:textId="4F00FC17" w:rsidTr="00725D29">
        <w:trPr>
          <w:trHeight w:val="645"/>
        </w:trPr>
        <w:tc>
          <w:tcPr>
            <w:tcW w:w="975" w:type="dxa"/>
            <w:hideMark/>
          </w:tcPr>
          <w:p w14:paraId="4C5CC47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942.</w:t>
            </w:r>
          </w:p>
        </w:tc>
        <w:tc>
          <w:tcPr>
            <w:tcW w:w="2656" w:type="dxa"/>
            <w:hideMark/>
          </w:tcPr>
          <w:p w14:paraId="1DEA24D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A94C9A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9094C0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15 ods. 1 </w:t>
            </w:r>
            <w:r w:rsidRPr="00BC49FC">
              <w:rPr>
                <w:rFonts w:ascii="Times New Roman" w:hAnsi="Times New Roman" w:cs="Times New Roman"/>
              </w:rPr>
              <w:t>V § 15 navrhujeme  text v odseku 1  preformulovať nasledovne: „(1) Úspešné ukončenie úplného stredného vzdelania a úspešné absolvovanie energetického minima spoločne predstavujú základnú požiadavku na vzdelanie v energetickej efektívnosti.“  Odôvodnenie:  Zmena textu z dôvodu praktickej aplikácie vzdelávania v oblasti energetickej efektívnosti.</w:t>
            </w:r>
          </w:p>
        </w:tc>
        <w:tc>
          <w:tcPr>
            <w:tcW w:w="2264" w:type="dxa"/>
            <w:hideMark/>
          </w:tcPr>
          <w:p w14:paraId="74B5CCFA" w14:textId="52D27503"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7D859485" w14:textId="6EDFC349" w:rsidR="00FE0F3E" w:rsidRPr="00BC49FC" w:rsidRDefault="00FE0F3E" w:rsidP="00666928">
            <w:pPr>
              <w:rPr>
                <w:rFonts w:ascii="Times New Roman" w:hAnsi="Times New Roman" w:cs="Times New Roman"/>
                <w:b/>
                <w:bCs/>
              </w:rPr>
            </w:pPr>
            <w:r w:rsidRPr="003B10E4">
              <w:rPr>
                <w:b/>
                <w:bCs/>
              </w:rPr>
              <w:t> Požiadavka na vzdelanie je uvedená v predmetnej vyhláške</w:t>
            </w:r>
          </w:p>
        </w:tc>
      </w:tr>
      <w:tr w:rsidR="00FE0F3E" w:rsidRPr="006278D2" w14:paraId="24D75AF9" w14:textId="1B43C2C6" w:rsidTr="00725D29">
        <w:trPr>
          <w:trHeight w:val="645"/>
        </w:trPr>
        <w:tc>
          <w:tcPr>
            <w:tcW w:w="975" w:type="dxa"/>
            <w:hideMark/>
          </w:tcPr>
          <w:p w14:paraId="6E3D905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943.</w:t>
            </w:r>
          </w:p>
        </w:tc>
        <w:tc>
          <w:tcPr>
            <w:tcW w:w="2656" w:type="dxa"/>
            <w:hideMark/>
          </w:tcPr>
          <w:p w14:paraId="4AD7588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26C4E3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0019B0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15 ods. 2 </w:t>
            </w:r>
            <w:r w:rsidRPr="00BC49FC">
              <w:rPr>
                <w:rFonts w:ascii="Times New Roman" w:hAnsi="Times New Roman" w:cs="Times New Roman"/>
              </w:rPr>
              <w:t>V § 15 odporúčame odsek 2 vypustiť.  Odôvodnenie:  Text ustanovenia nie je v súlade s názvom paragrafu.</w:t>
            </w:r>
          </w:p>
        </w:tc>
        <w:tc>
          <w:tcPr>
            <w:tcW w:w="2264" w:type="dxa"/>
            <w:hideMark/>
          </w:tcPr>
          <w:p w14:paraId="68A434FA" w14:textId="40CB0F0B"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3B10E4">
              <w:rPr>
                <w:rFonts w:ascii="Times New Roman" w:hAnsi="Times New Roman" w:cs="Times New Roman"/>
                <w:b/>
                <w:bCs/>
              </w:rPr>
              <w:t>A</w:t>
            </w:r>
          </w:p>
        </w:tc>
        <w:tc>
          <w:tcPr>
            <w:tcW w:w="2753" w:type="dxa"/>
            <w:hideMark/>
          </w:tcPr>
          <w:p w14:paraId="7E913CD3" w14:textId="045177F3" w:rsidR="00FE0F3E" w:rsidRPr="00BC49FC" w:rsidRDefault="00FE0F3E" w:rsidP="00666928">
            <w:pPr>
              <w:rPr>
                <w:rFonts w:ascii="Times New Roman" w:hAnsi="Times New Roman" w:cs="Times New Roman"/>
              </w:rPr>
            </w:pPr>
            <w:r w:rsidRPr="00BC49FC">
              <w:rPr>
                <w:rFonts w:ascii="Times New Roman" w:hAnsi="Times New Roman" w:cs="Times New Roman"/>
                <w:b/>
                <w:bCs/>
              </w:rPr>
              <w:t> </w:t>
            </w:r>
            <w:r w:rsidRPr="00BC49FC">
              <w:rPr>
                <w:rFonts w:ascii="Times New Roman" w:hAnsi="Times New Roman" w:cs="Times New Roman"/>
              </w:rPr>
              <w:t>Presunuté do samostatného paragrafu.</w:t>
            </w:r>
          </w:p>
        </w:tc>
      </w:tr>
      <w:tr w:rsidR="00FE0F3E" w:rsidRPr="006278D2" w14:paraId="3CBD11C5" w14:textId="34B0E9B6" w:rsidTr="00725D29">
        <w:trPr>
          <w:trHeight w:val="4110"/>
        </w:trPr>
        <w:tc>
          <w:tcPr>
            <w:tcW w:w="975" w:type="dxa"/>
            <w:hideMark/>
          </w:tcPr>
          <w:p w14:paraId="74C9C0B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944.</w:t>
            </w:r>
          </w:p>
        </w:tc>
        <w:tc>
          <w:tcPr>
            <w:tcW w:w="2656" w:type="dxa"/>
            <w:hideMark/>
          </w:tcPr>
          <w:p w14:paraId="7AF350D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37268E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7305E4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16 </w:t>
            </w:r>
            <w:r w:rsidRPr="00BC49FC">
              <w:rPr>
                <w:rFonts w:ascii="Times New Roman" w:hAnsi="Times New Roman" w:cs="Times New Roman"/>
              </w:rPr>
              <w:t>Celý paragraf 16 odporúčame preformulovať nasledovne: „(1) Odborne spôsobilou osobou v energetickej efektívnosti  je: a) energetický manažér,  b) energetický manažér vo verejnej správe, c) energetický audítor, d) energetický manažér na poskytovanie garantovanej energetickej služby. (2) Odborne spôsobilou osobou v energetickej efektívnosti podľa odseku 1 je fyzická osoba, ktorá je držiteľom platného osvedčenia o odbornej spôsobilosti (ďalej len „osvedčenie“) a je zapísaná v registri odborne spôsobilých osôb podľa § 17.  (3) Osvedčenie vydá poverená organizácia: a) po úspešnom absolvovaní skúšky odbornej spôsobilosti, b) po uznaní kvalifikácie odbornej spôsobilosti zo zahraničia podľa osobitného predpisu 51), alebo c) po absolvovaní aktualizačnej odbornej prípravy v ustanovenom rozsahu a spôsobe podľa § 45 ods. 1 písm. m). (4) Platnosť osvedčenia je do konca piateho kalendárneho roka od jeho vydania. (5) Poverená organizácia bez zbytočného odkladu zapíše držiteľa osvedčenia podľa odseku 3 do registra odborne spôsobilých osôb podľa § 17.  (6) Skúšku odbornej spôsobilosti môže vykonať žiadateľ, ktorý splní základnú požiadavku na vzdelávanie v energetickej efektívnosti podľa § 15 ods. 1 a preukáže odbornú prax tri roky v oblasti energetického poradenstva alebo technicko-ekonomických analýz pri premene energie, distribúcii energie alebo spotrebe energie. (7) Skúšku odborne spôsobilosti môže vykonať aj žiadateľ, ktorý nespĺňa požiadavku podľa § 15 ods. 1, a ktorý má ukončené vysokoškolské vzdelanie v technickom študijnom odbore, ekonomickom študijnom odbore alebo v prírodovednom študijnom odbore so zameraním na matematiku, fyziku, chémiu alebo environmentálny manažment, a preukáže odbornú prax v oblasti energetického poradenstva alebo technicko-ekonomických analýz pri premene energie, distribúcii energie alebo spotrebe energie v dĺžke trvania a) tri roky pri ukončení vysokoškolského vzdelania prvého stupňa, alebo  b) dva roky pri ukončení vysokoškolského vzdelania druhého stupňa. (8) Odborne spôsobilá osoba podľa odseku 1 je povinná absolvovať aktualizačnú odbornú prípravu v rozsahu a spôsobom podľa § 45 ods. 1 písm. m) najneskôr v piatom kalendárnom roku odo dňa vydania osvedčenia podľa odseku 3. (9) Skúšku odbornej spôsobilosti podľa odseku 6 a aktualizačnú odbornú prípravu podľa odseku 7 organizuje poverená organizácia najmenej raz za kalendárny rok postupom a v rozsahu podľa osobitného predpisu, ktorý vydá ministerstvo.“   Odôvodnenie:  Text je upravený z dôvodu efektívnej aplikácie podmienok odbornej spôsobilosti v oblasti energetickej efektívnosti.</w:t>
            </w:r>
          </w:p>
        </w:tc>
        <w:tc>
          <w:tcPr>
            <w:tcW w:w="2264" w:type="dxa"/>
            <w:hideMark/>
          </w:tcPr>
          <w:p w14:paraId="559DD89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c>
          <w:tcPr>
            <w:tcW w:w="2753" w:type="dxa"/>
            <w:hideMark/>
          </w:tcPr>
          <w:p w14:paraId="238B941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70BB1EE4" w14:textId="0051059F" w:rsidTr="00725D29">
        <w:trPr>
          <w:trHeight w:val="3480"/>
        </w:trPr>
        <w:tc>
          <w:tcPr>
            <w:tcW w:w="975" w:type="dxa"/>
            <w:hideMark/>
          </w:tcPr>
          <w:p w14:paraId="3C5F7D1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945.</w:t>
            </w:r>
          </w:p>
        </w:tc>
        <w:tc>
          <w:tcPr>
            <w:tcW w:w="2656" w:type="dxa"/>
            <w:hideMark/>
          </w:tcPr>
          <w:p w14:paraId="364FDDD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0FE30D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2A4504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17 </w:t>
            </w:r>
            <w:r w:rsidRPr="00BC49FC">
              <w:rPr>
                <w:rFonts w:ascii="Times New Roman" w:hAnsi="Times New Roman" w:cs="Times New Roman"/>
              </w:rPr>
              <w:t>Celý paragraf 17 odporúčame preformulovať nasledovne: (1) Register odborne spôsobilých osôb obsahuje zoznam odborne spôsobilých osôb v energetickej efektívnosti podľa § 16 odseku 1. (2) Register odborne spôsobilých osôb obsahuje najmä:  a) jedinečný identifikátor odborne spôsobilej osoby v energetickej efektívnosti, b) meno a priezvisko, c) adresu trvalého pobytu alebo prechodného pobytu, d) odbornú spôsobilosť podľa § 16 odsek 1, e) číslo osvedčenia, f) dátum vydania osvedčenia o odbornej spôsobilosti,  g) dátum platnosti osvedčenia o odbornej spôsobilosti, h) adresu zamestnávateľa odborne spôsobilej osoby v energetickej efektívnosti, i) telefónne číslo odborne spôsobilej osoby alebo jej zamestnávateľa, j) adresu elektronickej pošty odborne spôsobilej osoby v energetickej efektívnosti alebo jej zamestnávateľa.  (3) Poverená organizácia na svojom webovom sídle zverejňuje zoznam odborne spôsobilých osôb, ktorý obsahuje údaje podľa odseku 2 písm. b), d), e) a g).  (4) Na žiadosť odborne spôsobilej osoby v energetickej efektívnosti poverená organizácia v zozname zverejnenom podľa odseku 3, bez zbytočného odkladu uvedie aj a) adresu zamestnávateľa odborne spôsobilej osoby v energetickej efektívnosti, b) telefónne číslo odborne spôsobilej osoby v energetickej efektívnosti alebo jej zamestnávateľa, c) adresu elektronickej pošty odborne spôsobilej osoby v energetickej efektívnosti alebo jej zamestnávateľa, d) adresu trvalého pobytu alebo obdobného pobytu, e) dátum vydania osvedčenia o odbornej spôsobilosti.  (5) Poverená organizácia vyčiarkne odborne spôsobilú osobu z registra odborne spôsobilých osôb,  a) ktorej uplynula platnosť osvedčenia, b) ktorá písomne požiada o vyčiarknutie z registra,  c) ktorá zomrela alebo bola vyhlásená za mŕtvu, d) pre ktorú vyčiarknutie z registra odborne spôsobilých osôb navrhol orgán dozoru podľa § 40 ods. 1 písm. e) a bolo preukázané, že  1. energetický manažér pri výkone energetického manažmentu porušil povinnosti podľa § 35 ods. 3, 2. energetický audítor pri výkone energetického auditu porušil povinnosti podľa    § 26 ods. 5, 3. energetický manažér na poskytovanie garantovanej energetickej služby porušil povinnosti podľa § 31 ods. 8.“  Odôvodnenie:  Text je upravený z dôvodu efektívnej aplikácie podmienok odbornej spôsobilosti v oblasti energetickej efektívnosti.</w:t>
            </w:r>
          </w:p>
        </w:tc>
        <w:tc>
          <w:tcPr>
            <w:tcW w:w="2264" w:type="dxa"/>
            <w:hideMark/>
          </w:tcPr>
          <w:p w14:paraId="14A82855" w14:textId="1953C780"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12200060" w14:textId="3E193644" w:rsidR="00FE0F3E" w:rsidRPr="00BC49FC" w:rsidRDefault="00FE0F3E" w:rsidP="00666928">
            <w:pPr>
              <w:rPr>
                <w:rFonts w:ascii="Times New Roman" w:hAnsi="Times New Roman" w:cs="Times New Roman"/>
                <w:b/>
                <w:bCs/>
              </w:rPr>
            </w:pPr>
            <w:r w:rsidRPr="003B10E4">
              <w:rPr>
                <w:b/>
                <w:bCs/>
              </w:rPr>
              <w:t> požiadavka presahuje potrebný rozsah úpravy</w:t>
            </w:r>
          </w:p>
        </w:tc>
      </w:tr>
      <w:tr w:rsidR="00FE0F3E" w:rsidRPr="006278D2" w14:paraId="179AC675" w14:textId="4BC12C84" w:rsidTr="00725D29">
        <w:trPr>
          <w:trHeight w:val="645"/>
        </w:trPr>
        <w:tc>
          <w:tcPr>
            <w:tcW w:w="975" w:type="dxa"/>
            <w:hideMark/>
          </w:tcPr>
          <w:p w14:paraId="559CFD9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946.</w:t>
            </w:r>
          </w:p>
        </w:tc>
        <w:tc>
          <w:tcPr>
            <w:tcW w:w="2656" w:type="dxa"/>
            <w:hideMark/>
          </w:tcPr>
          <w:p w14:paraId="02BAB31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4F74B27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AEFAC3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18 </w:t>
            </w:r>
            <w:r w:rsidRPr="00BC49FC">
              <w:rPr>
                <w:rFonts w:ascii="Times New Roman" w:hAnsi="Times New Roman" w:cs="Times New Roman"/>
              </w:rPr>
              <w:t>Celý text v § 18  odporúčame vypustiť alebo riadne uviesť činnosti, ktoré má energetický manažér vykonávať a za akých podmienok.  Odôvodnenie:  Činnosť energetického manažéra nie je jednoznačne určená.</w:t>
            </w:r>
          </w:p>
        </w:tc>
        <w:tc>
          <w:tcPr>
            <w:tcW w:w="2264" w:type="dxa"/>
            <w:hideMark/>
          </w:tcPr>
          <w:p w14:paraId="67AFA0A9" w14:textId="086EB99C"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57B360F0" w14:textId="1AD345A1" w:rsidR="00FE0F3E" w:rsidRPr="00BC49FC" w:rsidRDefault="00FE0F3E" w:rsidP="00666928">
            <w:pPr>
              <w:rPr>
                <w:rFonts w:ascii="Times New Roman" w:hAnsi="Times New Roman" w:cs="Times New Roman"/>
                <w:b/>
                <w:bCs/>
              </w:rPr>
            </w:pPr>
            <w:r w:rsidRPr="003B10E4">
              <w:rPr>
                <w:b/>
                <w:bCs/>
              </w:rPr>
              <w:t> požiadavka presahuje potrebný rozsah úpravy</w:t>
            </w:r>
          </w:p>
        </w:tc>
      </w:tr>
      <w:tr w:rsidR="00FE0F3E" w:rsidRPr="006278D2" w14:paraId="0ADDAC66" w14:textId="7A488410" w:rsidTr="00725D29">
        <w:trPr>
          <w:trHeight w:val="645"/>
        </w:trPr>
        <w:tc>
          <w:tcPr>
            <w:tcW w:w="975" w:type="dxa"/>
            <w:hideMark/>
          </w:tcPr>
          <w:p w14:paraId="27BC463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947.</w:t>
            </w:r>
          </w:p>
        </w:tc>
        <w:tc>
          <w:tcPr>
            <w:tcW w:w="2656" w:type="dxa"/>
            <w:hideMark/>
          </w:tcPr>
          <w:p w14:paraId="7CDF031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286C2B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6E9421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19 </w:t>
            </w:r>
            <w:r w:rsidRPr="00BC49FC">
              <w:rPr>
                <w:rFonts w:ascii="Times New Roman" w:hAnsi="Times New Roman" w:cs="Times New Roman"/>
              </w:rPr>
              <w:t>Celý text v § 19  odporúčame vypustiť alebo riadne uviesť činnosti, ktoré má energetický manažér vo verejnej správe vykonávať a za akých podmienok.  Odôvodnenie:  Činnosť energetického manažéra vo verejnej správe nie je jednoznačne určená.</w:t>
            </w:r>
          </w:p>
        </w:tc>
        <w:tc>
          <w:tcPr>
            <w:tcW w:w="2264" w:type="dxa"/>
            <w:hideMark/>
          </w:tcPr>
          <w:p w14:paraId="4D997B78" w14:textId="3622EE8E" w:rsidR="00FE0F3E" w:rsidRPr="00BC49FC" w:rsidRDefault="00FE0F3E" w:rsidP="00666928">
            <w:pPr>
              <w:rPr>
                <w:rFonts w:ascii="Times New Roman" w:hAnsi="Times New Roman" w:cs="Times New Roman"/>
                <w:b/>
                <w:bCs/>
              </w:rPr>
            </w:pPr>
            <w:r w:rsidRPr="003B10E4">
              <w:rPr>
                <w:b/>
                <w:bCs/>
              </w:rPr>
              <w:t> N</w:t>
            </w:r>
          </w:p>
        </w:tc>
        <w:tc>
          <w:tcPr>
            <w:tcW w:w="2753" w:type="dxa"/>
            <w:hideMark/>
          </w:tcPr>
          <w:p w14:paraId="142281E3" w14:textId="752698D8" w:rsidR="00FE0F3E" w:rsidRPr="00BC49FC" w:rsidRDefault="00FE0F3E" w:rsidP="00666928">
            <w:pPr>
              <w:rPr>
                <w:rFonts w:ascii="Times New Roman" w:hAnsi="Times New Roman" w:cs="Times New Roman"/>
                <w:b/>
                <w:bCs/>
              </w:rPr>
            </w:pPr>
            <w:r w:rsidRPr="003B10E4">
              <w:rPr>
                <w:b/>
                <w:bCs/>
              </w:rPr>
              <w:t> požiadavka presahuje potrebný rozsah úpravy</w:t>
            </w:r>
          </w:p>
        </w:tc>
      </w:tr>
      <w:tr w:rsidR="00FE0F3E" w:rsidRPr="006278D2" w14:paraId="0402BFCB" w14:textId="22E897CB" w:rsidTr="00725D29">
        <w:trPr>
          <w:trHeight w:val="2850"/>
        </w:trPr>
        <w:tc>
          <w:tcPr>
            <w:tcW w:w="975" w:type="dxa"/>
            <w:hideMark/>
          </w:tcPr>
          <w:p w14:paraId="752B6A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948.</w:t>
            </w:r>
          </w:p>
        </w:tc>
        <w:tc>
          <w:tcPr>
            <w:tcW w:w="2656" w:type="dxa"/>
            <w:hideMark/>
          </w:tcPr>
          <w:p w14:paraId="1DAAE2E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FCE7BE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F74F0B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20 </w:t>
            </w:r>
            <w:r w:rsidRPr="00BC49FC">
              <w:rPr>
                <w:rFonts w:ascii="Times New Roman" w:hAnsi="Times New Roman" w:cs="Times New Roman"/>
              </w:rPr>
              <w:t>Celý paragraf 20 odporúčame preformulovať nasledovne: „(1) Činnosť energetického audítora možno vykonávať  a) ako podnikanie podľa osobitného predpisu52), alebo b) ako zamestnanec fyzickej osoby - podnikateľa alebo právnickej osoby, ktorá vykonáva činnosť energetického audítora ako podnikanie podľa osobitného predpisu.52) c) pre podnik, ktorý má povinnosť energetického auditu podľa tohto zákona, ako jeho zamestnanec.  (2) Porušenie povinností, na základe ktorého bola odborne spôsobilá osoba vyčiarknutá z registra odborne spôsobilých osôb podľa § 17 sa považuje za osobitne závažné porušenie tohto zákona na účely zrušenia živnostenského oprávnenia podľa odseku 1 písm. a) a b) (3) Energetický audítor je povinný  a) vykonávať energetický audit riadne, s náležitou odbornou starostlivosťou, v ustanovenom rozsahu a postupom podľa § 45 ods. 1 písm. o),  b) vypracúvať písomnú správu z energetického auditu (ďalej len „správu z energetického auditu“) v  rozsahu ustanovenom podľa § 45 ods. 1 písm. o), c) zasielať súbor údajov z energetického auditu v  rozsahu ustanovenom podľa § 45 ods. 1 písm. o) prevádzkovateľovi monitorovacieho systému spôsobom podľa § 10 ods. 4, d) zasielať súbor údajov zo systému energetického manažérstva alebo environmentálneho manažérstva v  rozsahu ustanovenom podľa § 45 ods. 1 písm. o) prevádzkovateľovi monitorovacieho systému spôsobom podľa § 10 ods. 4, e) zasielať súbor údajov z účelového energetického auditu v  rozsahu ustanovenom podľa § 45 ods. 1 písm. o) prevádzkovateľovi monitorovacieho systému spôsobom podľa § 10 ods. 4. (4) Ak sa na vykonaní energetického auditu podieľajú viacerí energetickí audítori, v správe z energetického auditu sa určí jeden energetický audítor, ktorý zodpovedá za splnenie povinností podľa odseku 3.“</w:t>
            </w:r>
          </w:p>
        </w:tc>
        <w:tc>
          <w:tcPr>
            <w:tcW w:w="2264" w:type="dxa"/>
            <w:hideMark/>
          </w:tcPr>
          <w:p w14:paraId="7442759D" w14:textId="438CB55D"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CA</w:t>
            </w:r>
          </w:p>
        </w:tc>
        <w:tc>
          <w:tcPr>
            <w:tcW w:w="2753" w:type="dxa"/>
            <w:hideMark/>
          </w:tcPr>
          <w:p w14:paraId="34A6F49B" w14:textId="6FBF2C73" w:rsidR="00FE0F3E" w:rsidRPr="00BC49FC" w:rsidRDefault="00FE0F3E" w:rsidP="00666928">
            <w:pPr>
              <w:rPr>
                <w:rFonts w:ascii="Times New Roman" w:hAnsi="Times New Roman" w:cs="Times New Roman"/>
                <w:b/>
                <w:bCs/>
              </w:rPr>
            </w:pPr>
            <w:r w:rsidRPr="003B10E4">
              <w:rPr>
                <w:rFonts w:ascii="Times New Roman" w:hAnsi="Times New Roman" w:cs="Times New Roman"/>
                <w:b/>
                <w:bCs/>
              </w:rPr>
              <w:t> </w:t>
            </w:r>
            <w:r w:rsidRPr="003B10E4">
              <w:rPr>
                <w:rFonts w:ascii="Times New Roman" w:hAnsi="Times New Roman" w:cs="Times New Roman"/>
              </w:rPr>
              <w:t>Upravené v zmysle pripomienky,</w:t>
            </w:r>
          </w:p>
        </w:tc>
      </w:tr>
      <w:tr w:rsidR="00FE0F3E" w:rsidRPr="006278D2" w14:paraId="1CDCC00D" w14:textId="66F0E5F0" w:rsidTr="00725D29">
        <w:trPr>
          <w:trHeight w:val="645"/>
        </w:trPr>
        <w:tc>
          <w:tcPr>
            <w:tcW w:w="975" w:type="dxa"/>
            <w:hideMark/>
          </w:tcPr>
          <w:p w14:paraId="78848E4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949</w:t>
            </w:r>
          </w:p>
        </w:tc>
        <w:tc>
          <w:tcPr>
            <w:tcW w:w="2656" w:type="dxa"/>
            <w:hideMark/>
          </w:tcPr>
          <w:p w14:paraId="1053619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9D2791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A7C9F3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21 ods. 2 </w:t>
            </w:r>
            <w:r w:rsidRPr="00BC49FC">
              <w:rPr>
                <w:rFonts w:ascii="Times New Roman" w:hAnsi="Times New Roman" w:cs="Times New Roman"/>
              </w:rPr>
              <w:t>v § 21 odsek 2 znie: „(2) Porušenie povinností, na základe ktorej bola odborne spôsobilá osoba vyčiarknutá z registra odborne spôsobilých osôb podľa § 17, sa považuje za osobitne závažné porušenie tohto zákona na účely zrušenia živnostenského oprávnenia podľa odseku 1.“  Odôvodnenie:  Legislatívno technická úprava</w:t>
            </w:r>
          </w:p>
        </w:tc>
        <w:tc>
          <w:tcPr>
            <w:tcW w:w="2264" w:type="dxa"/>
            <w:hideMark/>
          </w:tcPr>
          <w:p w14:paraId="29F56A89" w14:textId="772D43D8"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704C3E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17AD4AE9" w14:textId="7AB9513C" w:rsidTr="00725D29">
        <w:trPr>
          <w:trHeight w:val="645"/>
        </w:trPr>
        <w:tc>
          <w:tcPr>
            <w:tcW w:w="975" w:type="dxa"/>
            <w:hideMark/>
          </w:tcPr>
          <w:p w14:paraId="5BC0769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950.</w:t>
            </w:r>
          </w:p>
        </w:tc>
        <w:tc>
          <w:tcPr>
            <w:tcW w:w="2656" w:type="dxa"/>
            <w:hideMark/>
          </w:tcPr>
          <w:p w14:paraId="019307E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0A207F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318AF0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Piata časť </w:t>
            </w:r>
            <w:r w:rsidRPr="00BC49FC">
              <w:rPr>
                <w:rFonts w:ascii="Times New Roman" w:hAnsi="Times New Roman" w:cs="Times New Roman"/>
              </w:rPr>
              <w:t>Odporúčame celú piatu časť návrhu zákona označiť ako tretiu časť a nasledujúce časti prečíslovať.   Odôvodnenie:  Táto časť by mala byť zaradená ako tretia časť zákona, keďže tvorí základ energetickej efektívnosti a predchádzajúce časti pojednávajú o konkrétnych súvisiacich činnostiach (napr. monitorovanie).</w:t>
            </w:r>
          </w:p>
        </w:tc>
        <w:tc>
          <w:tcPr>
            <w:tcW w:w="2264" w:type="dxa"/>
            <w:hideMark/>
          </w:tcPr>
          <w:p w14:paraId="44FE8CA5" w14:textId="14192F97" w:rsidR="00FE0F3E" w:rsidRPr="00BC49FC" w:rsidRDefault="00FE0F3E" w:rsidP="00666928">
            <w:pPr>
              <w:rPr>
                <w:rFonts w:ascii="Times New Roman" w:hAnsi="Times New Roman" w:cs="Times New Roman"/>
                <w:b/>
                <w:bCs/>
              </w:rPr>
            </w:pPr>
            <w:r w:rsidRPr="00781E45">
              <w:rPr>
                <w:b/>
                <w:bCs/>
              </w:rPr>
              <w:t> </w:t>
            </w:r>
            <w:r>
              <w:rPr>
                <w:b/>
                <w:bCs/>
              </w:rPr>
              <w:t>N</w:t>
            </w:r>
          </w:p>
        </w:tc>
        <w:tc>
          <w:tcPr>
            <w:tcW w:w="2753" w:type="dxa"/>
            <w:hideMark/>
          </w:tcPr>
          <w:p w14:paraId="746667E9" w14:textId="2543786B" w:rsidR="00FE0F3E" w:rsidRPr="00BC49FC" w:rsidRDefault="00FE0F3E" w:rsidP="00666928">
            <w:pPr>
              <w:rPr>
                <w:rFonts w:ascii="Times New Roman" w:hAnsi="Times New Roman" w:cs="Times New Roman"/>
                <w:b/>
                <w:bCs/>
              </w:rPr>
            </w:pPr>
            <w:r w:rsidRPr="00781E45">
              <w:rPr>
                <w:b/>
                <w:bCs/>
              </w:rPr>
              <w:t> </w:t>
            </w:r>
            <w:r w:rsidRPr="00916DB7">
              <w:rPr>
                <w:b/>
                <w:bCs/>
              </w:rPr>
              <w:t>požiadavka presahuje potrebný rozsah úpravy</w:t>
            </w:r>
          </w:p>
        </w:tc>
      </w:tr>
      <w:tr w:rsidR="00FE0F3E" w:rsidRPr="006278D2" w14:paraId="224D3076" w14:textId="4B7E7D57" w:rsidTr="00725D29">
        <w:trPr>
          <w:trHeight w:val="645"/>
        </w:trPr>
        <w:tc>
          <w:tcPr>
            <w:tcW w:w="975" w:type="dxa"/>
            <w:hideMark/>
          </w:tcPr>
          <w:p w14:paraId="6E1F8A7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951.</w:t>
            </w:r>
          </w:p>
        </w:tc>
        <w:tc>
          <w:tcPr>
            <w:tcW w:w="2656" w:type="dxa"/>
            <w:hideMark/>
          </w:tcPr>
          <w:p w14:paraId="4B0FA51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23D1D2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D93302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23 ods. 1 </w:t>
            </w:r>
            <w:r w:rsidRPr="00BC49FC">
              <w:rPr>
                <w:rFonts w:ascii="Times New Roman" w:hAnsi="Times New Roman" w:cs="Times New Roman"/>
              </w:rPr>
              <w:t>V § 23 ods. 1 v písmene c) odporúčame zmeniť text „v energetike“ za text „v energetickej efektívnosti“  Odôvodnenie:  Pojem energetika sa používa pre elektroenergetiku a plynárenstvo.</w:t>
            </w:r>
          </w:p>
        </w:tc>
        <w:tc>
          <w:tcPr>
            <w:tcW w:w="2264" w:type="dxa"/>
            <w:hideMark/>
          </w:tcPr>
          <w:p w14:paraId="42AC79EE" w14:textId="65CEC45A"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6DCE66DD" w14:textId="5FB80D5C"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b/>
                <w:bCs/>
              </w:rPr>
              <w:t>Požiadavka je na aj elektroenergetiku a plynárenstvo</w:t>
            </w:r>
          </w:p>
        </w:tc>
      </w:tr>
      <w:tr w:rsidR="00FE0F3E" w:rsidRPr="006278D2" w14:paraId="4C30ABE1" w14:textId="0B04221B" w:rsidTr="00725D29">
        <w:trPr>
          <w:trHeight w:val="1275"/>
        </w:trPr>
        <w:tc>
          <w:tcPr>
            <w:tcW w:w="975" w:type="dxa"/>
            <w:hideMark/>
          </w:tcPr>
          <w:p w14:paraId="0648E23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952.</w:t>
            </w:r>
          </w:p>
        </w:tc>
        <w:tc>
          <w:tcPr>
            <w:tcW w:w="2656" w:type="dxa"/>
            <w:hideMark/>
          </w:tcPr>
          <w:p w14:paraId="351BB03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2445CC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3A8824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24 ods. 1 </w:t>
            </w:r>
            <w:r w:rsidRPr="00BC49FC">
              <w:rPr>
                <w:rFonts w:ascii="Times New Roman" w:hAnsi="Times New Roman" w:cs="Times New Roman"/>
              </w:rPr>
              <w:t>V § 24 ods. 1 znie: „(1) Zásada prvoradosti energetickej efektívnosti sa uplatňuje v riešeniach energetickej efektívnosti vrátane zdrojov na strane dopytu a flexibility, ) pri plánovaní, politikách a dôležitých investíciách pre všetky projekty s hodnotou viac ako 100 000 000 eur a pre projekty dopravnej infraštruktúry s hodnotou viac ako 175 000 000 eur, súvisiace s týmito odvetviami: a) energetické systémy,  b) iné ako energetické odvetvia, ak majú tieto odvetvia vplyv na spotrebu energie a energetickú efektívnosť, najmä budovy, doprava, vodné hospodárstvo, informačné a komunikačné technológie, poľnohospodárstvo a financie,“  Odôvodnenie:  Legislatívno technická úprava z dôvodu zosúladenia s textom smernice o EE.</w:t>
            </w:r>
          </w:p>
        </w:tc>
        <w:tc>
          <w:tcPr>
            <w:tcW w:w="2264" w:type="dxa"/>
            <w:hideMark/>
          </w:tcPr>
          <w:p w14:paraId="429BCAC5" w14:textId="409ED655"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ĆA</w:t>
            </w:r>
          </w:p>
        </w:tc>
        <w:tc>
          <w:tcPr>
            <w:tcW w:w="2753" w:type="dxa"/>
            <w:hideMark/>
          </w:tcPr>
          <w:p w14:paraId="6DBECFA4" w14:textId="6F4B53D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Upravené v zmysle pripomienky</w:t>
            </w:r>
          </w:p>
        </w:tc>
      </w:tr>
      <w:tr w:rsidR="00FE0F3E" w:rsidRPr="006278D2" w14:paraId="44D0E2AB" w14:textId="661A98C1" w:rsidTr="00725D29">
        <w:trPr>
          <w:trHeight w:val="645"/>
        </w:trPr>
        <w:tc>
          <w:tcPr>
            <w:tcW w:w="975" w:type="dxa"/>
            <w:hideMark/>
          </w:tcPr>
          <w:p w14:paraId="023EC6C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953.</w:t>
            </w:r>
          </w:p>
        </w:tc>
        <w:tc>
          <w:tcPr>
            <w:tcW w:w="2656" w:type="dxa"/>
            <w:hideMark/>
          </w:tcPr>
          <w:p w14:paraId="3D5BC92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540E4B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593218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24 ods. 2 </w:t>
            </w:r>
            <w:r w:rsidRPr="00BC49FC">
              <w:rPr>
                <w:rFonts w:ascii="Times New Roman" w:hAnsi="Times New Roman" w:cs="Times New Roman"/>
              </w:rPr>
              <w:t>Odporúčame v § 24  vypustiť odsek 2.  Odôvodnenie:  Z ustanovenia zákona nie je zrejmé akým spôsobom, kedy a pre aké činnosti má poskytovateľ údajov dodržiavať zásadu prvoradosti energetickej efektívnosti.</w:t>
            </w:r>
          </w:p>
        </w:tc>
        <w:tc>
          <w:tcPr>
            <w:tcW w:w="2264" w:type="dxa"/>
            <w:hideMark/>
          </w:tcPr>
          <w:p w14:paraId="1879810C" w14:textId="69AA7400" w:rsidR="00FE0F3E" w:rsidRPr="00BC49FC" w:rsidRDefault="00FE0F3E" w:rsidP="00666928">
            <w:pPr>
              <w:rPr>
                <w:rFonts w:ascii="Times New Roman" w:hAnsi="Times New Roman" w:cs="Times New Roman"/>
                <w:b/>
                <w:bCs/>
              </w:rPr>
            </w:pPr>
            <w:r>
              <w:rPr>
                <w:rFonts w:ascii="Times New Roman" w:hAnsi="Times New Roman" w:cs="Times New Roman"/>
                <w:b/>
                <w:bCs/>
              </w:rPr>
              <w:t>N</w:t>
            </w:r>
            <w:r w:rsidRPr="00BC49FC">
              <w:rPr>
                <w:rFonts w:ascii="Times New Roman" w:hAnsi="Times New Roman" w:cs="Times New Roman"/>
                <w:b/>
                <w:bCs/>
              </w:rPr>
              <w:t> </w:t>
            </w:r>
          </w:p>
        </w:tc>
        <w:tc>
          <w:tcPr>
            <w:tcW w:w="2753" w:type="dxa"/>
            <w:hideMark/>
          </w:tcPr>
          <w:p w14:paraId="085876C4" w14:textId="25547B70"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916DB7">
              <w:rPr>
                <w:b/>
                <w:bCs/>
              </w:rPr>
              <w:t>požiadavka presahuje potrebný rozsah úpravy</w:t>
            </w:r>
          </w:p>
        </w:tc>
      </w:tr>
      <w:tr w:rsidR="00FE0F3E" w:rsidRPr="006278D2" w14:paraId="59E64D0F" w14:textId="31F8C138" w:rsidTr="00725D29">
        <w:trPr>
          <w:trHeight w:val="5055"/>
        </w:trPr>
        <w:tc>
          <w:tcPr>
            <w:tcW w:w="975" w:type="dxa"/>
            <w:hideMark/>
          </w:tcPr>
          <w:p w14:paraId="1C948D1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954.</w:t>
            </w:r>
          </w:p>
        </w:tc>
        <w:tc>
          <w:tcPr>
            <w:tcW w:w="2656" w:type="dxa"/>
            <w:hideMark/>
          </w:tcPr>
          <w:p w14:paraId="09F4A1F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8F5491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5017CC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25 </w:t>
            </w:r>
            <w:r w:rsidRPr="00BC49FC">
              <w:rPr>
                <w:rFonts w:ascii="Times New Roman" w:hAnsi="Times New Roman" w:cs="Times New Roman"/>
              </w:rPr>
              <w:t>Celý paragraf 25 odporúčame preformulovať nasledovne: „(1) Poverená organizácia, v relevantných prípadoch v spolupráci s regionálnymi a miestnymi orgánmi, zabezpečuje, aby informácie o dostupných opatreniach na zlepšenie energetickej efektívnosti, o finančných rámcoch a právnych rámcoch boli transparentné a dostupné všetkým relevantným účastníkom trhu, najmä:  a) koncovým odberateľom a konečným spotrebiteľom,  b) spotrebiteľským organizáciám,  c) zástupcom občianskej spoločnosti,  d) komunitám vyrábajúcim energiu z obnoviteľných zdrojov a energetickým spoločenstvám,  e) orgánom územnej samosprávy,  f) energetickým a environmentálnym organizáciám,  g) poskytovateľom sociálnych služieb a  h) osobám podľa § 15 ods. 2, ktoré vykonávajú činnosti súvisiace s energetickou efektívnosťou.    (2) Informácie o dostupných opatreniach pre účastníkov trhu podľa odseku 1 písm. a  na podporu a uľahčenie efektívneho využívania energie sú súčasťou integrovaného národného energetického a klimatického plánu  alebo stratégie obnovy budov  a sú zamerané na nástroje a politiky zmeny správania, najmä: a) fiškálne stimuly, b) prístup k financiám, poukazom, grantom alebo dotáciám, c) verejne podporované posúdenia spotreby energie a cielené poradenské služby a podpora pre odberateľov v domácnostiach, najmä ľudí postihnutých energetickou chudobou, zraniteľných odberateľov a v uplatniteľných prípadoch ľudí žijúcich v sociálnom bývaní, d) cielené poradenské služby pre mikropodniky, malé podniky a stredné podniky, e) poskytovanie informácií ľuďom so zdravotným postihnutím v prístupnej forme, f) vzorové projekty, g) činnosti na pracovisku, h) vzdelávanie odborne spôsobilých osôb a iných účastníkov trhu, i) digitálne nástroje, j) stratégie zapojenia.  (3) Na účel vytvorenia podporného rámca poverená organizácia s cieľom návrhu opatrení na podporu a uľahčenie efektívneho využívania energie: a) zriadi a prevádzkuje jednotné kontaktné miesta energetickej efektívnosti, ktoré poskytujú informácie v otázkach energetickej efektívnosti podľa odseku 2 pre účastníkov trhu podľa odseku 1, a to najmä technické poradenstvo, administratívne poradenstvo a finančné poradenstvo, b) zriadi a prevádzkuje špecializované jednotné kontaktné miesta energetickej efektívnosti, ktoré poskytujú najmä  1. poradenstvo domácnostiam, vlastníkom budov, mikropodnikom, malým podnikom a stredným podnikom a verejným subjektom, 2. komplexnú podporu všetkým domácnostiam, a to najmä domácnostiam postihnutým energetickou chudobou a vlastníkom budov s najhoršou energetickou hospodárnosťou,  3. poradenstvo akreditovaným spoločnostiam, odborne spôsobilým osobám v energetickej efektívnosti a odborne spôsobilým osobám pre oblasť, ktorá súvisí s energetickou efektívnosťou,  4. poradenstvo týkajúce sa spôsobov správania pri využívaní energie, 5. poradenstvo vlastníkom prenajímajúcim nehnuteľnosť, 6. informácie o kvalifikovaných odborníkoch v oblasti energetickej efektívnosti, 7. získavajú typologicky agregované údaje z projektov energetickej efektívnosti, vymieňajú si skúsenosti a sprístupňujú ich verejnosti, 8. prepájajú potenciálne projekty s účastníkmi trhu, c) zriadi pracovnú skupinu pre viacstranný dialóg so sociálnymi partnermi.“  Odôvodnenie:  Legislatívno technická úprava</w:t>
            </w:r>
          </w:p>
        </w:tc>
        <w:tc>
          <w:tcPr>
            <w:tcW w:w="2264" w:type="dxa"/>
            <w:hideMark/>
          </w:tcPr>
          <w:p w14:paraId="651BAE96" w14:textId="7599A260"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72058C5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1C394C5C" w14:textId="37E0B859" w:rsidTr="00725D29">
        <w:trPr>
          <w:trHeight w:val="5055"/>
        </w:trPr>
        <w:tc>
          <w:tcPr>
            <w:tcW w:w="975" w:type="dxa"/>
            <w:hideMark/>
          </w:tcPr>
          <w:p w14:paraId="732715B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955.</w:t>
            </w:r>
          </w:p>
        </w:tc>
        <w:tc>
          <w:tcPr>
            <w:tcW w:w="2656" w:type="dxa"/>
            <w:hideMark/>
          </w:tcPr>
          <w:p w14:paraId="3D79AC9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FDF91F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EEED06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26 </w:t>
            </w:r>
            <w:r w:rsidRPr="00BC49FC">
              <w:rPr>
                <w:rFonts w:ascii="Times New Roman" w:hAnsi="Times New Roman" w:cs="Times New Roman"/>
              </w:rPr>
              <w:t>Celý paragraf 26 vrátane nadpisu odporúčame preformulovať nasledovne: „§ 26 Povinnosť energetického auditu a systémov energetického manažérstva  (1) Podnik s priemernou ročnou energetickou spotrebou väčšou ako 10 TJ za predchádzajúce tri kalendárne roky je povinný raz za štyri roky vykonať energetický audit v rozsahu podľa § 45 ods. 1 písm. o).    2) Podnik s priemernou ročnou energetickou spotrebou väčšou ako 10 TJ za predchádzajúce tri kalendárne roky môže vykonať povinnosť podľa odseku 1 aj zavedením certifikovaného systému a) energetického manažérstva podľa normy ISO 50001, alebo  b) environmentálneho manažérstva podľa  normy ISO 14001.   (3) Podnik s priemernou ročnou energetickou spotrebou väčšou ako 85 TJ za predchádzajúce tri kalendárne roky je povinný zaviesť certifikovaný systém  a) energetického manažérstva podľa normy ISO 50001, alebo  b) environmentálneho manažérstva  podľa normy  ISO 14001.   (4) Povinnou súčasťou certifikovaného systému manažérstva podľa odseku 2 a 3 je energetický audit vypracovaný v rozsahu podľa § 45 ods. 1 písm. o).  (5) Podrobnosti a postup pri stanovení priemernej ročnej energetickej spotreby podľa odseku 1 až 3 upraví všeobecne záväzný právny predpis, ktorý vydá ministerstvo.   (6) Povinnosti podľa odsekov 1 až 3 sa nevzťahujú na verejný subjekt, ktorý nie je podnikom.  (7) Podnik podľa odsekov 1 až 3 je povinný  a) uviesť zistenia z energetického auditu vo svojej výročnej správe, ak ju vypracúva, b) predložiť akčný plán, ktorý je súčasťou správy z energetického auditu, vedeniu podniku, c) uchovávať správu z energetického auditu a podklady použité pri energetickom audite po dobu vykonania nasledovného energetického auditu,  d) uchovávať správu z energetického auditu a podklady použité pri energetickom audite po dobu určenú poskytovateľom verejných prostriedkov alebo prostriedkov medzinárodných finančných inštitúcií, e) poskytnúť poverenej organizácii správu z energetického auditu na účel posúdenia a overenia energetického auditu do 30 dní od doručenia písomnej žiadosti poverenej organizácii. (8) Povinnosti podľa odseku 7 písm. d) a e) sa vzťahujú aj na podnik, ktorý zabezpečil vykonanie energetického auditu spolufinancovaného z verejných prostriedkov alebo z podporných programov financovaných z prostriedkov medzinárodných finančných inštitúcií. (9) Energetický audit musí byť vyvážený, reprezentatívny a založený na ekonomickom, environmentálnom a technickom hodnotení zohľadňujúcom životný cyklus výrobkov a služieb.  (10) Výstupom z energetického auditu je správa z energetického auditu v rozsahu podľa § 45 ods. 1 písm. o).   (11) Účelový energetický audit sa vykonáva pre a) vyhodnotenie projektov pre potreby financovania a finančných mechanizmov, b) zhodnotenie pre návrh nových energetických zdrojov podľa osobitného predpisu, )  c) vyhodnotenie možnosti priameho využívania fosílnych palív alebo d) iný účel ustanovený osobitným predpisom.   (12) Ak je vypracovanie energetického auditu súčasťou poskytovania energetickej služby, považuje sa energetický audit vykonaný v rozsahu podľa § 45 ods. 1 písm. o) za splnenie povinnosti energetického auditu podľa odseku 1 až 3.“  Odôvodnenie:  Legislatívno-technická úprava</w:t>
            </w:r>
          </w:p>
        </w:tc>
        <w:tc>
          <w:tcPr>
            <w:tcW w:w="2264" w:type="dxa"/>
            <w:hideMark/>
          </w:tcPr>
          <w:p w14:paraId="6ABCB63C" w14:textId="3F9D1DB5"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64A800F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74645368" w14:textId="7E4E31DB" w:rsidTr="00725D29">
        <w:trPr>
          <w:trHeight w:val="2850"/>
        </w:trPr>
        <w:tc>
          <w:tcPr>
            <w:tcW w:w="975" w:type="dxa"/>
            <w:hideMark/>
          </w:tcPr>
          <w:p w14:paraId="5D33365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956.</w:t>
            </w:r>
          </w:p>
        </w:tc>
        <w:tc>
          <w:tcPr>
            <w:tcW w:w="2656" w:type="dxa"/>
            <w:hideMark/>
          </w:tcPr>
          <w:p w14:paraId="10B8AE6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807767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15987C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27 </w:t>
            </w:r>
            <w:r w:rsidRPr="00BC49FC">
              <w:rPr>
                <w:rFonts w:ascii="Times New Roman" w:hAnsi="Times New Roman" w:cs="Times New Roman"/>
              </w:rPr>
              <w:t>Celý paragraf 27 vrátane nadpisu odporúčame preformulovať nasledovne: „§ 27 Register podnikov energetického auditu a systémov energetického manažérstva   (1) Podnik podľa § 26 odsek 1 až 3 je povinný zapísať sa do registra podnikov energetického auditu a systémov energetického manažérstva (ďalej len „register podnikov energetického auditu“).  (2) Register podnikov energetického auditu  obsahuje údaje o subjektoch podľa odseku 1, najmä:  a) identifikačné číslo organizácie, b) osobu poverenú poskytovaním údajov do registra podnikov energetického auditu, a jej kontaktné údaje, a to najmä meno, priezvisko, pracovné zaradenie v podniku, telefónne číslo a adresu elektronickej pošty, c) potvrdenie o zavedení systému od certifikačného orgánu, ktorý v podniku zaviedol systém energetického manažérstva alebo systém environmentálneho manažérstva. d) certifikát certifikačného orgánu, ktorý v podniku zaviedol systém energetického manažérstva alebo systém environmentálneho manažérstva. (4) Poverená organizácia vydá potvrdenie o splnení povinnosti podľa odseku 1. (5) Podnik je povinný pri zmene osoby podľa odseku 2 písm. b) oznámiť túto skutočnosť prevádzkovateľovi monitorovacieho systému do 30 dní odo dňa zmeny.  (6) Slovenská národná akreditačná služba má povinnosť do 30 dní na základe výzvy prevádzkovateľa  monitorovacieho systému poskytnúť údaje o zozname   a) podnikov, ktoré majú zavedený certifikovaný systém energetického manažérstva, b) podnikov, ktoré majú zavedený certifikovaný systém environmentálneho manažérstva, c) certifikačných orgánov systému energetického manažérstva a systému environmentálneho manažérstva vedený podľa osobitného predpisu,46) d) zahraničných certifikačných orgánov systému energetického manažérstva a environmentálneho manažérstva, ak ho má k dispozícii.“  Odôvodnenie:  Legislatívno-technická úprava</w:t>
            </w:r>
          </w:p>
        </w:tc>
        <w:tc>
          <w:tcPr>
            <w:tcW w:w="2264" w:type="dxa"/>
            <w:vAlign w:val="center"/>
            <w:hideMark/>
          </w:tcPr>
          <w:p w14:paraId="12BACC7D" w14:textId="4290DCA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2343A02B" w14:textId="6EC4A5FF"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27 po úprave znie:</w:t>
            </w:r>
            <w:r w:rsidRPr="00BC49FC">
              <w:rPr>
                <w:rFonts w:ascii="Times New Roman" w:hAnsi="Times New Roman" w:cs="Times New Roman"/>
                <w:color w:val="000000"/>
              </w:rPr>
              <w:br/>
              <w:t>§ 27</w:t>
            </w:r>
            <w:r w:rsidRPr="00BC49FC">
              <w:rPr>
                <w:rFonts w:ascii="Times New Roman" w:hAnsi="Times New Roman" w:cs="Times New Roman"/>
                <w:color w:val="000000"/>
              </w:rPr>
              <w:br/>
              <w:t xml:space="preserve">Register podnikov energetického auditu a systémov energetického manažérstva </w:t>
            </w:r>
            <w:r w:rsidRPr="00BC49FC">
              <w:rPr>
                <w:rFonts w:ascii="Times New Roman" w:hAnsi="Times New Roman" w:cs="Times New Roman"/>
                <w:color w:val="000000"/>
              </w:rPr>
              <w:br/>
            </w:r>
            <w:r w:rsidRPr="00BC49FC">
              <w:rPr>
                <w:rFonts w:ascii="Times New Roman" w:hAnsi="Times New Roman" w:cs="Times New Roman"/>
                <w:color w:val="000000"/>
              </w:rPr>
              <w:br/>
              <w:t xml:space="preserve">(1) Podnik podľa § 26 odsek 1 až 3 je povinný zapísať sa do registra podnikov energetického auditu a systémov energetického manažérstva (ďalej len „register podnikov energetického auditu“). </w:t>
            </w:r>
            <w:r w:rsidRPr="00BC49FC">
              <w:rPr>
                <w:rFonts w:ascii="Times New Roman" w:hAnsi="Times New Roman" w:cs="Times New Roman"/>
                <w:color w:val="000000"/>
              </w:rPr>
              <w:br/>
              <w:t xml:space="preserve">(2) Register podnikov energetického auditu  obsahuje údaje o subjektoch podľa odseku 1, najmä: </w:t>
            </w:r>
            <w:r w:rsidRPr="00BC49FC">
              <w:rPr>
                <w:rFonts w:ascii="Times New Roman" w:hAnsi="Times New Roman" w:cs="Times New Roman"/>
                <w:color w:val="000000"/>
              </w:rPr>
              <w:br/>
              <w:t>a) identifikačné číslo organizácie,</w:t>
            </w:r>
            <w:r w:rsidRPr="00BC49FC">
              <w:rPr>
                <w:rFonts w:ascii="Times New Roman" w:hAnsi="Times New Roman" w:cs="Times New Roman"/>
                <w:color w:val="000000"/>
              </w:rPr>
              <w:br/>
              <w:t>b) osobu poverenú poskytovaním údajov do registra podnikov energetického auditu, a jej kontaktné údaje, a to najmä meno, priezvisko, pracovné zaradenie v podniku, telefónne číslo a adresu elektronickej pošty,</w:t>
            </w:r>
            <w:r w:rsidRPr="00BC49FC">
              <w:rPr>
                <w:rFonts w:ascii="Times New Roman" w:hAnsi="Times New Roman" w:cs="Times New Roman"/>
                <w:color w:val="000000"/>
              </w:rPr>
              <w:br/>
              <w:t>c) potvrdenie o zavedení systému od certifikačného orgánu, ktorý v podniku zaviedol systém energetického manažérstva alebo systém environmentálneho manažérstva.</w:t>
            </w:r>
            <w:r w:rsidRPr="00BC49FC">
              <w:rPr>
                <w:rFonts w:ascii="Times New Roman" w:hAnsi="Times New Roman" w:cs="Times New Roman"/>
                <w:color w:val="000000"/>
              </w:rPr>
              <w:br/>
              <w:t>d) certifikát certifikačného orgánu, ktorý v podniku zaviedol systém energetického manažérstva alebo systém environmentálneho manažérstva.</w:t>
            </w:r>
            <w:r w:rsidRPr="00BC49FC">
              <w:rPr>
                <w:rFonts w:ascii="Times New Roman" w:hAnsi="Times New Roman" w:cs="Times New Roman"/>
                <w:color w:val="000000"/>
              </w:rPr>
              <w:br/>
              <w:t>(4) Poverená organizácia vydá potvrdenie o splnení povinnosti podľa odseku 1.</w:t>
            </w:r>
            <w:r w:rsidRPr="00BC49FC">
              <w:rPr>
                <w:rFonts w:ascii="Times New Roman" w:hAnsi="Times New Roman" w:cs="Times New Roman"/>
                <w:color w:val="000000"/>
              </w:rPr>
              <w:br/>
              <w:t xml:space="preserve">(5) Podnik je povinný pri zmene osoby podľa odseku 2 písm. b) oznámiť túto skutočnosť prevádzkovateľovi monitorovacieho systému do 30 pracovných dní odo dňa zmeny. </w:t>
            </w:r>
            <w:r w:rsidRPr="00BC49FC">
              <w:rPr>
                <w:rFonts w:ascii="Times New Roman" w:hAnsi="Times New Roman" w:cs="Times New Roman"/>
                <w:color w:val="000000"/>
              </w:rPr>
              <w:br/>
              <w:t xml:space="preserve">(6) Slovenská národná akreditačná služba má povinnosť do 30 pracovných dní na základe výzvy prevádzkovateľa  monitorovacieho systému poskytnúť údaje o zozname  </w:t>
            </w:r>
            <w:r w:rsidRPr="00BC49FC">
              <w:rPr>
                <w:rFonts w:ascii="Times New Roman" w:hAnsi="Times New Roman" w:cs="Times New Roman"/>
                <w:color w:val="000000"/>
              </w:rPr>
              <w:br/>
              <w:t>a) podnikov, ktoré majú zavedený certifikovaný systém energetického manažérstva,</w:t>
            </w:r>
            <w:r w:rsidRPr="00BC49FC">
              <w:rPr>
                <w:rFonts w:ascii="Times New Roman" w:hAnsi="Times New Roman" w:cs="Times New Roman"/>
                <w:color w:val="000000"/>
              </w:rPr>
              <w:br/>
              <w:t>b) podnikov, ktoré majú zavedený certifikovaný systém environmentálneho manažérstva,</w:t>
            </w:r>
            <w:r w:rsidRPr="00BC49FC">
              <w:rPr>
                <w:rFonts w:ascii="Times New Roman" w:hAnsi="Times New Roman" w:cs="Times New Roman"/>
                <w:color w:val="000000"/>
              </w:rPr>
              <w:br/>
              <w:t>c) certifikačných orgánov systému energetického manažérstva a systému environmentálneho manažérstva vedený podľa osobitného predpisu,46)</w:t>
            </w:r>
            <w:r w:rsidRPr="00BC49FC">
              <w:rPr>
                <w:rFonts w:ascii="Times New Roman" w:hAnsi="Times New Roman" w:cs="Times New Roman"/>
                <w:color w:val="000000"/>
              </w:rPr>
              <w:br/>
              <w:t>d) zahraničných certifikačných orgánov systému energetického manažérstva a environmentálneho manažérstva, ak ho má k dispozícii.</w:t>
            </w:r>
          </w:p>
        </w:tc>
      </w:tr>
      <w:tr w:rsidR="00FE0F3E" w:rsidRPr="006278D2" w14:paraId="2E14D6AD" w14:textId="05685EDE" w:rsidTr="00725D29">
        <w:trPr>
          <w:trHeight w:val="645"/>
        </w:trPr>
        <w:tc>
          <w:tcPr>
            <w:tcW w:w="975" w:type="dxa"/>
            <w:hideMark/>
          </w:tcPr>
          <w:p w14:paraId="47E0A90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957.</w:t>
            </w:r>
          </w:p>
        </w:tc>
        <w:tc>
          <w:tcPr>
            <w:tcW w:w="2656" w:type="dxa"/>
            <w:hideMark/>
          </w:tcPr>
          <w:p w14:paraId="10C243B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7ABD3B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5E4E07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28 </w:t>
            </w:r>
            <w:r w:rsidRPr="00BC49FC">
              <w:rPr>
                <w:rFonts w:ascii="Times New Roman" w:hAnsi="Times New Roman" w:cs="Times New Roman"/>
              </w:rPr>
              <w:t>Celý § 28 odporúčame vypustiť.  Odôvodnenie:  Energetické audity môžu obsahovať prvky obchodného tajomstva. Nevyhnutné údaje z energetických auditov sú obsiahnuté v súbore údajov pre monitorovací systém. Uvedené predstavuje vysokú administratívnu záťaž, keďže tie isté údaje by boli do systému vkladané dvojmo až trojmo.</w:t>
            </w:r>
          </w:p>
        </w:tc>
        <w:tc>
          <w:tcPr>
            <w:tcW w:w="2264" w:type="dxa"/>
            <w:vAlign w:val="center"/>
            <w:hideMark/>
          </w:tcPr>
          <w:p w14:paraId="1884847C" w14:textId="532B4C84"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2EDB4C8F" w14:textId="47ACF368"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28 bol prepracovaný so zreteľom na minimalizáciu požadovaných údajov a jednoznačné vymedzenie subjektov, ktoré sú povinné údaje do registra energetických auditov vkladať. Prepracovaný § 28 znie:</w:t>
            </w:r>
            <w:r w:rsidRPr="00BC49FC">
              <w:rPr>
                <w:rFonts w:ascii="Times New Roman" w:hAnsi="Times New Roman" w:cs="Times New Roman"/>
                <w:color w:val="000000"/>
              </w:rPr>
              <w:br/>
              <w:t>§ 28</w:t>
            </w:r>
            <w:r w:rsidRPr="00BC49FC">
              <w:rPr>
                <w:rFonts w:ascii="Times New Roman" w:hAnsi="Times New Roman" w:cs="Times New Roman"/>
                <w:color w:val="000000"/>
              </w:rPr>
              <w:br/>
              <w:t>Register energetických auditov</w:t>
            </w:r>
            <w:r w:rsidRPr="00BC49FC">
              <w:rPr>
                <w:rFonts w:ascii="Times New Roman" w:hAnsi="Times New Roman" w:cs="Times New Roman"/>
                <w:color w:val="000000"/>
              </w:rPr>
              <w:br/>
            </w:r>
            <w:r w:rsidRPr="00BC49FC">
              <w:rPr>
                <w:rFonts w:ascii="Times New Roman" w:hAnsi="Times New Roman" w:cs="Times New Roman"/>
                <w:color w:val="000000"/>
              </w:rPr>
              <w:br/>
              <w:t>(1) Povinnosť vložiť do registra energetických auditov údaje podľa odseku 2 má podnik podľa § 26 odsek 1 až 3 a ods. 11.</w:t>
            </w:r>
            <w:r w:rsidRPr="00BC49FC">
              <w:rPr>
                <w:rFonts w:ascii="Times New Roman" w:hAnsi="Times New Roman" w:cs="Times New Roman"/>
                <w:color w:val="000000"/>
              </w:rPr>
              <w:br/>
            </w:r>
            <w:r w:rsidRPr="00BC49FC">
              <w:rPr>
                <w:rFonts w:ascii="Times New Roman" w:hAnsi="Times New Roman" w:cs="Times New Roman"/>
                <w:color w:val="000000"/>
              </w:rPr>
              <w:br/>
              <w:t xml:space="preserve">(2) Register energetických auditov obsahuje pre každý energetický audit </w:t>
            </w:r>
            <w:r w:rsidRPr="00BC49FC">
              <w:rPr>
                <w:rFonts w:ascii="Times New Roman" w:hAnsi="Times New Roman" w:cs="Times New Roman"/>
                <w:color w:val="000000"/>
              </w:rPr>
              <w:br/>
              <w:t xml:space="preserve">a) údaje o vykonanom </w:t>
            </w:r>
            <w:r w:rsidRPr="00BC49FC">
              <w:rPr>
                <w:rFonts w:ascii="Times New Roman" w:hAnsi="Times New Roman" w:cs="Times New Roman"/>
                <w:color w:val="000000"/>
              </w:rPr>
              <w:br/>
              <w:t>1. energetickom audite podľa § 26 ods. 1,</w:t>
            </w:r>
            <w:r w:rsidRPr="00BC49FC">
              <w:rPr>
                <w:rFonts w:ascii="Times New Roman" w:hAnsi="Times New Roman" w:cs="Times New Roman"/>
                <w:color w:val="000000"/>
              </w:rPr>
              <w:br/>
              <w:t>2. energetickom audite z dôvodu zavedenia certifikovaných systémoch energetického manažérstva podľa § 26 ods. 2 písm. a) a ods. 3 písm. a),</w:t>
            </w:r>
            <w:r w:rsidRPr="00BC49FC">
              <w:rPr>
                <w:rFonts w:ascii="Times New Roman" w:hAnsi="Times New Roman" w:cs="Times New Roman"/>
                <w:color w:val="000000"/>
              </w:rPr>
              <w:br/>
              <w:t>3. energetickom audite z dôvodu zavedenia certifikovaných systémoch environmentálneho manažérstva s energetickým auditom podľa § 26 ods. 2 písm. b) a ods. 3 písm. b),</w:t>
            </w:r>
            <w:r w:rsidRPr="00BC49FC">
              <w:rPr>
                <w:rFonts w:ascii="Times New Roman" w:hAnsi="Times New Roman" w:cs="Times New Roman"/>
                <w:color w:val="000000"/>
              </w:rPr>
              <w:br/>
              <w:t>4. účelovom energetickom audite podľa § 26 ods. 11 alebo</w:t>
            </w:r>
            <w:r w:rsidRPr="00BC49FC">
              <w:rPr>
                <w:rFonts w:ascii="Times New Roman" w:hAnsi="Times New Roman" w:cs="Times New Roman"/>
                <w:color w:val="000000"/>
              </w:rPr>
              <w:br/>
              <w:t>b) údaje z vykonaného energetického auditu podľa písmena a) v rozsahu podľa § 45 ods.1 písm. k) prvého bodu a podľa § 45 ods.1 písm. o).</w:t>
            </w:r>
            <w:r w:rsidRPr="00BC49FC">
              <w:rPr>
                <w:rFonts w:ascii="Times New Roman" w:hAnsi="Times New Roman" w:cs="Times New Roman"/>
                <w:color w:val="000000"/>
              </w:rPr>
              <w:br/>
            </w:r>
            <w:r w:rsidRPr="00BC49FC">
              <w:rPr>
                <w:rFonts w:ascii="Times New Roman" w:hAnsi="Times New Roman" w:cs="Times New Roman"/>
                <w:color w:val="000000"/>
              </w:rPr>
              <w:br/>
              <w:t>(3) Poverená organizácia vydá potvrdenie o splnení povinnosti podľa odseku 1.</w:t>
            </w:r>
          </w:p>
        </w:tc>
      </w:tr>
      <w:tr w:rsidR="00FE0F3E" w:rsidRPr="006278D2" w14:paraId="13CEBC1E" w14:textId="278CD4B7" w:rsidTr="00725D29">
        <w:trPr>
          <w:trHeight w:val="645"/>
        </w:trPr>
        <w:tc>
          <w:tcPr>
            <w:tcW w:w="975" w:type="dxa"/>
            <w:hideMark/>
          </w:tcPr>
          <w:p w14:paraId="707C84A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958.</w:t>
            </w:r>
          </w:p>
        </w:tc>
        <w:tc>
          <w:tcPr>
            <w:tcW w:w="2656" w:type="dxa"/>
            <w:hideMark/>
          </w:tcPr>
          <w:p w14:paraId="73FB259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4DEAB3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D5B12D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29 ods. 1 </w:t>
            </w:r>
            <w:r w:rsidRPr="00BC49FC">
              <w:rPr>
                <w:rFonts w:ascii="Times New Roman" w:hAnsi="Times New Roman" w:cs="Times New Roman"/>
              </w:rPr>
              <w:t>V § 29 ods. 1 v písmene b) odporúčame v texte „úsporám energie a k zlepšeniu energetickej efektívnosti“ nahradiť spojku „a“ spojkou „alebo“.  Odôvodnenie:  Legislatívno technická úprava</w:t>
            </w:r>
          </w:p>
        </w:tc>
        <w:tc>
          <w:tcPr>
            <w:tcW w:w="2264" w:type="dxa"/>
            <w:hideMark/>
          </w:tcPr>
          <w:p w14:paraId="59EF2609" w14:textId="01062019"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4693166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2A8555E5" w14:textId="1A79B7E3" w:rsidTr="00725D29">
        <w:trPr>
          <w:trHeight w:val="960"/>
        </w:trPr>
        <w:tc>
          <w:tcPr>
            <w:tcW w:w="975" w:type="dxa"/>
            <w:hideMark/>
          </w:tcPr>
          <w:p w14:paraId="7D1390C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959.</w:t>
            </w:r>
          </w:p>
        </w:tc>
        <w:tc>
          <w:tcPr>
            <w:tcW w:w="2656" w:type="dxa"/>
            <w:hideMark/>
          </w:tcPr>
          <w:p w14:paraId="72A71AB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FB9675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6BEC56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29 ods. 2 </w:t>
            </w:r>
            <w:r w:rsidRPr="00BC49FC">
              <w:rPr>
                <w:rFonts w:ascii="Times New Roman" w:hAnsi="Times New Roman" w:cs="Times New Roman"/>
              </w:rPr>
              <w:t>V § 29 celý odsek 2 navrhujeme upraviť nasledovne: „(2) Energetická služba zahŕňa aj poradenstvo, rekonštrukciu energetickej a súvisiacej infraštruktúry, opatrenia kombinujúce reakcie na strane dopytu a skladovania energie s cieľom zabezpečiť úspory energie a udržateľnosť dosiahnutých výsledkov v priebehu času prostredníctvom nepretržitého monitorovania, účinnej prevádzky a údržby.“  Odôvodnenie:  Legislatívno technická úprava</w:t>
            </w:r>
          </w:p>
        </w:tc>
        <w:tc>
          <w:tcPr>
            <w:tcW w:w="2264" w:type="dxa"/>
            <w:hideMark/>
          </w:tcPr>
          <w:p w14:paraId="6FA8EFB7" w14:textId="4B3D79A1"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2A12F27A"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3F0128C1" w14:textId="286F5C11" w:rsidR="00FE0F3E" w:rsidRPr="00BC49FC" w:rsidRDefault="00FE0F3E" w:rsidP="00666928">
            <w:pPr>
              <w:rPr>
                <w:rFonts w:ascii="Times New Roman" w:hAnsi="Times New Roman" w:cs="Times New Roman"/>
                <w:b/>
                <w:bCs/>
              </w:rPr>
            </w:pPr>
          </w:p>
        </w:tc>
      </w:tr>
      <w:tr w:rsidR="00FE0F3E" w:rsidRPr="006278D2" w14:paraId="1C6B7846" w14:textId="7EA4362D" w:rsidTr="00725D29">
        <w:trPr>
          <w:trHeight w:val="1590"/>
        </w:trPr>
        <w:tc>
          <w:tcPr>
            <w:tcW w:w="975" w:type="dxa"/>
            <w:hideMark/>
          </w:tcPr>
          <w:p w14:paraId="583D0D9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960.</w:t>
            </w:r>
          </w:p>
        </w:tc>
        <w:tc>
          <w:tcPr>
            <w:tcW w:w="2656" w:type="dxa"/>
            <w:hideMark/>
          </w:tcPr>
          <w:p w14:paraId="393FBDD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D6396D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09F4C0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29 ods. 5,6 </w:t>
            </w:r>
            <w:r w:rsidRPr="00BC49FC">
              <w:rPr>
                <w:rFonts w:ascii="Times New Roman" w:hAnsi="Times New Roman" w:cs="Times New Roman"/>
              </w:rPr>
              <w:t>V § 29 odseky 5 a 6 navrhujeme upraviť nasledovne: „(5) Distribútor energie, prevádzkovateľ sústavy, prevádzkovateľ siete a dodávateľ energie sú povinní a) umožniť vykonávanie opatrení energetickej efektívnosti, ktorých výsledkom je absolútne zníženie spotreby energie alebo zníženie mernej spotreby energie, b) umožniť vykonávanie a poskytovanie energetickej služby,  (6) Distribútor energie, prevádzkovateľ sústavy, prevádzkovateľ siete a dodávateľ energie nevykonávajú činnosti, ktoré môžu brániť dopytu po energetických službách alebo opatreniach na zlepšenie energetickej efektívnosti a ich poskytovaniu alebo obmedzovať rozvoj trhov s takýmito službami alebo opatreniami vrátane uzavretia trhu pre konkurentov alebo zneužívania dominantného postavenia.“ V odseku 5 odporúčame k textu „prevádzkovateľ sústavy, prevádzkovateľ siete“ doplniť príslušný odkaz na zákon č. 251/2012 Z.z. o energetike.  Odôvodnenie:  Legislatívno technická úprava</w:t>
            </w:r>
          </w:p>
        </w:tc>
        <w:tc>
          <w:tcPr>
            <w:tcW w:w="2264" w:type="dxa"/>
            <w:hideMark/>
          </w:tcPr>
          <w:p w14:paraId="0A3403FB" w14:textId="6DB5009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08897573" w14:textId="532BBEAF" w:rsidR="00FE0F3E" w:rsidRPr="00BC49FC" w:rsidRDefault="00FE0F3E" w:rsidP="00666928">
            <w:pPr>
              <w:rPr>
                <w:rFonts w:ascii="Times New Roman" w:hAnsi="Times New Roman" w:cs="Times New Roman"/>
                <w:b/>
                <w:bCs/>
              </w:rPr>
            </w:pPr>
            <w:r>
              <w:rPr>
                <w:rFonts w:ascii="Times New Roman" w:hAnsi="Times New Roman" w:cs="Times New Roman"/>
                <w:b/>
                <w:bCs/>
              </w:rPr>
              <w:t>Upravené v zmysle pripomienky</w:t>
            </w:r>
          </w:p>
        </w:tc>
      </w:tr>
      <w:tr w:rsidR="00FE0F3E" w:rsidRPr="006278D2" w14:paraId="3F71B883" w14:textId="33463667" w:rsidTr="00725D29">
        <w:trPr>
          <w:trHeight w:val="3480"/>
        </w:trPr>
        <w:tc>
          <w:tcPr>
            <w:tcW w:w="975" w:type="dxa"/>
            <w:hideMark/>
          </w:tcPr>
          <w:p w14:paraId="61F1D172" w14:textId="503F167E"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961.</w:t>
            </w:r>
          </w:p>
        </w:tc>
        <w:tc>
          <w:tcPr>
            <w:tcW w:w="2656" w:type="dxa"/>
            <w:hideMark/>
          </w:tcPr>
          <w:p w14:paraId="14FCEF37" w14:textId="287EA15E"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4671BA91" w14:textId="1D0152C4"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140F1F40" w14:textId="1E9686E5"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30 </w:t>
            </w:r>
            <w:r w:rsidRPr="00AC55C1">
              <w:rPr>
                <w:rFonts w:ascii="Times New Roman" w:hAnsi="Times New Roman" w:cs="Times New Roman"/>
              </w:rPr>
              <w:t>Celý paragraf 30 vrátane nadpisu odporúčame preformulovať nasledovne: „§ 30 Podporná energetická služba a podporná energetická služba pre verejný sektor (1) Podporná energetická služba je energetická služba poskytovaná na základe písomnej zmluvy uzatvorenej medzi poskytovateľom podpornej energetickej služby a prijímateľom podpornej energetickej služby, predmetom ktorej je najmä a) optimalizácia prevádzky a nákladov zariadenia alebo budovy vo vlastníctve prijímateľa podpornej energetickej služby,  b) energetický manažment pre prijímateľa podpornej energetickej služby okrem zavedeného systému energetického manažérstva alebo environmentálneho manažérstva,  c) prevádzka a údržba energetických zariadení, vrátane školenia používateľa a monitorovania prevádzky systému, d) monitorovanie a hodnotenie spotreby energie po prijatí opatrení energetickej efektívnosti.   (2) Poskytovateľ podpornej energetickej služby je povinný zaregistrovať podpornú energetickú službu v registri energetických služieb podľa § 33 najneskôr do 30 dní odo dňa nadobudnutia účinnosti zmluvy o poskytovaní podpornej energetickej služby.   (3) Poskytovateľ podpornej energetickej služby je povinný zasielať každoročne do 31. mája prevádzkovateľovi monitorovacieho systému informácie za predchádzajúci kalendárny rok o poskytnutých podporných energetických službách, predpokladaných a skutočných dopadov z poskytnutých podporných energetických služieb na zlepšenie energetickej efektívnosti a na zvyšovanie úspor energie a iných úspor podľa § 30 ods. 4, v rozsahu podľa osobitného predpisu, ktorý vydá ministerstvo.  (4) Do úspor dosiahnutých prostredníctvom podpornej energetickej služby je možné započítať akékoľvek úspory podľa § 29 ods. 1 písm. b) a finančnú alebo materiálnu výhodu podľa § 29 ods. 1 písm. c). (5) Podporná energetická služba pre verejný sektor je podporná energetická služba poskytovaná na základe zmluvy uzatvorenej medzi poskytovateľom podpornej energetickej služby a prijímateľom podpornej energetickej služby, ktorým je verejný subjekt.   (6) Ministerstvo vypracuje vzorovú zmluvu pre podpornú energetickú službu pre verejný sektor a zverejní ju na svojom webovom sídle.“  Odôvodnenie:  Legislatívno technická úprava</w:t>
            </w:r>
          </w:p>
        </w:tc>
        <w:tc>
          <w:tcPr>
            <w:tcW w:w="2264" w:type="dxa"/>
            <w:hideMark/>
          </w:tcPr>
          <w:p w14:paraId="232E942C" w14:textId="0FC1C614"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1106D813"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4CF71F1F" w14:textId="17D89A4D" w:rsidR="00FE0F3E" w:rsidRPr="00BC49FC" w:rsidRDefault="00FE0F3E" w:rsidP="00666928">
            <w:pPr>
              <w:rPr>
                <w:rFonts w:ascii="Times New Roman" w:hAnsi="Times New Roman" w:cs="Times New Roman"/>
                <w:b/>
                <w:bCs/>
              </w:rPr>
            </w:pPr>
          </w:p>
        </w:tc>
      </w:tr>
      <w:tr w:rsidR="00FE0F3E" w:rsidRPr="006278D2" w14:paraId="5A7C90A0" w14:textId="38C9A756" w:rsidTr="00725D29">
        <w:trPr>
          <w:trHeight w:val="645"/>
        </w:trPr>
        <w:tc>
          <w:tcPr>
            <w:tcW w:w="975" w:type="dxa"/>
            <w:hideMark/>
          </w:tcPr>
          <w:p w14:paraId="08C041AD" w14:textId="6BA435D1"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962.</w:t>
            </w:r>
          </w:p>
        </w:tc>
        <w:tc>
          <w:tcPr>
            <w:tcW w:w="2656" w:type="dxa"/>
            <w:hideMark/>
          </w:tcPr>
          <w:p w14:paraId="52A43348" w14:textId="53F3DDF2"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00503C28" w14:textId="4D9681F4"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21208CB2" w14:textId="179EDDB9"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31 ods. 3 </w:t>
            </w:r>
            <w:r w:rsidRPr="00AC55C1">
              <w:rPr>
                <w:rFonts w:ascii="Times New Roman" w:hAnsi="Times New Roman" w:cs="Times New Roman"/>
              </w:rPr>
              <w:t>V § 31 odsek 3 navrhujeme upraviť nasledovne: „(3) Do úspor dosiahnutých prostredníctvom garantovanej energetickej služby je možné započítať akékoľvek úspory podľa § 29 ods. 1 písm. b) a finančnú alebo materiálnu výhodu podľa § 29 ods. 1 písm. c).“  Odôvodnenie:  Legislatívno technická úprava</w:t>
            </w:r>
          </w:p>
        </w:tc>
        <w:tc>
          <w:tcPr>
            <w:tcW w:w="2264" w:type="dxa"/>
            <w:hideMark/>
          </w:tcPr>
          <w:p w14:paraId="78C24B0D" w14:textId="44ACBEF9"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3D3C5AA0"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50C61766" w14:textId="32273C36" w:rsidR="00FE0F3E" w:rsidRPr="00BC49FC" w:rsidRDefault="00FE0F3E" w:rsidP="00666928">
            <w:pPr>
              <w:rPr>
                <w:rFonts w:ascii="Times New Roman" w:hAnsi="Times New Roman" w:cs="Times New Roman"/>
                <w:b/>
                <w:bCs/>
              </w:rPr>
            </w:pPr>
          </w:p>
        </w:tc>
      </w:tr>
      <w:tr w:rsidR="00FE0F3E" w:rsidRPr="006278D2" w14:paraId="246FE256" w14:textId="1F566B34" w:rsidTr="00725D29">
        <w:trPr>
          <w:trHeight w:val="645"/>
        </w:trPr>
        <w:tc>
          <w:tcPr>
            <w:tcW w:w="975" w:type="dxa"/>
            <w:hideMark/>
          </w:tcPr>
          <w:p w14:paraId="77C52B87" w14:textId="263DB0B8"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963.</w:t>
            </w:r>
          </w:p>
        </w:tc>
        <w:tc>
          <w:tcPr>
            <w:tcW w:w="2656" w:type="dxa"/>
            <w:hideMark/>
          </w:tcPr>
          <w:p w14:paraId="6223DF57" w14:textId="59B65D53"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153BEBD8" w14:textId="4427146A"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36D36BC6" w14:textId="0243D83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31 ods. 4 </w:t>
            </w:r>
            <w:r w:rsidRPr="00AC55C1">
              <w:rPr>
                <w:rFonts w:ascii="Times New Roman" w:hAnsi="Times New Roman" w:cs="Times New Roman"/>
              </w:rPr>
              <w:t>V § 31 ods. 4 text v písmene c) bode 3 odporúčame upraviť nasledovne: „3. projektovanie a podrobnosti o realizáciu projektu vrátane  rekonštrukcie, výmeny energetickej infraštruktúry a súvisiacej infraštruktúry, inštalácie technických a energetických zariadení a skúšobnej prevádzky,“  Odôvodnenie:  Legislatívno technická úprava</w:t>
            </w:r>
          </w:p>
        </w:tc>
        <w:tc>
          <w:tcPr>
            <w:tcW w:w="2264" w:type="dxa"/>
            <w:hideMark/>
          </w:tcPr>
          <w:p w14:paraId="67DA6E82" w14:textId="7FCAFE69"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6EB0F03C"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41CE5A6D" w14:textId="298EFE14" w:rsidR="00FE0F3E" w:rsidRPr="00BC49FC" w:rsidRDefault="00FE0F3E" w:rsidP="00666928">
            <w:pPr>
              <w:rPr>
                <w:rFonts w:ascii="Times New Roman" w:hAnsi="Times New Roman" w:cs="Times New Roman"/>
                <w:b/>
                <w:bCs/>
              </w:rPr>
            </w:pPr>
          </w:p>
        </w:tc>
      </w:tr>
      <w:tr w:rsidR="00FE0F3E" w:rsidRPr="006278D2" w14:paraId="110C2E0B" w14:textId="2A617E70" w:rsidTr="00725D29">
        <w:trPr>
          <w:trHeight w:val="645"/>
        </w:trPr>
        <w:tc>
          <w:tcPr>
            <w:tcW w:w="975" w:type="dxa"/>
            <w:hideMark/>
          </w:tcPr>
          <w:p w14:paraId="734AD5CE" w14:textId="6DB62073"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964.</w:t>
            </w:r>
          </w:p>
        </w:tc>
        <w:tc>
          <w:tcPr>
            <w:tcW w:w="2656" w:type="dxa"/>
            <w:hideMark/>
          </w:tcPr>
          <w:p w14:paraId="18F93481" w14:textId="6BE25A1A"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2B5FE54C" w14:textId="65A792DA"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18EC6370" w14:textId="32A29314"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31 ods. 6 </w:t>
            </w:r>
            <w:r w:rsidRPr="00AC55C1">
              <w:rPr>
                <w:rFonts w:ascii="Times New Roman" w:hAnsi="Times New Roman" w:cs="Times New Roman"/>
              </w:rPr>
              <w:t>V § 31 text v ods. 6 „odo dňa začiatku poskytovania“ odporúčame nahradiť textom „odo dňa nadobudnutia účinnosti zmluvy o poskytovaní“  Odôvodnenie:  Legislatívno technická úprava</w:t>
            </w:r>
          </w:p>
        </w:tc>
        <w:tc>
          <w:tcPr>
            <w:tcW w:w="2264" w:type="dxa"/>
            <w:hideMark/>
          </w:tcPr>
          <w:p w14:paraId="3FAF7676" w14:textId="21F13EC2"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5DE582C6"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49605E3D" w14:textId="3F015FCF" w:rsidR="00FE0F3E" w:rsidRPr="00BC49FC" w:rsidRDefault="00FE0F3E" w:rsidP="00666928">
            <w:pPr>
              <w:rPr>
                <w:rFonts w:ascii="Times New Roman" w:hAnsi="Times New Roman" w:cs="Times New Roman"/>
                <w:b/>
                <w:bCs/>
              </w:rPr>
            </w:pPr>
          </w:p>
        </w:tc>
      </w:tr>
      <w:tr w:rsidR="00FE0F3E" w:rsidRPr="006278D2" w14:paraId="493FA52D" w14:textId="754497DB" w:rsidTr="00725D29">
        <w:trPr>
          <w:trHeight w:val="960"/>
        </w:trPr>
        <w:tc>
          <w:tcPr>
            <w:tcW w:w="975" w:type="dxa"/>
            <w:hideMark/>
          </w:tcPr>
          <w:p w14:paraId="1B4F1458" w14:textId="32C55F0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965.</w:t>
            </w:r>
          </w:p>
        </w:tc>
        <w:tc>
          <w:tcPr>
            <w:tcW w:w="2656" w:type="dxa"/>
            <w:hideMark/>
          </w:tcPr>
          <w:p w14:paraId="43CC3E39" w14:textId="08A55D1A"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0D7BEAC6" w14:textId="4AF16DAF"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65EA6E24" w14:textId="2CB5B50C"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31 ods. 7 </w:t>
            </w:r>
            <w:r w:rsidRPr="00AC55C1">
              <w:rPr>
                <w:rFonts w:ascii="Times New Roman" w:hAnsi="Times New Roman" w:cs="Times New Roman"/>
              </w:rPr>
              <w:t>V § 31 odsek 7 navrhujeme upraviť nasledovne: „Poskytovateľ garantovanej energetickej služby je povinný zasielať každoročne do 31. mája prevádzkovateľovi monitorovacieho systému informácie za predchádzajúci kalendárny rok o poskytnutých garantovaných energetických službách, predpokladaných a skutočných dopadov z poskytnutých garantovaných energetických služieb na zlepšenie energetickej efektívnosti a na zvyšovanie úspor energie a iných úspor podľa § 31 ods. 3, v rozsahu podľa osobitného predpisu, ktorý vydá ministerstvo.“  Odôvodnenie:  Legislatívno technická úprava</w:t>
            </w:r>
          </w:p>
        </w:tc>
        <w:tc>
          <w:tcPr>
            <w:tcW w:w="2264" w:type="dxa"/>
            <w:hideMark/>
          </w:tcPr>
          <w:p w14:paraId="6D904E77" w14:textId="51EF494D"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2D08AC4A"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541F20F1" w14:textId="63DBF4CC" w:rsidR="00FE0F3E" w:rsidRPr="00BC49FC" w:rsidRDefault="00FE0F3E" w:rsidP="00666928">
            <w:pPr>
              <w:rPr>
                <w:rFonts w:ascii="Times New Roman" w:hAnsi="Times New Roman" w:cs="Times New Roman"/>
                <w:b/>
                <w:bCs/>
              </w:rPr>
            </w:pPr>
          </w:p>
        </w:tc>
      </w:tr>
      <w:tr w:rsidR="00FE0F3E" w:rsidRPr="006278D2" w14:paraId="2523BE76" w14:textId="32365BA4" w:rsidTr="00725D29">
        <w:trPr>
          <w:trHeight w:val="645"/>
        </w:trPr>
        <w:tc>
          <w:tcPr>
            <w:tcW w:w="975" w:type="dxa"/>
            <w:hideMark/>
          </w:tcPr>
          <w:p w14:paraId="29B09135" w14:textId="084B308C"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966.</w:t>
            </w:r>
          </w:p>
        </w:tc>
        <w:tc>
          <w:tcPr>
            <w:tcW w:w="2656" w:type="dxa"/>
            <w:hideMark/>
          </w:tcPr>
          <w:p w14:paraId="75BF5A45" w14:textId="4A7D681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48F6F5DD" w14:textId="480FAB8D"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4542EF3C" w14:textId="3A7DDD4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31 ods. 8 </w:t>
            </w:r>
            <w:r w:rsidRPr="00AC55C1">
              <w:rPr>
                <w:rFonts w:ascii="Times New Roman" w:hAnsi="Times New Roman" w:cs="Times New Roman"/>
              </w:rPr>
              <w:t>V § 31 odsek 8 navrhujeme vypustiť a nasledujúci odsek prečíslovať.  Odôvodnenie:  Považujeme za duplicitu s ustanovením odseku 1.</w:t>
            </w:r>
          </w:p>
        </w:tc>
        <w:tc>
          <w:tcPr>
            <w:tcW w:w="2264" w:type="dxa"/>
            <w:hideMark/>
          </w:tcPr>
          <w:p w14:paraId="33E0A35E" w14:textId="099E8A2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1351346D"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4BE82D6E" w14:textId="22274EE4" w:rsidR="00FE0F3E" w:rsidRPr="00BC49FC" w:rsidRDefault="00FE0F3E" w:rsidP="00666928">
            <w:pPr>
              <w:rPr>
                <w:rFonts w:ascii="Times New Roman" w:hAnsi="Times New Roman" w:cs="Times New Roman"/>
                <w:b/>
                <w:bCs/>
              </w:rPr>
            </w:pPr>
          </w:p>
        </w:tc>
      </w:tr>
      <w:tr w:rsidR="00FE0F3E" w:rsidRPr="006278D2" w14:paraId="6C1AF44C" w14:textId="42632552" w:rsidTr="00725D29">
        <w:trPr>
          <w:trHeight w:val="645"/>
        </w:trPr>
        <w:tc>
          <w:tcPr>
            <w:tcW w:w="975" w:type="dxa"/>
            <w:hideMark/>
          </w:tcPr>
          <w:p w14:paraId="674E851D" w14:textId="590A4E4E"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967.</w:t>
            </w:r>
          </w:p>
        </w:tc>
        <w:tc>
          <w:tcPr>
            <w:tcW w:w="2656" w:type="dxa"/>
            <w:hideMark/>
          </w:tcPr>
          <w:p w14:paraId="4A5597FB" w14:textId="4D18BC2D"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50B447FB" w14:textId="48F7E77C"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2F3A532F" w14:textId="47D859C0"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1 </w:t>
            </w:r>
            <w:r w:rsidRPr="00AC55C1">
              <w:rPr>
                <w:rFonts w:ascii="Times New Roman" w:hAnsi="Times New Roman" w:cs="Times New Roman"/>
              </w:rPr>
              <w:t>V § 32 odsek 1 odporúčame vypustiť a nasledujúce odseky prečíslovať.  Odôvodnenie:  Legislatívno technická úprava</w:t>
            </w:r>
          </w:p>
        </w:tc>
        <w:tc>
          <w:tcPr>
            <w:tcW w:w="2264" w:type="dxa"/>
            <w:hideMark/>
          </w:tcPr>
          <w:p w14:paraId="6B95F43C" w14:textId="51F7F975"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712FB2F8"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72C78A8B" w14:textId="3129EE1F" w:rsidR="00FE0F3E" w:rsidRPr="00BC49FC" w:rsidRDefault="00FE0F3E" w:rsidP="00666928">
            <w:pPr>
              <w:rPr>
                <w:rFonts w:ascii="Times New Roman" w:hAnsi="Times New Roman" w:cs="Times New Roman"/>
                <w:b/>
                <w:bCs/>
              </w:rPr>
            </w:pPr>
          </w:p>
        </w:tc>
      </w:tr>
      <w:tr w:rsidR="00FE0F3E" w:rsidRPr="006278D2" w14:paraId="704D0C9C" w14:textId="2A8412BF" w:rsidTr="00725D29">
        <w:trPr>
          <w:trHeight w:val="645"/>
        </w:trPr>
        <w:tc>
          <w:tcPr>
            <w:tcW w:w="975" w:type="dxa"/>
            <w:hideMark/>
          </w:tcPr>
          <w:p w14:paraId="611B06E9" w14:textId="30A0F554"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968.</w:t>
            </w:r>
          </w:p>
        </w:tc>
        <w:tc>
          <w:tcPr>
            <w:tcW w:w="2656" w:type="dxa"/>
            <w:hideMark/>
          </w:tcPr>
          <w:p w14:paraId="64E509DC" w14:textId="04626DF7"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41B8285F" w14:textId="4F2145B7"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50F18A1F" w14:textId="213CBECC"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2 </w:t>
            </w:r>
            <w:r w:rsidRPr="00AC55C1">
              <w:rPr>
                <w:rFonts w:ascii="Times New Roman" w:hAnsi="Times New Roman" w:cs="Times New Roman"/>
              </w:rPr>
              <w:t>V § 32 navrhujme v odseku 2 za slová „verejný sektor je“ doplniť slovo „písomná.  Odôvodnenie: Legislatívno technická úprava v súvislosti s predchádzajúcou pripomienkou.</w:t>
            </w:r>
          </w:p>
        </w:tc>
        <w:tc>
          <w:tcPr>
            <w:tcW w:w="2264" w:type="dxa"/>
            <w:hideMark/>
          </w:tcPr>
          <w:p w14:paraId="5D4C9749" w14:textId="32705840"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5E54A50F" w14:textId="1AF6554F"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34BB0F13" w14:textId="5FC0B271" w:rsidTr="00725D29">
        <w:trPr>
          <w:trHeight w:val="645"/>
        </w:trPr>
        <w:tc>
          <w:tcPr>
            <w:tcW w:w="975" w:type="dxa"/>
            <w:hideMark/>
          </w:tcPr>
          <w:p w14:paraId="56E9A68B" w14:textId="77338B2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969.</w:t>
            </w:r>
          </w:p>
        </w:tc>
        <w:tc>
          <w:tcPr>
            <w:tcW w:w="2656" w:type="dxa"/>
            <w:hideMark/>
          </w:tcPr>
          <w:p w14:paraId="5CA715A9" w14:textId="2A598B98"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10F6D535" w14:textId="484D21EE"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685DF970" w14:textId="061F22EC"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3 </w:t>
            </w:r>
            <w:r w:rsidRPr="00AC55C1">
              <w:rPr>
                <w:rFonts w:ascii="Times New Roman" w:hAnsi="Times New Roman" w:cs="Times New Roman"/>
              </w:rPr>
              <w:t>V § 32 odsek 3 odporúčame zmeniť nasledovne: „V zmluve o energetickej efektívnosti pre verejný sektor musí byť zohľadnené financovanie a) podľa jednotnej dlhovej metodiky platnej pre Európsku úniu, ) alebo b) zo zdrojov financovania energetickej efektívnosti podľa § 8 ods. 1 písm. a) alebo b) v rámci rozpočtovej kapitoly verejného subjektu.</w:t>
            </w:r>
          </w:p>
        </w:tc>
        <w:tc>
          <w:tcPr>
            <w:tcW w:w="2264" w:type="dxa"/>
            <w:hideMark/>
          </w:tcPr>
          <w:p w14:paraId="78373DD0" w14:textId="738B68F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609FCAC5"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7A4B45A0" w14:textId="46468C2B" w:rsidR="00FE0F3E" w:rsidRPr="00BC49FC" w:rsidRDefault="00FE0F3E" w:rsidP="00666928">
            <w:pPr>
              <w:rPr>
                <w:rFonts w:ascii="Times New Roman" w:hAnsi="Times New Roman" w:cs="Times New Roman"/>
                <w:b/>
                <w:bCs/>
              </w:rPr>
            </w:pPr>
          </w:p>
        </w:tc>
      </w:tr>
      <w:tr w:rsidR="00FE0F3E" w:rsidRPr="006278D2" w14:paraId="2B37DDCF" w14:textId="6C254216" w:rsidTr="00725D29">
        <w:trPr>
          <w:trHeight w:val="645"/>
        </w:trPr>
        <w:tc>
          <w:tcPr>
            <w:tcW w:w="975" w:type="dxa"/>
            <w:hideMark/>
          </w:tcPr>
          <w:p w14:paraId="073E20CD" w14:textId="1B7C2F8E"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970.</w:t>
            </w:r>
          </w:p>
        </w:tc>
        <w:tc>
          <w:tcPr>
            <w:tcW w:w="2656" w:type="dxa"/>
            <w:hideMark/>
          </w:tcPr>
          <w:p w14:paraId="757D043A" w14:textId="583052B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58182845" w14:textId="50E206CE"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31CDBB01" w14:textId="4F9F5F24"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4 </w:t>
            </w:r>
            <w:r w:rsidRPr="00AC55C1">
              <w:rPr>
                <w:rFonts w:ascii="Times New Roman" w:hAnsi="Times New Roman" w:cs="Times New Roman"/>
              </w:rPr>
              <w:t>V § 32 v predvetí odseku 4 nahradiť slovo „najmä“ slovom „aj“.  Odôvodnenie:  Legislatívno technická úprava</w:t>
            </w:r>
          </w:p>
        </w:tc>
        <w:tc>
          <w:tcPr>
            <w:tcW w:w="2264" w:type="dxa"/>
            <w:hideMark/>
          </w:tcPr>
          <w:p w14:paraId="3C8BEA55" w14:textId="3011D374"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46B62ADB"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5EA997F8" w14:textId="36E9C7C8" w:rsidR="00FE0F3E" w:rsidRPr="00BC49FC" w:rsidRDefault="00FE0F3E" w:rsidP="00666928">
            <w:pPr>
              <w:rPr>
                <w:rFonts w:ascii="Times New Roman" w:hAnsi="Times New Roman" w:cs="Times New Roman"/>
                <w:b/>
                <w:bCs/>
              </w:rPr>
            </w:pPr>
          </w:p>
        </w:tc>
      </w:tr>
      <w:tr w:rsidR="00FE0F3E" w:rsidRPr="006278D2" w14:paraId="7BE61629" w14:textId="59659E7A" w:rsidTr="00725D29">
        <w:trPr>
          <w:trHeight w:val="645"/>
        </w:trPr>
        <w:tc>
          <w:tcPr>
            <w:tcW w:w="975" w:type="dxa"/>
            <w:hideMark/>
          </w:tcPr>
          <w:p w14:paraId="19452A70" w14:textId="41A217CD"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971.</w:t>
            </w:r>
          </w:p>
        </w:tc>
        <w:tc>
          <w:tcPr>
            <w:tcW w:w="2656" w:type="dxa"/>
            <w:hideMark/>
          </w:tcPr>
          <w:p w14:paraId="0D79D52B" w14:textId="4DBE08E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15F39B3B" w14:textId="0E6837AD"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3D96DA49" w14:textId="7E8322FC"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4 </w:t>
            </w:r>
            <w:r w:rsidRPr="00AC55C1">
              <w:rPr>
                <w:rFonts w:ascii="Times New Roman" w:hAnsi="Times New Roman" w:cs="Times New Roman"/>
              </w:rPr>
              <w:t>V § 32 ods. 4 v písmene a) bode 2 doplniť za slovo „opatrení“ slovo „energetickej“.  Odôvodnenie:  Legislatívno technická úprava</w:t>
            </w:r>
          </w:p>
        </w:tc>
        <w:tc>
          <w:tcPr>
            <w:tcW w:w="2264" w:type="dxa"/>
            <w:hideMark/>
          </w:tcPr>
          <w:p w14:paraId="5F40F0AB" w14:textId="07E20A59"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595DBB44" w14:textId="05B3A1EC"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05B39370" w14:textId="067326BA" w:rsidTr="00725D29">
        <w:trPr>
          <w:trHeight w:val="645"/>
        </w:trPr>
        <w:tc>
          <w:tcPr>
            <w:tcW w:w="975" w:type="dxa"/>
            <w:hideMark/>
          </w:tcPr>
          <w:p w14:paraId="44ED29C4" w14:textId="575786F1"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972.</w:t>
            </w:r>
          </w:p>
        </w:tc>
        <w:tc>
          <w:tcPr>
            <w:tcW w:w="2656" w:type="dxa"/>
            <w:hideMark/>
          </w:tcPr>
          <w:p w14:paraId="59681C3E" w14:textId="6D2CF3E0"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0A1060C6" w14:textId="7094CEFC"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315D5523" w14:textId="75D1CB04"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4 </w:t>
            </w:r>
            <w:r w:rsidRPr="00AC55C1">
              <w:rPr>
                <w:rFonts w:ascii="Times New Roman" w:hAnsi="Times New Roman" w:cs="Times New Roman"/>
              </w:rPr>
              <w:t>V § 32 v ods. 4 v písmene a) bode 3 nahradiť slovo „rekonštrukciou“ slovom „obnovou“.  dôvodnenie:  Legislatívno technická úprava</w:t>
            </w:r>
          </w:p>
        </w:tc>
        <w:tc>
          <w:tcPr>
            <w:tcW w:w="2264" w:type="dxa"/>
            <w:hideMark/>
          </w:tcPr>
          <w:p w14:paraId="6497E4F2" w14:textId="0C66464D"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323711D3" w14:textId="4AA3B68A"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6189AC0E" w14:textId="030A1600" w:rsidTr="00725D29">
        <w:trPr>
          <w:trHeight w:val="960"/>
        </w:trPr>
        <w:tc>
          <w:tcPr>
            <w:tcW w:w="975" w:type="dxa"/>
            <w:hideMark/>
          </w:tcPr>
          <w:p w14:paraId="552BE39D" w14:textId="059E9950"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973.</w:t>
            </w:r>
          </w:p>
        </w:tc>
        <w:tc>
          <w:tcPr>
            <w:tcW w:w="2656" w:type="dxa"/>
            <w:hideMark/>
          </w:tcPr>
          <w:p w14:paraId="0FC7D328" w14:textId="4538CAD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7FFC6631" w14:textId="2ECB0F33"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10E95CA4" w14:textId="04D5B37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4 </w:t>
            </w:r>
            <w:r w:rsidRPr="00AC55C1">
              <w:rPr>
                <w:rFonts w:ascii="Times New Roman" w:hAnsi="Times New Roman" w:cs="Times New Roman"/>
              </w:rPr>
              <w:t>v § 32 ods. 4 text v písmene k) odporúčame vypustiť a nasledujúce písmená prečíslovať.  Odôvodnenie:  V odseku 2 sa uvádza, že zmluva musí mať identifikovaný zdroj financovania, preto je na tomto mieste nadbytočné znova uvádzať spôsob financovania. Navyše podľa odporúčania komisie, ak projekt energetických služieb založených na výkonnosti nespĺňa požiadavky uvedené v príručke Eurostatu o zaznamenávaní zmlúv o energetickej efektívnosti v účtoch verejnej správy, môže byť aj naďalej vhodný, stráca sa však výhoda, že investícia sa vôbec alebo čiastočne nezapočítava do dlhu a deficitu verejnej správy.</w:t>
            </w:r>
          </w:p>
        </w:tc>
        <w:tc>
          <w:tcPr>
            <w:tcW w:w="2264" w:type="dxa"/>
            <w:hideMark/>
          </w:tcPr>
          <w:p w14:paraId="6393B659" w14:textId="155279D5"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2217CE20"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34C76C12" w14:textId="18188A31" w:rsidR="00FE0F3E" w:rsidRPr="00BC49FC" w:rsidRDefault="00FE0F3E" w:rsidP="00666928">
            <w:pPr>
              <w:rPr>
                <w:rFonts w:ascii="Times New Roman" w:hAnsi="Times New Roman" w:cs="Times New Roman"/>
                <w:b/>
                <w:bCs/>
              </w:rPr>
            </w:pPr>
          </w:p>
        </w:tc>
      </w:tr>
      <w:tr w:rsidR="00FE0F3E" w:rsidRPr="006278D2" w14:paraId="4A0F0ECC" w14:textId="00916710" w:rsidTr="00725D29">
        <w:trPr>
          <w:trHeight w:val="645"/>
        </w:trPr>
        <w:tc>
          <w:tcPr>
            <w:tcW w:w="975" w:type="dxa"/>
            <w:hideMark/>
          </w:tcPr>
          <w:p w14:paraId="799A73CB" w14:textId="007A3AE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974.</w:t>
            </w:r>
          </w:p>
        </w:tc>
        <w:tc>
          <w:tcPr>
            <w:tcW w:w="2656" w:type="dxa"/>
            <w:hideMark/>
          </w:tcPr>
          <w:p w14:paraId="3559235D" w14:textId="7A37CCB8"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37AE80ED" w14:textId="49B5A681"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3C94CB48" w14:textId="125291A2"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4 </w:t>
            </w:r>
            <w:r w:rsidRPr="00AC55C1">
              <w:rPr>
                <w:rFonts w:ascii="Times New Roman" w:hAnsi="Times New Roman" w:cs="Times New Roman"/>
              </w:rPr>
              <w:t>V § 32 ods. 4 v písmene u) odporúčame doplniť o kontrole kvality čoho sa jedná.  Odôvodnenie:  Nejasné ustanovenie.</w:t>
            </w:r>
          </w:p>
        </w:tc>
        <w:tc>
          <w:tcPr>
            <w:tcW w:w="2264" w:type="dxa"/>
            <w:hideMark/>
          </w:tcPr>
          <w:p w14:paraId="33475210" w14:textId="04A9B99D"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5223FF89" w14:textId="7E4273A1"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39EB8FBF" w14:textId="5602F55E" w:rsidTr="00725D29">
        <w:trPr>
          <w:trHeight w:val="645"/>
        </w:trPr>
        <w:tc>
          <w:tcPr>
            <w:tcW w:w="975" w:type="dxa"/>
            <w:hideMark/>
          </w:tcPr>
          <w:p w14:paraId="3EB794C1" w14:textId="565ADF2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975.</w:t>
            </w:r>
          </w:p>
        </w:tc>
        <w:tc>
          <w:tcPr>
            <w:tcW w:w="2656" w:type="dxa"/>
            <w:hideMark/>
          </w:tcPr>
          <w:p w14:paraId="23D2987E" w14:textId="76F8DC2E"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6130CE39" w14:textId="4423BCD5"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2864403E" w14:textId="495793B8"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4 </w:t>
            </w:r>
            <w:r w:rsidRPr="00AC55C1">
              <w:rPr>
                <w:rFonts w:ascii="Times New Roman" w:hAnsi="Times New Roman" w:cs="Times New Roman"/>
              </w:rPr>
              <w:t>V § 32 ods. 4 v  písmene ab) odporúčame za slová „dopytu a skladovania“ doplniť slovo „energie“.  Odôvodnenie:  Legislatívno technická úprava</w:t>
            </w:r>
          </w:p>
        </w:tc>
        <w:tc>
          <w:tcPr>
            <w:tcW w:w="2264" w:type="dxa"/>
            <w:hideMark/>
          </w:tcPr>
          <w:p w14:paraId="290154B4" w14:textId="3FCADD0D"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331B507D" w14:textId="648F0214"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0BB09EE1" w14:textId="12E5DF3D" w:rsidTr="00725D29">
        <w:trPr>
          <w:trHeight w:val="645"/>
        </w:trPr>
        <w:tc>
          <w:tcPr>
            <w:tcW w:w="975" w:type="dxa"/>
            <w:hideMark/>
          </w:tcPr>
          <w:p w14:paraId="1CF65F0A" w14:textId="5D4FA89C"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976.</w:t>
            </w:r>
          </w:p>
        </w:tc>
        <w:tc>
          <w:tcPr>
            <w:tcW w:w="2656" w:type="dxa"/>
            <w:hideMark/>
          </w:tcPr>
          <w:p w14:paraId="32A8D581" w14:textId="41FFB2B2"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SZVT </w:t>
            </w:r>
            <w:r w:rsidRPr="00AC55C1">
              <w:rPr>
                <w:rFonts w:ascii="Times New Roman" w:hAnsi="Times New Roman" w:cs="Times New Roman"/>
              </w:rPr>
              <w:t>Slovenský zväz výrobcov tepla</w:t>
            </w:r>
          </w:p>
        </w:tc>
        <w:tc>
          <w:tcPr>
            <w:tcW w:w="612" w:type="dxa"/>
            <w:hideMark/>
          </w:tcPr>
          <w:p w14:paraId="12138BA9" w14:textId="09771D53" w:rsidR="00FE0F3E" w:rsidRPr="00BC49FC" w:rsidRDefault="00FE0F3E" w:rsidP="00666928">
            <w:pPr>
              <w:rPr>
                <w:rFonts w:ascii="Times New Roman" w:hAnsi="Times New Roman" w:cs="Times New Roman"/>
              </w:rPr>
            </w:pPr>
            <w:r w:rsidRPr="00AC55C1">
              <w:rPr>
                <w:rFonts w:ascii="Times New Roman" w:hAnsi="Times New Roman" w:cs="Times New Roman"/>
              </w:rPr>
              <w:t>O</w:t>
            </w:r>
          </w:p>
        </w:tc>
        <w:tc>
          <w:tcPr>
            <w:tcW w:w="5615" w:type="dxa"/>
            <w:hideMark/>
          </w:tcPr>
          <w:p w14:paraId="12E1850D" w14:textId="320DFB27"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xml:space="preserve">Čl. I § 32 ods. 4 </w:t>
            </w:r>
            <w:r w:rsidRPr="00AC55C1">
              <w:rPr>
                <w:rFonts w:ascii="Times New Roman" w:hAnsi="Times New Roman" w:cs="Times New Roman"/>
              </w:rPr>
              <w:t>v § 32 ods. 4 písm.  ac) odporúčame presunúť na začiatok odseku 4.  Odôvodnenie:  Predmet zmluvy je základom uzatvorenia zmluvy.</w:t>
            </w:r>
          </w:p>
        </w:tc>
        <w:tc>
          <w:tcPr>
            <w:tcW w:w="2264" w:type="dxa"/>
            <w:hideMark/>
          </w:tcPr>
          <w:p w14:paraId="70B9EF1A" w14:textId="5D68C23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766A973A" w14:textId="77777777" w:rsidR="00FE0F3E" w:rsidRPr="002A60DD" w:rsidRDefault="00FE0F3E" w:rsidP="00666928">
            <w:pPr>
              <w:rPr>
                <w:rFonts w:ascii="Times New Roman" w:hAnsi="Times New Roman" w:cs="Times New Roman"/>
                <w:b/>
                <w:bCs/>
              </w:rPr>
            </w:pPr>
            <w:r w:rsidRPr="002A60DD">
              <w:rPr>
                <w:rFonts w:ascii="Times New Roman" w:hAnsi="Times New Roman" w:cs="Times New Roman"/>
                <w:b/>
                <w:bCs/>
              </w:rPr>
              <w:t>Pripomienka sa stala bezpredmetnou, keďže predmetné ustanovenie bolo v rámci prepracovania návrhu zásadne zmenené.</w:t>
            </w:r>
          </w:p>
          <w:p w14:paraId="2816BF2B" w14:textId="16EF708E" w:rsidR="00FE0F3E" w:rsidRPr="00BC49FC" w:rsidRDefault="00FE0F3E" w:rsidP="00666928">
            <w:pPr>
              <w:rPr>
                <w:rFonts w:ascii="Times New Roman" w:hAnsi="Times New Roman" w:cs="Times New Roman"/>
                <w:b/>
                <w:bCs/>
              </w:rPr>
            </w:pPr>
          </w:p>
        </w:tc>
      </w:tr>
      <w:tr w:rsidR="00FE0F3E" w:rsidRPr="006278D2" w14:paraId="798E26D1" w14:textId="17036837" w:rsidTr="00725D29">
        <w:trPr>
          <w:trHeight w:val="645"/>
        </w:trPr>
        <w:tc>
          <w:tcPr>
            <w:tcW w:w="975" w:type="dxa"/>
            <w:hideMark/>
          </w:tcPr>
          <w:p w14:paraId="11CBD17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977.</w:t>
            </w:r>
          </w:p>
        </w:tc>
        <w:tc>
          <w:tcPr>
            <w:tcW w:w="2656" w:type="dxa"/>
            <w:hideMark/>
          </w:tcPr>
          <w:p w14:paraId="532E9C4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E2DA9B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8D53A4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32 ods. 5,6,7 </w:t>
            </w:r>
            <w:r w:rsidRPr="00BC49FC">
              <w:rPr>
                <w:rFonts w:ascii="Times New Roman" w:hAnsi="Times New Roman" w:cs="Times New Roman"/>
              </w:rPr>
              <w:t>V § 32 v poslednej vete odsekov 5, 6 a 7 je na konci uvedený text „v odbore Elektrotechnika a v odbore  Energetika“, ktorý odporúčame zovšeobecniť, alebo rozšíriť.  Odôvodnenie:  obmedzujúce ustanovenie pre odbornosť súdnych znalcov, pre praktickú aplikáciu môžu do úvahy prichádzať aj posudky vypracované znalcom z iného odboru (napríklad strojárenstvo).</w:t>
            </w:r>
          </w:p>
        </w:tc>
        <w:tc>
          <w:tcPr>
            <w:tcW w:w="2264" w:type="dxa"/>
            <w:hideMark/>
          </w:tcPr>
          <w:p w14:paraId="2729C3B6" w14:textId="653F770A"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0845D1C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6B90FE0" w14:textId="0CFFFCBB" w:rsidTr="00725D29">
        <w:trPr>
          <w:trHeight w:val="1590"/>
        </w:trPr>
        <w:tc>
          <w:tcPr>
            <w:tcW w:w="975" w:type="dxa"/>
            <w:hideMark/>
          </w:tcPr>
          <w:p w14:paraId="5D742A7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978.</w:t>
            </w:r>
          </w:p>
        </w:tc>
        <w:tc>
          <w:tcPr>
            <w:tcW w:w="2656" w:type="dxa"/>
            <w:hideMark/>
          </w:tcPr>
          <w:p w14:paraId="4C8E11E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151189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F284A1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34 ods. 1 </w:t>
            </w:r>
            <w:r w:rsidRPr="00BC49FC">
              <w:rPr>
                <w:rFonts w:ascii="Times New Roman" w:hAnsi="Times New Roman" w:cs="Times New Roman"/>
              </w:rPr>
              <w:t>v § 34 pred odsek 1 odporúčame vložiť nový odsek 1, ktorý znie: „(1) Technická asistencia je pomoc subjektom verejnej správy pri príprave projektov realizovaných prostredníctvom garantovanej energetickej služby, ktorá obsahuje a) zabezpečenie realizácie vypracovania posúdenia podľa odseku 3, b) pomoc v procese vyhodnocovania posúdenia podľa odseku 3 so zameraním na výber vhodných postupov realizácie zlepšovania energetickej efektívnosti a adekvátnych finančných mechanizmov,   c) pomoc a poradenstvo pri príprave dokumentácie pre prípravnú fázu projektu, d) posúdenie možnosti spôsobu financovania projektu, e) posúdenie možnosti realizovateľnosti využitia energetickej služby alebo kombinácie energetických služieb alebo kombinácie energetických služieb s inými formami záväzkov, f) poradenstvo pri realizácii verejného obstarávania.“ Nasledujúce odseky a odkazy v nich je potrebné prečíslovať.  Odôvodnenie:  V návrhu zákona chýbalo konkrétnejšie ustanovenie definujúce technickú asistenciu pre verejný sektor.  Pripomienka je zásadná</w:t>
            </w:r>
          </w:p>
        </w:tc>
        <w:tc>
          <w:tcPr>
            <w:tcW w:w="2264" w:type="dxa"/>
            <w:vAlign w:val="center"/>
            <w:hideMark/>
          </w:tcPr>
          <w:p w14:paraId="67B039C3" w14:textId="335CB46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6EA4E38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9FC7936" w14:textId="7BA294FD" w:rsidTr="00725D29">
        <w:trPr>
          <w:trHeight w:val="645"/>
        </w:trPr>
        <w:tc>
          <w:tcPr>
            <w:tcW w:w="975" w:type="dxa"/>
            <w:hideMark/>
          </w:tcPr>
          <w:p w14:paraId="44A2E4C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979.</w:t>
            </w:r>
          </w:p>
        </w:tc>
        <w:tc>
          <w:tcPr>
            <w:tcW w:w="2656" w:type="dxa"/>
            <w:hideMark/>
          </w:tcPr>
          <w:p w14:paraId="3830AA4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E01077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8871C8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34 ods. 1 </w:t>
            </w:r>
            <w:r w:rsidRPr="00BC49FC">
              <w:rPr>
                <w:rFonts w:ascii="Times New Roman" w:hAnsi="Times New Roman" w:cs="Times New Roman"/>
              </w:rPr>
              <w:t>V § 34 v texte  v ods. 1 odporúčame za slová „projektu obnovy“ doplniť slovo „nebytovej“ a z textu „ celkovou úžitkovou podlahovou plochou“ vypustiť slovo „úžitkovou“.  Odôvodnenie:  Legislatívno technická úprava  Pripomienka je zásadná</w:t>
            </w:r>
          </w:p>
        </w:tc>
        <w:tc>
          <w:tcPr>
            <w:tcW w:w="2264" w:type="dxa"/>
            <w:vAlign w:val="center"/>
            <w:hideMark/>
          </w:tcPr>
          <w:p w14:paraId="025DE313" w14:textId="40242F7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hideMark/>
          </w:tcPr>
          <w:p w14:paraId="66DD11B0" w14:textId="5A246D4D" w:rsidR="00FE0F3E" w:rsidRPr="00BC49FC" w:rsidRDefault="00FE0F3E" w:rsidP="00666928">
            <w:pPr>
              <w:rPr>
                <w:rFonts w:ascii="Times New Roman" w:hAnsi="Times New Roman" w:cs="Times New Roman"/>
                <w:b/>
                <w:bCs/>
              </w:rPr>
            </w:pPr>
            <w:r>
              <w:t xml:space="preserve"> </w:t>
            </w:r>
            <w:r w:rsidRPr="00716DA5">
              <w:rPr>
                <w:rFonts w:ascii="Times New Roman" w:hAnsi="Times New Roman" w:cs="Times New Roman"/>
                <w:b/>
                <w:bCs/>
              </w:rPr>
              <w:t>Požadované spresnenie nie je z hľadiska účelu ustanovenia potrebné.</w:t>
            </w:r>
          </w:p>
        </w:tc>
      </w:tr>
      <w:tr w:rsidR="00FE0F3E" w:rsidRPr="006278D2" w14:paraId="369D21E7" w14:textId="734BB74C" w:rsidTr="00725D29">
        <w:trPr>
          <w:trHeight w:val="645"/>
        </w:trPr>
        <w:tc>
          <w:tcPr>
            <w:tcW w:w="975" w:type="dxa"/>
            <w:hideMark/>
          </w:tcPr>
          <w:p w14:paraId="75C2E92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980.</w:t>
            </w:r>
          </w:p>
        </w:tc>
        <w:tc>
          <w:tcPr>
            <w:tcW w:w="2656" w:type="dxa"/>
            <w:hideMark/>
          </w:tcPr>
          <w:p w14:paraId="5177638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C31C3F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C372AE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34 ods. 2 </w:t>
            </w:r>
            <w:r w:rsidRPr="00BC49FC">
              <w:rPr>
                <w:rFonts w:ascii="Times New Roman" w:hAnsi="Times New Roman" w:cs="Times New Roman"/>
              </w:rPr>
              <w:t>V § 34 z odseku 2 odporúčame vypustiť písmeno d) a g) a ostatné písmená prečíslovať. Z písmena e) odporúčame vypustiť slovo „iné“ na začiatku vety.   Odôvodnenie: Legislatívno technická úprava</w:t>
            </w:r>
          </w:p>
        </w:tc>
        <w:tc>
          <w:tcPr>
            <w:tcW w:w="2264" w:type="dxa"/>
            <w:vAlign w:val="center"/>
            <w:hideMark/>
          </w:tcPr>
          <w:p w14:paraId="7B76A46E" w14:textId="26DDC32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hideMark/>
          </w:tcPr>
          <w:p w14:paraId="118F041A" w14:textId="42820AC0"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t xml:space="preserve"> </w:t>
            </w:r>
            <w:r w:rsidRPr="00716DA5">
              <w:rPr>
                <w:rFonts w:ascii="Times New Roman" w:hAnsi="Times New Roman" w:cs="Times New Roman"/>
                <w:b/>
                <w:bCs/>
              </w:rPr>
              <w:t>Požadované spresnenie nie je z hľadiska účelu ustanovenia potrebné.</w:t>
            </w:r>
          </w:p>
        </w:tc>
      </w:tr>
      <w:tr w:rsidR="00FE0F3E" w:rsidRPr="006278D2" w14:paraId="153A9D21" w14:textId="0D0AF7B6" w:rsidTr="00725D29">
        <w:trPr>
          <w:trHeight w:val="645"/>
        </w:trPr>
        <w:tc>
          <w:tcPr>
            <w:tcW w:w="975" w:type="dxa"/>
            <w:hideMark/>
          </w:tcPr>
          <w:p w14:paraId="452A673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981.</w:t>
            </w:r>
          </w:p>
        </w:tc>
        <w:tc>
          <w:tcPr>
            <w:tcW w:w="2656" w:type="dxa"/>
            <w:hideMark/>
          </w:tcPr>
          <w:p w14:paraId="06C5BF8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B5294F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A2A5EB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34 ods. 2 </w:t>
            </w:r>
            <w:r w:rsidRPr="00BC49FC">
              <w:rPr>
                <w:rFonts w:ascii="Times New Roman" w:hAnsi="Times New Roman" w:cs="Times New Roman"/>
              </w:rPr>
              <w:t>V 34 v odseku 2 odporúčame bližšie špecifikovať použité pojmy dlhodobé zmluvy a dlhodobé úspory.  Odôvodnenie: V zákone nie je uvedená definícia použitých pojmov.</w:t>
            </w:r>
          </w:p>
        </w:tc>
        <w:tc>
          <w:tcPr>
            <w:tcW w:w="2264" w:type="dxa"/>
            <w:vAlign w:val="center"/>
            <w:hideMark/>
          </w:tcPr>
          <w:p w14:paraId="267F695F" w14:textId="0D78321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w:t>
            </w:r>
            <w:r>
              <w:rPr>
                <w:rFonts w:ascii="Times New Roman" w:hAnsi="Times New Roman" w:cs="Times New Roman"/>
                <w:b/>
                <w:bCs/>
                <w:color w:val="000000"/>
              </w:rPr>
              <w:t>N</w:t>
            </w:r>
          </w:p>
        </w:tc>
        <w:tc>
          <w:tcPr>
            <w:tcW w:w="2753" w:type="dxa"/>
            <w:hideMark/>
          </w:tcPr>
          <w:p w14:paraId="6E72D97A" w14:textId="77777777" w:rsidR="00FE0F3E" w:rsidRPr="005D4BE7" w:rsidRDefault="00FE0F3E" w:rsidP="00666928">
            <w:pPr>
              <w:rPr>
                <w:rFonts w:ascii="Times New Roman" w:hAnsi="Times New Roman" w:cs="Times New Roman"/>
                <w:b/>
                <w:bCs/>
              </w:rPr>
            </w:pPr>
            <w:r w:rsidRPr="00BC49FC">
              <w:rPr>
                <w:rFonts w:ascii="Times New Roman" w:hAnsi="Times New Roman" w:cs="Times New Roman"/>
                <w:b/>
                <w:bCs/>
              </w:rPr>
              <w:t> </w:t>
            </w:r>
            <w:r w:rsidRPr="005D4BE7">
              <w:rPr>
                <w:rFonts w:ascii="Times New Roman" w:hAnsi="Times New Roman" w:cs="Times New Roman"/>
                <w:b/>
                <w:bCs/>
              </w:rPr>
              <w:t>Požadované spresnenie nie je z hľadiska účelu ustanovenia potrebné.</w:t>
            </w:r>
          </w:p>
          <w:p w14:paraId="00FA166A" w14:textId="470E1787" w:rsidR="00FE0F3E" w:rsidRPr="00BC49FC" w:rsidRDefault="00FE0F3E" w:rsidP="00666928">
            <w:pPr>
              <w:rPr>
                <w:rFonts w:ascii="Times New Roman" w:hAnsi="Times New Roman" w:cs="Times New Roman"/>
                <w:b/>
                <w:bCs/>
              </w:rPr>
            </w:pPr>
          </w:p>
        </w:tc>
      </w:tr>
      <w:tr w:rsidR="00FE0F3E" w:rsidRPr="006278D2" w14:paraId="6B55D0C7" w14:textId="6E39A27E" w:rsidTr="00725D29">
        <w:trPr>
          <w:trHeight w:val="645"/>
        </w:trPr>
        <w:tc>
          <w:tcPr>
            <w:tcW w:w="975" w:type="dxa"/>
            <w:hideMark/>
          </w:tcPr>
          <w:p w14:paraId="04AAAC7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982.</w:t>
            </w:r>
          </w:p>
        </w:tc>
        <w:tc>
          <w:tcPr>
            <w:tcW w:w="2656" w:type="dxa"/>
            <w:hideMark/>
          </w:tcPr>
          <w:p w14:paraId="22A64BE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60BA746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C10A4A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34 ods. 3 </w:t>
            </w:r>
            <w:r w:rsidRPr="00BC49FC">
              <w:rPr>
                <w:rFonts w:ascii="Times New Roman" w:hAnsi="Times New Roman" w:cs="Times New Roman"/>
              </w:rPr>
              <w:t>Z § 34 ods. 3 z textu  písmena a) „na základe posúdenia aktuálneho stavu“ vypustiť slovo „posúdenia“ a text „kvality vnútorného prostredia“ nahradiť textom „požiadaviek na kvalitu vnútorného prostredia“.  Odôvodnenie:  Legislatívno technická úprava</w:t>
            </w:r>
          </w:p>
        </w:tc>
        <w:tc>
          <w:tcPr>
            <w:tcW w:w="2264" w:type="dxa"/>
            <w:vAlign w:val="center"/>
            <w:hideMark/>
          </w:tcPr>
          <w:p w14:paraId="5589FF0C" w14:textId="671BE93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2A0A61C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2B6D8618" w14:textId="15BAA973" w:rsidTr="00725D29">
        <w:trPr>
          <w:trHeight w:val="1275"/>
        </w:trPr>
        <w:tc>
          <w:tcPr>
            <w:tcW w:w="975" w:type="dxa"/>
            <w:hideMark/>
          </w:tcPr>
          <w:p w14:paraId="5637590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983.</w:t>
            </w:r>
          </w:p>
        </w:tc>
        <w:tc>
          <w:tcPr>
            <w:tcW w:w="2656" w:type="dxa"/>
            <w:hideMark/>
          </w:tcPr>
          <w:p w14:paraId="2460442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C24673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B99506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39 </w:t>
            </w:r>
            <w:r w:rsidRPr="00BC49FC">
              <w:rPr>
                <w:rFonts w:ascii="Times New Roman" w:hAnsi="Times New Roman" w:cs="Times New Roman"/>
              </w:rPr>
              <w:t>Do § 39 odporúčame na koniec vložiť odsek 4, ktorý znie: „(4) Poverená organizácia  a) posudzuje a overuje energetický audit na štatisticky významnom percentuálnom podiele energetických auditov, b) posudzuje a overuje energetický audit spolufinancovaný z verejných prostriedkov alebo z podporných programov financovaných z prostriedkov medzinárodných finančných inštitúcií na štatisticky významnom percentuálnom podiele energetických auditov, c) vypracúva informáciu o výsledkoch posudzovaných energetických auditov a zverejňuje ju na svojom webovom sídle, d) zasiela ministerstvu informáciu podľa písmena c) na účel jej zapracovania do najbližšieho spracovania integrovaného národného energetického a klimatického plánu podľa § 4 ods. 3 a integrovanej národnej a energetickej klimatickej správy podľa § 4 ods. 4.  Pripomienka je zásadná.</w:t>
            </w:r>
          </w:p>
        </w:tc>
        <w:tc>
          <w:tcPr>
            <w:tcW w:w="2264" w:type="dxa"/>
            <w:hideMark/>
          </w:tcPr>
          <w:p w14:paraId="03AF2118" w14:textId="3FB60605"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007DBF4E" w14:textId="77777777" w:rsidR="00FE0F3E" w:rsidRPr="00460D7A" w:rsidRDefault="00FE0F3E" w:rsidP="00666928">
            <w:pPr>
              <w:rPr>
                <w:rFonts w:ascii="Times New Roman" w:hAnsi="Times New Roman" w:cs="Times New Roman"/>
                <w:b/>
                <w:bCs/>
              </w:rPr>
            </w:pPr>
            <w:r w:rsidRPr="00BC49FC">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p w14:paraId="277770EB" w14:textId="7320B1FB" w:rsidR="00FE0F3E" w:rsidRDefault="00FE0F3E" w:rsidP="00666928">
            <w:pPr>
              <w:rPr>
                <w:rFonts w:ascii="Times New Roman" w:hAnsi="Times New Roman" w:cs="Times New Roman"/>
                <w:b/>
                <w:bCs/>
              </w:rPr>
            </w:pPr>
          </w:p>
          <w:p w14:paraId="55F0042A" w14:textId="77777777" w:rsidR="00FE0F3E" w:rsidRDefault="00FE0F3E" w:rsidP="00BC49FC">
            <w:pPr>
              <w:ind w:firstLine="708"/>
              <w:rPr>
                <w:rFonts w:ascii="Times New Roman" w:hAnsi="Times New Roman" w:cs="Times New Roman"/>
                <w:b/>
                <w:bCs/>
              </w:rPr>
            </w:pPr>
          </w:p>
          <w:p w14:paraId="709551BC" w14:textId="77777777" w:rsidR="00FE0F3E" w:rsidRPr="00BC49FC" w:rsidRDefault="00FE0F3E" w:rsidP="00666928">
            <w:pPr>
              <w:rPr>
                <w:rFonts w:ascii="Times New Roman" w:hAnsi="Times New Roman" w:cs="Times New Roman"/>
              </w:rPr>
            </w:pPr>
          </w:p>
        </w:tc>
      </w:tr>
      <w:tr w:rsidR="00FE0F3E" w:rsidRPr="006278D2" w14:paraId="0B7051D3" w14:textId="1813CA25" w:rsidTr="00725D29">
        <w:trPr>
          <w:trHeight w:val="645"/>
        </w:trPr>
        <w:tc>
          <w:tcPr>
            <w:tcW w:w="975" w:type="dxa"/>
            <w:hideMark/>
          </w:tcPr>
          <w:p w14:paraId="23BE16A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984.</w:t>
            </w:r>
          </w:p>
        </w:tc>
        <w:tc>
          <w:tcPr>
            <w:tcW w:w="2656" w:type="dxa"/>
            <w:hideMark/>
          </w:tcPr>
          <w:p w14:paraId="4E7870B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7D88169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8D73B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44 </w:t>
            </w:r>
            <w:r w:rsidRPr="00BC49FC">
              <w:rPr>
                <w:rFonts w:ascii="Times New Roman" w:hAnsi="Times New Roman" w:cs="Times New Roman"/>
              </w:rPr>
              <w:t>Do § 44 odporúčame doplniť odsek 27, ktorý znie: „Poverená organizácia zriadi jednotné kontaktné miesta energetickej efektívnosti a špecializované jednotné kontaktné miesta energetickej efektívnosti podľa § 25 najneskôr do 31. decembra 2028.“ A nasledujúce odseky prečíslovať.  Pripomienka je zásadná.</w:t>
            </w:r>
          </w:p>
        </w:tc>
        <w:tc>
          <w:tcPr>
            <w:tcW w:w="2264" w:type="dxa"/>
            <w:hideMark/>
          </w:tcPr>
          <w:p w14:paraId="24175FBD" w14:textId="4588A961"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2FC09D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066D3D36" w14:textId="03974A0E" w:rsidTr="00725D29">
        <w:trPr>
          <w:trHeight w:val="645"/>
        </w:trPr>
        <w:tc>
          <w:tcPr>
            <w:tcW w:w="975" w:type="dxa"/>
            <w:hideMark/>
          </w:tcPr>
          <w:p w14:paraId="6EFFD04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985.</w:t>
            </w:r>
          </w:p>
        </w:tc>
        <w:tc>
          <w:tcPr>
            <w:tcW w:w="2656" w:type="dxa"/>
            <w:hideMark/>
          </w:tcPr>
          <w:p w14:paraId="66E6690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058B3D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5F75D8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45 ods. 1 </w:t>
            </w:r>
            <w:r w:rsidRPr="00BC49FC">
              <w:rPr>
                <w:rFonts w:ascii="Times New Roman" w:hAnsi="Times New Roman" w:cs="Times New Roman"/>
              </w:rPr>
              <w:t>V § 45 v odseku 1 odporúčame za písmeno l)  vložiť písmeno m), ktoré znie: „m) požiadavky na obsah, rozsah a postup pre energetické minimum podľa § 15 ods. 1,“ a nasledujúce písmená prečíslovať.  Odôvodnenie:  V súvislosti s požiadavkou na vzdelanie energetických audítorov je potrebné upraviť podrobnosti pre zavádzané energetické minimum.  Pripomienka je zásadná.</w:t>
            </w:r>
          </w:p>
        </w:tc>
        <w:tc>
          <w:tcPr>
            <w:tcW w:w="2264" w:type="dxa"/>
            <w:hideMark/>
          </w:tcPr>
          <w:p w14:paraId="0DCCB109" w14:textId="557D8D78"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N</w:t>
            </w:r>
          </w:p>
        </w:tc>
        <w:tc>
          <w:tcPr>
            <w:tcW w:w="2753" w:type="dxa"/>
            <w:hideMark/>
          </w:tcPr>
          <w:p w14:paraId="00B04C56" w14:textId="08A47C69"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39779181" w14:textId="57C2040B" w:rsidTr="00725D29">
        <w:trPr>
          <w:trHeight w:val="1275"/>
        </w:trPr>
        <w:tc>
          <w:tcPr>
            <w:tcW w:w="975" w:type="dxa"/>
            <w:hideMark/>
          </w:tcPr>
          <w:p w14:paraId="27D1FC6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986.</w:t>
            </w:r>
          </w:p>
        </w:tc>
        <w:tc>
          <w:tcPr>
            <w:tcW w:w="2656" w:type="dxa"/>
            <w:hideMark/>
          </w:tcPr>
          <w:p w14:paraId="3DCD2B8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30BE3B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A2C142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45 ods. 1 </w:t>
            </w:r>
            <w:r w:rsidRPr="00BC49FC">
              <w:rPr>
                <w:rFonts w:ascii="Times New Roman" w:hAnsi="Times New Roman" w:cs="Times New Roman"/>
              </w:rPr>
              <w:t>V § 45 ods. 1 písmeno m) odporúčame upraviť nasledovne: „m) v oblasti odbornej spôsobilosti v energetickej efektívnosti podľa § 16 1. obsah žiadosti o absolvovanie skúšky odbornej spôsobilosti v energetickej efektívnosti a spôsob preukázania splnenia požiadaviek na požadované vzdelanie a odbornú prax, vrátane rozsahu spracovávaných osobných údajov 2. zriadenie a činnosť skúšobnej komisie,  3. postup a obsah skúšky odbornej spôsobilosti, rozsah, priebeh a spôsob vyhodnotenia skúšky odbornej spôsobilosti,  4. vzor osvedčenia o odbornej spôsobilosti,  5. podrobnosti o rozsahu aktualizačnej odbornej prípravy a spôsobe jej vykonania,“  Odôvodnenie:  Doplnenie zmocňovacieho ustanovenia z dôvodu doplnenia textu v § 16  Pripomienka je zásadná.</w:t>
            </w:r>
          </w:p>
        </w:tc>
        <w:tc>
          <w:tcPr>
            <w:tcW w:w="2264" w:type="dxa"/>
            <w:hideMark/>
          </w:tcPr>
          <w:p w14:paraId="080E4E94" w14:textId="48780A0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A</w:t>
            </w:r>
          </w:p>
        </w:tc>
        <w:tc>
          <w:tcPr>
            <w:tcW w:w="2753" w:type="dxa"/>
            <w:hideMark/>
          </w:tcPr>
          <w:p w14:paraId="27E93A8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34D85186" w14:textId="5B6A4F39" w:rsidTr="00725D29">
        <w:trPr>
          <w:trHeight w:val="960"/>
        </w:trPr>
        <w:tc>
          <w:tcPr>
            <w:tcW w:w="975" w:type="dxa"/>
            <w:hideMark/>
          </w:tcPr>
          <w:p w14:paraId="3B15E5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987.</w:t>
            </w:r>
          </w:p>
        </w:tc>
        <w:tc>
          <w:tcPr>
            <w:tcW w:w="2656" w:type="dxa"/>
            <w:hideMark/>
          </w:tcPr>
          <w:p w14:paraId="521B88B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05595E8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08D214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45 ods. 1 </w:t>
            </w:r>
            <w:r w:rsidRPr="00BC49FC">
              <w:rPr>
                <w:rFonts w:ascii="Times New Roman" w:hAnsi="Times New Roman" w:cs="Times New Roman"/>
              </w:rPr>
              <w:t>V § 45 ods. 1 v písmene n) odporúčame nahradiť text v bode 3. „akčnom pláne energetického auditu“ textom „obsahu správy z energetického auditu, vrátane rozsahu identifikačných údajov o objednávateľovi energetického auditu a spracovateľovi energetického auditu,“ a v bode 5. doplniť za text „energetického manažérstva“ text „a environmentálneho manažérstva“ a doplniť bod 8., ktorý znie: „postupe pri stanovení priemernej ročnej energetickej spotreby podľa § 26 ods. 5,“  Odôvodnenie:  Legislatívno technická úprava  Pripomienka je zásadná</w:t>
            </w:r>
          </w:p>
        </w:tc>
        <w:tc>
          <w:tcPr>
            <w:tcW w:w="2264" w:type="dxa"/>
            <w:hideMark/>
          </w:tcPr>
          <w:p w14:paraId="5142D418" w14:textId="11E3312F"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0BCF901D" w14:textId="53E28BD9"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6407D528" w14:textId="6EC44BA8" w:rsidTr="00725D29">
        <w:trPr>
          <w:trHeight w:val="645"/>
        </w:trPr>
        <w:tc>
          <w:tcPr>
            <w:tcW w:w="975" w:type="dxa"/>
            <w:hideMark/>
          </w:tcPr>
          <w:p w14:paraId="69BC42D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988.</w:t>
            </w:r>
          </w:p>
        </w:tc>
        <w:tc>
          <w:tcPr>
            <w:tcW w:w="2656" w:type="dxa"/>
            <w:hideMark/>
          </w:tcPr>
          <w:p w14:paraId="765E198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1306834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BE6DA7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45 ods. 1 </w:t>
            </w:r>
            <w:r w:rsidRPr="00BC49FC">
              <w:rPr>
                <w:rFonts w:ascii="Times New Roman" w:hAnsi="Times New Roman" w:cs="Times New Roman"/>
              </w:rPr>
              <w:t>V § 45 ods. 1 v písmene o) odporúčame nahradiť pôvodný text textom: „rozsah a spôsob poskytovaných informácií podľa § 30 ods. 3 a § 31 ods. 7,“  Odôvodnenie:  Doplnenie zmocňovacieho ustanovenia v nadväznosti na zmenu textu v § 30 a § 31.  Pripomienka je zásadná.</w:t>
            </w:r>
          </w:p>
        </w:tc>
        <w:tc>
          <w:tcPr>
            <w:tcW w:w="2264" w:type="dxa"/>
            <w:hideMark/>
          </w:tcPr>
          <w:p w14:paraId="6258C0E1" w14:textId="351BF161"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01EC5F12" w14:textId="0C07DF26"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4B7F62CB" w14:textId="3ECEAFE1" w:rsidTr="00725D29">
        <w:trPr>
          <w:trHeight w:val="645"/>
        </w:trPr>
        <w:tc>
          <w:tcPr>
            <w:tcW w:w="975" w:type="dxa"/>
            <w:hideMark/>
          </w:tcPr>
          <w:p w14:paraId="1B89526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989.</w:t>
            </w:r>
          </w:p>
        </w:tc>
        <w:tc>
          <w:tcPr>
            <w:tcW w:w="2656" w:type="dxa"/>
            <w:hideMark/>
          </w:tcPr>
          <w:p w14:paraId="7E2AEEF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501F5B3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DFC32C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45 ods. 2 </w:t>
            </w:r>
            <w:r w:rsidRPr="00BC49FC">
              <w:rPr>
                <w:rFonts w:ascii="Times New Roman" w:hAnsi="Times New Roman" w:cs="Times New Roman"/>
              </w:rPr>
              <w:t>V § 45 ods. 2 v písmene b), bode 1. na koniec vety pred čiarku odporúčame doplniť text: „vrátane postupu  o zaznamenávaní zmlúv o energetickej efektívnosti v účtoch verejnej správy“  Odôvodnenie: Rozšírenie usmernenia v oblasti zmlúv o energetickej efektívnosti.</w:t>
            </w:r>
          </w:p>
        </w:tc>
        <w:tc>
          <w:tcPr>
            <w:tcW w:w="2264" w:type="dxa"/>
            <w:hideMark/>
          </w:tcPr>
          <w:p w14:paraId="2F34497E" w14:textId="25085E2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03F43AC6" w14:textId="4D115549"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1BB489AC" w14:textId="1AE2D422" w:rsidTr="00725D29">
        <w:trPr>
          <w:trHeight w:val="2220"/>
        </w:trPr>
        <w:tc>
          <w:tcPr>
            <w:tcW w:w="975" w:type="dxa"/>
            <w:hideMark/>
          </w:tcPr>
          <w:p w14:paraId="70FDEDA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990.</w:t>
            </w:r>
          </w:p>
        </w:tc>
        <w:tc>
          <w:tcPr>
            <w:tcW w:w="2656" w:type="dxa"/>
            <w:hideMark/>
          </w:tcPr>
          <w:p w14:paraId="5893B6D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5DA9B3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E826F6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29 ods. 5 a 6 </w:t>
            </w:r>
            <w:r w:rsidRPr="00BC49FC">
              <w:rPr>
                <w:rFonts w:ascii="Times New Roman" w:hAnsi="Times New Roman" w:cs="Times New Roman"/>
              </w:rPr>
              <w:t>V § 29 ods. 5 a 6 navrhujeme text preformulovať nasledovne:   (5) Ministerstvo v spolupráci s distribútormi energie, prevádzkovateľmi sústav, prevádzkovateľmi sietí a dodávateľmi energie podporí vytváranie podmienok na vykonávanie opatrení energetickej efektívnosti, ktorých výsledkom je zníženie spotreby energie, a na rozvoj trhu s energetickými službami.  (6) Distribútori energie, prevádzkovatelia sústav, prevádzkovatelia sietí a dodávatelia energie sa v rozsahu svojej pôsobnosti budú podieľať na podpore transparentného a nediskriminačného trhu s energetickými službami a pri výkone svojich činností prihliadať na potrebu rozvoja trhu s energetickými službami a vykonávanie opatrení energetickej efektívnosti.  Odôvodnenie: Ustanovenia v o ods. 5 a 6 predložené predkladateľom v návrhu zákona do MPK idú nad rámec požiadaviek smernice (EÚ) 2023/1791 o energetickej efektívnosti, keď rozširujú okruh povinných subjektov a ukladajú im všeobecné a neurčité povinnosti podporovať trh energetických služieb a zdržať sa konania, ktoré môže brániť dopytu po energetických službách. Smernica pritom požaduje najmä odstránenie regulačných bariér a nediskriminačný prístup, nie zavedenie takto široko formulovaných direktívnych  povinností súkromnoprávnym subjektom.  Pripomienka je zásadná</w:t>
            </w:r>
          </w:p>
        </w:tc>
        <w:tc>
          <w:tcPr>
            <w:tcW w:w="2264" w:type="dxa"/>
            <w:hideMark/>
          </w:tcPr>
          <w:p w14:paraId="0CF82F51" w14:textId="2D01BE2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283BDDB1" w14:textId="36E939A2"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1A299D4E" w14:textId="31F2EE0F" w:rsidTr="00725D29">
        <w:trPr>
          <w:trHeight w:val="3795"/>
        </w:trPr>
        <w:tc>
          <w:tcPr>
            <w:tcW w:w="975" w:type="dxa"/>
            <w:hideMark/>
          </w:tcPr>
          <w:p w14:paraId="7812521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991.</w:t>
            </w:r>
          </w:p>
        </w:tc>
        <w:tc>
          <w:tcPr>
            <w:tcW w:w="2656" w:type="dxa"/>
            <w:hideMark/>
          </w:tcPr>
          <w:p w14:paraId="71E3340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SZVT </w:t>
            </w:r>
            <w:r w:rsidRPr="00BC49FC">
              <w:rPr>
                <w:rFonts w:ascii="Times New Roman" w:hAnsi="Times New Roman" w:cs="Times New Roman"/>
              </w:rPr>
              <w:t>Slovenský zväz výrobcov tepla</w:t>
            </w:r>
          </w:p>
        </w:tc>
        <w:tc>
          <w:tcPr>
            <w:tcW w:w="612" w:type="dxa"/>
            <w:hideMark/>
          </w:tcPr>
          <w:p w14:paraId="3451143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5816A0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44 ods. 15 </w:t>
            </w:r>
            <w:r w:rsidRPr="00BC49FC">
              <w:rPr>
                <w:rFonts w:ascii="Times New Roman" w:hAnsi="Times New Roman" w:cs="Times New Roman"/>
              </w:rPr>
              <w:t>Navrhujeme upraviť navrhované znenie § 44 ods. 15 nasledovne: „(15) Podnik, ktorý sa stal podnikom energetického auditu podľa § 26 ods. 3 pred nadobudnutím účinnosti tohto zákona, je povinný zabezpečiť zavedenie systému energetického manažérstva alebo systému environmentálneho manažérstva s energetickým auditom najneskôr do uplynutia platnosti energetického auditu vykonaného podľa doterajších predpisov.“  Odôvodnenie:  Navrhované ustanovenie v súčasnom znení stanovuje pre existujúce podniky so spotrebou nad 85 TJ fixný termín 11. október 2027 na zavedenie certifikovaných systémov manažérstva (ISO 50001 alebo ISO 14001). Považujeme tento termín za neprimerane krátky a pre dotknuté subjekty diskriminačný z nasledujúcich dôvodov: 1. Administratívna a procesná náročnosť: Prechod z jednorazového energetického auditu na certifikovaný systém energetického manažérstva nie je len formálnou zmenou, ale predstavuje komplexný a administratívne náročný proces. Príprava a úspešná certifikácia takéhoto systému v priemyselnej praxi bežne trvá dlhšie ako obdobie zostávajúce do októbra 2027. 2. Znehodnotenie predchádzajúcich investícií: Podniky v minulosti vynaložili vysoké finančné a personálne náklady na vykonanie energetických auditov podľa zákona č. 321/2014 Z. z. v rámci ich štvorročných cyklov. Podľa § 44 ods. 11 sa tieto audity považujú za audity podľa nového zákona. Fixný termín v roku 2027 nerešpektuje dĺžku platnosti týchto auditov, čím núti podniky k ďalším vysokým dodatočným nákladom predčasne, ešte pred ukončením riadne naplánovaného cyklu. 3. Právna istota a plynulý prechod: Navrhujeme, aby sa nová povinnosť zaviesť ISO systémy uplatňovala u existujúcich podnikov až po skončení platnosti ich aktuálneho auditného cyklu. Tým sa zabezpečí ochrana legitímnych očakávaní podnikateľov, ktorí si splnili povinnosti podľa doterajšej legislatívy, a umožní sa im rozložiť investície do energetickej efektívnosti v čase bez zbytočnej nárazovej finančnej záťaže. Zatiaľ čo pre nové podniky je lehota naviazaná na ich vznik (§ 44 ods. 16), u existujúcich subjektov by mal zákon rešpektovať už nadobudnuté práva a povinnosti vyplývajúce z predtým riadne vykonaných auditov. 4. Kapacitné obmedzenia trhu: Zavedenie ISO systémov vo všetkých dotknutých podnikoch naraz k jednému termínu vytvorí neprimeraný tlak na kapacity energetických audítorov a certifikačných orgánov, čo môže viesť k nekvalitnému vypracovaniu systémov alebo k ich ďalšiemu predraženiu.  Pripomienka je zásadná</w:t>
            </w:r>
          </w:p>
        </w:tc>
        <w:tc>
          <w:tcPr>
            <w:tcW w:w="2264" w:type="dxa"/>
            <w:hideMark/>
          </w:tcPr>
          <w:p w14:paraId="70CE8063" w14:textId="2C54D6AB"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Pr>
                <w:rFonts w:ascii="Times New Roman" w:hAnsi="Times New Roman" w:cs="Times New Roman"/>
                <w:b/>
                <w:bCs/>
              </w:rPr>
              <w:t>N</w:t>
            </w:r>
          </w:p>
        </w:tc>
        <w:tc>
          <w:tcPr>
            <w:tcW w:w="2753" w:type="dxa"/>
            <w:hideMark/>
          </w:tcPr>
          <w:p w14:paraId="3D2045FC" w14:textId="4DBC174A" w:rsidR="00FE0F3E" w:rsidRPr="00BC49FC" w:rsidRDefault="00FE0F3E" w:rsidP="00666928">
            <w:pPr>
              <w:rPr>
                <w:rFonts w:ascii="Times New Roman" w:hAnsi="Times New Roman" w:cs="Times New Roman"/>
                <w:b/>
                <w:bCs/>
              </w:rPr>
            </w:pPr>
            <w:r w:rsidRPr="00AC55C1">
              <w:rPr>
                <w:rFonts w:ascii="Times New Roman" w:hAnsi="Times New Roman" w:cs="Times New Roman"/>
                <w:b/>
                <w:bCs/>
              </w:rPr>
              <w:t> </w:t>
            </w:r>
            <w:r w:rsidRPr="00460D7A">
              <w:rPr>
                <w:rFonts w:ascii="Times New Roman" w:hAnsi="Times New Roman" w:cs="Times New Roman"/>
                <w:b/>
                <w:bCs/>
              </w:rPr>
              <w:t>Navrhované doplnenie sa nepovažuje za potrebné, keďže predmetná otázka je už dostatočne upravená v navrhovanom znení.</w:t>
            </w:r>
          </w:p>
        </w:tc>
      </w:tr>
      <w:tr w:rsidR="00FE0F3E" w:rsidRPr="006278D2" w14:paraId="0EB60610" w14:textId="4627E844" w:rsidTr="00725D29">
        <w:trPr>
          <w:trHeight w:val="1590"/>
        </w:trPr>
        <w:tc>
          <w:tcPr>
            <w:tcW w:w="975" w:type="dxa"/>
            <w:hideMark/>
          </w:tcPr>
          <w:p w14:paraId="49847B1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1046.</w:t>
            </w:r>
          </w:p>
        </w:tc>
        <w:tc>
          <w:tcPr>
            <w:tcW w:w="2656" w:type="dxa"/>
            <w:hideMark/>
          </w:tcPr>
          <w:p w14:paraId="7A74408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58DC8D4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025B26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1 </w:t>
            </w:r>
            <w:r w:rsidRPr="00BC49FC">
              <w:rPr>
                <w:rFonts w:ascii="Times New Roman" w:hAnsi="Times New Roman" w:cs="Times New Roman"/>
              </w:rPr>
              <w:t>Túto pripomienku považujeme za zásadnú. Ustanovenie § 4 ods. 15 navrhujeme vypustiť.  Odôvodnenie: Toto ustanovenie je neurčité a nezrozumiteľné. Nie je zrejmé, koho má takýto výrobca elektriny právo vyzvať. Nie je zrejmé čo sú to práce súvisiace s pripojením a teda ani to, čo by malo byť predmetom ponuky. Pripojenie pritom realizuje prevádzkovateľ sústavy na základe zmluvy o pripojení a po splnení obchodných a technických podmienok pripojenia. Nie je zároveň vôbec zrejmé, na čo má uvedené ustanovenie slúžiť. Obstaranie si prác súvisiacich s pripojení si totiž rieši každý žiadateľ o pripojenie sám a v režime, ktorý si zvolí alebo ktorý je povinný aplikovať podľa osobitných predpisov (napr. verejné obstarávanie, ...). Dôvodová správa k uvedenému ustanoveniu neuvádza vôbec (len opakuje znenie navrhovaného zákonného ustanovenia) a je tak nedostatočná.</w:t>
            </w:r>
          </w:p>
        </w:tc>
        <w:tc>
          <w:tcPr>
            <w:tcW w:w="2264" w:type="dxa"/>
            <w:vAlign w:val="center"/>
            <w:hideMark/>
          </w:tcPr>
          <w:p w14:paraId="613983FD" w14:textId="2BE3DCF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76895CB2" w14:textId="43D6626D"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1 vypustený. </w:t>
            </w:r>
          </w:p>
        </w:tc>
      </w:tr>
      <w:tr w:rsidR="00FE0F3E" w:rsidRPr="006278D2" w14:paraId="326FDCA8" w14:textId="4F78CE53" w:rsidTr="00725D29">
        <w:trPr>
          <w:trHeight w:val="960"/>
        </w:trPr>
        <w:tc>
          <w:tcPr>
            <w:tcW w:w="975" w:type="dxa"/>
            <w:hideMark/>
          </w:tcPr>
          <w:p w14:paraId="78134EC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1047.</w:t>
            </w:r>
          </w:p>
        </w:tc>
        <w:tc>
          <w:tcPr>
            <w:tcW w:w="2656" w:type="dxa"/>
            <w:hideMark/>
          </w:tcPr>
          <w:p w14:paraId="17C226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0E50853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212841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či už v aktuálnom znení alebo navrhovanom znení navrhujeme ako nedôvodné a nezmyselné vypustiť.  Odôvodnenie: uvádzame v rámci ďalších pripomienok k tomuto bodu.</w:t>
            </w:r>
          </w:p>
        </w:tc>
        <w:tc>
          <w:tcPr>
            <w:tcW w:w="2264" w:type="dxa"/>
            <w:vAlign w:val="center"/>
            <w:hideMark/>
          </w:tcPr>
          <w:p w14:paraId="5B613CCB" w14:textId="048D1E9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C660F90" w14:textId="128AC2B2"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3E6C2738" w14:textId="0401FEAE" w:rsidTr="00725D29">
        <w:trPr>
          <w:trHeight w:val="1905"/>
        </w:trPr>
        <w:tc>
          <w:tcPr>
            <w:tcW w:w="975" w:type="dxa"/>
            <w:hideMark/>
          </w:tcPr>
          <w:p w14:paraId="0870EE9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1048.</w:t>
            </w:r>
          </w:p>
        </w:tc>
        <w:tc>
          <w:tcPr>
            <w:tcW w:w="2656" w:type="dxa"/>
            <w:hideMark/>
          </w:tcPr>
          <w:p w14:paraId="6F7E4E0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5B854D3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3EF566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1 navrhujeme vypustiť.  Odôvodnenie: Súčasné ako aj navrhované znenie nie je ničím iným ako administratívnou šikanou prevádzkovateľa distribučnej sústavy. Za pripojenie platí každý žiadateľ o pripojenie na základe zmluvy o pripojení fixnú cenu za pripojenie, ktorej výška závisí od výšky maximálnej rezervovanej kapacity dohodnutej v zmluve o pripojení a je uvedená vo zverejnenom cenníku prevádzkovateľa distribučnej sústavy a cenovom rozhodnutí ÚRSO. O jej výške sa žiadateľ o pripojenie dozvie z uzatvorenej zmluvy, resp. z verejne dostupného cenníka/cenového rozhodnutia. Pre žiadateľa o pripojenie je tak výška nákladov súvisiacich s pripojením na strane prevádzkovateľa sústavy úplne nepodstatná informácia. Nie sú to totiž jeho náklady. O svojich nákladoch pritom vedomosť má. V zmysle navrhovaného znenia má ísť o informáciu na jednej strane o odhadovaných nákladoch súvisiacich s pripojením, na druhej strane má byť takýto odhad komplexný a podrobný, čo si vzájomne vnútorne odporuje. Stále však ide len o odhad, a teda nedepresné číslo, ktoré v skutočnosti môže byť úplne iné.</w:t>
            </w:r>
          </w:p>
        </w:tc>
        <w:tc>
          <w:tcPr>
            <w:tcW w:w="2264" w:type="dxa"/>
            <w:vAlign w:val="center"/>
            <w:hideMark/>
          </w:tcPr>
          <w:p w14:paraId="2FD25BBA" w14:textId="0526662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415ABCA" w14:textId="705BEAFF"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19BB5F90" w14:textId="7A62824B" w:rsidTr="00725D29">
        <w:trPr>
          <w:trHeight w:val="1590"/>
        </w:trPr>
        <w:tc>
          <w:tcPr>
            <w:tcW w:w="975" w:type="dxa"/>
            <w:hideMark/>
          </w:tcPr>
          <w:p w14:paraId="56296A1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1049.</w:t>
            </w:r>
          </w:p>
        </w:tc>
        <w:tc>
          <w:tcPr>
            <w:tcW w:w="2656" w:type="dxa"/>
            <w:hideMark/>
          </w:tcPr>
          <w:p w14:paraId="0DD7803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1F5DCC7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C79C3F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2 navrhujeme vypustiť.  Odôvodnenie: Súčasné ako aj navrhovanie znenie nie je rovnako ničím iným ako administratívnou šikanou prevádzkovateľa distribučnej sústavy. To, ako rýchlo musí prevádzkovateľ distribučnej sústavy vybaviť žiadosť o pripojenie je totiž uvedené v § 4a ods. 3 tohto zákona (v prípade malého zdroja), v § 4b ods. 5 tohto zákona (v prípade lokálneho zdroja) a § 5c ods. 5 vyhlášky o pravidlách trhu (č. 207/2023 Z. z.). Žiadateľ o pripojenie teda pozná časový rámec pre vybavenie jeho žiadosti o pripojenie. Nie je tu preto žiaden dôvod, aby mu túto informáciu, dokonca vo forme harmonogramu prevádzkovateľ distribučnej sústavy poskytoval. Dokonca podľa navrhovaného znenia by mal byť takýto harmonogram po novom dokonca primeraný (nie je zrejmé, čo by to malo byť) a presný.</w:t>
            </w:r>
          </w:p>
        </w:tc>
        <w:tc>
          <w:tcPr>
            <w:tcW w:w="2264" w:type="dxa"/>
            <w:vAlign w:val="center"/>
            <w:hideMark/>
          </w:tcPr>
          <w:p w14:paraId="165F2F80" w14:textId="7C51694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CADFC78" w14:textId="11532BA8"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64EB4386" w14:textId="59950EB8" w:rsidTr="00725D29">
        <w:trPr>
          <w:trHeight w:val="960"/>
        </w:trPr>
        <w:tc>
          <w:tcPr>
            <w:tcW w:w="975" w:type="dxa"/>
            <w:hideMark/>
          </w:tcPr>
          <w:p w14:paraId="444DD43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1050.</w:t>
            </w:r>
          </w:p>
        </w:tc>
        <w:tc>
          <w:tcPr>
            <w:tcW w:w="2656" w:type="dxa"/>
            <w:hideMark/>
          </w:tcPr>
          <w:p w14:paraId="78D3A8C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6AFE05B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E2D7B2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3 navrhujeme vypustiť.  Odôvodnenie: Súčasné ako aj navrhovanie znenie nie je rovnako ničím iným ako administratívnou šikanou prevádzkovateľa distribučnej sústavy. To, kedy žiadateľ splní obchodné a technické podmienky pripojenie závisí výlučne od žiadateľa o pripojenie. Vytváranie akéhosi primeraného (nie je zrejmé, čo by to malo byť) a len orientačného harmonogramu je tak úplne zbytočným úkonom.</w:t>
            </w:r>
          </w:p>
        </w:tc>
        <w:tc>
          <w:tcPr>
            <w:tcW w:w="2264" w:type="dxa"/>
            <w:vAlign w:val="center"/>
            <w:hideMark/>
          </w:tcPr>
          <w:p w14:paraId="21DB040E" w14:textId="6EEAB76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6A3741FC" w14:textId="3EBE789D"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0A38ED26" w14:textId="6B8F6E61" w:rsidTr="00725D29">
        <w:trPr>
          <w:trHeight w:val="2535"/>
        </w:trPr>
        <w:tc>
          <w:tcPr>
            <w:tcW w:w="975" w:type="dxa"/>
            <w:hideMark/>
          </w:tcPr>
          <w:p w14:paraId="308A69D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1051.</w:t>
            </w:r>
          </w:p>
        </w:tc>
        <w:tc>
          <w:tcPr>
            <w:tcW w:w="2656" w:type="dxa"/>
            <w:hideMark/>
          </w:tcPr>
          <w:p w14:paraId="490BF24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6A59F045"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763718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3 navrhujeme vypustiť.  Odôvodnenie: Proces pripojenia je proces začínajúci podaním žiadosti o pripojenie a končiaci pripojením. To, ako dlho bude tento proces trvať pritom závisí najmä na žiadateľovi o pripojenie. Žiadateľ o pripojenie je povinný splniť technické podmienky pripojenia v lehote 24 mesiacov od uzatvorenia zmluvy o pripojení (viď. § 5e ods. 1 pravidiel trhu (č. 207/2023 Z. z.), resp. do uplynutia platnosti stanoviska ku kapacite v prípade malého zdroja a lokálneho zdroja.  Ak je teda: (i) prevádzkovateľ distribučnej sústavy povinný vybaviť žiadosť o pripojenie v lehote 30 dní, resp. 10 pracovných dní (v prípade malého zdroja) alebo 15 pracovných dní (v prípade lokálneho zdroja) - viď. § 4a ods. 3 tohto zákona (v prípade malého zdroja), viď. § 4b ods. 5 tohto zákona (v prípade lokálneho zdroja) a viď. § 5c ods. 5 vyhlášky o pravidlách trhu (č. 207/2023 Z.z.) (v ostatných prípadoch),  (ii) žiadateľ o pripojenie je povinný prijať návrh zmluvy o pripojení v lehote 30 dní (§ 5e ods. 2 pravidiel trhu - č. 207/2023 Z.z., resp. 6 mesiacov v prípade malého zdroja - § 4a ods. 3 tohto zákona, resp. v lehote 12 mesiacov v prípade lokálneho zdroja - § 4b ods. 5 tohto zákona) a (iii) na splnenie technických podmienok pripojenie má žiadateľ o pripojenie vyššie uvedenú lehotu 24 mesiacov od uzatvorenia zmluvy o pripojení,  tak proces pripojenia celkom určite a legitímne presiahne 24 mesiacov. Ak ale tento zákon stanoví, že tento proces nemôže presiahnuť 24 mesiacov, tak vnesie do procesu pripojenia rozpor a zmätok.</w:t>
            </w:r>
          </w:p>
        </w:tc>
        <w:tc>
          <w:tcPr>
            <w:tcW w:w="2264" w:type="dxa"/>
            <w:vAlign w:val="center"/>
            <w:hideMark/>
          </w:tcPr>
          <w:p w14:paraId="5D07993E" w14:textId="754EF13D"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78EBEC3" w14:textId="2C25FBCC"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29A9715C" w14:textId="719CD27C" w:rsidTr="00725D29">
        <w:trPr>
          <w:trHeight w:val="1275"/>
        </w:trPr>
        <w:tc>
          <w:tcPr>
            <w:tcW w:w="975" w:type="dxa"/>
            <w:hideMark/>
          </w:tcPr>
          <w:p w14:paraId="44EE880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1052.</w:t>
            </w:r>
          </w:p>
        </w:tc>
        <w:tc>
          <w:tcPr>
            <w:tcW w:w="2656" w:type="dxa"/>
            <w:hideMark/>
          </w:tcPr>
          <w:p w14:paraId="0DE5110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27CAA13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396AD5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b) navrhujeme vypustiť.  Odôvodnenie: Nie je vôbec zrejmé, čo by mali byť tie štandardizované a zjednodušené postupy pre pripojenie. Procesy pripojenia majú prevádzkovatelia pritom štandardizované (zabezpečujú transparentné a nediskriminačné podmienky na pripojenie). Nie je zrejmé, v čom by mali byť tieto podmienky v takýchto prípadoch zjednodušené. Nie je zároveň zrejmé ani to, čo sú to tí rozptýlení výrobcovia elektriny vyrábajúci elektrinu vysoko účinnou kombinovanou výrobou. Ich legálna definícia totiž neexistuje. Uvedené ustanovenie je tak nejasné a nezrozumiteľné.</w:t>
            </w:r>
          </w:p>
        </w:tc>
        <w:tc>
          <w:tcPr>
            <w:tcW w:w="2264" w:type="dxa"/>
            <w:vAlign w:val="center"/>
            <w:hideMark/>
          </w:tcPr>
          <w:p w14:paraId="6685BD72" w14:textId="773AD31B"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3C1B780" w14:textId="48399601"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3842F845" w14:textId="556AD0E2" w:rsidTr="00725D29">
        <w:trPr>
          <w:trHeight w:val="1590"/>
        </w:trPr>
        <w:tc>
          <w:tcPr>
            <w:tcW w:w="975" w:type="dxa"/>
            <w:hideMark/>
          </w:tcPr>
          <w:p w14:paraId="646E915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1053.</w:t>
            </w:r>
          </w:p>
        </w:tc>
        <w:tc>
          <w:tcPr>
            <w:tcW w:w="2656" w:type="dxa"/>
            <w:hideMark/>
          </w:tcPr>
          <w:p w14:paraId="00C9A16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524293A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F26A12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c) navrhujeme vypustiť.  Odôvodnenie: Podľa uvedeného ustanovenia by mal prevádzkovateľ distribučnej sústavy vo svojom prevádzkovom poriadku stanoviť: a) podmienky týkajúce sa znášania a rozdelenia nákladov na technické úpravy vrátane pripojenia do sústavy. b) podmienky zlepšenia prevádzky sústavy a posilnenia a rozvoja sústavy. c) pravidlá nediskriminačného uplatňovania predpisov sústavy nevyhnutných na pripojenie výrobcov vyrábajúcich elektrinu vysoko účinnou kombinovanou výrobou. Uvedený budúci obsah prevádzkového poriadku je neurčitý a nezrozumiteľný. Zároveň nie je zrejmé, z akého dôvodu sa týka len výrobcov vyrábajúcich elektrinu vysoko účinnou kombinovanou výrobou. Písm. a) - Nie je zrejmé, na aká zákonné ustanovenie toto nadväzuje. Písm. b) - toto rieši a upravuje plán rozvoja sústavy. Nie je tak žiaden dôvod, aby to upravoval prevádzkový poriadok. Písm. c) - Nie je zrejmé, o aké pravidlá by malo ísť.</w:t>
            </w:r>
          </w:p>
        </w:tc>
        <w:tc>
          <w:tcPr>
            <w:tcW w:w="2264" w:type="dxa"/>
            <w:vAlign w:val="center"/>
            <w:hideMark/>
          </w:tcPr>
          <w:p w14:paraId="6801C277" w14:textId="636762BE"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268E32E3" w14:textId="643C767C"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13891781" w14:textId="6553D0E9" w:rsidTr="00725D29">
        <w:trPr>
          <w:trHeight w:val="1905"/>
        </w:trPr>
        <w:tc>
          <w:tcPr>
            <w:tcW w:w="975" w:type="dxa"/>
            <w:hideMark/>
          </w:tcPr>
          <w:p w14:paraId="7C3B45A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1054.</w:t>
            </w:r>
          </w:p>
        </w:tc>
        <w:tc>
          <w:tcPr>
            <w:tcW w:w="2656" w:type="dxa"/>
            <w:hideMark/>
          </w:tcPr>
          <w:p w14:paraId="08ED238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0C7849C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DB44F4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d) navrhujeme vypustiť.  Odôvodnenie: Z uvedeného ustanovenia nie je vôbec zrejmé ako budú tieto oblastí prevádzkovateľom distribučnej sústavy identifikované, aby mohol uplatniť zníženú cenu za pripojenie. Odhliadnuc od uvedeného, nepovažujeme za vhodné takýchto žiadateľov cenovo zvýhodňovať pred inými žiadateľmi o pripojenie, ktorý sú takto nedôvodne cenovo diskriminovaní.  Okrem toho uvádzame, že vysoká účinnosť nie je fyzikálne definovaný stav, alebo inak povedané, vysoká účinnosť nie je závislá od technológie, od techniky ako takej, ale vysoká účinnosť je výsledkom posúdenia použitého palivového mixu a dosiahnutých výsledných tepelných parametrov zariadenia - čiže výsledkom posúdenia - ktoré robí URSO - môže byť aj stav, že vysokoúčinnú výrobu v sledovanom období nedosahoval. Sú zdroje, ktorým sa nedarí kontinuálne držať vysokoúčinnú výrobu - ako sa potom posúdi režim s nižšou cenou za pripojenie? Z uvedených dôvodov navrhujeme ustanovenie § 5 ods. 6 písm. d) vypustiť.</w:t>
            </w:r>
          </w:p>
        </w:tc>
        <w:tc>
          <w:tcPr>
            <w:tcW w:w="2264" w:type="dxa"/>
            <w:vAlign w:val="center"/>
            <w:hideMark/>
          </w:tcPr>
          <w:p w14:paraId="09526922" w14:textId="4B11C26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997E716" w14:textId="7E9A4FE1"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639FB83C" w14:textId="3455B6B5" w:rsidTr="00725D29">
        <w:trPr>
          <w:trHeight w:val="960"/>
        </w:trPr>
        <w:tc>
          <w:tcPr>
            <w:tcW w:w="975" w:type="dxa"/>
            <w:hideMark/>
          </w:tcPr>
          <w:p w14:paraId="0D57618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1055.</w:t>
            </w:r>
          </w:p>
        </w:tc>
        <w:tc>
          <w:tcPr>
            <w:tcW w:w="2656" w:type="dxa"/>
            <w:hideMark/>
          </w:tcPr>
          <w:p w14:paraId="6C45D56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4E17D9C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40B9F8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 bod 11 </w:t>
            </w:r>
            <w:r w:rsidRPr="00BC49FC">
              <w:rPr>
                <w:rFonts w:ascii="Times New Roman" w:hAnsi="Times New Roman" w:cs="Times New Roman"/>
              </w:rPr>
              <w:t>Túto pripomienku považujeme za zásadnú. Vo vzťahu k ustanoveniu § 12 ods. 13 z dôvodu jeho nejasnosti, najmä pokiaľ ide o spôsob, akým má Úrad pre reguláciu sieťových odvetví predmetné ustanovenie zabezpečovať, navrhujeme, aby bola táto povinnosť úradu bližšie špecifikovaná vo vykonávacom predpise Úradu.  Odôvodnenie: Z uvedeného ustanovenia nie je zrejmé, čo to znamená a ako to bude ÚRSO zabezpečovať.</w:t>
            </w:r>
          </w:p>
        </w:tc>
        <w:tc>
          <w:tcPr>
            <w:tcW w:w="2264" w:type="dxa"/>
            <w:hideMark/>
          </w:tcPr>
          <w:p w14:paraId="4CF318BD" w14:textId="00F76CF8" w:rsidR="00FE0F3E" w:rsidRPr="00BC49FC" w:rsidRDefault="00FE0F3E" w:rsidP="00666928">
            <w:pPr>
              <w:rPr>
                <w:rFonts w:ascii="Times New Roman" w:hAnsi="Times New Roman" w:cs="Times New Roman"/>
                <w:b/>
                <w:bCs/>
              </w:rPr>
            </w:pPr>
            <w:r>
              <w:rPr>
                <w:b/>
                <w:bCs/>
                <w:color w:val="000000"/>
              </w:rPr>
              <w:t>N</w:t>
            </w:r>
          </w:p>
        </w:tc>
        <w:tc>
          <w:tcPr>
            <w:tcW w:w="2753" w:type="dxa"/>
            <w:hideMark/>
          </w:tcPr>
          <w:p w14:paraId="2508F4B0" w14:textId="2F1C0DE2" w:rsidR="00FE0F3E" w:rsidRPr="00BC49FC" w:rsidRDefault="00FE0F3E" w:rsidP="00666928">
            <w:pPr>
              <w:rPr>
                <w:rFonts w:ascii="Times New Roman" w:hAnsi="Times New Roman" w:cs="Times New Roman"/>
                <w:b/>
                <w:bCs/>
              </w:rPr>
            </w:pPr>
            <w:r>
              <w:rPr>
                <w:rFonts w:ascii="Times New Roman" w:eastAsia="Times New Roman" w:hAnsi="Times New Roman" w:cs="Times New Roman"/>
                <w:b/>
                <w:bCs/>
                <w:color w:val="000000"/>
                <w:kern w:val="0"/>
                <w:lang w:eastAsia="sk-SK"/>
                <w14:ligatures w14:val="none"/>
              </w:rPr>
              <w:t>Po prijatí súvisiaceho nariadenia EÚ sa doplní platné alebo nové splnomocňovacie ustanovenie na samostatný vykonávací predpis úradu</w:t>
            </w:r>
          </w:p>
        </w:tc>
      </w:tr>
      <w:tr w:rsidR="00FE0F3E" w:rsidRPr="006278D2" w14:paraId="3B6F3F6F" w14:textId="15F245BD" w:rsidTr="00725D29">
        <w:trPr>
          <w:trHeight w:val="960"/>
        </w:trPr>
        <w:tc>
          <w:tcPr>
            <w:tcW w:w="975" w:type="dxa"/>
            <w:hideMark/>
          </w:tcPr>
          <w:p w14:paraId="016BCDC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1056.</w:t>
            </w:r>
          </w:p>
        </w:tc>
        <w:tc>
          <w:tcPr>
            <w:tcW w:w="2656" w:type="dxa"/>
            <w:hideMark/>
          </w:tcPr>
          <w:p w14:paraId="1FC15DE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583C12E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3ADFEC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 bod 11 </w:t>
            </w:r>
            <w:r w:rsidRPr="00BC49FC">
              <w:rPr>
                <w:rFonts w:ascii="Times New Roman" w:hAnsi="Times New Roman" w:cs="Times New Roman"/>
              </w:rPr>
              <w:t>Túto pripomienku považujeme za zásadnú. Vo vzťahu k ustanoveniu § 12 ods. 14 z dôvodu jeho nejasnosti, najmä pokiaľ ide o spôsob, akým má Úrad pre reguláciu sieťových odvetví predmetné ustanovenie zabezpečovať, navrhujeme, aby bola táto povinnosť úradu bližšie špecifikovaná vo vykonávacom predpise Úradu.  Odôvodnenie: Z uvedeného ustanovenia nie je zrejmé, čo to znamená a ako to bude ÚRSO zabezpečovať.</w:t>
            </w:r>
          </w:p>
        </w:tc>
        <w:tc>
          <w:tcPr>
            <w:tcW w:w="2264" w:type="dxa"/>
            <w:hideMark/>
          </w:tcPr>
          <w:p w14:paraId="1514B639" w14:textId="624D5BE3" w:rsidR="00FE0F3E" w:rsidRPr="00BC49FC" w:rsidRDefault="00FE0F3E" w:rsidP="00666928">
            <w:pPr>
              <w:rPr>
                <w:rFonts w:ascii="Times New Roman" w:hAnsi="Times New Roman" w:cs="Times New Roman"/>
                <w:b/>
                <w:bCs/>
              </w:rPr>
            </w:pPr>
            <w:r>
              <w:rPr>
                <w:b/>
                <w:bCs/>
                <w:color w:val="000000"/>
              </w:rPr>
              <w:t>N</w:t>
            </w:r>
          </w:p>
        </w:tc>
        <w:tc>
          <w:tcPr>
            <w:tcW w:w="2753" w:type="dxa"/>
            <w:hideMark/>
          </w:tcPr>
          <w:p w14:paraId="569F6194" w14:textId="4CCAEF10" w:rsidR="00FE0F3E" w:rsidRPr="00BC49FC" w:rsidRDefault="00FE0F3E" w:rsidP="00666928">
            <w:pPr>
              <w:rPr>
                <w:rFonts w:ascii="Times New Roman" w:hAnsi="Times New Roman" w:cs="Times New Roman"/>
                <w:b/>
                <w:bCs/>
              </w:rPr>
            </w:pPr>
            <w:r>
              <w:rPr>
                <w:rFonts w:ascii="Times New Roman" w:eastAsia="Times New Roman" w:hAnsi="Times New Roman" w:cs="Times New Roman"/>
                <w:b/>
                <w:bCs/>
                <w:color w:val="000000"/>
                <w:kern w:val="0"/>
                <w:lang w:eastAsia="sk-SK"/>
                <w14:ligatures w14:val="none"/>
              </w:rPr>
              <w:t>Po prijatí súvisiaceho nariadenia EÚ sa doplní platné alebo nové splnomocňovacie ustanovenie na samostatný vykonávací predpis úradu</w:t>
            </w:r>
          </w:p>
        </w:tc>
      </w:tr>
      <w:tr w:rsidR="00FE0F3E" w:rsidRPr="006278D2" w14:paraId="7583076C" w14:textId="66CE63A2" w:rsidTr="00725D29">
        <w:trPr>
          <w:trHeight w:val="2220"/>
        </w:trPr>
        <w:tc>
          <w:tcPr>
            <w:tcW w:w="975" w:type="dxa"/>
            <w:hideMark/>
          </w:tcPr>
          <w:p w14:paraId="35E168E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1057.</w:t>
            </w:r>
          </w:p>
        </w:tc>
        <w:tc>
          <w:tcPr>
            <w:tcW w:w="2656" w:type="dxa"/>
            <w:hideMark/>
          </w:tcPr>
          <w:p w14:paraId="23824F1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59220CA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A4BA1C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1 </w:t>
            </w:r>
            <w:r w:rsidRPr="00BC49FC">
              <w:rPr>
                <w:rFonts w:ascii="Times New Roman" w:hAnsi="Times New Roman" w:cs="Times New Roman"/>
              </w:rPr>
              <w:t>Túto pripomienku považujeme za zásadnú. Ustanovenie § 12 ods. 2 písm. d) navrhujeme vypustiť.  Odôvodnenie: V § 12 ods. 2 písm. a) - o) sú uvedené výnimky, kedy nie je odsvedčenie na výstavbu energetického zariadenia potrebné. Navrhované doplnenie ale znamená, že výnimka sa bude aplikovať iba na významnú modernizáciu, a teda celkom nelogicky a nezmyselne na nevýznamnú modernizáciu osvedčenie na výstavbu energetického zariadenia osvedčenie potrebné bude. Taktiež je nesprávne a nezmyselné doplnenie uvedeného ustanovenia s kumulatívnou spojkou "a", nakoľko by to znamenalo, že osvedčenie nie je potrebné iba ak ide o modernizáciu a zároveň o rozšírenie sústavy. Tento novelizačný bod ako nezmyselný navrhujeme preto vypustiť.  Zároveň je potrebné uviesť, že toto navrhované doplnenie by bolo v rozpore s § 12 ods. 2 písm. h), podľa ktorého osvedčenie na výstavbu energetického zariadenia už v súčasnosti nie je potrebné na: „energetické zariadenie na prenos alebo distribúciu elektriny, ktoré predstavuje rekonštrukciu alebo modernizáciu existujúcej prenosovej sústavy alebo distribučnej sústavy prevádzkovateľa prenosovej sústavy alebo prevádzkovateľa distribučnej sústavy a ktoré bude prevádzkovať prevádzkovateľ prenosovej sústavy alebo prevádzkovateľ distribučnej sústavy,“ a teda zákon už dnes prípady modernizácie sústavy (nie len tej významnej) vylučuje z potreby získania osvedčenia.</w:t>
            </w:r>
          </w:p>
        </w:tc>
        <w:tc>
          <w:tcPr>
            <w:tcW w:w="2264" w:type="dxa"/>
            <w:hideMark/>
          </w:tcPr>
          <w:p w14:paraId="128A43F6" w14:textId="20422802"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5D5DE0B9" w14:textId="63775FD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xml:space="preserve">Upravené na základe viacerých pripomienok nasledovne:  </w:t>
            </w:r>
            <w:r w:rsidRPr="00BC49FC">
              <w:rPr>
                <w:rFonts w:ascii="Times New Roman" w:hAnsi="Times New Roman" w:cs="Times New Roman"/>
                <w:color w:val="000000"/>
              </w:rPr>
              <w:t xml:space="preserve">1. V § 12 ods. 2 písm. d) sa za slovo „predstavuje“ vkladajú slová „modernizáciu alebo“.  </w:t>
            </w:r>
          </w:p>
        </w:tc>
      </w:tr>
      <w:tr w:rsidR="00FE0F3E" w:rsidRPr="006278D2" w14:paraId="2A23124A" w14:textId="572DB7BC" w:rsidTr="00725D29">
        <w:trPr>
          <w:trHeight w:val="960"/>
        </w:trPr>
        <w:tc>
          <w:tcPr>
            <w:tcW w:w="975" w:type="dxa"/>
            <w:hideMark/>
          </w:tcPr>
          <w:p w14:paraId="3EC0C1D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1058.</w:t>
            </w:r>
          </w:p>
        </w:tc>
        <w:tc>
          <w:tcPr>
            <w:tcW w:w="2656" w:type="dxa"/>
            <w:hideMark/>
          </w:tcPr>
          <w:p w14:paraId="03D9BFB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VSD, a.s. </w:t>
            </w:r>
            <w:r w:rsidRPr="00BC49FC">
              <w:rPr>
                <w:rFonts w:ascii="Times New Roman" w:hAnsi="Times New Roman" w:cs="Times New Roman"/>
              </w:rPr>
              <w:t>Východoslovenská distribučná, a.s.</w:t>
            </w:r>
          </w:p>
        </w:tc>
        <w:tc>
          <w:tcPr>
            <w:tcW w:w="612" w:type="dxa"/>
            <w:hideMark/>
          </w:tcPr>
          <w:p w14:paraId="539C51B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EF837A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7 </w:t>
            </w:r>
            <w:r w:rsidRPr="00BC49FC">
              <w:rPr>
                <w:rFonts w:ascii="Times New Roman" w:hAnsi="Times New Roman" w:cs="Times New Roman"/>
              </w:rPr>
              <w:t>Túto pripomienku považujeme za zásadnú. Ustanovenie § 31 ods. 3 písm. ad) navrhujeme preformulovať, resp. viac sprecizovať.  Odôvodnenie: Nie je zrejmé o akého odberateľa ide, či už z hľadiska odoberaného tovaru (elektrina, plyn, ..., ako aj toho, či ide o koncového odberateľa alebo len odberateľa.</w:t>
            </w:r>
          </w:p>
        </w:tc>
        <w:tc>
          <w:tcPr>
            <w:tcW w:w="2264" w:type="dxa"/>
            <w:hideMark/>
          </w:tcPr>
          <w:p w14:paraId="037B7E13" w14:textId="408978B0"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33A05D2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25AAE51" w14:textId="46783411" w:rsidTr="00725D29">
        <w:trPr>
          <w:trHeight w:val="3165"/>
        </w:trPr>
        <w:tc>
          <w:tcPr>
            <w:tcW w:w="975" w:type="dxa"/>
            <w:hideMark/>
          </w:tcPr>
          <w:p w14:paraId="1E81684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1059.</w:t>
            </w:r>
          </w:p>
        </w:tc>
        <w:tc>
          <w:tcPr>
            <w:tcW w:w="2656" w:type="dxa"/>
            <w:hideMark/>
          </w:tcPr>
          <w:p w14:paraId="658ABCB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Verejnosť </w:t>
            </w:r>
            <w:r w:rsidRPr="00BC49FC">
              <w:rPr>
                <w:rFonts w:ascii="Times New Roman" w:hAnsi="Times New Roman" w:cs="Times New Roman"/>
              </w:rPr>
              <w:t>Verejnosť</w:t>
            </w:r>
          </w:p>
        </w:tc>
        <w:tc>
          <w:tcPr>
            <w:tcW w:w="612" w:type="dxa"/>
            <w:hideMark/>
          </w:tcPr>
          <w:p w14:paraId="1675BC07"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DBB175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w:t>
            </w:r>
            <w:r w:rsidRPr="00BC49FC">
              <w:rPr>
                <w:rFonts w:ascii="Times New Roman" w:hAnsi="Times New Roman" w:cs="Times New Roman"/>
              </w:rPr>
              <w:t>V čl. III pred bod 1 odporúčame vložiť nové body 1 až 4, ktoré znejú: „1. V § 1 ods. 3 písmeno c) znie:  ,,c) výroba tepla v decentralizovanom zdroji tepla v objekte spotreby tepla, v ktorom fyzická osoba alebo právnická osoba vykonávajúca správu bytového domu rozpočítava množstvo vyrobeného tepla konečným spotrebiteľom a vlastníkom bytov a nebytových priestorov nepripojených k decentralizovanému zdroju tepla a vlastníci bytov a nebytových priestorov neprenechali decentralizovaný zdroj tepla do užívania inej osobe,“.  2. V § 2 písmeno f) znie: „f) konečným spotrebiteľom fyzická osoba alebo právnická osoba, ktorá využíva teplo rozpočítané koncovým odberateľom alebo fyzickou osobou alebo právnickou osobou, ktorá vykonáva činnosť podľa § 1 ods. 3 písm. c)“,  3. V § 2 písmeno p) znie: „p) objektom spotreby tepla jedna budova, prípadne viac budov alebo iná stavba so zariadením na spotrebu tepla,   4. V § 2 písmeno s) znie:  ,,s) koncovým odberateľom odberateľ, ktorý dodané teplo využíva na vlastnú spotrebu alebo dodané teplo rozpočítava konečným spotrebiteľom a vlastníkom bytov a nebytových priestorov nepripojených k centralizovanému zásobovaniu teplom alebo decentralizovanému zdroju tepla alebo dodávateľ, ktorý dodané teplo rozpočítava konečným spotrebiteľom a vlastníkom bytov a nebytových priestorov nepripojených k centralizovanému zásobovaniu teplom alebo decentralizovanému zdroju tepla“.“  Odôvodnenie: 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sp. zn. PL. ÚS 1/2026-53 považujeme za potrebné upraviť príslušné ustanovenia zákona č. 657/2004 Z. z. o tepelnej energetike v znení neskorších predpisov.</w:t>
            </w:r>
          </w:p>
        </w:tc>
        <w:tc>
          <w:tcPr>
            <w:tcW w:w="2264" w:type="dxa"/>
            <w:vAlign w:val="center"/>
            <w:hideMark/>
          </w:tcPr>
          <w:p w14:paraId="4D7AF9F6" w14:textId="7663898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01D4234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62AA93F6" w14:textId="4CC6190D" w:rsidTr="00725D29">
        <w:trPr>
          <w:trHeight w:val="1590"/>
        </w:trPr>
        <w:tc>
          <w:tcPr>
            <w:tcW w:w="975" w:type="dxa"/>
            <w:hideMark/>
          </w:tcPr>
          <w:p w14:paraId="2BDE2A8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1060.</w:t>
            </w:r>
          </w:p>
        </w:tc>
        <w:tc>
          <w:tcPr>
            <w:tcW w:w="2656" w:type="dxa"/>
            <w:hideMark/>
          </w:tcPr>
          <w:p w14:paraId="05114F8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Verejnosť </w:t>
            </w:r>
            <w:r w:rsidRPr="00BC49FC">
              <w:rPr>
                <w:rFonts w:ascii="Times New Roman" w:hAnsi="Times New Roman" w:cs="Times New Roman"/>
              </w:rPr>
              <w:t>Verejnosť</w:t>
            </w:r>
          </w:p>
        </w:tc>
        <w:tc>
          <w:tcPr>
            <w:tcW w:w="612" w:type="dxa"/>
            <w:hideMark/>
          </w:tcPr>
          <w:p w14:paraId="0424145C"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72DB0A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w:t>
            </w:r>
            <w:r w:rsidRPr="00BC49FC">
              <w:rPr>
                <w:rFonts w:ascii="Times New Roman" w:hAnsi="Times New Roman" w:cs="Times New Roman"/>
              </w:rPr>
              <w:t>V čl. III bod 16 odporúčame upraviť nasledovne: V § 18 ods. 1 písmeno a) znie:  ,,a) merať množstvo dodaného tepla určeným meradlom spotreby tepla na každom dohodnutom odbernom mieste; ak dodávateľ rozpočítava teplo konečnému spotrebiteľovi a vlastníkom bytov a nebytových priestorov nepripojených k centralizovanému zásobovaniu teplom alebo decentralizovanému zdroju tepla tepla, merať množstvo dodaného tepla určeným meradlom na mieste, ktoré pre rozpočítavanie slúži ako odberné miesto,“  Odôvodnenie: 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sp. zn. PL. ÚS 1/2026-53 považujeme za potrebné upraviť príslušné ustanovenia zákona č. 657/2004 Z. z. o tepelnej energetike v znení neskorších predpisov.</w:t>
            </w:r>
          </w:p>
        </w:tc>
        <w:tc>
          <w:tcPr>
            <w:tcW w:w="2264" w:type="dxa"/>
            <w:vAlign w:val="center"/>
            <w:hideMark/>
          </w:tcPr>
          <w:p w14:paraId="2EDE454B" w14:textId="0F5B1E6D"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20150D4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00347ED8" w14:textId="62B7FC8E" w:rsidTr="00725D29">
        <w:trPr>
          <w:trHeight w:val="1590"/>
        </w:trPr>
        <w:tc>
          <w:tcPr>
            <w:tcW w:w="975" w:type="dxa"/>
            <w:hideMark/>
          </w:tcPr>
          <w:p w14:paraId="44FB2F4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1061.</w:t>
            </w:r>
          </w:p>
        </w:tc>
        <w:tc>
          <w:tcPr>
            <w:tcW w:w="2656" w:type="dxa"/>
            <w:hideMark/>
          </w:tcPr>
          <w:p w14:paraId="73520B7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Verejnosť </w:t>
            </w:r>
            <w:r w:rsidRPr="00BC49FC">
              <w:rPr>
                <w:rFonts w:ascii="Times New Roman" w:hAnsi="Times New Roman" w:cs="Times New Roman"/>
              </w:rPr>
              <w:t>Verejnosť</w:t>
            </w:r>
          </w:p>
        </w:tc>
        <w:tc>
          <w:tcPr>
            <w:tcW w:w="612" w:type="dxa"/>
            <w:hideMark/>
          </w:tcPr>
          <w:p w14:paraId="2D8DB48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054A8F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w:t>
            </w:r>
            <w:r w:rsidRPr="00BC49FC">
              <w:rPr>
                <w:rFonts w:ascii="Times New Roman" w:hAnsi="Times New Roman" w:cs="Times New Roman"/>
              </w:rPr>
              <w:t>V čl. III za bod 17. odporúčame vložiť nový bod 18., ktorý znie: V § 18 odsek 4 znie:  ,,(4) Koncový odberateľ, ktorý rozpočítava množstvo dodaného tepla konečnému spotrebiteľovi a vlastníkom bytov a nebytových priestorov nepripojených k centralizovanému zásobovaniu teplom alebo decentralizovanému zdroju tepla a fyzická osoba alebo právnická osoba, ktorá vykonáva činnosť podľa § 1 ods. 3 písm. c), sú povinní“  Odôvodnenie: 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sp. zn. PL. ÚS 1/2026-53 považujeme za potrebné upraviť príslušné ustanovenia zákona č. 657/2004 Z. z. o tepelnej energetike v znení neskorších predpisov.</w:t>
            </w:r>
          </w:p>
        </w:tc>
        <w:tc>
          <w:tcPr>
            <w:tcW w:w="2264" w:type="dxa"/>
            <w:vAlign w:val="center"/>
            <w:hideMark/>
          </w:tcPr>
          <w:p w14:paraId="3AE1FAF8" w14:textId="7A29977E"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0A65D8A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1B60CF4E" w14:textId="758CE0AE" w:rsidTr="00725D29">
        <w:trPr>
          <w:trHeight w:val="1905"/>
        </w:trPr>
        <w:tc>
          <w:tcPr>
            <w:tcW w:w="975" w:type="dxa"/>
            <w:hideMark/>
          </w:tcPr>
          <w:p w14:paraId="78F2DC9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1062.</w:t>
            </w:r>
          </w:p>
        </w:tc>
        <w:tc>
          <w:tcPr>
            <w:tcW w:w="2656" w:type="dxa"/>
            <w:hideMark/>
          </w:tcPr>
          <w:p w14:paraId="1805689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Verejnosť </w:t>
            </w:r>
            <w:r w:rsidRPr="00BC49FC">
              <w:rPr>
                <w:rFonts w:ascii="Times New Roman" w:hAnsi="Times New Roman" w:cs="Times New Roman"/>
              </w:rPr>
              <w:t>Verejnosť</w:t>
            </w:r>
          </w:p>
        </w:tc>
        <w:tc>
          <w:tcPr>
            <w:tcW w:w="612" w:type="dxa"/>
            <w:hideMark/>
          </w:tcPr>
          <w:p w14:paraId="2289777E"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EB9D71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III </w:t>
            </w:r>
            <w:r w:rsidRPr="00BC49FC">
              <w:rPr>
                <w:rFonts w:ascii="Times New Roman" w:hAnsi="Times New Roman" w:cs="Times New Roman"/>
              </w:rPr>
              <w:t>V čl. III za bod 18. odporúčame vložiť nový bod 19., ktorý znie: V § 18 odsek 11 znie:  ,,(11) Pravidlá rozpočítavania nákladov na množstvo dodaného tepla alebo pravidlá rozpočítavania na množstvo tepla vyrobeného v decentralizovanom zdroji tepla pre konečných spotrebiteľov tepla a vlastníkov bytov a nebytových priestorov nepripojených k centralizovanému zásobovaniu teplom alebo decentralizovanému zdroju tepla, vrátane pomeru základnej zložky a spotrebnej zložky a ekonomicky oprávnených nákladov na teplo vyrobené v decentralizovanom zdroji tepla ustanoví všeobecne záväzný právny predpis, ktorý vydá ministerstvo.“  Odôvodnenie: 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sp. zn. PL. ÚS 1/2026-53 považujeme za potrebné upraviť príslušné ustanovenia zákona č. 657/2004 Z. z. o tepelnej energetike v znení neskorších predpisov.</w:t>
            </w:r>
          </w:p>
        </w:tc>
        <w:tc>
          <w:tcPr>
            <w:tcW w:w="2264" w:type="dxa"/>
            <w:hideMark/>
          </w:tcPr>
          <w:p w14:paraId="0A7C8D28" w14:textId="774A4C3D"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r>
              <w:rPr>
                <w:rFonts w:ascii="Times New Roman" w:hAnsi="Times New Roman" w:cs="Times New Roman"/>
                <w:b/>
                <w:bCs/>
              </w:rPr>
              <w:t>ČA</w:t>
            </w:r>
          </w:p>
        </w:tc>
        <w:tc>
          <w:tcPr>
            <w:tcW w:w="2753" w:type="dxa"/>
            <w:hideMark/>
          </w:tcPr>
          <w:p w14:paraId="673FF32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26B44038" w14:textId="2BFFEA66" w:rsidTr="00725D29">
        <w:trPr>
          <w:trHeight w:val="7890"/>
        </w:trPr>
        <w:tc>
          <w:tcPr>
            <w:tcW w:w="975" w:type="dxa"/>
            <w:hideMark/>
          </w:tcPr>
          <w:p w14:paraId="6BFDA18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1063.</w:t>
            </w:r>
          </w:p>
        </w:tc>
        <w:tc>
          <w:tcPr>
            <w:tcW w:w="2656" w:type="dxa"/>
            <w:hideMark/>
          </w:tcPr>
          <w:p w14:paraId="7C2A88B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Verejnosť </w:t>
            </w:r>
            <w:r w:rsidRPr="00BC49FC">
              <w:rPr>
                <w:rFonts w:ascii="Times New Roman" w:hAnsi="Times New Roman" w:cs="Times New Roman"/>
              </w:rPr>
              <w:t>Verejnosť</w:t>
            </w:r>
          </w:p>
        </w:tc>
        <w:tc>
          <w:tcPr>
            <w:tcW w:w="612" w:type="dxa"/>
            <w:hideMark/>
          </w:tcPr>
          <w:p w14:paraId="06CCACA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5075A9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Návrhy  1. minimalizovať bezpečnostné a zdravotné riziká diaľkových meradiel v bytových domoch minimalizáciou diaľkového vysielania. Len v jednom bytovom dome je alebo bude inštalovaných z dôvodu zákonnej povinnosti stovky meradiel s diaľkovým odpočtom, čo predstavuje výrazné zaplnenie relatívne malého uzavretého priestoru veľkým množstvom aktívnych vysielačov s takmer nepretržitým vysielaním. Okrem toho sa do priestoru vysielajú údaje o spotrebe každej domácnosti v takej presnosti a časovom rozlíšení, že v prípade získania údajov neoprávneným subjektom môže dôjsť k zneužitiu údajov a poškodeniu spotrebiteľov. Predstava o tom, že meradlá vysielajú signál iba v momente odpočtu je mylná. Výrobcovia deklarujú takmer nepretržité vysielanie (napr. každé 2 minúty 365 dní v roku). Preto je nutné stanoviť, aby diaľkové meradlá vysielali iba nevyhnutné údaje a v nevyhnutnom čase a to na dopyt (t.j. údaje by mali byť meradlom odoslané iba po prijatí požiadavky z prijímača v  momente potreby odpočtu, čo je v súčasnosti napr. raz ročne), nie nepretržite, resp. nie často s krátkou periódou (zrušiť nepretržité vysielanie údajov do prázdna). Dať možnosť spotrebiteľovi nastaviť čo, kedy a ako často sa odosiela. Zaznamenávať dopyty (čas a zariadenie, ktoré požiadalo o vyslanie údajov) a informovať spotrebiteľov o tom kedy a kto čítal údaje z ich meradiel. 2. upraviť zákon (vyhláška 503/2022 Z.z., najmä v § 8 a § 10) tak, aby vlastníkovi (konečnému spotrebiteľovi), ktorý má platné a funkčné meradlo (bez ohľadu na to, či má alebo nemá diaľkovú funkciu aj napriek schváleniu väčšiny vlastníkov) a umožní fyzický odpočet alebo na výzvu vykoná a doručí samoodpočet včas rozpočítateľovi (konečnému odberateľovi, ktorý rozpočítava náklady konečným spotrebiteľom), aby takýto odpočet bol uznaný a spotreba určená podľa meradla riadnym spôsobom bez sankcionovania resp. vypočítavania náhradnej spotreby. V súčasnosti je spomínaný spotrebiteľ sankcionovaný rovnako, ako by úmyselne odmietal meranie alebo sprístupnenie meradla, čo je neadekvátny postih aj vzhľadom na fakt, že diaľková funkcia meradla nie je nevyhnutná na samotné meranie spotreby meradlom ani na vykonanie (fakturačného) odpočtu. Podľa súčasnej legislatívy sa spomínanému spotrebiteľovi v prípade kúrenia spotreba určí podľa meradla iného spotrebiteľa v dome (s najvyššou spotrebou) navýšený 1,1-násobkom. V prípade teplej vody ide o 1,5 násobok priemeru všetkých meradiel v dome. V oboch prípadoch sa teda vôbec neberie do úvahy stav meradla daného spotrebiteľa (aj keď má meradlo funkčné, platné a umožňuje k nemu prístup a odpočet), ale stav iných meradiel, čo je jednak v protiklade s §17 ods. 4 písm. d), resp. §18 ods. 4 písm. c) zákona 657/2004 Z.z., ako aj v protiklade s  cieľmi zlepšovania energetickej efektívnosti, nakoľko spomínaný spotrebiteľ je priam nútený nešetriť. 3. zrovnoprávniť vlastníkov, ktorí nemajú meradlá s diaľkovou funkciou. Umožniť slobodné rozhodovanie vlastníkov, voľný a konkurenčný trh v oblasti diaľkových meradiel. Odstrániť z predpisov ignorovanie faktu, že niektorí vlastníci môžu mať meradlá bez diaľkovej funkcie z rôznych dôvodov (ekonomické, zdravotné, bezpečnostné, osobné, objektívne napr. nedostatok meradiel s určitými parametrami na trhu a pod.). 4. nezaväzovať všetkých vlastníkov mať diaľkové meradlá aj napriek schváleniu väčšinou vlastníkov v dome. A to najmä v dlhoročne pretrvávajúcej situácii, kedy sú nedostatky a protirečenia v zákonných predpisoch v danej oblasti, kedy na trhu nie sú diaľkové meradlá s dostatočne vhodnými parametrami pre spotrebiteľov a diaľková funkcia meradiel má bezpečnostné a zdravotné riziká. 5. odstrániť protirečenia v právnych predpisoch. Napríklad vlastník podľa zákona 657/2004 Z.z. má povinnosť preukazovať neefektívnosť tovaru, ktorý je povinný zo zákona kúpiť a mať namontovaný na vlastné náklady, pričom nemá garantované, že tovar bude pre spotrebiteľa výhodný, efektívny, bezrizikový a že bude mať podmienky na slobodný výber. Ľudské práva takúto vynútenú povinnosť spotrebiteľa vylučujú. Efektívnosť (návratnosť) technológie diaľkových odpočtov je sporná aj z praxe, aj zo samotných materiálov, kde sa uvádza, že budúce výnosy (efekty) nemožno vyčísliť. Domy, ktoré diaľkovú technológiu majú už niekoľko rokov, nepreukázali žiadne zlepšenie energetickej efektívnosti, ani sa im neznížili náklady. 6. keďže zákon (657/2004 a 321/2014) vynucuje používanie diaľkových meradiel, do sociálnych a ekonomických dopadov pripomienkovaného materiálu je potrebné doplniť fakt, že diaľková funkcia meradiel predstavuje značné finančné zaťaženie všetkých spotrebiteľov. Diaľkové meradlá sú preukázateľne niekoľkonásobne drahšie ako nediaľkové a vyžadujú ďalšie obslužné zariadenia, softvér, služby, siete. Do environmentálnych dopadov je potrebné doplniť fakty o dopade používania diaľkových a súvisiacich zariadení (výroba, údržba, prevádzkovanie, úložiská, čo predstavuje zvýšené nároky na energie a zdroje, zvýšenie množstva elektroodpadu a pod.). Dlhodobé a kumulované pôsobenie el.mag. žiarenia môže mať vplyv na živé organizmy vrátane človeka (uvádzajú sa štúdie a indície o škodlivosti).</w:t>
            </w:r>
          </w:p>
        </w:tc>
        <w:tc>
          <w:tcPr>
            <w:tcW w:w="2264" w:type="dxa"/>
            <w:vAlign w:val="bottom"/>
            <w:hideMark/>
          </w:tcPr>
          <w:p w14:paraId="362BB60A" w14:textId="6AA5308A"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sz w:val="22"/>
                <w:szCs w:val="22"/>
              </w:rPr>
              <w:t>N</w:t>
            </w:r>
          </w:p>
        </w:tc>
        <w:tc>
          <w:tcPr>
            <w:tcW w:w="2753" w:type="dxa"/>
            <w:vAlign w:val="bottom"/>
            <w:hideMark/>
          </w:tcPr>
          <w:p w14:paraId="45F36D48" w14:textId="75A45AA6" w:rsidR="00FE0F3E" w:rsidRPr="00BC49FC" w:rsidRDefault="00FE0F3E" w:rsidP="00666928">
            <w:pPr>
              <w:rPr>
                <w:rFonts w:ascii="Times New Roman" w:hAnsi="Times New Roman" w:cs="Times New Roman"/>
                <w:b/>
                <w:bCs/>
              </w:rPr>
            </w:pPr>
            <w:r w:rsidRPr="00F743B5">
              <w:rPr>
                <w:rFonts w:ascii="Times New Roman" w:hAnsi="Times New Roman" w:cs="Times New Roman"/>
                <w:color w:val="000000"/>
              </w:rPr>
              <w:t>Návrh vyhlášky má len informatívny charakte</w:t>
            </w:r>
            <w:r>
              <w:rPr>
                <w:rFonts w:ascii="Times New Roman" w:hAnsi="Times New Roman" w:cs="Times New Roman"/>
                <w:color w:val="000000"/>
              </w:rPr>
              <w:t>r</w:t>
            </w:r>
            <w:r w:rsidRPr="00F743B5">
              <w:rPr>
                <w:rFonts w:ascii="Times New Roman" w:hAnsi="Times New Roman" w:cs="Times New Roman"/>
                <w:color w:val="000000"/>
              </w:rPr>
              <w:t xml:space="preserve"> a bude k nej osobitný legislatívny proces</w:t>
            </w:r>
            <w:r>
              <w:rPr>
                <w:rFonts w:ascii="Times New Roman" w:hAnsi="Times New Roman" w:cs="Times New Roman"/>
                <w:color w:val="000000"/>
              </w:rPr>
              <w:t>.</w:t>
            </w:r>
          </w:p>
        </w:tc>
      </w:tr>
      <w:tr w:rsidR="00FE0F3E" w:rsidRPr="006278D2" w14:paraId="17ADEB05" w14:textId="602393DE" w:rsidTr="00725D29">
        <w:trPr>
          <w:trHeight w:val="5055"/>
        </w:trPr>
        <w:tc>
          <w:tcPr>
            <w:tcW w:w="975" w:type="dxa"/>
            <w:hideMark/>
          </w:tcPr>
          <w:p w14:paraId="6C106EB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1064.</w:t>
            </w:r>
          </w:p>
        </w:tc>
        <w:tc>
          <w:tcPr>
            <w:tcW w:w="2656" w:type="dxa"/>
            <w:hideMark/>
          </w:tcPr>
          <w:p w14:paraId="4D757D6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Verejnosť </w:t>
            </w:r>
            <w:r w:rsidRPr="00BC49FC">
              <w:rPr>
                <w:rFonts w:ascii="Times New Roman" w:hAnsi="Times New Roman" w:cs="Times New Roman"/>
              </w:rPr>
              <w:t>Verejnosť</w:t>
            </w:r>
          </w:p>
        </w:tc>
        <w:tc>
          <w:tcPr>
            <w:tcW w:w="612" w:type="dxa"/>
            <w:hideMark/>
          </w:tcPr>
          <w:p w14:paraId="2F581D4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268E0B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Celému materiálu </w:t>
            </w:r>
            <w:r w:rsidRPr="00BC49FC">
              <w:rPr>
                <w:rFonts w:ascii="Times New Roman" w:hAnsi="Times New Roman" w:cs="Times New Roman"/>
              </w:rPr>
              <w:t>Do 1. 1. 2027 majú byť všetky meradlá okrem studenej vody vybavené diaľkovým odpočtom, ale to neplatí, ak vlastník budovy preukáže, že inštalácia funkcie diaľkového odpočtu nie je nákladovo primeraná alebo technicky možná. 1. Hlavne je to zdraviu škodlivé. Smartizácia porušuje ľudské práva a vôbec by nemala byť aplikovaná, o čom hovorí aj množstvo odborných štúdií!!! •Listina základných práv a slobôd (zákon č. 23/1991 Z.z.) • Dohovor o ochrane ľudských práv a základných slobôd (vrátane dodatkových protokolov) • Charta základných práv EÚ (angl. Charter of Fundamental Rights of the EU 2012/C 326/02) • Dohovor o právach dieťaťa (zákon č. 104/1991 Z.z.) • Ústava Slovenskej republiky (zákon č. 460/1992 Z.z.), • Rezolúcia Rady Európy 1815 , bod 8.2.1.  • Bioiniciatíva 2012  • Smernice stavebnej biológie pre priestory odpočinku  • Smernica EUROPAEM EMF 2016 pre prevenciu, diagnózu a liečbu zdravotných problémov a ochorení súvisiacich s EMF •RF EMŽ je podľa IARC WHO karcinogén skupiny 2B.  www.iarc.who.int/wp-content/uploads/2018/07/pr208_E.pdf •Taktiež v odbornom zhrnutí posudku (https://www.elektrosmogazdravie.sk/wp-content/uploads/docs/ZhrnutiePosudku_Prof_Silny.pdf) rádiových systémov Techem od profesora Silneho sa píše, že s ohľadom na rozsah platnosti švajčiarskych limitných hodnôt, bezdrôtové meradlá a PRVN nie sú určené pre lokality s citlivým užívaním. „Lokality s citlivým užívaním” sú miestnosti v budovách, ktoré sú pravidelne dlhodobo obývané alebo užívané osobami a detské ihriská. Aplikovaním rovnakého prístupu pri ochrane verejného zdravia ako je to vo Švajčiarsku, dostávame konštatáciu, že posudzované zariadenia nie sú určené pre bytové domy. Prof. Silny ďalej konštatuje, že nie je možné vylúčiť negatívne zdravotné dopady týchto meračov na ľudí. 2. Sú ľudia, ktorí sú citliví na RF EMŽ, takže majú tienené byty proti tomutu žiareniu, to znamená, že mať diaľkový merač je neefektívne a nemôžu byť preto sankcionovaní. Alebo nemajú tienené byty a preto odmietajú merače s diaľkovým odpočtom. 3. Nákladovo primerané to tiež nie je – výroba inteligentných meradiel je drahšia a vznikajú ďalšie administratívne náklady – prevádzka a správa webových aplikácií, komunikačných uzlov a SIM kariet, nákup licencií na softvér a to spotrebúva ďalšiu energiu, čo je v rozpore s cieľmi Smernice o energetickej efektívnosti. 4. Každý človek má právo sa slobodne a bez nátlaku a sankcií rozhodnúť, či chce merače s diaľkovým odpočtom alebo nie. A aj keď si to dá namontovať, tak neskôr, keď si to rozmyslí, aby mal možnosť si to dať aj demontovať. 5. Správcovské spoločnosti nekalo jednajú s vlastníkmi bytov, pretože im neposkytujú všetky informácie o inteligentých meradlách a vyhrážajú sa sankciami, aj keď vlastník chce naďalej mať vizuálny merač a nahlasovať stav merača.  Aj napriek tomu, že v popise inteligentných meračov je napísané, že sú nastaviteľné, tak signály sú vysielané zvyčajne každých 112 sekúnd, 24 hodín denne, 365 dní v roku, čiže zbytočne vysielaných až 187 000 údajov, aj keď skutočne využitých je len 12 údajov. Signál nastaviť na 1x mesačne, určiť presný termín. Trestným zákonom č. 300/2005 Z.z. (pozn. Správcov bytových domov sa týka predovšetkým §  237 Porušovanie povinnosti pri správe cudzieho majetku, § 269 Poškodzovanie spotrebiteľa, §  269a Nekalé obchodné praktiky voči spotrebiteľovi)</w:t>
            </w:r>
          </w:p>
        </w:tc>
        <w:tc>
          <w:tcPr>
            <w:tcW w:w="2264" w:type="dxa"/>
            <w:vAlign w:val="bottom"/>
            <w:hideMark/>
          </w:tcPr>
          <w:p w14:paraId="6C82EE0E" w14:textId="372F1DA0"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sz w:val="22"/>
                <w:szCs w:val="22"/>
              </w:rPr>
              <w:t>N</w:t>
            </w:r>
          </w:p>
        </w:tc>
        <w:tc>
          <w:tcPr>
            <w:tcW w:w="2753" w:type="dxa"/>
            <w:vAlign w:val="bottom"/>
            <w:hideMark/>
          </w:tcPr>
          <w:p w14:paraId="75F373C9" w14:textId="6E5C2D7C"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Návrh vyhlášky má len informatívny charakte</w:t>
            </w:r>
            <w:r>
              <w:rPr>
                <w:rFonts w:ascii="Times New Roman" w:hAnsi="Times New Roman" w:cs="Times New Roman"/>
                <w:color w:val="000000"/>
              </w:rPr>
              <w:t>r</w:t>
            </w:r>
            <w:r w:rsidRPr="00BC49FC">
              <w:rPr>
                <w:rFonts w:ascii="Times New Roman" w:hAnsi="Times New Roman" w:cs="Times New Roman"/>
                <w:color w:val="000000"/>
              </w:rPr>
              <w:t xml:space="preserve"> a bude k nej osobitný legislatívny proces</w:t>
            </w:r>
            <w:r>
              <w:rPr>
                <w:rFonts w:ascii="Times New Roman" w:hAnsi="Times New Roman" w:cs="Times New Roman"/>
                <w:color w:val="000000"/>
              </w:rPr>
              <w:t>.</w:t>
            </w:r>
          </w:p>
        </w:tc>
      </w:tr>
      <w:tr w:rsidR="00FE0F3E" w:rsidRPr="006278D2" w14:paraId="71BFA250" w14:textId="494309A4" w:rsidTr="00725D29">
        <w:trPr>
          <w:trHeight w:val="2850"/>
        </w:trPr>
        <w:tc>
          <w:tcPr>
            <w:tcW w:w="975" w:type="dxa"/>
            <w:hideMark/>
          </w:tcPr>
          <w:p w14:paraId="061DE22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1065.</w:t>
            </w:r>
          </w:p>
        </w:tc>
        <w:tc>
          <w:tcPr>
            <w:tcW w:w="2656" w:type="dxa"/>
            <w:hideMark/>
          </w:tcPr>
          <w:p w14:paraId="437ABD8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56C4B99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4105A0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2,§ 4,§ 24 </w:t>
            </w:r>
            <w:r w:rsidRPr="00BC49FC">
              <w:rPr>
                <w:rFonts w:ascii="Times New Roman" w:hAnsi="Times New Roman" w:cs="Times New Roman"/>
              </w:rPr>
              <w:t>Zásadná pripomienka:  Princíp „prvoradosti energetickej efektívnosti“ je neprimeraný pre niektoré typy projektov a preto navrhujeme doplniť, že princíp prvoradosti energetickej efektívnosti sa neuplatňuje automaticky na investície do výroby elektriny, najmä na projekty zabezpečujúce bezpečnosť dodávok, stabilitu sústavy a flexibilitu (napr. VE a PVE, jadrové zdroje, BESS, CCGT), alebo sa uplatňuje primerane s prihliadnutím na ich systémový prínos, príspevok k optimálnemu energetickému mixu, príspevok  k bezpečnosti dodávok a príspevok k minimalizácii celkových nákladov na systém.  Odôvodnenie:  Aktuálne znenie umožňuje blokovať investície, ak sa formálne preukáže „lacnejšia úspora“ aj na strane odberu. Obmedzenia:  • každý projekt musí dokazovať, že neexistuje lacnejšia úspora energie  • vzniká nová forma povoľovacieho/posudzovacieho procesu Nereflektuje:  • kto posudzuje, v akej fáze projektu a parametre bezpečnosti dodávok  • potrebu flexibility (BESS, PVE) • kapacitné mechanizmy • zloženie energetického mixu v krajine • skutočnosť, že menej energeticky efektívne riešenie môže byť výhodnejšie z pohľadu celkových nákladov na systém alebo z pohľadu strategickej nezávislosti. Príklady: 1) technológia OCGT môže byť nákladovo efektívnym spôsobom na vyriešenie zdrojovej primeranosti, napriek tomu že môže byť považovaná za neefektívnu z pohľadu energetickej efektívnosti 2) technológia PVE môže mať vyššie energetické straty ako iné technológie skladovania energie. Napriek  tomu môže byť technológia PVE vhodným doplnkom do energetického mixu vzhľadom na to, že touto technológiou sa nevytvárajú žiadne závislosti na krajiny mimo EU, keďže dodávateľský reťazec je rukách európskych firiem.</w:t>
            </w:r>
          </w:p>
        </w:tc>
        <w:tc>
          <w:tcPr>
            <w:tcW w:w="2264" w:type="dxa"/>
            <w:hideMark/>
          </w:tcPr>
          <w:p w14:paraId="125B8529" w14:textId="6149F0A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5C10209A" w14:textId="6CA1DADB"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Bude upravené a  diskutované v rámci prípravy vyhlášky, ktorá bude predmetom osobitného legislatívneho procesu.</w:t>
            </w:r>
            <w:r w:rsidRPr="00BC49FC">
              <w:rPr>
                <w:rFonts w:ascii="Times New Roman" w:hAnsi="Times New Roman" w:cs="Times New Roman"/>
                <w:color w:val="196B24"/>
              </w:rPr>
              <w:t>.</w:t>
            </w:r>
          </w:p>
        </w:tc>
      </w:tr>
      <w:tr w:rsidR="00FE0F3E" w:rsidRPr="006278D2" w14:paraId="37AEEAD3" w14:textId="65BAEA6F" w:rsidTr="00725D29">
        <w:trPr>
          <w:trHeight w:val="960"/>
        </w:trPr>
        <w:tc>
          <w:tcPr>
            <w:tcW w:w="975" w:type="dxa"/>
            <w:hideMark/>
          </w:tcPr>
          <w:p w14:paraId="5FC2C64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1066.</w:t>
            </w:r>
          </w:p>
        </w:tc>
        <w:tc>
          <w:tcPr>
            <w:tcW w:w="2656" w:type="dxa"/>
            <w:hideMark/>
          </w:tcPr>
          <w:p w14:paraId="4E3C9AB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0608E01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D8971E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24 </w:t>
            </w:r>
            <w:r w:rsidRPr="00BC49FC">
              <w:rPr>
                <w:rFonts w:ascii="Times New Roman" w:hAnsi="Times New Roman" w:cs="Times New Roman"/>
              </w:rPr>
              <w:t>Zásadná pripomienka:  Princíp „prvoradosti energetickej efektívnosti“ navrhujeme spresniť tak, že uplatňovanie princípu prvoradosti energetickej efektívnosti pri dôležitých investíciách podľa § 24 má analytický a plánovací charakter a nezakladá samostatnú povoľovaciu podmienku ani dôvod na zamietnutie alebo pozastavenie investičného projektu.  Odôvodnenie:  Aktuálne znenie umožňuje blokovať investície, ak sa formálne preukáže „lacnejšia úspora“ aj na strane odberu. Obmedzenia:  • bankovateľnosť  • regulačná neistota  • zásah do investičného rozhodovania • predĺženie realizácie investícií</w:t>
            </w:r>
          </w:p>
        </w:tc>
        <w:tc>
          <w:tcPr>
            <w:tcW w:w="2264" w:type="dxa"/>
            <w:hideMark/>
          </w:tcPr>
          <w:p w14:paraId="3CE37074" w14:textId="1855F980"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7C5DDB31" w14:textId="35515361"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Bude upravené a diskutované v rámci prípravy vyhlášky, ktorá bude predmetom osobitného legislatívneho procesu.  </w:t>
            </w:r>
            <w:r w:rsidRPr="00BC49FC">
              <w:rPr>
                <w:rFonts w:ascii="Times New Roman" w:hAnsi="Times New Roman" w:cs="Times New Roman"/>
                <w:color w:val="196B24"/>
              </w:rPr>
              <w:t>.</w:t>
            </w:r>
          </w:p>
        </w:tc>
      </w:tr>
      <w:tr w:rsidR="00FE0F3E" w:rsidRPr="006278D2" w14:paraId="785B62DF" w14:textId="4745A21C" w:rsidTr="00725D29">
        <w:trPr>
          <w:trHeight w:val="1590"/>
        </w:trPr>
        <w:tc>
          <w:tcPr>
            <w:tcW w:w="975" w:type="dxa"/>
            <w:hideMark/>
          </w:tcPr>
          <w:p w14:paraId="4C737C9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1067.</w:t>
            </w:r>
          </w:p>
        </w:tc>
        <w:tc>
          <w:tcPr>
            <w:tcW w:w="2656" w:type="dxa"/>
            <w:hideMark/>
          </w:tcPr>
          <w:p w14:paraId="057F81D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07A454B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653D5B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25 </w:t>
            </w:r>
            <w:r w:rsidRPr="00BC49FC">
              <w:rPr>
                <w:rFonts w:ascii="Times New Roman" w:hAnsi="Times New Roman" w:cs="Times New Roman"/>
              </w:rPr>
              <w:t>Zásadná pripomienka:  Ustanovenie navrhujeme spresniť tak, že: 1) cost benefit analýza sa zohľadní pri rozhodovaní; uplatnenie princípu však nepredstavuje automatickú podmienku zamietnutia projektu, ak z posúdenia vyplýva, že alternatíva energetickej efektívnosti nie je uskutočniteľná, primeraná alebo nedosahuje rovnaký cieľ 2) povinnosť ekonomickej analýzy nákladov a prínosov sa nevzťahuje na zariadenia na výrobu elektriny slúžiace na poskytovanie flexibility a zabezpečenie stability elektrizačnej sústavy (napr. BESS, PVE), alebo sa uplatňuje len v rozsahu primeranom charakteru projektu.  Odôvodnenie:  Aktuálne znenie zavádza dodatočné analýzy a povoľovaciu vrstvu pre zariadenia nad 10MW a modernizácie.  Nereflektuje:  • BESS a flexibilita nemajú primárne tepelné využitie • výrazné predlžovanie prípravy projektov • riziko duplicity s EIA / povoleniami</w:t>
            </w:r>
          </w:p>
        </w:tc>
        <w:tc>
          <w:tcPr>
            <w:tcW w:w="2264" w:type="dxa"/>
            <w:vAlign w:val="center"/>
            <w:hideMark/>
          </w:tcPr>
          <w:p w14:paraId="193B8FE6" w14:textId="0BF88CB4"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1D0C3509" w14:textId="6FD28516"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Bude upravené vo vyhláške k princípu prvoradosti</w:t>
            </w:r>
            <w:r>
              <w:rPr>
                <w:rFonts w:ascii="Times New Roman" w:hAnsi="Times New Roman" w:cs="Times New Roman"/>
                <w:color w:val="000000"/>
              </w:rPr>
              <w:t xml:space="preserve"> v samostatnom legislatívnom procese.</w:t>
            </w:r>
            <w:r w:rsidRPr="00BC49FC">
              <w:rPr>
                <w:rFonts w:ascii="Times New Roman" w:hAnsi="Times New Roman" w:cs="Times New Roman"/>
                <w:color w:val="000000"/>
              </w:rPr>
              <w:t xml:space="preserve"> </w:t>
            </w:r>
          </w:p>
        </w:tc>
      </w:tr>
      <w:tr w:rsidR="00FE0F3E" w:rsidRPr="006278D2" w14:paraId="12CE5B9D" w14:textId="40B9F3A2" w:rsidTr="00725D29">
        <w:trPr>
          <w:trHeight w:val="1590"/>
        </w:trPr>
        <w:tc>
          <w:tcPr>
            <w:tcW w:w="975" w:type="dxa"/>
            <w:hideMark/>
          </w:tcPr>
          <w:p w14:paraId="64ED059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1068.</w:t>
            </w:r>
          </w:p>
        </w:tc>
        <w:tc>
          <w:tcPr>
            <w:tcW w:w="2656" w:type="dxa"/>
            <w:hideMark/>
          </w:tcPr>
          <w:p w14:paraId="73FC400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2F30518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BB3DED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7 </w:t>
            </w:r>
            <w:r w:rsidRPr="00BC49FC">
              <w:rPr>
                <w:rFonts w:ascii="Times New Roman" w:hAnsi="Times New Roman" w:cs="Times New Roman"/>
              </w:rPr>
              <w:t>Zásadná pripomienka:  Zavedenie zásobníka koordinačných opatrení navrhujeme upraviť tak, že sa vylúčia investičné projekty baseload výroby elektriny a poskytovania flexibility vo forme akumulácie z režimu koordinačných opatrení energetickej efektívnosti alebo zjednodušiť ich evidenciu bez potreby schvaľovania.  Odôvodnenie:  Tento systém zavádza povinnú koordináciu, prípravu metodických tabuliek a schvaľovanie Prevádzkovateľom monitorovacieho systému. Obmedzenia: • zavádza dodatočné administratívne schvaľovanie projektov  • spôsobuje oneskorenie realizácie investičných projektov • zvyšuje náklady a regulačnú neistotu projektov Nereflektuje:  • že ide o investičné projekty výroby elektriny, nie opatrenia energetickej efektívnosti  • potrebu rýchlej implementácie flexibilných zdrojov  • systémový prínos projektov (stabilita sústavy, bezpečnosť dodávok)</w:t>
            </w:r>
          </w:p>
        </w:tc>
        <w:tc>
          <w:tcPr>
            <w:tcW w:w="2264" w:type="dxa"/>
            <w:vAlign w:val="center"/>
            <w:hideMark/>
          </w:tcPr>
          <w:p w14:paraId="6E78A62F" w14:textId="7A4886F0"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258C4F63" w14:textId="4B6D9F65"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Týka sa iba opatrení energetickej efektívnosti. Zásobník nie je podmienený schvaľovaním projektov. Vysvetlené na rozporovom rokovaní. </w:t>
            </w:r>
          </w:p>
        </w:tc>
      </w:tr>
      <w:tr w:rsidR="00FE0F3E" w:rsidRPr="006278D2" w14:paraId="547B01AF" w14:textId="281FA31C" w:rsidTr="00725D29">
        <w:trPr>
          <w:trHeight w:val="960"/>
        </w:trPr>
        <w:tc>
          <w:tcPr>
            <w:tcW w:w="975" w:type="dxa"/>
            <w:hideMark/>
          </w:tcPr>
          <w:p w14:paraId="119D56E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1069.</w:t>
            </w:r>
          </w:p>
        </w:tc>
        <w:tc>
          <w:tcPr>
            <w:tcW w:w="2656" w:type="dxa"/>
            <w:hideMark/>
          </w:tcPr>
          <w:p w14:paraId="5C1C811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4C92062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903177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9,§ 10 </w:t>
            </w:r>
            <w:r w:rsidRPr="00BC49FC">
              <w:rPr>
                <w:rFonts w:ascii="Times New Roman" w:hAnsi="Times New Roman" w:cs="Times New Roman"/>
              </w:rPr>
              <w:t>Zásadná pripomienka:  V ustanoveniachnavrhujeme doplniť, že rozsah údajov požadovaných v rámci monitorovacieho systému musí byť primeraný účelu ich spracúvania, nesmie viesť k duplicitnému poskytovaniu údajov, ktoré už má verejná správa k dispozícii, a nesmie neprimerane zvyšovať administratívne a finančné zaťaženie povinných subjektov.  Odôvodnenie:  Zákon zavádza rozsiahle povinnosti zberu, spracovania a poskytovania údajov bez preukázania, že prínosy systému prevyšujú náklady, ktoré vzniknú podnikateľským subjektom a verejnému sektoru Riziko:  • Náklady na systém presiahnu prínosy</w:t>
            </w:r>
          </w:p>
        </w:tc>
        <w:tc>
          <w:tcPr>
            <w:tcW w:w="2264" w:type="dxa"/>
            <w:vAlign w:val="center"/>
            <w:hideMark/>
          </w:tcPr>
          <w:p w14:paraId="26A79EB3" w14:textId="4788C96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77FFF8A" w14:textId="65A40501"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Požiadavky na rozsah údajov vyplývajú z EK nariadenia 2022/2299, snaha o zjednodušenie poskytovania údajov.</w:t>
            </w:r>
          </w:p>
        </w:tc>
      </w:tr>
      <w:tr w:rsidR="00FE0F3E" w:rsidRPr="006278D2" w14:paraId="19105A34" w14:textId="5D40900A" w:rsidTr="00725D29">
        <w:trPr>
          <w:trHeight w:val="1275"/>
        </w:trPr>
        <w:tc>
          <w:tcPr>
            <w:tcW w:w="975" w:type="dxa"/>
            <w:hideMark/>
          </w:tcPr>
          <w:p w14:paraId="0DFC8B6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1070.</w:t>
            </w:r>
          </w:p>
        </w:tc>
        <w:tc>
          <w:tcPr>
            <w:tcW w:w="2656" w:type="dxa"/>
            <w:hideMark/>
          </w:tcPr>
          <w:p w14:paraId="2C7C35A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3421FAB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69D06A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7 ods. 3 </w:t>
            </w:r>
            <w:r w:rsidRPr="00BC49FC">
              <w:rPr>
                <w:rFonts w:ascii="Times New Roman" w:hAnsi="Times New Roman" w:cs="Times New Roman"/>
              </w:rPr>
              <w:t>Zásadná pripomienka:   V ustanovení navrhujeme explicitne uviesť, že údaje o financovaní opatrení energetickej efektívnosti sa pri projektoch financovaných výlučne zo súkromných zdrojov poskytujú len v agregovanom rozsahu a spôsobom, ktorý neumožňuje identifikáciu obchodných, finančných alebo investičných parametrov konkrétneho projektu, ak tieto údaje predstavujú obchodné tajomstvo alebo iné dôverné informácie.  Odôvodnenie:  Prevádzkovateľ monitorovacieho systému vstupuje do súkromných obchodných vzťahov medzi Gestorom a poskytovateľom financovania.  Riziko:  • zásah do citlivých finančných dát  • znižuje atraktivitu investícií</w:t>
            </w:r>
          </w:p>
        </w:tc>
        <w:tc>
          <w:tcPr>
            <w:tcW w:w="2264" w:type="dxa"/>
            <w:vAlign w:val="center"/>
            <w:hideMark/>
          </w:tcPr>
          <w:p w14:paraId="21159814" w14:textId="6060F03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477F575" w14:textId="01EC9407"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Údaje potrebné na individuálnej úrovni projektov z dôvodu potreby vylúčenia dvojitého započítania. smerom von sú garantované iba agregované dáta. </w:t>
            </w:r>
          </w:p>
        </w:tc>
      </w:tr>
      <w:tr w:rsidR="00FE0F3E" w:rsidRPr="006278D2" w14:paraId="75781314" w14:textId="234A923F" w:rsidTr="00725D29">
        <w:trPr>
          <w:trHeight w:val="3165"/>
        </w:trPr>
        <w:tc>
          <w:tcPr>
            <w:tcW w:w="975" w:type="dxa"/>
            <w:hideMark/>
          </w:tcPr>
          <w:p w14:paraId="2361486C"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1071.</w:t>
            </w:r>
          </w:p>
        </w:tc>
        <w:tc>
          <w:tcPr>
            <w:tcW w:w="2656" w:type="dxa"/>
            <w:hideMark/>
          </w:tcPr>
          <w:p w14:paraId="66240E4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1045B396"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5D072E8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31 a § 32  a § 45 </w:t>
            </w:r>
            <w:r w:rsidRPr="00BC49FC">
              <w:rPr>
                <w:rFonts w:ascii="Times New Roman" w:hAnsi="Times New Roman" w:cs="Times New Roman"/>
              </w:rPr>
              <w:t>Zásadná pripomienka:  Navrhujeme jednu z nasledujúcich alternatív:  Alternatíva 1 (preferovaná): Zapracovať do § 31 a § 32 návrhu zákona obligatórne klauzuly zmluvy o energetickej efektívnosti a zmluvy o energetickej efektívnosti pre verejný sektor — najmä metodiku merania a verifikácie úspor podľa medzinárodne akceptovaného protokolu (IPMVP alebo ekvivalent), pravidlá delenia rizík medzi poskytovateľa a koncového užívateľa, mechanizmus ukončenia zmluvy, a podmienky off-balance-sheet klasifikácie podľa metodiky Eurostat ESA 2010 pre verejný sektor.  Alternatíva 2: Doplniť do § 44 (Prechodné ustanovenia) nový odsek: „Ustanovenia § 31 a § 32 sa aplikujú odo dňa nadobudnutia účinnosti vykonávacieho predpisu vydaného Ministerstvom hospodárstva SR podľa § 45 [príslušné body o vyhláške k energetickým službám].“  Odôvodnenie:  Návrh § 31 a § 32 stanovuje rámec pre uzatváranie zmlúv o energetickej efektívnosti a zmlúv o energetickej efektívnosti pre verejný sektor, ale konkrétne pravidlá (vzor zmluvy podľa § 31 a § 32, metodiky pre prípravu a realizáciu, postup monitorovania a overovania) sú odkázané na vyhlášku Ministerstva. Návrh vyhlášky predložený do MPK obsahuje menej než 200 slov a nepostačuje na posúdenie operatívneho dopadu.  Bez operatívnych pravidiel: (a) poskytovatelia energetických služieb nemôžu spoľahlivo pripraviť ponuky pre tendre 2027 – 2028, lebo nepoznajú metodiku merania úspor ani pravidlá ukončovania zmlúv; (b) verejní obstarávatelia (samosprávy, štátne organizácie) nemôžu sa rozhodnúť o uzatvorení zmluvy o energetickej efektívnosti, lebo nepoznajú dopady na verejný dlh podľa metodiky Eurostat ESA 2010 a usmernení Eurostat (2017, 2018); (c) finančné inštitúcie nemôžu posúdiť riziko financovania, lebo nie sú definované obligatórne klauzuly zmluvy.  Smernica (EÚ) 2023/1791 v čl. 29 výslovne predpokladá, že členský štát zabezpečí predvídateľný a transparentný právny rámec pre energetické služby. Aktuálny rámec primárneho zákona, ktorý je závislý od neuverejnenej vyhlášky, tomuto princípu nezodpovedá.</w:t>
            </w:r>
          </w:p>
        </w:tc>
        <w:tc>
          <w:tcPr>
            <w:tcW w:w="2264" w:type="dxa"/>
            <w:vAlign w:val="center"/>
            <w:hideMark/>
          </w:tcPr>
          <w:p w14:paraId="7790AAE2" w14:textId="6BF7716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3F8A900" w14:textId="0EC7A591"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 xml:space="preserve">Upravený text § 30 až § 32. </w:t>
            </w:r>
            <w:r w:rsidRPr="00BC49FC">
              <w:rPr>
                <w:rFonts w:ascii="Times New Roman" w:hAnsi="Times New Roman" w:cs="Times New Roman"/>
                <w:color w:val="000000"/>
              </w:rPr>
              <w:t xml:space="preserve"> </w:t>
            </w:r>
            <w:r w:rsidRPr="00BC49FC">
              <w:rPr>
                <w:rFonts w:ascii="Times New Roman" w:hAnsi="Times New Roman" w:cs="Times New Roman"/>
              </w:rPr>
              <w:t xml:space="preserve">Problematika GES je s MFSR dohodnutá. </w:t>
            </w:r>
          </w:p>
        </w:tc>
      </w:tr>
      <w:tr w:rsidR="00FE0F3E" w:rsidRPr="006278D2" w14:paraId="360222A8" w14:textId="71486835" w:rsidTr="00725D29">
        <w:trPr>
          <w:trHeight w:val="2850"/>
        </w:trPr>
        <w:tc>
          <w:tcPr>
            <w:tcW w:w="975" w:type="dxa"/>
            <w:hideMark/>
          </w:tcPr>
          <w:p w14:paraId="1A80DB4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1072.</w:t>
            </w:r>
          </w:p>
        </w:tc>
        <w:tc>
          <w:tcPr>
            <w:tcW w:w="2656" w:type="dxa"/>
            <w:hideMark/>
          </w:tcPr>
          <w:p w14:paraId="5C6A0EA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6BC2371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4C9A18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32 ods. 1 </w:t>
            </w:r>
            <w:r w:rsidRPr="00BC49FC">
              <w:rPr>
                <w:rFonts w:ascii="Times New Roman" w:hAnsi="Times New Roman" w:cs="Times New Roman"/>
              </w:rPr>
              <w:t>Zásadná pripomienka:  Navrhujeme doplniť do § 32 návrhu zákona nové ustanovenie, ktoré uloží Ministerstvu financií Slovenskej republiky vydať záväzné metodické usmernenie o štatistickej klasifikácii zmlúv o energetickej efektívnosti pre verejný sektor.  Navrhované znenie nového ustanovenia § 32 (nový odsek): „Ministerstvo financií Slovenskej republiky vydá do 6 mesiacov od účinnosti tohto zákona záväzné metodické usmernenie, ktoré určí, za akých podmienok je zmluva o energetickej efektívnosti pre verejný sektor klasifikovaná ako mimosúvahový záväzok v zmysle metodiky Európskeho systému národných a regionálnych účtov (ESA 2010) a aktualizovaných usmernení Eurostat. Metodické usmernenie sa zverejní vo Vestníku Ministerstva financií SR.“   Odôvodnenie: Hlavnou prekážkou rozvoja zmlúv o energetickej efektívnosti vo verejnom sektore v Slovenskej republike je dlhodobá neistota o štatistickej klasifikácii zmluvných záväzkov verejného obstarávateľa. Bez záväzného metodického usmernenia Ministerstva financií SR samosprávy nemôžu spoľahlivo podpisovať dlhodobé zmluvy o energetickej efektívnosti, lebo riskujú prekročenie ústavnej dlhovej brzdy alebo individuálnej dlhovej brzdy obce/mesta.  Eurostat v usmerneniach z rokov 2017 a 2018 zaviedol konkrétne kritériá pre off-balance-sheet klasifikáciu zmlúv o energetickej efektívnosti, ale aplikačná prax v jednotlivých členských štátoch sa významne líši. V Slovenskej republike doposiaľ neexistuje záväzné usmernenie, ktoré by sa odvolávalo na metodiku Eurostatu a transponovalo ju do slovenskej účtovnej a regulačnej praxe.  Bez takéhoto usmernenia trh zmlúv o energetickej efektívnosti pre verejný sektor zostane výrazne pod svojím potenciálom, a Slovensko nesplní rozvojový zámer čl. 6 smernice (EÚ) 2023/1791.</w:t>
            </w:r>
          </w:p>
        </w:tc>
        <w:tc>
          <w:tcPr>
            <w:tcW w:w="2264" w:type="dxa"/>
            <w:vAlign w:val="center"/>
            <w:hideMark/>
          </w:tcPr>
          <w:p w14:paraId="1646052B" w14:textId="1C2767F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FF0000"/>
              </w:rPr>
              <w:t>CA</w:t>
            </w:r>
          </w:p>
        </w:tc>
        <w:tc>
          <w:tcPr>
            <w:tcW w:w="2753" w:type="dxa"/>
            <w:vAlign w:val="center"/>
            <w:hideMark/>
          </w:tcPr>
          <w:p w14:paraId="17410FA6" w14:textId="2ECD5D95"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Zostáva vzor zmluvy bez dopadu na dlh, ale uzatváranie zmluvy s dopadom na dlh je možné uzatvárať.  </w:t>
            </w:r>
          </w:p>
        </w:tc>
      </w:tr>
      <w:tr w:rsidR="00FE0F3E" w:rsidRPr="006278D2" w14:paraId="66F9BB48" w14:textId="3B5E9B41" w:rsidTr="00725D29">
        <w:trPr>
          <w:trHeight w:val="3480"/>
        </w:trPr>
        <w:tc>
          <w:tcPr>
            <w:tcW w:w="975" w:type="dxa"/>
            <w:hideMark/>
          </w:tcPr>
          <w:p w14:paraId="0AF8483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1073.</w:t>
            </w:r>
          </w:p>
        </w:tc>
        <w:tc>
          <w:tcPr>
            <w:tcW w:w="2656" w:type="dxa"/>
            <w:hideMark/>
          </w:tcPr>
          <w:p w14:paraId="71F7673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3B4028F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76F453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32 ods. 1 a 2 </w:t>
            </w:r>
            <w:r w:rsidRPr="00BC49FC">
              <w:rPr>
                <w:rFonts w:ascii="Times New Roman" w:hAnsi="Times New Roman" w:cs="Times New Roman"/>
              </w:rPr>
              <w:t>Zásadná pripomienka:  Navrhujeme zníženie prahu úžitkovej plochy pre povinné posúdenie technickej a ekonomickej realizovateľnosti využitia zmluvy o energetickej efektívnosti pre verejný sektor podľa § 32 ods. 1 návrhu zákona z hodnoty 750 m² na hodnotu 250 m², čím sa dosiahne vnútorná konzistencia s prahom 250 m² použitým inde v návrhu zákona pre vymedzenie verejných budov.  Navrhované znenie zmeny § 32 ods. 1, 4 a súvisiacich ustanovení návrhu zákona: Hodnota „750 m²“ sa nahrádza hodnotou „250 m²“ vo všetkých relevantných ustanoveniach § 32, § 34 a v ostatných ustanoveniach návrhu zákona, ktoré sa týkajú povinnosti posúdenia využitia zmluvy o energetickej efektívnosti pre verejný sektor.  Odôvodnenie:  Návrh zákona stanovuje dvojaký prah pre verejné budovy: (a) prah 250 m² pre vymedzenie verejnej budovy podlieha povinnosti renovácie podľa čl. 6 smernice (EÚ) 2023/1791; (b) prah 750 m² pre povinné posúdenie technickej a ekonomickej realizovateľnosti využitia zmluvy o energetickej efektívnosti.  Vznikajúca vnútorná nekonzistencia má dva nepriaznivé dôsledky: (i) Pre verejné subjekty je administratívne náročné rozlišovať dva rôzne prahy pre rovnaký typ budovy. Subjekty s budovami v rozsahu 250 – 750 m² musia plniť renovační povinnosť bez prístupu k povinnému posúdeniu GES, ktoré by mohlo zlepšiť ich finančnú realizovateľnosť. (ii) Trh garantovaných energetických služieb sa zužuje iba na najväčšie verejné budovy, hoci ekonomický potenciál GES je významný aj pre stredne veľké budovy v rozsahu 250 – 750 m² (školy, kultúrne domy, malé administratívne budovy).  Zníženie prahu na 250 m² zabezpečí: (a) Vnútornú konzistenciu zákona; (b) Rozšírenie pokrytia GES o významnú časť verejného fondu budov v rozsahu 250 – 750 m² (typicky materské školy, základné školy, kultúrne domy, obecné úrady, malé administratívne budovy); presný násobok adresovateľnosti je závislý od distribúcie veľkostí verejných budov v Slovenskej republike, ktorá je dostupná v registri verejných budov vedenom Štatistickým úradom SR alebo MIRRI SR; (c) Maximalizáciu energetických úspor v súlade s cieľom čl. 6 smernice (EÚ) 2023/1791; (d) Súlad s princípom prvoradosti energetickej efektívnosti podľa § 24.</w:t>
            </w:r>
          </w:p>
        </w:tc>
        <w:tc>
          <w:tcPr>
            <w:tcW w:w="2264" w:type="dxa"/>
            <w:vAlign w:val="center"/>
            <w:hideMark/>
          </w:tcPr>
          <w:p w14:paraId="72C0555B" w14:textId="178BDC9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7976B3C" w14:textId="6B9A8749"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Vložené v § 34.  Povinnosť TA GES je len pre budovy nad750 m2, inak k je to goldplating. Databáza verejných budov sa v súčasnosti pripravuje. </w:t>
            </w:r>
          </w:p>
        </w:tc>
      </w:tr>
      <w:tr w:rsidR="00FE0F3E" w:rsidRPr="006278D2" w14:paraId="76145702" w14:textId="4A486DAC" w:rsidTr="00725D29">
        <w:trPr>
          <w:trHeight w:val="5370"/>
        </w:trPr>
        <w:tc>
          <w:tcPr>
            <w:tcW w:w="975" w:type="dxa"/>
            <w:hideMark/>
          </w:tcPr>
          <w:p w14:paraId="159294D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1074.</w:t>
            </w:r>
          </w:p>
        </w:tc>
        <w:tc>
          <w:tcPr>
            <w:tcW w:w="2656" w:type="dxa"/>
            <w:hideMark/>
          </w:tcPr>
          <w:p w14:paraId="3365EF1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ZDE </w:t>
            </w:r>
            <w:r w:rsidRPr="00BC49FC">
              <w:rPr>
                <w:rFonts w:ascii="Times New Roman" w:hAnsi="Times New Roman" w:cs="Times New Roman"/>
              </w:rPr>
              <w:t>Združenie dodávateľov energií</w:t>
            </w:r>
          </w:p>
        </w:tc>
        <w:tc>
          <w:tcPr>
            <w:tcW w:w="612" w:type="dxa"/>
            <w:hideMark/>
          </w:tcPr>
          <w:p w14:paraId="6891915A"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38227A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 § 8 </w:t>
            </w:r>
            <w:r w:rsidRPr="00BC49FC">
              <w:rPr>
                <w:rFonts w:ascii="Times New Roman" w:hAnsi="Times New Roman" w:cs="Times New Roman"/>
              </w:rPr>
              <w:t>Zásadná pripomienka:  Navrhujeme doplniť do § 8 návrhu zákona explicitné ustanovenie, ktoré uzná modely dodávky energetických služieb s treťou stranou ako vlastníkom zariadenia a možnosť prenosu výhody nenávratnej štátnej pomoci od poskytovateľa (vrátane veľkého podniku) ku konečnému užívateľovi prostredníctvom zníženia ceny dodávky energie alebo zníženia poplatku za prenájom zariadenia, bez toho, aby táto pass-through diskvalifikovala poskytovateľa z oprávnenosti čerpania štátnej pomoci v rámci Všeobecného nariadenia o skupinových výnimkách (GBER).  Navrhované znenie nového odseku § 8: „Za oprávnené spôsoby dodávky opatrení energetickej efektívnosti financovaných z verejných zdrojov sa pre účely tohto zákona považujú: (a) priame vlastníctvo zariadenia konečným užívateľom, (b) tretia strana ako vlastník zariadenia v rámci zmluvy o energetickej efektívnosti, zmluvy o energetickej efektívnosti pre verejný sektor alebo zmluvy o nákupe tepla z obnoviteľných zdrojov podľa § 2 písm. al) zákona č. 657/2004 Z. z. v znení neskorších predpisov, (c) operatívny prenájom zariadenia kombinovaný s dodávkou tepla, chladu alebo elektriny vyrobenej z obnoviteľných zdrojov energie. Poskytovateľ opatrenia energetickej efektívnosti môže preniesť výhodu nenávratnej štátnej pomoci na konečného užívateľa formou zníženia ceny dodávky energie alebo zníženia poplatku za prenájom zariadenia. Takéto prenesenie nevylučuje poskytovateľa z oprávnenosti čerpania štátnej pomoci v rámci nariadenia Komisie (EÚ) č. 651/2014 (GBER), za predpokladu, že sú splnené podmienky transparentnosti, kontroly a primeranosti podľa tohto nariadenia.“   Odôvodnenie: Skupiny prepojených podnikov, ktorých veľkosť presahuje hranice malého a stredného podniku podľa pravidiel štátnej pomoci EÚ, sú pri uplatňovaní nariadenia Komisie (EÚ) 2023/2831 o de minimis pomoci výrazne obmedzené. Hoci veľké podniky nie sú formálne vylúčené z režimu de minimis, kumulatívny limit 300 000 EUR za tri fiškálne roky sa podľa nariadenia 2023/2831 sleduje na úrovni „jediného podniku“ vrátane všetkých prepojených spoločností v skupine. Pre veľké energetické skupiny so stovkami prepojených subjektov je tento limit v praxi nedostatočný na realizáciu kapitálovo intenzívnych projektov energetickej efektívnosti a obnoviteľnej energie. Pre poskytovateľov energetických služieb v takejto pozícii je GBER (Všeobecné nariadenie o skupinových výnimkách, nariadenie (EÚ) č. 651/2014 v platnom znení) jediným realisticky využiteľným režimom čerpania nenávratnej štátnej pomoci.  Bez výslovného uznania modelov dodávky s treťou stranou ako vlastníkom zariadenia a pass-through grantov v primárnej legislatíve hrozí, že vyhláška o financovaní opatrení EE zúži oprávnené spôsoby čerpania iba na priame vlastníctvo zariadenia konečným užívateľom. Dôsledky: (a) Vylúčenie poskytovateľov energetických služieb so štatútom veľký podnik z účasti na čerpaní štátnej pomoci na opatrenia EE — pri tom, že tieto subjekty často disponujú najväčšími technickými a finančnými kapacitami na efektívnu realizáciu opatrení. (b) Núdza konečných užívateľov kupovať si zariadenia priamo namiesto využívania moderných modelov dodávky služby (Heat-as-a-Service, GES s prenájmom zariadenia, EPC s tretou stranou). (c) Zníženie agregátnej efektívnosti čerpania prostriedkov Plánu obnovy a Modernizačného fondu, pretože sa znemožní spoluúčasť veľkých podnikov ako agregátorov a realizátorov projektov.  Smernica (EÚ) 2023/1791 v čl. 8 a v čl. 30 výslovne podporuje rôzne modely dodávky energetických služieb, vrátane modelov s treťou stranou.</w:t>
            </w:r>
          </w:p>
        </w:tc>
        <w:tc>
          <w:tcPr>
            <w:tcW w:w="2264" w:type="dxa"/>
            <w:vAlign w:val="center"/>
            <w:hideMark/>
          </w:tcPr>
          <w:p w14:paraId="2337F21C" w14:textId="2244F415"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N</w:t>
            </w:r>
          </w:p>
        </w:tc>
        <w:tc>
          <w:tcPr>
            <w:tcW w:w="2753" w:type="dxa"/>
            <w:vAlign w:val="center"/>
            <w:hideMark/>
          </w:tcPr>
          <w:p w14:paraId="344FD7BE" w14:textId="66C3C04C"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Požiadavka je nad rámec transpozície smernice. Požiadavka bude riešená riadiacim orgánom a metodickými usmerneniami výkonu nového OP. V súčasnosti prebiehajú rokovanie na EU úrovni k návrhu nového nariadenia. Dohodnuté na rozporovom konaní.  </w:t>
            </w:r>
          </w:p>
        </w:tc>
      </w:tr>
      <w:tr w:rsidR="00FE0F3E" w:rsidRPr="006278D2" w14:paraId="05BDA0E6" w14:textId="5F85984D" w:rsidTr="00725D29">
        <w:trPr>
          <w:trHeight w:val="1590"/>
        </w:trPr>
        <w:tc>
          <w:tcPr>
            <w:tcW w:w="975" w:type="dxa"/>
            <w:hideMark/>
          </w:tcPr>
          <w:p w14:paraId="055AD06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1080.</w:t>
            </w:r>
          </w:p>
        </w:tc>
        <w:tc>
          <w:tcPr>
            <w:tcW w:w="2656" w:type="dxa"/>
            <w:hideMark/>
          </w:tcPr>
          <w:p w14:paraId="07F9CFD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15A65AF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9FBBD7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1 </w:t>
            </w:r>
            <w:r w:rsidRPr="00BC49FC">
              <w:rPr>
                <w:rFonts w:ascii="Times New Roman" w:hAnsi="Times New Roman" w:cs="Times New Roman"/>
              </w:rPr>
              <w:t>Túto pripomienku považujeme za zásadnú. Ustanovenie § 4 ods. 15 navrhujeme vypustiť.  Odôvodnenie: Toto ustanovenie je neurčité a nezrozumiteľné. Nie je zrejmé, koho má takýto výrobca elektriny právo vyzvať. Nie je zrejmé čo sú to práce súvisiace s pripojením a teda ani to, čo by malo byť predmetom ponuky. Pripojenie pritom realizuje prevádzkovateľ sústavy na základe zmluvy o pripojení a po splnení obchodných a technických podmienok pripojenia. Nie je zároveň vôbec zrejmé, na čo má uvedené ustanovenie slúžiť. Obstaranie si prác súvisiacich s pripojení si totiž rieši každý žiadateľ o pripojenie sám a v režime, ktorý si zvolí alebo ktorý je povinný aplikovať podľa osobitných predpisov (napr. verejné obstarávanie, ...). Dôvodová správa k uvedenému ustanoveniu neuvádza vôbec (len opakuje znenie navrhovaného zákonného ustanovenia) a je tak nedostatočná.</w:t>
            </w:r>
          </w:p>
        </w:tc>
        <w:tc>
          <w:tcPr>
            <w:tcW w:w="2264" w:type="dxa"/>
            <w:vAlign w:val="center"/>
            <w:hideMark/>
          </w:tcPr>
          <w:p w14:paraId="39A09057" w14:textId="3AC27AF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FCE3B16" w14:textId="7EB50A2F"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1 vypustený. </w:t>
            </w:r>
          </w:p>
        </w:tc>
      </w:tr>
      <w:tr w:rsidR="00FE0F3E" w:rsidRPr="006278D2" w14:paraId="0FC6DE80" w14:textId="786FC1E8" w:rsidTr="00725D29">
        <w:trPr>
          <w:trHeight w:val="645"/>
        </w:trPr>
        <w:tc>
          <w:tcPr>
            <w:tcW w:w="975" w:type="dxa"/>
            <w:hideMark/>
          </w:tcPr>
          <w:p w14:paraId="56D24C3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1081.</w:t>
            </w:r>
          </w:p>
        </w:tc>
        <w:tc>
          <w:tcPr>
            <w:tcW w:w="2656" w:type="dxa"/>
            <w:hideMark/>
          </w:tcPr>
          <w:p w14:paraId="5CC3418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49B4FC6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3F43F60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či už v aktuálnom znení alebo navrhovanom znení navrhujeme ako nedôvodné a nezmyselné vypustiť.  Odôvodnenie: uvádzame v rámci ďalších pripomienok k tomuto bodu.</w:t>
            </w:r>
          </w:p>
        </w:tc>
        <w:tc>
          <w:tcPr>
            <w:tcW w:w="2264" w:type="dxa"/>
            <w:vAlign w:val="center"/>
            <w:hideMark/>
          </w:tcPr>
          <w:p w14:paraId="2D413E22" w14:textId="1148856C"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3AF979EA" w14:textId="0254A078"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5900C27B" w14:textId="2503F92C" w:rsidTr="00725D29">
        <w:trPr>
          <w:trHeight w:val="1905"/>
        </w:trPr>
        <w:tc>
          <w:tcPr>
            <w:tcW w:w="975" w:type="dxa"/>
            <w:hideMark/>
          </w:tcPr>
          <w:p w14:paraId="5B529BD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1082.</w:t>
            </w:r>
          </w:p>
        </w:tc>
        <w:tc>
          <w:tcPr>
            <w:tcW w:w="2656" w:type="dxa"/>
            <w:hideMark/>
          </w:tcPr>
          <w:p w14:paraId="0B31113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746E7F3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E12393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1 navrhujeme vypustiť.  Odôvodnenie: Súčasné ako aj navrhované znenie nie je ničím iným ako administratívnou šikanou prevádzkovateľa distribučnej sústavy. Za pripojenie platí každý žiadateľ o pripojenie na základe zmluvy o pripojení fixnú cenu za pripojenie, ktorej výška závisí od výšky maximálnej rezervovanej kapacity dohodnutej v zmluve o pripojení a je uvedená vo zverejnenom cenníku prevádzkovateľa distribučnej sústavy a cenovom rozhodnutí ÚRSO. O jej výške sa žiadateľ o pripojenie dozvie z uzatvorenej zmluvy, resp. z verejne dostupného cenníka/cenového rozhodnutia. Pre žiadateľa o pripojenie je tak výška nákladov súvisiacich s pripojením na strane prevádzkovateľa sústavy úplne nepodstatná informácia. Nie sú to totiž jeho náklady. O svojich nákladoch pritom vedomosť má. V zmysle navrhovaného znenia má ísť o informáciu na jednej strane o odhadovaných nákladoch súvisiacich s pripojením, na druhej strane má byť takýto odhad komplexný a podrobný, čo si vzájomne vnútorne odporuje. Stále však ide len o odhad, a teda nedepresné číslo, ktoré v skutočnosti môže byť úplne iné.</w:t>
            </w:r>
          </w:p>
        </w:tc>
        <w:tc>
          <w:tcPr>
            <w:tcW w:w="2264" w:type="dxa"/>
            <w:vAlign w:val="center"/>
            <w:hideMark/>
          </w:tcPr>
          <w:p w14:paraId="2C29D8A9" w14:textId="6C0240C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5C699187" w14:textId="039CC495"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5E523A54" w14:textId="7DB6EB81" w:rsidTr="00725D29">
        <w:trPr>
          <w:trHeight w:val="1590"/>
        </w:trPr>
        <w:tc>
          <w:tcPr>
            <w:tcW w:w="975" w:type="dxa"/>
            <w:hideMark/>
          </w:tcPr>
          <w:p w14:paraId="0D31CBB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1083.</w:t>
            </w:r>
          </w:p>
        </w:tc>
        <w:tc>
          <w:tcPr>
            <w:tcW w:w="2656" w:type="dxa"/>
            <w:hideMark/>
          </w:tcPr>
          <w:p w14:paraId="4A61F07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2A5216A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A3B412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2 navrhujeme vypustiť.  Odôvodnenie: Súčasné ako aj navrhovanie znenie nie je rovnako ničím iným ako administratívnou šikanou prevádzkovateľa distribučnej sústavy. To, ako rýchlo musí prevádzkovateľ distribučnej sústavy vybaviť žiadosť o pripojenie je totiž uvedené v § 4a ods. 3 tohto zákona (v prípade malého zdroja), v § 4b ods. 5 tohto zákona (v prípade lokálneho zdroja) a § 5c ods. 5 vyhlášky o pravidlách trhu (č. 207/2023 Z. z.). Žiadateľ o pripojenie teda pozná časový rámec pre vybavenie jeho žiadosti o pripojenie. Nie je tu preto žiaden dôvod, aby mu túto informáciu, dokonca vo forme harmonogramu prevádzkovateľ distribučnej sústavy poskytoval. Dokonca podľa navrhovaného znenia by mal byť takýto harmonogram po novom dokonca primeraný (nie je zrejmé, čo by to malo byť) a presný.</w:t>
            </w:r>
          </w:p>
        </w:tc>
        <w:tc>
          <w:tcPr>
            <w:tcW w:w="2264" w:type="dxa"/>
            <w:vAlign w:val="center"/>
            <w:hideMark/>
          </w:tcPr>
          <w:p w14:paraId="3E3F827C" w14:textId="3201242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257D988E" w14:textId="2CC2F7A7"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Novelizačný bod 2 vypustený. Rozpor odstránený.</w:t>
            </w:r>
          </w:p>
        </w:tc>
      </w:tr>
      <w:tr w:rsidR="00FE0F3E" w:rsidRPr="006278D2" w14:paraId="7D60D342" w14:textId="17A0499F" w:rsidTr="00725D29">
        <w:trPr>
          <w:trHeight w:val="960"/>
        </w:trPr>
        <w:tc>
          <w:tcPr>
            <w:tcW w:w="975" w:type="dxa"/>
            <w:hideMark/>
          </w:tcPr>
          <w:p w14:paraId="139491F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1084.</w:t>
            </w:r>
          </w:p>
        </w:tc>
        <w:tc>
          <w:tcPr>
            <w:tcW w:w="2656" w:type="dxa"/>
            <w:hideMark/>
          </w:tcPr>
          <w:p w14:paraId="45AF93D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7BC71E9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0ED098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3 navrhujeme vypustiť.  Odôvodnenie: Súčasné ako aj navrhovanie znenie nie je rovnako ničím iným ako administratívnou šikanou prevádzkovateľa distribučnej sústavy. To, kedy žiadateľ splní obchodné a technické podmienky pripojenie závisí výlučne od žiadateľa o pripojenie. Vytváranie akéhosi primeraného (nie je zrejmé, čo by to malo byť) a len orientačného harmonogramu je tak úplne zbytočným úkonom.</w:t>
            </w:r>
          </w:p>
        </w:tc>
        <w:tc>
          <w:tcPr>
            <w:tcW w:w="2264" w:type="dxa"/>
            <w:vAlign w:val="center"/>
            <w:hideMark/>
          </w:tcPr>
          <w:p w14:paraId="409454BE" w14:textId="71C047DE"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1583D3CB" w14:textId="302E4952"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42338FC7" w14:textId="4563A987" w:rsidTr="00725D29">
        <w:trPr>
          <w:trHeight w:val="2535"/>
        </w:trPr>
        <w:tc>
          <w:tcPr>
            <w:tcW w:w="975" w:type="dxa"/>
            <w:hideMark/>
          </w:tcPr>
          <w:p w14:paraId="069573E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1085.</w:t>
            </w:r>
          </w:p>
        </w:tc>
        <w:tc>
          <w:tcPr>
            <w:tcW w:w="2656" w:type="dxa"/>
            <w:hideMark/>
          </w:tcPr>
          <w:p w14:paraId="2E8B3D9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2EC725FF"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909747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a) bod 3 navrhujeme vypustiť.  Odôvodnenie: Proces pripojenia je proces začínajúci podaním žiadosti o pripojenie a končiaci pripojením. To, ako dlho bude tento proces trvať pritom závisí najmä na žiadateľovi o pripojenie. Žiadateľ o pripojenie je povinný splniť technické podmienky pripojenia v lehote 24 mesiacov od uzatvorenia zmluvy o pripojení (viď. § 5e ods. 1 pravidiel trhu (č. 207/2023 Z. z.), resp. do uplynutia platnosti stanoviska ku kapacite v prípade malého zdroja a lokálneho zdroja.  Ak je teda: (i) prevádzkovateľ distribučnej sústavy povinný vybaviť žiadosť o pripojenie v lehote 30 dní, resp. 10 pracovných dní (v prípade malého zdroja) alebo 15 pracovných dní (v prípade lokálneho zdroja) - viď. § 4a ods. 3 tohto zákona (v prípade malého zdroja), viď. § 4b ods. 5 tohto zákona (v prípade lokálneho zdroja) a viď. § 5c ods. 5 vyhlášky o pravidlách trhu (č. 207/2023 Z.z.) (v ostatných prípadoch),  (ii) žiadateľ o pripojenie je povinný prijať návrh zmluvy o pripojení v lehote 30 dní (§ 5e ods. 2 pravidiel trhu - č. 207/2023 Z.z., resp. 6 mesiacov v prípade malého zdroja - § 4a ods. 3 tohto zákona, resp. v lehote 12 mesiacov v prípade lokálneho zdroja - § 4b ods. 5 tohto zákona) a (iii) na splnenie technických podmienok pripojenie má žiadateľ o pripojenie vyššie uvedenú lehotu 24 mesiacov od uzatvorenia zmluvy o pripojení,  tak proces pripojenia celkom určite a legitímne presiahne 24 mesiacov. Ak ale tento zákon stanoví, že tento proces nemôže presiahnuť 24 mesiacov, tak vnesie do procesu pripojenia rozpor a zmätok.</w:t>
            </w:r>
          </w:p>
        </w:tc>
        <w:tc>
          <w:tcPr>
            <w:tcW w:w="2264" w:type="dxa"/>
            <w:vAlign w:val="center"/>
            <w:hideMark/>
          </w:tcPr>
          <w:p w14:paraId="6AC4CD7E" w14:textId="4BDAD1ED"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1B0C4EB1" w14:textId="7ABF9A4E"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740F2178" w14:textId="5668B38A" w:rsidTr="00725D29">
        <w:trPr>
          <w:trHeight w:val="1275"/>
        </w:trPr>
        <w:tc>
          <w:tcPr>
            <w:tcW w:w="975" w:type="dxa"/>
            <w:hideMark/>
          </w:tcPr>
          <w:p w14:paraId="4F1F96F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1086.</w:t>
            </w:r>
          </w:p>
        </w:tc>
        <w:tc>
          <w:tcPr>
            <w:tcW w:w="2656" w:type="dxa"/>
            <w:hideMark/>
          </w:tcPr>
          <w:p w14:paraId="09EF5B2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3E87827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FA5C12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b) navrhujeme vypustiť.  Odôvodnenie: Nie je vôbec zrejmé, čo by mali byť tie štandardizované a zjednodušené postupy pre pripojenie. Procesy pripojenia majú prevádzkovatelia pritom štandardizované (zabezpečujú transparentné a nediskriminačné podmienky na pripojenie). Nie je zrejmé, v čom by mali byť tieto podmienky v takýchto prípadoch zjednodušené. Nie je zároveň zrejmé ani to, čo sú to tí rozptýlení výrobcovia elektriny vyrábajúci elektrinu vysoko účinnou kombinovanou výrobou. Ich legálna definícia totiž neexistuje. Uvedené ustanovenie je tak nejasné a nezrozumiteľné.</w:t>
            </w:r>
          </w:p>
        </w:tc>
        <w:tc>
          <w:tcPr>
            <w:tcW w:w="2264" w:type="dxa"/>
            <w:vAlign w:val="center"/>
            <w:hideMark/>
          </w:tcPr>
          <w:p w14:paraId="44F0343C" w14:textId="1DFBE49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4E10C2D4" w14:textId="238F96E4"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08CF7D41" w14:textId="1D004256" w:rsidTr="00725D29">
        <w:trPr>
          <w:trHeight w:val="1590"/>
        </w:trPr>
        <w:tc>
          <w:tcPr>
            <w:tcW w:w="975" w:type="dxa"/>
            <w:hideMark/>
          </w:tcPr>
          <w:p w14:paraId="0383EC5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1087.</w:t>
            </w:r>
          </w:p>
        </w:tc>
        <w:tc>
          <w:tcPr>
            <w:tcW w:w="2656" w:type="dxa"/>
            <w:hideMark/>
          </w:tcPr>
          <w:p w14:paraId="770F515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21AFB71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D0EDFD0"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c) navrhujeme vypustiť.  Odôvodnenie: Podľa uvedeného ustanovenia by mal prevádzkovateľ distribučnej sústavy vo svojom prevádzkovom poriadku stanoviť: a) podmienky týkajúce sa znášania a rozdelenia nákladov na technické úpravy vrátane pripojenia do sústavy. b) podmienky zlepšenia prevádzky sústavy a posilnenia a rozvoja sústavy. c) pravidlá nediskriminačného uplatňovania predpisov sústavy nevyhnutných na pripojenie výrobcov vyrábajúcich elektrinu vysoko účinnou kombinovanou výrobou. Uvedený budúci obsah prevádzkového poriadku je neurčitý a nezrozumiteľný. Zároveň nie je zrejmé, z akého dôvodu sa týka len výrobcov vyrábajúcich elektrinu vysoko účinnou kombinovanou výrobou. Písm. a) - Nie je zrejmé, na aká zákonné ustanovenie toto nadväzuje. Písm. b) - toto rieši a upravuje plán rozvoja sústavy. Nie je tak žiaden dôvod, aby to upravoval prevádzkový poriadok. Písm. c) - Nie je zrejmé, o aké pravidlá by malo ísť.</w:t>
            </w:r>
          </w:p>
        </w:tc>
        <w:tc>
          <w:tcPr>
            <w:tcW w:w="2264" w:type="dxa"/>
            <w:vAlign w:val="center"/>
            <w:hideMark/>
          </w:tcPr>
          <w:p w14:paraId="6EAD2A31" w14:textId="1F09E806"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04388EEB" w14:textId="569C5DF4"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364E09A4" w14:textId="769F91C6" w:rsidTr="00725D29">
        <w:trPr>
          <w:trHeight w:val="1905"/>
        </w:trPr>
        <w:tc>
          <w:tcPr>
            <w:tcW w:w="975" w:type="dxa"/>
            <w:hideMark/>
          </w:tcPr>
          <w:p w14:paraId="1B04DCB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1088.</w:t>
            </w:r>
          </w:p>
        </w:tc>
        <w:tc>
          <w:tcPr>
            <w:tcW w:w="2656" w:type="dxa"/>
            <w:hideMark/>
          </w:tcPr>
          <w:p w14:paraId="2494118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5F703E1B"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700B6D2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IV bod 2 </w:t>
            </w:r>
            <w:r w:rsidRPr="00BC49FC">
              <w:rPr>
                <w:rFonts w:ascii="Times New Roman" w:hAnsi="Times New Roman" w:cs="Times New Roman"/>
              </w:rPr>
              <w:t>Túto pripomienku považujeme za zásadnú. Ustanovenie § 5 ods. 6 písm. d) navrhujeme vypustiť.  Odôvodnenie: Z uvedeného ustanovenia nie je vôbec zrejmé ako budú tieto oblastí prevádzkovateľom distribučnej sústavy identifikované, aby mohol uplatniť zníženú cenu za pripojenie. Odhliadnuc od uvedeného, nepovažujeme za vhodné takýchto žiadateľov cenovo zvýhodňovať pred inými žiadateľmi o pripojenie, ktorý sú takto nedôvodne cenovo diskriminovaní.  Okrem toho uvádzame, že vysoká účinnosť nie je fyzikálne definovaný stav, alebo inak povedané, vysoká účinnosť nie je závislá od technológie, od techniky ako takej, ale vysoká účinnosť je výsledkom posúdenia použitého palivového mixu a dosiahnutých výsledných tepelných parametrov zariadenia - čiže výsledkom posúdenia - ktoré robí URSO - môže byť aj stav, že vysokoúčinnú výrobu v sledovanom období nedosahoval. Sú zdroje, ktorým sa nedarí kontinuálne držať vysokoúčinnú výrobu - ako sa potom posúdi režim s nižšou cenou za pripojenie? Z uvedených dôvodov navrhujeme ustanovenie § 5 ods. 6 písm. d) vypustiť.</w:t>
            </w:r>
          </w:p>
        </w:tc>
        <w:tc>
          <w:tcPr>
            <w:tcW w:w="2264" w:type="dxa"/>
            <w:vAlign w:val="center"/>
            <w:hideMark/>
          </w:tcPr>
          <w:p w14:paraId="01670E65" w14:textId="1BEF3EB9"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699FE62C" w14:textId="47CD2B2A"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 xml:space="preserve">Novelizačný bod 2 vypustený. </w:t>
            </w:r>
          </w:p>
        </w:tc>
      </w:tr>
      <w:tr w:rsidR="00FE0F3E" w:rsidRPr="006278D2" w14:paraId="1721C2D9" w14:textId="3C77EDCF" w:rsidTr="00725D29">
        <w:trPr>
          <w:trHeight w:val="645"/>
        </w:trPr>
        <w:tc>
          <w:tcPr>
            <w:tcW w:w="975" w:type="dxa"/>
            <w:hideMark/>
          </w:tcPr>
          <w:p w14:paraId="6AD4ADD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1089.</w:t>
            </w:r>
          </w:p>
        </w:tc>
        <w:tc>
          <w:tcPr>
            <w:tcW w:w="2656" w:type="dxa"/>
            <w:hideMark/>
          </w:tcPr>
          <w:p w14:paraId="7C1E2C6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2C9B66A2"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60BD1344"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 bod 11 </w:t>
            </w:r>
            <w:r w:rsidRPr="00BC49FC">
              <w:rPr>
                <w:rFonts w:ascii="Times New Roman" w:hAnsi="Times New Roman" w:cs="Times New Roman"/>
              </w:rPr>
              <w:t>Túto pripomienku považujeme za zásadnú. Vo vzťahu k ustanoveniu § 12 ods. 13 z dôvodu jeho nejasnosti, najmä pokiaľ ide o spôsob, akým má Úrad pre reguláciu sieťových odvetví predmetné ustanovenie zabezpečovať, navrhujeme, aby bola táto povinnosť úradu bližšie špecifikovaná vo vykonávacom predpise Úradu.  Odôvodnenie: Z uvedeného ustanovenia nie je zrejmé, čo to znamená a ako to bude ÚRSO zabezpečovať.</w:t>
            </w:r>
          </w:p>
        </w:tc>
        <w:tc>
          <w:tcPr>
            <w:tcW w:w="2264" w:type="dxa"/>
            <w:vAlign w:val="center"/>
            <w:hideMark/>
          </w:tcPr>
          <w:p w14:paraId="5098FD4E" w14:textId="514FF133"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183A7EDE" w14:textId="24FDB5B6" w:rsidR="00FE0F3E" w:rsidRPr="00BC49FC" w:rsidRDefault="00FE0F3E" w:rsidP="00666928">
            <w:pPr>
              <w:rPr>
                <w:rFonts w:ascii="Times New Roman" w:hAnsi="Times New Roman" w:cs="Times New Roman"/>
                <w:b/>
                <w:bCs/>
              </w:rPr>
            </w:pPr>
          </w:p>
        </w:tc>
      </w:tr>
      <w:tr w:rsidR="00FE0F3E" w:rsidRPr="006278D2" w14:paraId="523C3430" w14:textId="2C7D9398" w:rsidTr="00725D29">
        <w:trPr>
          <w:trHeight w:val="645"/>
        </w:trPr>
        <w:tc>
          <w:tcPr>
            <w:tcW w:w="975" w:type="dxa"/>
            <w:hideMark/>
          </w:tcPr>
          <w:p w14:paraId="053CBB2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1090.</w:t>
            </w:r>
          </w:p>
        </w:tc>
        <w:tc>
          <w:tcPr>
            <w:tcW w:w="2656" w:type="dxa"/>
            <w:hideMark/>
          </w:tcPr>
          <w:p w14:paraId="05E4831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2A86AF00"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BF4671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 bod 11 </w:t>
            </w:r>
            <w:r w:rsidRPr="00BC49FC">
              <w:rPr>
                <w:rFonts w:ascii="Times New Roman" w:hAnsi="Times New Roman" w:cs="Times New Roman"/>
              </w:rPr>
              <w:t>Túto pripomienku považujeme za zásadnú. Vo vzťahu k ustanoveniu § 12 ods. 14 z dôvodu jeho nejasnosti, najmä pokiaľ ide o spôsob, akým má Úrad pre reguláciu sieťových odvetví predmetné ustanovenie zabezpečovať, navrhujeme, aby bola táto povinnosť úradu bližšie špecifikovaná vo vykonávacom predpise Úradu.  Odôvodnenie: Z uvedeného ustanovenia nie je zrejmé, čo to znamená a ako to bude ÚRSO zabezpečovať.</w:t>
            </w:r>
          </w:p>
        </w:tc>
        <w:tc>
          <w:tcPr>
            <w:tcW w:w="2264" w:type="dxa"/>
            <w:vAlign w:val="center"/>
            <w:hideMark/>
          </w:tcPr>
          <w:p w14:paraId="3A22EFBC" w14:textId="01744128"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6953E319" w14:textId="3430DD96" w:rsidR="00FE0F3E" w:rsidRPr="00BC49FC" w:rsidRDefault="00FE0F3E" w:rsidP="00666928">
            <w:pPr>
              <w:rPr>
                <w:rFonts w:ascii="Times New Roman" w:hAnsi="Times New Roman" w:cs="Times New Roman"/>
                <w:b/>
                <w:bCs/>
              </w:rPr>
            </w:pPr>
          </w:p>
        </w:tc>
      </w:tr>
      <w:tr w:rsidR="00FE0F3E" w:rsidRPr="006278D2" w14:paraId="4D6A3E8C" w14:textId="11FE3F82" w:rsidTr="00725D29">
        <w:trPr>
          <w:trHeight w:val="2220"/>
        </w:trPr>
        <w:tc>
          <w:tcPr>
            <w:tcW w:w="975" w:type="dxa"/>
            <w:hideMark/>
          </w:tcPr>
          <w:p w14:paraId="6AAAE3CF"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1091.</w:t>
            </w:r>
          </w:p>
        </w:tc>
        <w:tc>
          <w:tcPr>
            <w:tcW w:w="2656" w:type="dxa"/>
            <w:hideMark/>
          </w:tcPr>
          <w:p w14:paraId="38F27C4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49958D5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95C70F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1 </w:t>
            </w:r>
            <w:r w:rsidRPr="00BC49FC">
              <w:rPr>
                <w:rFonts w:ascii="Times New Roman" w:hAnsi="Times New Roman" w:cs="Times New Roman"/>
              </w:rPr>
              <w:t>Túto pripomienku považujeme za zásadnú. Ustanovenie § 12 ods. 2 písm. d) navrhujeme vypustiť.  Odôvodnenie: V § 12 ods. 2 písm. a) - o) sú uvedené výnimky, kedy nie je odsvedčenie na výstavbu energetického zariadenia potrebné. Navrhované doplnenie ale znamená, že výnimka sa bude aplikovať iba na významnú modernizáciu, a teda celkom nelogicky a nezmyselne na nevýznamnú modernizáciu osvedčenie na výstavbu energetického zariadenia osvedčenie potrebné bude. Taktiež je nesprávne a nezmyselné doplnenie uvedeného ustanovenia s kumulatívnou spojkou "a", nakoľko by to znamenalo, že osvedčenie nie je potrebné iba ak ide o modernizáciu a zároveň o rozšírenie sústavy. Tento novelizačný bod ako nezmyselný navrhujeme preto vypustiť.  Zároveň je potrebné uviesť, že toto navrhované doplnenie by bolo v rozpore s § 12 ods. 2 písm. h), podľa ktorého osvedčenie na výstavbu energetického zariadenia už v súčasnosti nie je potrebné na: „energetické zariadenie na prenos alebo distribúciu elektriny, ktoré predstavuje rekonštrukciu alebo modernizáciu existujúcej prenosovej sústavy alebo distribučnej sústavy prevádzkovateľa prenosovej sústavy alebo prevádzkovateľa distribučnej sústavy a ktoré bude prevádzkovať prevádzkovateľ prenosovej sústavy alebo prevádzkovateľ distribučnej sústavy,“ a teda zákon už dnes prípady modernizácie sústavy (nie len tej významnej) vylučuje z potreby získania osvedčenia.</w:t>
            </w:r>
          </w:p>
        </w:tc>
        <w:tc>
          <w:tcPr>
            <w:tcW w:w="2264" w:type="dxa"/>
            <w:hideMark/>
          </w:tcPr>
          <w:p w14:paraId="3A668135" w14:textId="324236F1"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0977A10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EE9598A" w14:textId="7E7EE666" w:rsidTr="00725D29">
        <w:trPr>
          <w:trHeight w:val="645"/>
        </w:trPr>
        <w:tc>
          <w:tcPr>
            <w:tcW w:w="975" w:type="dxa"/>
            <w:hideMark/>
          </w:tcPr>
          <w:p w14:paraId="7FEE5DFE"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1092. </w:t>
            </w:r>
          </w:p>
        </w:tc>
        <w:tc>
          <w:tcPr>
            <w:tcW w:w="2656" w:type="dxa"/>
            <w:hideMark/>
          </w:tcPr>
          <w:p w14:paraId="7698D10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ZSD </w:t>
            </w:r>
            <w:r w:rsidRPr="00BC49FC">
              <w:rPr>
                <w:rFonts w:ascii="Times New Roman" w:hAnsi="Times New Roman" w:cs="Times New Roman"/>
              </w:rPr>
              <w:t>Západoslovenská distribučná, a.s.</w:t>
            </w:r>
          </w:p>
        </w:tc>
        <w:tc>
          <w:tcPr>
            <w:tcW w:w="612" w:type="dxa"/>
            <w:hideMark/>
          </w:tcPr>
          <w:p w14:paraId="5F971DC1"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35D61D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7 </w:t>
            </w:r>
            <w:r w:rsidRPr="00BC49FC">
              <w:rPr>
                <w:rFonts w:ascii="Times New Roman" w:hAnsi="Times New Roman" w:cs="Times New Roman"/>
              </w:rPr>
              <w:t>Túto pripomienku považujeme za zásadnú. Ustanovenie § 31 ods. 3 písm. ad) navrhujeme preformulovať, resp. viac sprecizovať.  Odôvodnenie: Nie je zrejmé o akého odberateľa ide, či už z hľadiska odoberaného tovaru (elektrina, plyn, ..., ako aj toho, či ide o koncového odberateľa alebo len odberateľa.</w:t>
            </w:r>
          </w:p>
        </w:tc>
        <w:tc>
          <w:tcPr>
            <w:tcW w:w="2264" w:type="dxa"/>
            <w:hideMark/>
          </w:tcPr>
          <w:p w14:paraId="707F17B8" w14:textId="51B18E7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56BDEAE6" w14:textId="4D98AE1D"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156082"/>
              </w:rPr>
              <w:t>Upravené</w:t>
            </w:r>
            <w:r>
              <w:rPr>
                <w:rFonts w:ascii="Times New Roman" w:hAnsi="Times New Roman" w:cs="Times New Roman"/>
                <w:b/>
                <w:bCs/>
                <w:color w:val="156082"/>
              </w:rPr>
              <w:t>:</w:t>
            </w:r>
            <w:r w:rsidRPr="00BC49FC">
              <w:rPr>
                <w:rFonts w:ascii="Times New Roman" w:hAnsi="Times New Roman" w:cs="Times New Roman"/>
                <w:b/>
                <w:bCs/>
                <w:color w:val="156082"/>
              </w:rPr>
              <w:t xml:space="preserve"> </w:t>
            </w:r>
            <w:r w:rsidRPr="00BC49FC">
              <w:rPr>
                <w:rFonts w:ascii="Times New Roman" w:hAnsi="Times New Roman" w:cs="Times New Roman"/>
                <w:color w:val="000000"/>
              </w:rPr>
              <w:t>„ad) uplatňovať zásadu prvoradosti energetickej efektívnosti</w:t>
            </w:r>
            <w:r w:rsidRPr="00BC49FC">
              <w:rPr>
                <w:rFonts w:ascii="Times New Roman" w:hAnsi="Times New Roman" w:cs="Times New Roman"/>
                <w:color w:val="000000"/>
                <w:vertAlign w:val="superscript"/>
              </w:rPr>
              <w:t>55ac)</w:t>
            </w:r>
            <w:r w:rsidRPr="00BC49FC">
              <w:rPr>
                <w:rFonts w:ascii="Times New Roman" w:hAnsi="Times New Roman" w:cs="Times New Roman"/>
                <w:color w:val="000000"/>
              </w:rPr>
              <w:t xml:space="preserve"> pri plánovaní distribučnej sústavy, rozvoji distribučnej sústavy a investičných rozhodnutiach, pokiaľ tým nie je negatívne dotknutý užívateľ sústavy,</w:t>
            </w:r>
            <w:r>
              <w:rPr>
                <w:rFonts w:ascii="Times New Roman" w:hAnsi="Times New Roman" w:cs="Times New Roman"/>
                <w:color w:val="000000"/>
              </w:rPr>
              <w:t>“</w:t>
            </w:r>
          </w:p>
        </w:tc>
      </w:tr>
      <w:tr w:rsidR="00FE0F3E" w:rsidRPr="006278D2" w14:paraId="3E559363" w14:textId="12811BFF" w:rsidTr="00725D29">
        <w:trPr>
          <w:trHeight w:val="5055"/>
        </w:trPr>
        <w:tc>
          <w:tcPr>
            <w:tcW w:w="975" w:type="dxa"/>
            <w:hideMark/>
          </w:tcPr>
          <w:p w14:paraId="691CD0C2"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1093.</w:t>
            </w:r>
          </w:p>
        </w:tc>
        <w:tc>
          <w:tcPr>
            <w:tcW w:w="2656" w:type="dxa"/>
            <w:hideMark/>
          </w:tcPr>
          <w:p w14:paraId="1181833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eustream </w:t>
            </w:r>
            <w:r w:rsidRPr="00BC49FC">
              <w:rPr>
                <w:rFonts w:ascii="Times New Roman" w:hAnsi="Times New Roman" w:cs="Times New Roman"/>
              </w:rPr>
              <w:t>eustream, a.s.</w:t>
            </w:r>
          </w:p>
        </w:tc>
        <w:tc>
          <w:tcPr>
            <w:tcW w:w="612" w:type="dxa"/>
            <w:hideMark/>
          </w:tcPr>
          <w:p w14:paraId="3093753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404036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26 ods. 2 písm. a) a § 26 ods. 3 písm. a) zákona o energetickej efektívnosti a o zmene a doplnení niektorých zákonov </w:t>
            </w:r>
            <w:r w:rsidRPr="00BC49FC">
              <w:rPr>
                <w:rFonts w:ascii="Times New Roman" w:hAnsi="Times New Roman" w:cs="Times New Roman"/>
              </w:rPr>
              <w:t>V čl. I, požadujeme zmeniť navrhované znenie § 26 ods. 2 písm. a) a § 26 ods. 3 písm. a) zákona o energetickej efektívnosti a o zmene a doplnení niektorých zákonov odstránením slov “ktorý má zavedené vypracovanie energetického auditu v rozsahu podľa § 45 ods. 1 písm. n)”  Navrhované znenie § 26 ods. 2 písm. a) po zapracovaní tejto pripomienky znie: “a) zavedením certifikovaného systému energetického manažérstva podľa normy ISO 50001, alebo”  a   Navrhované znenie § 26 ods. 3 písm. a) po zapracovaní tejto pripomienky znie: “a) certifikovaný systém energetického manažérstva podľa normy ISO 50001, alebo”   ODÔVODNENIE: Navrhované znenie § 26 ods. 2 písm. a) a § 26 ods. 3 písm. a) zákona o energetickej efektívnosti a o zmene a doplnení niektorých zákonov ukladá subjektom povinnosť, aby certifikovaný systém energetického auditu mal zavedené vypracovanie energetického auditu v rozsahu podľa § 45 ods. 1 písm. n) zákona.  Smernica (EÚ) 2023/1791 však v čl. 11 ods. 1 ustanovuje, že „členské štáty zabezpečia, aby podniky s priemernou ročnou spotrebou všetkých svojich nosičov energie za predchádzajúce tri roky vyššou ako 85 TJ implementovali systém energetického manažérstva. Systém energetického manažérstva musí byť certifikovaný nezávislým subjektom v súlade s príslušnými európskymi alebo medzinárodnými normami.“ Zároveň čl. 11 ods. 2 smernice (EÚ) 2023/1791 ustanovuje, že: „členské štáty zabezpečia, aby podniky s priemernou ročnou spotrebou všetkých svojich nosičov energie za predchádzajúce tri roky vyššou ako 10 TJ, ktoré neimplementujú systém energetického manažérstva, podliehali energetickému auditu.” Smernica (EÚ) 2023/1791 teda jednoznačne rozlišuje medzi povinnosťou implementovať systém energetického manažérstva a povinnosťou vykonať energetický audit.  Navrhované znenie § 26 ods. 2 písm. a) a § 26 ods. 3 písm. a) však tieto dve samostatné povinnosti prepája tým, že podmieňuje systém energetického manažérstva podľa normy ISO 50001 zavedením vypracovania energetického auditu. Takéto nastavenie sa preto javí ako duplicitná a výkladovo nejednoznačná povinnosť uložená dotknutým subjektom nad rámec smernice  (EÚ) 2023/1791.  V čl. 11 smernice (EÚ) 2023/1971 totiž neobsahuje ustanovenie, podľa ktorého by systém energetického manažérstva mal zahŕňať energetický audit. Smernica (EÚ) 2023/1971 takúto požiadavku výslovne upravuje iba pri systéme environmentálneho manažérstva, a to v čl. 11 ods. 11 smernice (EÚ) č. 2023/1791 nasledovne:  „Na podniky, ktoré implementujú systém environmentálneho manažérstva, ktorý je certifikovaný nezávislým subjektom podľa príslušných európskych alebo medzinárodných noriem, sa nevzťahujú požiadavky stanovené v odsekoch 1 a 2 tohto článku za predpokladu, že dotknutý systém environmentálneho manažérstva zahŕňa energetický audit na základe minimálnych kritérií stanovených v prílohe VI.“ Z uvedených dôvodov navrhujeme vypustiť povinnosť, aby systém energetického manažérstva mal zavedené vypracovanie energetického auditu, a teda odstrániť predmetný dovetok v § 26 ods. 2 písm. a) a v § 26 ods. 3 písm. a) zákona.   Typ pripomienky: ZÁSADNÁ</w:t>
            </w:r>
          </w:p>
        </w:tc>
        <w:tc>
          <w:tcPr>
            <w:tcW w:w="2264" w:type="dxa"/>
            <w:hideMark/>
          </w:tcPr>
          <w:p w14:paraId="4903C3D6" w14:textId="755C6107"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hideMark/>
          </w:tcPr>
          <w:p w14:paraId="307CC9C7" w14:textId="68EFE2F0"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Text vypustený.</w:t>
            </w:r>
          </w:p>
        </w:tc>
      </w:tr>
      <w:tr w:rsidR="00FE0F3E" w:rsidRPr="006278D2" w14:paraId="60DEDC81" w14:textId="21A9E514" w:rsidTr="00725D29">
        <w:trPr>
          <w:trHeight w:val="3165"/>
        </w:trPr>
        <w:tc>
          <w:tcPr>
            <w:tcW w:w="975" w:type="dxa"/>
            <w:hideMark/>
          </w:tcPr>
          <w:p w14:paraId="74040A5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1094.</w:t>
            </w:r>
          </w:p>
        </w:tc>
        <w:tc>
          <w:tcPr>
            <w:tcW w:w="2656" w:type="dxa"/>
            <w:hideMark/>
          </w:tcPr>
          <w:p w14:paraId="5A0E83F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eustream </w:t>
            </w:r>
            <w:r w:rsidRPr="00BC49FC">
              <w:rPr>
                <w:rFonts w:ascii="Times New Roman" w:hAnsi="Times New Roman" w:cs="Times New Roman"/>
              </w:rPr>
              <w:t>eustream, a.s.</w:t>
            </w:r>
          </w:p>
        </w:tc>
        <w:tc>
          <w:tcPr>
            <w:tcW w:w="612" w:type="dxa"/>
            <w:hideMark/>
          </w:tcPr>
          <w:p w14:paraId="79E9E0C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1C609BF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9. § 49 ods. 9 písm. a) zákona č. 251/2012 Z. z. </w:t>
            </w:r>
            <w:r w:rsidRPr="00BC49FC">
              <w:rPr>
                <w:rFonts w:ascii="Times New Roman" w:hAnsi="Times New Roman" w:cs="Times New Roman"/>
              </w:rPr>
              <w:t>V čl. VI v bode 9. požadujeme zmeniť navrhované znenie  § 49 ods. 9 písm. a) zákona č. 251/2012 Z. z. nahradením slov „pri prevádzkovaní prepravnej siete, plánovaní jej rozvoja“ slovami „pri plánovaní prepravnej siete, rozvoji prepravnej siete“ ...  Navrhované znenie § 49 ods. 9 písm. a) po zapracovaní tejto pripomienky znie: „a) uplatňovať princíp prvoradosti energetickej efektívnosti55ac) pri plánovaní prepravnej siete, rozvoji prepravnej siete a investičných rozhodnutiach, pokiaľ tým nie je negatívne dotknutý odberateľ,"   ODÔVODNENIE: Navrhované znenie § 49 ods. 9 písm. a) ukladá povinnosť uplatňovať princíp prvoradosti energetickej efektívnosti okrem iného aj pri „prevádzkovaní prepravnej siete“.  Ide o požiadavku uloženú nad rámec čl. 27 ods. 2  smernice (EÚ) 2023/1791, v zmysle ktorého „Členské štáty zabezpečia, aby prevádzkovatelia prenosových a distribučných sústav plynu a elektriny uplatňovali zásadu prvoradosti energetickej efektívnosti v súlade s článkom 3 tejto smernice pri plánovaní svojej siete, rozvoji siete a investičných rozhodnutiach.“  Navrhujeme zosúladiť znenie návrhu zákona so znením smernice (EÚ) 2023/1791, tak aby povinnosť uplatňovať princíp prvoradosti energetickej efektívnosti bola viazaná na plánovanie prepravnej siete, rozvoj prepravnej siete a investičné rozhodnutia. Uvedenú zmenu navrhujeme za účelom zabezpečenia konzistentnosti vnútroštátnej právnej úpravy s transponovanou smernicou (EÚ) 2023/1791, ktorá viaže uplatňovanie princípu prvoradosti energetickej efektívnosti na procesy strategického a investičného charakteru (teda na plánovanie a rozvoj prepravnej siete a prijímanie investičných rozhodnutí). Rozšírenie príslušnej povinnosti aj na samotné prevádzkovanie prepravnej siete predstavuje odklon od textu a účelu smernice (EÚ) 2023/1791 a vedie k riziku nejednoznačnému výkladu rozsahu povinností prevádzkovateľa prepravnej siete.   Typ pripomienky: ZÁSADNÁ</w:t>
            </w:r>
          </w:p>
        </w:tc>
        <w:tc>
          <w:tcPr>
            <w:tcW w:w="2264" w:type="dxa"/>
            <w:hideMark/>
          </w:tcPr>
          <w:p w14:paraId="414C27C6" w14:textId="55E1FAA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hideMark/>
          </w:tcPr>
          <w:p w14:paraId="219EB6FD" w14:textId="595B022F"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Zosúladenie so znením smernice (EÚ) 2023/1791, upravené znenie § 49 ods. 9 písm. a) zákona č. 251/2012 Z. z.:  "uplatňovať princíp prvoradosti energetickej efektívnosti</w:t>
            </w:r>
            <w:r w:rsidRPr="00BC49FC">
              <w:rPr>
                <w:rFonts w:ascii="Times New Roman" w:hAnsi="Times New Roman" w:cs="Times New Roman"/>
                <w:color w:val="000000"/>
                <w:vertAlign w:val="superscript"/>
              </w:rPr>
              <w:t>55ac</w:t>
            </w:r>
            <w:r w:rsidRPr="00BC49FC">
              <w:rPr>
                <w:rFonts w:ascii="Times New Roman" w:hAnsi="Times New Roman" w:cs="Times New Roman"/>
                <w:color w:val="000000"/>
              </w:rPr>
              <w:t xml:space="preserve">) pri plánovaní prepravnej siete, rozvoji prepravnej siete a investičných rozhodnutiach". Smernica neumožňuje podmieňovať uplatňovanie princípu prvoradosti energetickej efektívnosti dopadom na odberateľov, táto časť pripomienky preto nie je akceptovaná.  </w:t>
            </w:r>
            <w:r w:rsidRPr="00BC49FC">
              <w:rPr>
                <w:rFonts w:ascii="Times New Roman" w:hAnsi="Times New Roman" w:cs="Times New Roman"/>
                <w:color w:val="4EA72E"/>
              </w:rPr>
              <w:t xml:space="preserve">V ds je upravené    </w:t>
            </w:r>
          </w:p>
        </w:tc>
      </w:tr>
      <w:tr w:rsidR="00FE0F3E" w:rsidRPr="006278D2" w14:paraId="343249F2" w14:textId="6F9FB84D" w:rsidTr="00725D29">
        <w:trPr>
          <w:trHeight w:val="5370"/>
        </w:trPr>
        <w:tc>
          <w:tcPr>
            <w:tcW w:w="975" w:type="dxa"/>
            <w:hideMark/>
          </w:tcPr>
          <w:p w14:paraId="60BE1D7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1095.</w:t>
            </w:r>
          </w:p>
        </w:tc>
        <w:tc>
          <w:tcPr>
            <w:tcW w:w="2656" w:type="dxa"/>
            <w:hideMark/>
          </w:tcPr>
          <w:p w14:paraId="787D9846"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eustream </w:t>
            </w:r>
            <w:r w:rsidRPr="00BC49FC">
              <w:rPr>
                <w:rFonts w:ascii="Times New Roman" w:hAnsi="Times New Roman" w:cs="Times New Roman"/>
              </w:rPr>
              <w:t>eustream, a.s.</w:t>
            </w:r>
          </w:p>
        </w:tc>
        <w:tc>
          <w:tcPr>
            <w:tcW w:w="612" w:type="dxa"/>
            <w:hideMark/>
          </w:tcPr>
          <w:p w14:paraId="0547B629"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B23F8C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9. § 49 ods. 9 písm. d) zákona č. 251/2012 Z. z. </w:t>
            </w:r>
            <w:r w:rsidRPr="00BC49FC">
              <w:rPr>
                <w:rFonts w:ascii="Times New Roman" w:hAnsi="Times New Roman" w:cs="Times New Roman"/>
              </w:rPr>
              <w:t>V čl. VI v bode 9. požadujeme zmeniť navrhované znenie  § 49 ods. 9 písm. d) zákona č. 251/2012 Z. z. nahradením slov „ak je to technicky a ekonomicky možné," slovami „ak je to technicky možné a ak ekonomická analýza nákladov a prínosov preukáže opodstatnenosť takéhoto opatrenia,“, a ďalej odstránením slov  „a zavádzanie inteligentných systémov“.  Navrhované znenie § 49 ods. 9 písm. d) po zapracovaní tejto pripomienky: „d) monitorovať a kvantifikovať straty plynu v prepravnej sieti a, ak je to technicky možné a ak ekonomická analýza nákladov a prínosov preukáže opodstatnenosť takéhoto opatrenia, zaviesť opatrenia na optimalizáciu a zvyšovanie efektívnosti prepravnej siete, a to s ohľadom na existujúce systémy; prijaté opatrenia podľa predchádzajúcej vety a očakávané úspory energie dosiahnuté prostredníctvom zníženia strát nahlasuje prevádzkovateľ prepravnej siete každoročne do 30. júna úradu a prevádzkovateľovi monitorovacieho systému energetickej efektívnosti,“  ODÔVODNENIE: I. Navrhované znenie § 49 ods. 9 písm. d) podmieňuje zavedenie opatrení na optimalizáciu prepravnej siete podmienkou, že je to „technicky a ekonomicky možné". Uvedené kritérium neposkytuje dostatočnú právnu istotu a nie je  merateľným kritériom pre prevádzkovateľa prepravnej siete ani pre regulátora. V praxi nie je zrejmé, akým spôsobom má prevádzkovateľ prepravnej siete preukazovať splnenie tejto podmienky.  Za účelom precizovania povinnosti prevádzkovateľa prepravnej siete navrhujeme explicitne podmieniť povinnosť zaviesť opatrenia výsledkom ekonomickej analýzy nákladov a prínosov, čo je štandardný nástroj regulácie. Ak ekonomická analýza nepotvrdzuje opodstatnenosť opatrenia, povinnosť jeho zavedenia nevzniká.  Tým sa predchádza situácii, v ktorej by bol prevádzkovateľ prepravnej siete nútený znášať náklady opatrení, ktoré nie sú ekonomicky opodstatnené.   II. Odkaz na „zavádzanie inteligentných systémov" v súvislosti s opatreniami na optimalizáciu a zvyšovanie energetickej efektívnosti prepravnej siete nemá opodstatnenie.  Pojem „inteligentné systémy" sa v kontexte sieťovej infraštruktúry viaže predovšetkým na elektrizačné prenosové a distribučné sústavy. Zákon o energetike používa síce pojem „inteligentné meracie systémy“, ktoré sú však relevantné najmä v súvislosti s určenými kategóriami koncových odberateľov elektriny a plynu, pre ktoré je využitie inteligentných meracích systémov opodstatnené.   V tejto súvislosti však absentuje previazanosť na prepravnú sieť, pričom prirodzene tiež absentuje zákonná povinnosť prevádzkovateľa prepravnej siete inštalovať inteligentné meracie systémy.  Uvedenie odkazu na „zavádzanie inteligentných systémov“ k opatreniam na optimalizáciu a zvyšovanie efektívnosti prepravnej siete je preto neopodstatnené a  v kontexte ostatných povinností prevádzkovateľa prepravnej siete nekonzistentné.  Uvedeným odkazom sa zároveň vytvára interpretačná neistota, keďže nie je zrejmé, v akom vzťahu má stáť zavádzanie inteligentných systémov k rozhodnutiu o zavedení konkrétneho opatrenia na znižovanie strát. Čl. 27 ods. 3 smernice (EÚ) 2023/1791 spomína inteligentné sústavy len v širšom kontexte zlepšovania energetickej efektívnosti pri návrhu a prevádzke infraštruktúry, nie ako podmienku viazanú na povinnosť optimalizovať straty, a to zároveň všeobecne pre premenu, prenos a distribúciu energie. Vypustenie tohto odkazu preto nie je v rozpore so smernicou (EÚ) 2023/1791 a odstraňuje z navrhovaného znenia prvok, ktorý je pre prepravnú sieť vecne neopodstatnený.  Typ pripomienky: ZÁSADNÁ</w:t>
            </w:r>
          </w:p>
        </w:tc>
        <w:tc>
          <w:tcPr>
            <w:tcW w:w="2264" w:type="dxa"/>
            <w:hideMark/>
          </w:tcPr>
          <w:p w14:paraId="1E0B680C" w14:textId="2FA53328"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A</w:t>
            </w:r>
          </w:p>
        </w:tc>
        <w:tc>
          <w:tcPr>
            <w:tcW w:w="2753" w:type="dxa"/>
            <w:hideMark/>
          </w:tcPr>
          <w:p w14:paraId="36A35CF7"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w:t>
            </w:r>
          </w:p>
        </w:tc>
      </w:tr>
      <w:tr w:rsidR="00FE0F3E" w:rsidRPr="006278D2" w14:paraId="4912A4FF" w14:textId="05D0CBEA" w:rsidTr="00725D29">
        <w:trPr>
          <w:trHeight w:val="2220"/>
        </w:trPr>
        <w:tc>
          <w:tcPr>
            <w:tcW w:w="975" w:type="dxa"/>
            <w:hideMark/>
          </w:tcPr>
          <w:p w14:paraId="084B971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1096.</w:t>
            </w:r>
          </w:p>
        </w:tc>
        <w:tc>
          <w:tcPr>
            <w:tcW w:w="2656" w:type="dxa"/>
            <w:hideMark/>
          </w:tcPr>
          <w:p w14:paraId="56EF2BF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eustream </w:t>
            </w:r>
            <w:r w:rsidRPr="00BC49FC">
              <w:rPr>
                <w:rFonts w:ascii="Times New Roman" w:hAnsi="Times New Roman" w:cs="Times New Roman"/>
              </w:rPr>
              <w:t>eustream, a.s.</w:t>
            </w:r>
          </w:p>
        </w:tc>
        <w:tc>
          <w:tcPr>
            <w:tcW w:w="612" w:type="dxa"/>
            <w:hideMark/>
          </w:tcPr>
          <w:p w14:paraId="30764C7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56051BD"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VI bod 9. § 49 ods. 9 písm. e) zákona č. 251/2012 Z. z </w:t>
            </w:r>
            <w:r w:rsidRPr="00BC49FC">
              <w:rPr>
                <w:rFonts w:ascii="Times New Roman" w:hAnsi="Times New Roman" w:cs="Times New Roman"/>
              </w:rPr>
              <w:t>V Čl. VI v bode 9. požadujeme odstrániť  navrhované znenie § 49 ods. 9 písm. e) zákona č. 251/2012 Z. z., ktoré znie „e) vyvíjať inovatívne riešenia na zlepšenie energetickej efektívnosti existujúcej prepravnej siete a pri plánovaní jej rozvoja.".   ODÔVODNENIE: Navrhované znenie § 49 ods. 9 písm. e) ukladá prevádzkovateľovi prepravnej siete povinnosť nad rámec požiadaviek smernice (EÚ) 2023/1791.  Smernica (EÚ) 2023/1791 v čl. 27 ods. 3 neukladá povinnosť „vyvíjať inovatívne riešenia“ prevádzkovateľom prenosových a distribučných sústav, ale ukladá členským štátom povinnosť vytvárať také regulačné stimuly, ktoré budú prevádzkovateľov prenosových a distribučných sústav podnecovať k vyvíjaniu inovačných riešení na zlepšenie energetickej efektívnosti existujúcich a budúcich systémov.  Návrh predmetného ustanovenia zákona presúva povinnosť členského štátu a regulátora na regulovaný subjekt. Zároveň vypúšťa kľúčový prvok regulačných stimulov, pričom prevádzkovateľovi prepravnej siete ukladá neurčitú a ťažko vykonateľnú právnu povinnosť bez jasného obsahu, rozsahu a stanovenia kritérií pre vyhodnotenie jej splnenia.  Z uvedených dôvodov navrhujeme predmetné ustanovenie odstrániť.    Typ pripomienky: ZÁSADNÁ</w:t>
            </w:r>
          </w:p>
        </w:tc>
        <w:tc>
          <w:tcPr>
            <w:tcW w:w="2264" w:type="dxa"/>
            <w:vAlign w:val="center"/>
            <w:hideMark/>
          </w:tcPr>
          <w:p w14:paraId="1B2C97B4" w14:textId="136FB386"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18C49847" w14:textId="1904D489" w:rsidR="00FE0F3E" w:rsidRPr="00BC49FC" w:rsidRDefault="00FE0F3E" w:rsidP="00666928">
            <w:pPr>
              <w:rPr>
                <w:rFonts w:ascii="Times New Roman" w:hAnsi="Times New Roman" w:cs="Times New Roman"/>
                <w:b/>
                <w:bCs/>
              </w:rPr>
            </w:pPr>
            <w:r w:rsidRPr="00BC49FC">
              <w:rPr>
                <w:rFonts w:ascii="Times New Roman" w:hAnsi="Times New Roman" w:cs="Times New Roman"/>
                <w:color w:val="000000"/>
              </w:rPr>
              <w:t>Dalo by sa buď ako je návrh SEPS v 815. a použiť slovo "aplikovať", alebo dať povinnosť ÚRSO vytvárať regulačné stimuly na zavádzanie inovatívnych opatrení.    Upravené:  e) aplikovať inovatívne riešenia na zlepšenie energetickej efektívnosti existujúcej prepravnej siete a pri plánovaní jej rozvoja,</w:t>
            </w:r>
            <w:r w:rsidRPr="00BC49FC">
              <w:rPr>
                <w:rFonts w:ascii="Times New Roman" w:hAnsi="Times New Roman" w:cs="Times New Roman"/>
                <w:color w:val="0070C0"/>
              </w:rPr>
              <w:t xml:space="preserve"> prostredníctvom podmienok a stimulov podľa osobitného predpisu</w:t>
            </w:r>
            <w:r w:rsidRPr="00BC49FC">
              <w:rPr>
                <w:rFonts w:ascii="Times New Roman" w:hAnsi="Times New Roman" w:cs="Times New Roman"/>
                <w:color w:val="0070C0"/>
                <w:vertAlign w:val="superscript"/>
              </w:rPr>
              <w:t>xxx</w:t>
            </w:r>
            <w:r w:rsidRPr="00BC49FC">
              <w:rPr>
                <w:rFonts w:ascii="Times New Roman" w:hAnsi="Times New Roman" w:cs="Times New Roman"/>
                <w:color w:val="0070C0"/>
              </w:rPr>
              <w:t xml:space="preserve">), </w:t>
            </w:r>
            <w:r w:rsidRPr="00BC49FC">
              <w:rPr>
                <w:rFonts w:ascii="Times New Roman" w:hAnsi="Times New Roman" w:cs="Times New Roman"/>
                <w:color w:val="000000"/>
              </w:rPr>
              <w:t xml:space="preserve">    Poznámka pod čiarou k odkazu xxx znie:  „xxx) </w:t>
            </w:r>
            <w:r w:rsidRPr="00BC49FC">
              <w:rPr>
                <w:rFonts w:ascii="Times New Roman" w:hAnsi="Times New Roman" w:cs="Times New Roman"/>
                <w:color w:val="0070C0"/>
              </w:rPr>
              <w:t xml:space="preserve">§ 40 ods. 1 písm. </w:t>
            </w:r>
            <w:r>
              <w:rPr>
                <w:rFonts w:ascii="Times New Roman" w:hAnsi="Times New Roman" w:cs="Times New Roman"/>
                <w:color w:val="0070C0"/>
              </w:rPr>
              <w:t>q</w:t>
            </w:r>
            <w:r w:rsidRPr="00BC49FC">
              <w:rPr>
                <w:rFonts w:ascii="Times New Roman" w:hAnsi="Times New Roman" w:cs="Times New Roman"/>
                <w:color w:val="0070C0"/>
              </w:rPr>
              <w:t xml:space="preserve">) zákona č. 250/2012 Z.z.  </w:t>
            </w:r>
          </w:p>
        </w:tc>
      </w:tr>
      <w:tr w:rsidR="00FE0F3E" w:rsidRPr="006278D2" w14:paraId="508EF422" w14:textId="66A7F1E8" w:rsidTr="00725D29">
        <w:trPr>
          <w:trHeight w:val="1905"/>
        </w:trPr>
        <w:tc>
          <w:tcPr>
            <w:tcW w:w="975" w:type="dxa"/>
            <w:hideMark/>
          </w:tcPr>
          <w:p w14:paraId="6B50B63B"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1129.</w:t>
            </w:r>
          </w:p>
        </w:tc>
        <w:tc>
          <w:tcPr>
            <w:tcW w:w="2656" w:type="dxa"/>
            <w:hideMark/>
          </w:tcPr>
          <w:p w14:paraId="126BEF5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ÚNMSSR </w:t>
            </w:r>
            <w:r w:rsidRPr="00BC49FC">
              <w:rPr>
                <w:rFonts w:ascii="Times New Roman" w:hAnsi="Times New Roman" w:cs="Times New Roman"/>
              </w:rPr>
              <w:t>Úrad pre normalizáciu,  metrológiu a skúšobníctvo Slovenskej republiky</w:t>
            </w:r>
          </w:p>
        </w:tc>
        <w:tc>
          <w:tcPr>
            <w:tcW w:w="612" w:type="dxa"/>
            <w:hideMark/>
          </w:tcPr>
          <w:p w14:paraId="51C9CAD3"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576E1E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K vlastnému materiálu </w:t>
            </w:r>
            <w:r w:rsidRPr="00BC49FC">
              <w:rPr>
                <w:rFonts w:ascii="Times New Roman" w:hAnsi="Times New Roman" w:cs="Times New Roman"/>
              </w:rPr>
              <w:t>V § 26 ods. 2 v písm. a) a písm. b) žiadame uviesť odkazy na konkrétne technické normy v poznámke pod čiarou a upraviť ods. 2 napríklad takto: „(2) Podnik s celkovou ročnou energetickou spotrebou väčšou ako 10 TJ môže vykonať povinnosť podľa odseku 1 aj  a) zavedením certifikovaného systému energetického manažérstvaX), ktorý má zavedené vypracovanie energetického auditu v rozsahu podľa § 45 ods. 1 písm. n) alebo  b) zavedením certifikovaného systému environmentálneho manažérstvaY), ktorý má zavedené vypracovanie energetického auditu v rozsahu podľa § 45 ods. 1 písm. n).  X) Napríklad STN EN ISO 50001 Systémy energetického manažérstva. Požiadavky s návodom na používanie (ISO 50001) (38 0005). Y) Napríklad STN EN ISO 14001 Systémy environmentálneho manažérstva. Požiadavky s pokynmi na použitie (ISO 14001) (83 9001). Odôvodnenie: Podľa bodu 23.8. prílohy č. 1 k legislatívnym pravidlám vlády Slovenskej republiky je možné sa odkazovať na konkrétne technické normy v poznámke pod čiarou s uvedením označenia, čísla a názvu technickej normy a triediaceho znaku technickej normy v zátvorke v súlade s platnou sústavou  slovenských technických noriem s použitím nedatovaných odkazov na technické normy.</w:t>
            </w:r>
          </w:p>
        </w:tc>
        <w:tc>
          <w:tcPr>
            <w:tcW w:w="2264" w:type="dxa"/>
            <w:tcBorders>
              <w:bottom w:val="single" w:sz="4" w:space="0" w:color="auto"/>
            </w:tcBorders>
            <w:hideMark/>
          </w:tcPr>
          <w:p w14:paraId="7CC578A3" w14:textId="3D8F7EB4"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A</w:t>
            </w:r>
          </w:p>
        </w:tc>
        <w:tc>
          <w:tcPr>
            <w:tcW w:w="2753" w:type="dxa"/>
            <w:tcBorders>
              <w:bottom w:val="single" w:sz="4" w:space="0" w:color="auto"/>
            </w:tcBorders>
            <w:hideMark/>
          </w:tcPr>
          <w:p w14:paraId="3DBC52B8" w14:textId="486C8C36" w:rsidR="00FE0F3E" w:rsidRPr="00BC49FC" w:rsidRDefault="00FE0F3E" w:rsidP="00666928">
            <w:pPr>
              <w:rPr>
                <w:rFonts w:ascii="Times New Roman" w:hAnsi="Times New Roman" w:cs="Times New Roman"/>
                <w:color w:val="000000"/>
              </w:rPr>
            </w:pPr>
            <w:r w:rsidRPr="00BC49FC">
              <w:rPr>
                <w:rFonts w:ascii="Times New Roman" w:hAnsi="Times New Roman" w:cs="Times New Roman"/>
                <w:b/>
                <w:bCs/>
              </w:rPr>
              <w:t> </w:t>
            </w:r>
            <w:r>
              <w:rPr>
                <w:rFonts w:ascii="Times New Roman" w:hAnsi="Times New Roman" w:cs="Times New Roman"/>
                <w:color w:val="000000"/>
              </w:rPr>
              <w:t>T</w:t>
            </w:r>
            <w:r w:rsidRPr="00BC49FC">
              <w:rPr>
                <w:rFonts w:ascii="Times New Roman" w:hAnsi="Times New Roman" w:cs="Times New Roman"/>
                <w:color w:val="000000"/>
              </w:rPr>
              <w:t>ext § 26 ods. 2 písm. a) a b)  a v ods. 3 znie:</w:t>
            </w:r>
            <w:r w:rsidRPr="00BC49FC">
              <w:rPr>
                <w:rFonts w:ascii="Times New Roman" w:hAnsi="Times New Roman" w:cs="Times New Roman"/>
                <w:color w:val="000000"/>
              </w:rPr>
              <w:br/>
              <w:t xml:space="preserve">a) energetického manažérstva1), alebo  </w:t>
            </w:r>
            <w:r w:rsidRPr="00BC49FC">
              <w:rPr>
                <w:rFonts w:ascii="Times New Roman" w:hAnsi="Times New Roman" w:cs="Times New Roman"/>
                <w:color w:val="000000"/>
              </w:rPr>
              <w:br/>
              <w:t>b) environmentálneho manažérstva,2) ktorého súčasťou je energetický audit v rozsahu podľa § 45 ods. 1 písm. n).</w:t>
            </w:r>
            <w:r w:rsidRPr="00BC49FC">
              <w:rPr>
                <w:rFonts w:ascii="Times New Roman" w:hAnsi="Times New Roman" w:cs="Times New Roman"/>
                <w:color w:val="000000"/>
              </w:rPr>
              <w:br/>
            </w:r>
            <w:r w:rsidRPr="00BC49FC">
              <w:rPr>
                <w:rFonts w:ascii="Times New Roman" w:hAnsi="Times New Roman" w:cs="Times New Roman"/>
                <w:color w:val="000000"/>
              </w:rPr>
              <w:br/>
              <w:t xml:space="preserve">(3) Podnik s priemernou ročnou energetickou spotrebou väčšou ako 85 TJ za predchádzajúce tri kalendárne roky je povinný mať zavedený certifikovaný systém  </w:t>
            </w:r>
            <w:r w:rsidRPr="00BC49FC">
              <w:rPr>
                <w:rFonts w:ascii="Times New Roman" w:hAnsi="Times New Roman" w:cs="Times New Roman"/>
                <w:color w:val="000000"/>
              </w:rPr>
              <w:br/>
              <w:t xml:space="preserve">a) energetického manažérstva,1) alebo  </w:t>
            </w:r>
            <w:r w:rsidRPr="00BC49FC">
              <w:rPr>
                <w:rFonts w:ascii="Times New Roman" w:hAnsi="Times New Roman" w:cs="Times New Roman"/>
                <w:color w:val="000000"/>
              </w:rPr>
              <w:br/>
              <w:t>b) environmentálneho manažérstva,2) ktorého súčasťou je energetického audit v rozsahu podľa § 45 ods. 1 písm. n).</w:t>
            </w:r>
            <w:r w:rsidRPr="00BC49FC">
              <w:rPr>
                <w:rFonts w:ascii="Times New Roman" w:hAnsi="Times New Roman" w:cs="Times New Roman"/>
                <w:color w:val="000000"/>
              </w:rPr>
              <w:br/>
              <w:t>Poznámky pod čiarou (prečíslujú sa podľa konečného textu) znejú:</w:t>
            </w:r>
            <w:r w:rsidRPr="00BC49FC">
              <w:rPr>
                <w:rFonts w:ascii="Times New Roman" w:hAnsi="Times New Roman" w:cs="Times New Roman"/>
                <w:color w:val="000000"/>
              </w:rPr>
              <w:br/>
              <w:t>1) Napríklad STN EN ISO 50001 Systémy energetického manažérstva. Požiadavky s návodom na používanie (ISO 50001) (38 0005).</w:t>
            </w:r>
            <w:r w:rsidRPr="00BC49FC">
              <w:rPr>
                <w:rFonts w:ascii="Times New Roman" w:hAnsi="Times New Roman" w:cs="Times New Roman"/>
                <w:color w:val="000000"/>
              </w:rPr>
              <w:br/>
              <w:t>2) Napríklad STN EN ISO 14001 Systémy environmentálneho manažérstva. Požiadavky s pokynmi na použitie (ISO 14001) (83 9001).</w:t>
            </w:r>
          </w:p>
          <w:p w14:paraId="3EB212FB" w14:textId="7A0164F2" w:rsidR="00FE0F3E" w:rsidRPr="00BC49FC" w:rsidRDefault="00FE0F3E" w:rsidP="00666928">
            <w:pPr>
              <w:rPr>
                <w:rFonts w:ascii="Times New Roman" w:hAnsi="Times New Roman" w:cs="Times New Roman"/>
                <w:b/>
                <w:bCs/>
              </w:rPr>
            </w:pPr>
          </w:p>
        </w:tc>
      </w:tr>
      <w:tr w:rsidR="00FE0F3E" w:rsidRPr="006278D2" w14:paraId="2173EE20" w14:textId="0663CDA9" w:rsidTr="00725D29">
        <w:trPr>
          <w:trHeight w:val="1275"/>
        </w:trPr>
        <w:tc>
          <w:tcPr>
            <w:tcW w:w="975" w:type="dxa"/>
            <w:hideMark/>
          </w:tcPr>
          <w:p w14:paraId="1738AB19"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1133.</w:t>
            </w:r>
          </w:p>
        </w:tc>
        <w:tc>
          <w:tcPr>
            <w:tcW w:w="2656" w:type="dxa"/>
            <w:hideMark/>
          </w:tcPr>
          <w:p w14:paraId="7408A363"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ŠÚSR </w:t>
            </w:r>
            <w:r w:rsidRPr="00BC49FC">
              <w:rPr>
                <w:rFonts w:ascii="Times New Roman" w:hAnsi="Times New Roman" w:cs="Times New Roman"/>
              </w:rPr>
              <w:t>Štatistický úrad Slovenskej republiky</w:t>
            </w:r>
          </w:p>
        </w:tc>
        <w:tc>
          <w:tcPr>
            <w:tcW w:w="612" w:type="dxa"/>
            <w:hideMark/>
          </w:tcPr>
          <w:p w14:paraId="0A710DD8"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2E2CDB2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9 ods. 1 písm. a) piaty bod </w:t>
            </w:r>
            <w:r w:rsidRPr="00BC49FC">
              <w:rPr>
                <w:rFonts w:ascii="Times New Roman" w:hAnsi="Times New Roman" w:cs="Times New Roman"/>
              </w:rPr>
              <w:t>Odporúčame bod prepracovať. Po prvé, je nelogické, aby bol monitorovací systém určený na monitorovanie, vyhodnocovanie a overovanie energetickej štatistiky. Vytvára to predstavu, že pri tvorbe štatistiky nie je schopný zabezpečiť pravdivé údaje. Po druhé, odkaz na § 10 ods. 9 písm. d) návrhu zákona je legislatívno-technicky nadbytočný, pretože neobsahuje vo vzťahu k § 9 ods. 1 písm. a) piateho bodu žiadne vecné spresnenie. Po tretie, predmetom zákona je štatistika energetickej efektívnosti, nie štatistika energetiky, resp. energetická štatistika. Pretože tvorba, rozvoja šírenie štatistiky energetiky je predmetom štátnej štatistiky.</w:t>
            </w:r>
          </w:p>
        </w:tc>
        <w:tc>
          <w:tcPr>
            <w:tcW w:w="2264" w:type="dxa"/>
            <w:vAlign w:val="center"/>
            <w:hideMark/>
          </w:tcPr>
          <w:p w14:paraId="09DF5BA8" w14:textId="074BCAEA"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8CBE744" w14:textId="74F92E74" w:rsidR="00FE0F3E" w:rsidRPr="00BC49FC" w:rsidRDefault="00FE0F3E" w:rsidP="00666928">
            <w:pPr>
              <w:rPr>
                <w:rFonts w:ascii="Times New Roman" w:hAnsi="Times New Roman" w:cs="Times New Roman"/>
                <w:b/>
                <w:bCs/>
              </w:rPr>
            </w:pPr>
            <w:r w:rsidRPr="00F743B5">
              <w:rPr>
                <w:rFonts w:ascii="Times New Roman" w:hAnsi="Times New Roman" w:cs="Times New Roman"/>
                <w:b/>
                <w:bCs/>
              </w:rPr>
              <w:t> </w:t>
            </w:r>
            <w:r w:rsidRPr="00F743B5">
              <w:rPr>
                <w:rFonts w:ascii="Times New Roman" w:hAnsi="Times New Roman" w:cs="Times New Roman"/>
              </w:rPr>
              <w:t>Upravené v zmysle pripomienky</w:t>
            </w:r>
            <w:r>
              <w:rPr>
                <w:rFonts w:ascii="Times New Roman" w:hAnsi="Times New Roman" w:cs="Times New Roman"/>
              </w:rPr>
              <w:t>.</w:t>
            </w:r>
          </w:p>
        </w:tc>
      </w:tr>
      <w:tr w:rsidR="00FE0F3E" w:rsidRPr="006278D2" w14:paraId="7337565C" w14:textId="0AF91028" w:rsidTr="00725D29">
        <w:trPr>
          <w:trHeight w:val="960"/>
        </w:trPr>
        <w:tc>
          <w:tcPr>
            <w:tcW w:w="975" w:type="dxa"/>
            <w:hideMark/>
          </w:tcPr>
          <w:p w14:paraId="778313F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1134.</w:t>
            </w:r>
          </w:p>
        </w:tc>
        <w:tc>
          <w:tcPr>
            <w:tcW w:w="2656" w:type="dxa"/>
            <w:hideMark/>
          </w:tcPr>
          <w:p w14:paraId="7AA202D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ŠÚSR </w:t>
            </w:r>
            <w:r w:rsidRPr="00BC49FC">
              <w:rPr>
                <w:rFonts w:ascii="Times New Roman" w:hAnsi="Times New Roman" w:cs="Times New Roman"/>
              </w:rPr>
              <w:t>Štatistický úrad Slovenskej republiky</w:t>
            </w:r>
          </w:p>
        </w:tc>
        <w:tc>
          <w:tcPr>
            <w:tcW w:w="612" w:type="dxa"/>
            <w:hideMark/>
          </w:tcPr>
          <w:p w14:paraId="34539B64"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067D2878"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Čl. I § 32 ods. 3 písm. a), § 32 ods. 4 písm. k), § 32 ods. 11 a 12, § 34 ods. 2 písm. c) </w:t>
            </w:r>
            <w:r w:rsidRPr="00BC49FC">
              <w:rPr>
                <w:rFonts w:ascii="Times New Roman" w:hAnsi="Times New Roman" w:cs="Times New Roman"/>
              </w:rPr>
              <w:t>Navrhujeme z dôvodu presnosti a jednoznačnosti slovné spojenie „jednotná dlhová metodika platná pre Európsku úniu“ v príslušnom tvare a slovné spojenie „jednotná metodika platná pre Európsku úniu“ v príslušnom tvare nahradiť slovným spojením „jednotná metodika zostavovania dlhu verejnej správy platná pre Európsku úniu“ v príslušnom tvare.  Odôvodnenie: Termín „dlhová metodika“ v európskej štatistike nie je zavedený.</w:t>
            </w:r>
          </w:p>
        </w:tc>
        <w:tc>
          <w:tcPr>
            <w:tcW w:w="2264" w:type="dxa"/>
            <w:vAlign w:val="center"/>
            <w:hideMark/>
          </w:tcPr>
          <w:p w14:paraId="0A862E9B" w14:textId="1677FFFF"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A</w:t>
            </w:r>
          </w:p>
        </w:tc>
        <w:tc>
          <w:tcPr>
            <w:tcW w:w="2753" w:type="dxa"/>
            <w:vAlign w:val="center"/>
            <w:hideMark/>
          </w:tcPr>
          <w:p w14:paraId="58B6ADD3" w14:textId="46E809BE" w:rsidR="00FE0F3E" w:rsidRPr="00BC49FC" w:rsidRDefault="00FE0F3E" w:rsidP="00666928">
            <w:pPr>
              <w:rPr>
                <w:rFonts w:ascii="Times New Roman" w:hAnsi="Times New Roman" w:cs="Times New Roman"/>
                <w:b/>
                <w:bCs/>
              </w:rPr>
            </w:pPr>
            <w:r w:rsidRPr="00F743B5">
              <w:rPr>
                <w:rFonts w:ascii="Times New Roman" w:hAnsi="Times New Roman" w:cs="Times New Roman"/>
                <w:b/>
                <w:bCs/>
              </w:rPr>
              <w:t> </w:t>
            </w:r>
            <w:r w:rsidRPr="00F743B5">
              <w:rPr>
                <w:rFonts w:ascii="Times New Roman" w:hAnsi="Times New Roman" w:cs="Times New Roman"/>
              </w:rPr>
              <w:t>Upravené v zmysle pripomienky,</w:t>
            </w:r>
            <w:r>
              <w:rPr>
                <w:rFonts w:ascii="Times New Roman" w:hAnsi="Times New Roman" w:cs="Times New Roman"/>
                <w:b/>
                <w:bCs/>
                <w:color w:val="000000"/>
              </w:rPr>
              <w:t>.</w:t>
            </w:r>
          </w:p>
        </w:tc>
      </w:tr>
      <w:tr w:rsidR="00FE0F3E" w:rsidRPr="006278D2" w14:paraId="2400E9BA" w14:textId="2E3AC0A1" w:rsidTr="00725D29">
        <w:trPr>
          <w:trHeight w:val="645"/>
        </w:trPr>
        <w:tc>
          <w:tcPr>
            <w:tcW w:w="975" w:type="dxa"/>
            <w:hideMark/>
          </w:tcPr>
          <w:p w14:paraId="2CF8F80A"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1135.</w:t>
            </w:r>
          </w:p>
        </w:tc>
        <w:tc>
          <w:tcPr>
            <w:tcW w:w="2656" w:type="dxa"/>
            <w:hideMark/>
          </w:tcPr>
          <w:p w14:paraId="665071C5"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ŠÚSR </w:t>
            </w:r>
            <w:r w:rsidRPr="00BC49FC">
              <w:rPr>
                <w:rFonts w:ascii="Times New Roman" w:hAnsi="Times New Roman" w:cs="Times New Roman"/>
              </w:rPr>
              <w:t>Štatistický úrad Slovenskej republiky</w:t>
            </w:r>
          </w:p>
        </w:tc>
        <w:tc>
          <w:tcPr>
            <w:tcW w:w="612" w:type="dxa"/>
            <w:hideMark/>
          </w:tcPr>
          <w:p w14:paraId="3729801D" w14:textId="77777777" w:rsidR="00FE0F3E" w:rsidRPr="00BC49FC" w:rsidRDefault="00FE0F3E" w:rsidP="00666928">
            <w:pPr>
              <w:rPr>
                <w:rFonts w:ascii="Times New Roman" w:hAnsi="Times New Roman" w:cs="Times New Roman"/>
              </w:rPr>
            </w:pPr>
            <w:r w:rsidRPr="00BC49FC">
              <w:rPr>
                <w:rFonts w:ascii="Times New Roman" w:hAnsi="Times New Roman" w:cs="Times New Roman"/>
              </w:rPr>
              <w:t>O</w:t>
            </w:r>
          </w:p>
        </w:tc>
        <w:tc>
          <w:tcPr>
            <w:tcW w:w="5615" w:type="dxa"/>
            <w:hideMark/>
          </w:tcPr>
          <w:p w14:paraId="4E24A171" w14:textId="77777777" w:rsidR="00FE0F3E" w:rsidRPr="00BC49FC" w:rsidRDefault="00FE0F3E" w:rsidP="00666928">
            <w:pPr>
              <w:rPr>
                <w:rFonts w:ascii="Times New Roman" w:hAnsi="Times New Roman" w:cs="Times New Roman"/>
                <w:b/>
                <w:bCs/>
              </w:rPr>
            </w:pPr>
            <w:r w:rsidRPr="00BC49FC">
              <w:rPr>
                <w:rFonts w:ascii="Times New Roman" w:hAnsi="Times New Roman" w:cs="Times New Roman"/>
                <w:b/>
                <w:bCs/>
              </w:rPr>
              <w:t xml:space="preserve">analýze vplyvov na rozpočet verejnej správy, zamestnanosť vo verejnej správe a financovanie návrhu </w:t>
            </w:r>
            <w:r w:rsidRPr="00BC49FC">
              <w:rPr>
                <w:rFonts w:ascii="Times New Roman" w:hAnsi="Times New Roman" w:cs="Times New Roman"/>
              </w:rPr>
              <w:t>Odporúčame uviesť priamo v tabuľke vyčíslenia limitov verejných výdavkov, že sa nepredpokladá žiadny vplyv, alebo tento vplyv vyčísliť.  Odôvodnenie: Ak sú rozpísané príjmy a výdavky, mal by byť uvedený vplyv na výdavkové limity.</w:t>
            </w:r>
          </w:p>
        </w:tc>
        <w:tc>
          <w:tcPr>
            <w:tcW w:w="2264" w:type="dxa"/>
            <w:vAlign w:val="center"/>
            <w:hideMark/>
          </w:tcPr>
          <w:p w14:paraId="6E523BC6" w14:textId="4ECAAA12" w:rsidR="00FE0F3E" w:rsidRPr="00BC49FC" w:rsidRDefault="00FE0F3E" w:rsidP="00666928">
            <w:pPr>
              <w:rPr>
                <w:rFonts w:ascii="Times New Roman" w:hAnsi="Times New Roman" w:cs="Times New Roman"/>
                <w:b/>
                <w:bCs/>
              </w:rPr>
            </w:pPr>
            <w:r w:rsidRPr="00BC49FC">
              <w:rPr>
                <w:rFonts w:ascii="Times New Roman" w:hAnsi="Times New Roman" w:cs="Times New Roman"/>
                <w:b/>
                <w:bCs/>
                <w:color w:val="000000"/>
              </w:rPr>
              <w:t>ČA</w:t>
            </w:r>
          </w:p>
        </w:tc>
        <w:tc>
          <w:tcPr>
            <w:tcW w:w="2753" w:type="dxa"/>
            <w:vAlign w:val="center"/>
            <w:hideMark/>
          </w:tcPr>
          <w:p w14:paraId="63CBFEF5" w14:textId="10BD75D4" w:rsidR="00FE0F3E" w:rsidRPr="00BC49FC" w:rsidRDefault="00FE0F3E" w:rsidP="00666928">
            <w:pPr>
              <w:rPr>
                <w:rFonts w:ascii="Times New Roman" w:hAnsi="Times New Roman" w:cs="Times New Roman"/>
                <w:b/>
                <w:bCs/>
              </w:rPr>
            </w:pPr>
            <w:r>
              <w:rPr>
                <w:rFonts w:ascii="Times New Roman" w:hAnsi="Times New Roman" w:cs="Times New Roman"/>
                <w:b/>
                <w:bCs/>
                <w:color w:val="000000"/>
              </w:rPr>
              <w:t>???</w:t>
            </w:r>
            <w:r w:rsidRPr="00BC49FC">
              <w:rPr>
                <w:rFonts w:ascii="Times New Roman" w:hAnsi="Times New Roman" w:cs="Times New Roman"/>
                <w:b/>
                <w:bCs/>
                <w:color w:val="000000"/>
              </w:rPr>
              <w:t xml:space="preserve">bude vyčíslené, čo sa bude dať </w:t>
            </w:r>
          </w:p>
        </w:tc>
      </w:tr>
    </w:tbl>
    <w:p w14:paraId="51C03378" w14:textId="77777777" w:rsidR="00E52F66" w:rsidRPr="00BC49FC" w:rsidRDefault="00E52F66">
      <w:pPr>
        <w:rPr>
          <w:rFonts w:ascii="Times New Roman" w:hAnsi="Times New Roman" w:cs="Times New Roman"/>
        </w:rPr>
      </w:pPr>
    </w:p>
    <w:sectPr w:rsidR="00E52F66" w:rsidRPr="00BC49FC" w:rsidSect="00FA554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712E4"/>
    <w:multiLevelType w:val="hybridMultilevel"/>
    <w:tmpl w:val="C7EE6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5469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E45"/>
    <w:rsid w:val="00003898"/>
    <w:rsid w:val="00004154"/>
    <w:rsid w:val="00013A44"/>
    <w:rsid w:val="000254A6"/>
    <w:rsid w:val="000276B6"/>
    <w:rsid w:val="00033E24"/>
    <w:rsid w:val="00042578"/>
    <w:rsid w:val="0004342F"/>
    <w:rsid w:val="00043906"/>
    <w:rsid w:val="00050D80"/>
    <w:rsid w:val="00051486"/>
    <w:rsid w:val="00057ABD"/>
    <w:rsid w:val="00057E84"/>
    <w:rsid w:val="00064769"/>
    <w:rsid w:val="00064878"/>
    <w:rsid w:val="00067CD3"/>
    <w:rsid w:val="00075063"/>
    <w:rsid w:val="00075A2F"/>
    <w:rsid w:val="0008228A"/>
    <w:rsid w:val="000843D8"/>
    <w:rsid w:val="00085340"/>
    <w:rsid w:val="00090B2F"/>
    <w:rsid w:val="000923D7"/>
    <w:rsid w:val="00093F05"/>
    <w:rsid w:val="000A2DB4"/>
    <w:rsid w:val="000B5D2A"/>
    <w:rsid w:val="000C24A0"/>
    <w:rsid w:val="000C731F"/>
    <w:rsid w:val="000C7CB1"/>
    <w:rsid w:val="000D0EA6"/>
    <w:rsid w:val="000E64B7"/>
    <w:rsid w:val="000F21B1"/>
    <w:rsid w:val="000F510B"/>
    <w:rsid w:val="000F64A7"/>
    <w:rsid w:val="000F682E"/>
    <w:rsid w:val="0010330E"/>
    <w:rsid w:val="00116FB9"/>
    <w:rsid w:val="0012140C"/>
    <w:rsid w:val="00122171"/>
    <w:rsid w:val="00126ED2"/>
    <w:rsid w:val="00137251"/>
    <w:rsid w:val="00142415"/>
    <w:rsid w:val="00143D8E"/>
    <w:rsid w:val="001553E7"/>
    <w:rsid w:val="0015741F"/>
    <w:rsid w:val="0016105C"/>
    <w:rsid w:val="00170241"/>
    <w:rsid w:val="00171194"/>
    <w:rsid w:val="00173B03"/>
    <w:rsid w:val="00181988"/>
    <w:rsid w:val="00187529"/>
    <w:rsid w:val="001921D6"/>
    <w:rsid w:val="001A053E"/>
    <w:rsid w:val="001A7E55"/>
    <w:rsid w:val="001B6B65"/>
    <w:rsid w:val="001C187D"/>
    <w:rsid w:val="001C261B"/>
    <w:rsid w:val="001C3250"/>
    <w:rsid w:val="001C6467"/>
    <w:rsid w:val="001D072C"/>
    <w:rsid w:val="001D2007"/>
    <w:rsid w:val="001D2CE3"/>
    <w:rsid w:val="001D6854"/>
    <w:rsid w:val="001E0E8C"/>
    <w:rsid w:val="001E4E75"/>
    <w:rsid w:val="001F230E"/>
    <w:rsid w:val="00214C09"/>
    <w:rsid w:val="00215F69"/>
    <w:rsid w:val="002242FE"/>
    <w:rsid w:val="00224B6F"/>
    <w:rsid w:val="00235FFC"/>
    <w:rsid w:val="00237B2A"/>
    <w:rsid w:val="00242B5F"/>
    <w:rsid w:val="00243108"/>
    <w:rsid w:val="00243ACA"/>
    <w:rsid w:val="0025016B"/>
    <w:rsid w:val="0025032A"/>
    <w:rsid w:val="00252805"/>
    <w:rsid w:val="00261F36"/>
    <w:rsid w:val="00273221"/>
    <w:rsid w:val="00277E96"/>
    <w:rsid w:val="00281FBF"/>
    <w:rsid w:val="00282259"/>
    <w:rsid w:val="00284DFF"/>
    <w:rsid w:val="002854C2"/>
    <w:rsid w:val="00286389"/>
    <w:rsid w:val="00294236"/>
    <w:rsid w:val="002A1503"/>
    <w:rsid w:val="002A2659"/>
    <w:rsid w:val="002A60DD"/>
    <w:rsid w:val="002A692E"/>
    <w:rsid w:val="002A7332"/>
    <w:rsid w:val="002B67C9"/>
    <w:rsid w:val="002E6CA3"/>
    <w:rsid w:val="003010DE"/>
    <w:rsid w:val="00303525"/>
    <w:rsid w:val="00305F52"/>
    <w:rsid w:val="00306E27"/>
    <w:rsid w:val="00307D1E"/>
    <w:rsid w:val="00310700"/>
    <w:rsid w:val="003111E7"/>
    <w:rsid w:val="0031279A"/>
    <w:rsid w:val="00312890"/>
    <w:rsid w:val="00312FAD"/>
    <w:rsid w:val="00315733"/>
    <w:rsid w:val="00315D5B"/>
    <w:rsid w:val="00315FDB"/>
    <w:rsid w:val="00317AA6"/>
    <w:rsid w:val="00320BB0"/>
    <w:rsid w:val="00322985"/>
    <w:rsid w:val="0033519E"/>
    <w:rsid w:val="003378A7"/>
    <w:rsid w:val="00340020"/>
    <w:rsid w:val="00341747"/>
    <w:rsid w:val="003476D0"/>
    <w:rsid w:val="003606BB"/>
    <w:rsid w:val="00360A6D"/>
    <w:rsid w:val="00360DE4"/>
    <w:rsid w:val="00366C29"/>
    <w:rsid w:val="00386887"/>
    <w:rsid w:val="00391444"/>
    <w:rsid w:val="00393C9A"/>
    <w:rsid w:val="003941B5"/>
    <w:rsid w:val="003A1C3C"/>
    <w:rsid w:val="003B0860"/>
    <w:rsid w:val="003B10E4"/>
    <w:rsid w:val="003B2955"/>
    <w:rsid w:val="003B39E5"/>
    <w:rsid w:val="003C07F9"/>
    <w:rsid w:val="003C20BE"/>
    <w:rsid w:val="003D22EB"/>
    <w:rsid w:val="003F046B"/>
    <w:rsid w:val="003F14A1"/>
    <w:rsid w:val="003F3FCE"/>
    <w:rsid w:val="003F51A0"/>
    <w:rsid w:val="003F659A"/>
    <w:rsid w:val="003F6DD7"/>
    <w:rsid w:val="0040464D"/>
    <w:rsid w:val="00404701"/>
    <w:rsid w:val="004131F8"/>
    <w:rsid w:val="00415085"/>
    <w:rsid w:val="004219D1"/>
    <w:rsid w:val="00422158"/>
    <w:rsid w:val="00424670"/>
    <w:rsid w:val="004309BF"/>
    <w:rsid w:val="00430E1B"/>
    <w:rsid w:val="0043403A"/>
    <w:rsid w:val="00434451"/>
    <w:rsid w:val="00434503"/>
    <w:rsid w:val="004447AA"/>
    <w:rsid w:val="00451235"/>
    <w:rsid w:val="00453320"/>
    <w:rsid w:val="00455146"/>
    <w:rsid w:val="00460D7A"/>
    <w:rsid w:val="004640B1"/>
    <w:rsid w:val="00464CA5"/>
    <w:rsid w:val="00464D70"/>
    <w:rsid w:val="00465D12"/>
    <w:rsid w:val="00466385"/>
    <w:rsid w:val="00475ACC"/>
    <w:rsid w:val="004840BF"/>
    <w:rsid w:val="0048794F"/>
    <w:rsid w:val="00490044"/>
    <w:rsid w:val="004902BB"/>
    <w:rsid w:val="004951B4"/>
    <w:rsid w:val="004A0083"/>
    <w:rsid w:val="004A161C"/>
    <w:rsid w:val="004A3D33"/>
    <w:rsid w:val="004A4869"/>
    <w:rsid w:val="004A5A5C"/>
    <w:rsid w:val="004B6A37"/>
    <w:rsid w:val="004C0385"/>
    <w:rsid w:val="004C0E5A"/>
    <w:rsid w:val="004C190F"/>
    <w:rsid w:val="004C6B43"/>
    <w:rsid w:val="004D0C39"/>
    <w:rsid w:val="004D3F9D"/>
    <w:rsid w:val="004D7ECB"/>
    <w:rsid w:val="004E18D5"/>
    <w:rsid w:val="004E6028"/>
    <w:rsid w:val="004E7657"/>
    <w:rsid w:val="004E7DAD"/>
    <w:rsid w:val="004F114C"/>
    <w:rsid w:val="004F47A3"/>
    <w:rsid w:val="004F5A9E"/>
    <w:rsid w:val="004F7097"/>
    <w:rsid w:val="0050259D"/>
    <w:rsid w:val="00505CA8"/>
    <w:rsid w:val="00511950"/>
    <w:rsid w:val="0052215B"/>
    <w:rsid w:val="00527754"/>
    <w:rsid w:val="005319B2"/>
    <w:rsid w:val="00531FD4"/>
    <w:rsid w:val="00541DE5"/>
    <w:rsid w:val="005426F0"/>
    <w:rsid w:val="00550CDE"/>
    <w:rsid w:val="00564E89"/>
    <w:rsid w:val="00565144"/>
    <w:rsid w:val="00571B30"/>
    <w:rsid w:val="00582FCE"/>
    <w:rsid w:val="00585047"/>
    <w:rsid w:val="0059151F"/>
    <w:rsid w:val="005925B7"/>
    <w:rsid w:val="00592DF9"/>
    <w:rsid w:val="00593E78"/>
    <w:rsid w:val="005D4BE7"/>
    <w:rsid w:val="005D52B2"/>
    <w:rsid w:val="005E0778"/>
    <w:rsid w:val="005E1C8A"/>
    <w:rsid w:val="005E545C"/>
    <w:rsid w:val="005E6968"/>
    <w:rsid w:val="005F5586"/>
    <w:rsid w:val="00602839"/>
    <w:rsid w:val="00607A5C"/>
    <w:rsid w:val="00612731"/>
    <w:rsid w:val="006216AA"/>
    <w:rsid w:val="00623127"/>
    <w:rsid w:val="00624A4D"/>
    <w:rsid w:val="0062728F"/>
    <w:rsid w:val="006278D2"/>
    <w:rsid w:val="00627CA5"/>
    <w:rsid w:val="00633222"/>
    <w:rsid w:val="00640C8F"/>
    <w:rsid w:val="00645882"/>
    <w:rsid w:val="006523AB"/>
    <w:rsid w:val="00652BBF"/>
    <w:rsid w:val="0065568B"/>
    <w:rsid w:val="0065721A"/>
    <w:rsid w:val="00666928"/>
    <w:rsid w:val="0067611F"/>
    <w:rsid w:val="00680BE5"/>
    <w:rsid w:val="00681450"/>
    <w:rsid w:val="00682ABD"/>
    <w:rsid w:val="006830C0"/>
    <w:rsid w:val="00683D6B"/>
    <w:rsid w:val="00685926"/>
    <w:rsid w:val="00690B9C"/>
    <w:rsid w:val="0069178D"/>
    <w:rsid w:val="006A12F2"/>
    <w:rsid w:val="006A2AEE"/>
    <w:rsid w:val="006B4033"/>
    <w:rsid w:val="006B50DE"/>
    <w:rsid w:val="006B7CD0"/>
    <w:rsid w:val="006C0B75"/>
    <w:rsid w:val="006C1065"/>
    <w:rsid w:val="006C3AF4"/>
    <w:rsid w:val="006C78A6"/>
    <w:rsid w:val="006E16E6"/>
    <w:rsid w:val="006E3527"/>
    <w:rsid w:val="006E5538"/>
    <w:rsid w:val="006F0013"/>
    <w:rsid w:val="006F2079"/>
    <w:rsid w:val="006F5CAD"/>
    <w:rsid w:val="0070606E"/>
    <w:rsid w:val="00712D5F"/>
    <w:rsid w:val="00713EE9"/>
    <w:rsid w:val="00716DA5"/>
    <w:rsid w:val="007240AE"/>
    <w:rsid w:val="00725A5E"/>
    <w:rsid w:val="00725D29"/>
    <w:rsid w:val="00731135"/>
    <w:rsid w:val="007375DB"/>
    <w:rsid w:val="007524DD"/>
    <w:rsid w:val="007525D5"/>
    <w:rsid w:val="00753251"/>
    <w:rsid w:val="00756E12"/>
    <w:rsid w:val="00775859"/>
    <w:rsid w:val="0077740C"/>
    <w:rsid w:val="0078123D"/>
    <w:rsid w:val="00781E45"/>
    <w:rsid w:val="00782318"/>
    <w:rsid w:val="007970F0"/>
    <w:rsid w:val="0079781A"/>
    <w:rsid w:val="007A15F6"/>
    <w:rsid w:val="007A4523"/>
    <w:rsid w:val="007A603A"/>
    <w:rsid w:val="007C057F"/>
    <w:rsid w:val="007C1EBF"/>
    <w:rsid w:val="007D0007"/>
    <w:rsid w:val="007D038D"/>
    <w:rsid w:val="007D196A"/>
    <w:rsid w:val="007D6D00"/>
    <w:rsid w:val="007F3452"/>
    <w:rsid w:val="007F6365"/>
    <w:rsid w:val="007F7DA0"/>
    <w:rsid w:val="008030F9"/>
    <w:rsid w:val="00803898"/>
    <w:rsid w:val="00806EA7"/>
    <w:rsid w:val="00813CCE"/>
    <w:rsid w:val="0081540D"/>
    <w:rsid w:val="00815B1E"/>
    <w:rsid w:val="00825A6E"/>
    <w:rsid w:val="008303C6"/>
    <w:rsid w:val="00842286"/>
    <w:rsid w:val="00842F0D"/>
    <w:rsid w:val="00843A25"/>
    <w:rsid w:val="0084417F"/>
    <w:rsid w:val="00845C8D"/>
    <w:rsid w:val="00846337"/>
    <w:rsid w:val="00853128"/>
    <w:rsid w:val="0086284B"/>
    <w:rsid w:val="008628B6"/>
    <w:rsid w:val="00863C92"/>
    <w:rsid w:val="0086479C"/>
    <w:rsid w:val="00866334"/>
    <w:rsid w:val="0086636A"/>
    <w:rsid w:val="00867C2F"/>
    <w:rsid w:val="008763FE"/>
    <w:rsid w:val="00877259"/>
    <w:rsid w:val="00887231"/>
    <w:rsid w:val="008933DD"/>
    <w:rsid w:val="008A0D50"/>
    <w:rsid w:val="008A180B"/>
    <w:rsid w:val="008A669E"/>
    <w:rsid w:val="008A765B"/>
    <w:rsid w:val="008A79D8"/>
    <w:rsid w:val="008C0408"/>
    <w:rsid w:val="008C7ABF"/>
    <w:rsid w:val="008D2773"/>
    <w:rsid w:val="008D402B"/>
    <w:rsid w:val="008E0E28"/>
    <w:rsid w:val="008E4260"/>
    <w:rsid w:val="008E6ED9"/>
    <w:rsid w:val="008E7D50"/>
    <w:rsid w:val="00900BA7"/>
    <w:rsid w:val="00906146"/>
    <w:rsid w:val="0091206E"/>
    <w:rsid w:val="00912261"/>
    <w:rsid w:val="00912AB0"/>
    <w:rsid w:val="00917589"/>
    <w:rsid w:val="0092040E"/>
    <w:rsid w:val="0092414B"/>
    <w:rsid w:val="0092433B"/>
    <w:rsid w:val="009246B0"/>
    <w:rsid w:val="00924885"/>
    <w:rsid w:val="009249BA"/>
    <w:rsid w:val="00926EDB"/>
    <w:rsid w:val="009308C2"/>
    <w:rsid w:val="00932ABC"/>
    <w:rsid w:val="00934B80"/>
    <w:rsid w:val="009363FE"/>
    <w:rsid w:val="0093757C"/>
    <w:rsid w:val="00937BC3"/>
    <w:rsid w:val="009516CD"/>
    <w:rsid w:val="00955D77"/>
    <w:rsid w:val="00956B5E"/>
    <w:rsid w:val="009608AD"/>
    <w:rsid w:val="00960F2D"/>
    <w:rsid w:val="00962B07"/>
    <w:rsid w:val="00962B56"/>
    <w:rsid w:val="00965254"/>
    <w:rsid w:val="009724CA"/>
    <w:rsid w:val="00975C52"/>
    <w:rsid w:val="0097637D"/>
    <w:rsid w:val="00982D18"/>
    <w:rsid w:val="00986751"/>
    <w:rsid w:val="009A51AE"/>
    <w:rsid w:val="009A60D1"/>
    <w:rsid w:val="009B6FE5"/>
    <w:rsid w:val="009D5B69"/>
    <w:rsid w:val="009E4448"/>
    <w:rsid w:val="009E68E3"/>
    <w:rsid w:val="009F26DD"/>
    <w:rsid w:val="009F7983"/>
    <w:rsid w:val="00A15D8D"/>
    <w:rsid w:val="00A253AC"/>
    <w:rsid w:val="00A2620D"/>
    <w:rsid w:val="00A35080"/>
    <w:rsid w:val="00A3661B"/>
    <w:rsid w:val="00A521AC"/>
    <w:rsid w:val="00A57C49"/>
    <w:rsid w:val="00A57C4B"/>
    <w:rsid w:val="00A6539A"/>
    <w:rsid w:val="00A65976"/>
    <w:rsid w:val="00A67104"/>
    <w:rsid w:val="00A7212D"/>
    <w:rsid w:val="00A72610"/>
    <w:rsid w:val="00A75E69"/>
    <w:rsid w:val="00A81685"/>
    <w:rsid w:val="00A84A92"/>
    <w:rsid w:val="00A84E88"/>
    <w:rsid w:val="00A91B86"/>
    <w:rsid w:val="00A92772"/>
    <w:rsid w:val="00A9327E"/>
    <w:rsid w:val="00A96266"/>
    <w:rsid w:val="00AA1D59"/>
    <w:rsid w:val="00AA228D"/>
    <w:rsid w:val="00AA51DE"/>
    <w:rsid w:val="00AA7EA7"/>
    <w:rsid w:val="00AB0B48"/>
    <w:rsid w:val="00AB262C"/>
    <w:rsid w:val="00AC21F2"/>
    <w:rsid w:val="00AC65A1"/>
    <w:rsid w:val="00AC6E3C"/>
    <w:rsid w:val="00AD1ABF"/>
    <w:rsid w:val="00AE050E"/>
    <w:rsid w:val="00AE0597"/>
    <w:rsid w:val="00AE6972"/>
    <w:rsid w:val="00AF1B68"/>
    <w:rsid w:val="00AF24E4"/>
    <w:rsid w:val="00AF46B6"/>
    <w:rsid w:val="00B02854"/>
    <w:rsid w:val="00B074A0"/>
    <w:rsid w:val="00B0757F"/>
    <w:rsid w:val="00B15BF3"/>
    <w:rsid w:val="00B37637"/>
    <w:rsid w:val="00B4477A"/>
    <w:rsid w:val="00B45923"/>
    <w:rsid w:val="00B46B9D"/>
    <w:rsid w:val="00B53298"/>
    <w:rsid w:val="00B55155"/>
    <w:rsid w:val="00B63668"/>
    <w:rsid w:val="00B8184B"/>
    <w:rsid w:val="00B81D28"/>
    <w:rsid w:val="00B870F8"/>
    <w:rsid w:val="00B927B8"/>
    <w:rsid w:val="00B928DC"/>
    <w:rsid w:val="00BA29A9"/>
    <w:rsid w:val="00BB1269"/>
    <w:rsid w:val="00BB63DE"/>
    <w:rsid w:val="00BC13CF"/>
    <w:rsid w:val="00BC42FB"/>
    <w:rsid w:val="00BC49D3"/>
    <w:rsid w:val="00BC49FC"/>
    <w:rsid w:val="00BD24B7"/>
    <w:rsid w:val="00BD2CC9"/>
    <w:rsid w:val="00BD7B69"/>
    <w:rsid w:val="00BF1513"/>
    <w:rsid w:val="00BF18F9"/>
    <w:rsid w:val="00BF381B"/>
    <w:rsid w:val="00C0270A"/>
    <w:rsid w:val="00C07A2D"/>
    <w:rsid w:val="00C123C8"/>
    <w:rsid w:val="00C13D6B"/>
    <w:rsid w:val="00C1672D"/>
    <w:rsid w:val="00C223A4"/>
    <w:rsid w:val="00C37C54"/>
    <w:rsid w:val="00C420B6"/>
    <w:rsid w:val="00C46500"/>
    <w:rsid w:val="00C47661"/>
    <w:rsid w:val="00C52454"/>
    <w:rsid w:val="00C52C0A"/>
    <w:rsid w:val="00C6117A"/>
    <w:rsid w:val="00C6558D"/>
    <w:rsid w:val="00C710BE"/>
    <w:rsid w:val="00C7529F"/>
    <w:rsid w:val="00C7655B"/>
    <w:rsid w:val="00C816AF"/>
    <w:rsid w:val="00C82C7F"/>
    <w:rsid w:val="00C847EA"/>
    <w:rsid w:val="00C86989"/>
    <w:rsid w:val="00C940FA"/>
    <w:rsid w:val="00C960CB"/>
    <w:rsid w:val="00C97B6A"/>
    <w:rsid w:val="00CA0B07"/>
    <w:rsid w:val="00CA1F0D"/>
    <w:rsid w:val="00CA2859"/>
    <w:rsid w:val="00CB040E"/>
    <w:rsid w:val="00CB3E3F"/>
    <w:rsid w:val="00CB3F48"/>
    <w:rsid w:val="00CB5470"/>
    <w:rsid w:val="00CC47A1"/>
    <w:rsid w:val="00CE020F"/>
    <w:rsid w:val="00CE10EA"/>
    <w:rsid w:val="00CE3815"/>
    <w:rsid w:val="00CE3E1C"/>
    <w:rsid w:val="00D03888"/>
    <w:rsid w:val="00D145B8"/>
    <w:rsid w:val="00D15814"/>
    <w:rsid w:val="00D1618B"/>
    <w:rsid w:val="00D208C7"/>
    <w:rsid w:val="00D23FC6"/>
    <w:rsid w:val="00D25097"/>
    <w:rsid w:val="00D25D96"/>
    <w:rsid w:val="00D26817"/>
    <w:rsid w:val="00D3056D"/>
    <w:rsid w:val="00D31758"/>
    <w:rsid w:val="00D36996"/>
    <w:rsid w:val="00D456E9"/>
    <w:rsid w:val="00D50B3B"/>
    <w:rsid w:val="00D71850"/>
    <w:rsid w:val="00D749A3"/>
    <w:rsid w:val="00D74A51"/>
    <w:rsid w:val="00D76718"/>
    <w:rsid w:val="00D768AF"/>
    <w:rsid w:val="00D76A35"/>
    <w:rsid w:val="00D82948"/>
    <w:rsid w:val="00D8484D"/>
    <w:rsid w:val="00D862C0"/>
    <w:rsid w:val="00D90761"/>
    <w:rsid w:val="00D94F3D"/>
    <w:rsid w:val="00DA23C9"/>
    <w:rsid w:val="00DA432B"/>
    <w:rsid w:val="00DA4EB0"/>
    <w:rsid w:val="00DA65EE"/>
    <w:rsid w:val="00DB062D"/>
    <w:rsid w:val="00DC44A3"/>
    <w:rsid w:val="00DC4CDE"/>
    <w:rsid w:val="00DE0D27"/>
    <w:rsid w:val="00DE147E"/>
    <w:rsid w:val="00DE329D"/>
    <w:rsid w:val="00DE5AA4"/>
    <w:rsid w:val="00DE6EDC"/>
    <w:rsid w:val="00DF509A"/>
    <w:rsid w:val="00E260B1"/>
    <w:rsid w:val="00E308B4"/>
    <w:rsid w:val="00E31DB9"/>
    <w:rsid w:val="00E3374F"/>
    <w:rsid w:val="00E4160B"/>
    <w:rsid w:val="00E44B83"/>
    <w:rsid w:val="00E52F66"/>
    <w:rsid w:val="00E57640"/>
    <w:rsid w:val="00E61F7F"/>
    <w:rsid w:val="00E70DA2"/>
    <w:rsid w:val="00E76AA5"/>
    <w:rsid w:val="00E82DB2"/>
    <w:rsid w:val="00E90164"/>
    <w:rsid w:val="00E90DFD"/>
    <w:rsid w:val="00E92A9E"/>
    <w:rsid w:val="00E95B93"/>
    <w:rsid w:val="00E9664A"/>
    <w:rsid w:val="00EA1411"/>
    <w:rsid w:val="00EA29D7"/>
    <w:rsid w:val="00ED148B"/>
    <w:rsid w:val="00ED1871"/>
    <w:rsid w:val="00ED24DF"/>
    <w:rsid w:val="00ED2D8D"/>
    <w:rsid w:val="00ED5040"/>
    <w:rsid w:val="00ED5286"/>
    <w:rsid w:val="00EE4D41"/>
    <w:rsid w:val="00EF5AAE"/>
    <w:rsid w:val="00EF60EB"/>
    <w:rsid w:val="00F05732"/>
    <w:rsid w:val="00F12675"/>
    <w:rsid w:val="00F2177D"/>
    <w:rsid w:val="00F22577"/>
    <w:rsid w:val="00F24269"/>
    <w:rsid w:val="00F2615F"/>
    <w:rsid w:val="00F3224B"/>
    <w:rsid w:val="00F35CBC"/>
    <w:rsid w:val="00F374C4"/>
    <w:rsid w:val="00F4761D"/>
    <w:rsid w:val="00F55893"/>
    <w:rsid w:val="00F5679F"/>
    <w:rsid w:val="00F65185"/>
    <w:rsid w:val="00F65E07"/>
    <w:rsid w:val="00F678D6"/>
    <w:rsid w:val="00F73684"/>
    <w:rsid w:val="00F83041"/>
    <w:rsid w:val="00F850AB"/>
    <w:rsid w:val="00F9268A"/>
    <w:rsid w:val="00F92D5B"/>
    <w:rsid w:val="00FA1256"/>
    <w:rsid w:val="00FA554B"/>
    <w:rsid w:val="00FB2107"/>
    <w:rsid w:val="00FB26EB"/>
    <w:rsid w:val="00FB510A"/>
    <w:rsid w:val="00FC1C31"/>
    <w:rsid w:val="00FD5E82"/>
    <w:rsid w:val="00FE0F3E"/>
    <w:rsid w:val="00FF0F07"/>
    <w:rsid w:val="00FF35F5"/>
    <w:rsid w:val="00FF47A4"/>
    <w:rsid w:val="00FF7A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D3A6"/>
  <w15:docId w15:val="{187DE224-B496-4992-AED9-C358835F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1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81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81E4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81E4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81E4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81E4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81E4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81E4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81E4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81E4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81E4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81E4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81E4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81E4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81E4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81E4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81E4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81E45"/>
    <w:rPr>
      <w:rFonts w:eastAsiaTheme="majorEastAsia" w:cstheme="majorBidi"/>
      <w:color w:val="272727" w:themeColor="text1" w:themeTint="D8"/>
    </w:rPr>
  </w:style>
  <w:style w:type="paragraph" w:styleId="Nzov">
    <w:name w:val="Title"/>
    <w:basedOn w:val="Normlny"/>
    <w:next w:val="Normlny"/>
    <w:link w:val="NzovChar"/>
    <w:uiPriority w:val="10"/>
    <w:qFormat/>
    <w:rsid w:val="00781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81E4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81E4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81E4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81E4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81E45"/>
    <w:rPr>
      <w:i/>
      <w:iCs/>
      <w:color w:val="404040" w:themeColor="text1" w:themeTint="BF"/>
    </w:rPr>
  </w:style>
  <w:style w:type="paragraph" w:styleId="Odsekzoznamu">
    <w:name w:val="List Paragraph"/>
    <w:basedOn w:val="Normlny"/>
    <w:uiPriority w:val="34"/>
    <w:qFormat/>
    <w:rsid w:val="00781E45"/>
    <w:pPr>
      <w:ind w:left="720"/>
      <w:contextualSpacing/>
    </w:pPr>
  </w:style>
  <w:style w:type="character" w:styleId="Intenzvnezvraznenie">
    <w:name w:val="Intense Emphasis"/>
    <w:basedOn w:val="Predvolenpsmoodseku"/>
    <w:uiPriority w:val="21"/>
    <w:qFormat/>
    <w:rsid w:val="00781E45"/>
    <w:rPr>
      <w:i/>
      <w:iCs/>
      <w:color w:val="0F4761" w:themeColor="accent1" w:themeShade="BF"/>
    </w:rPr>
  </w:style>
  <w:style w:type="paragraph" w:styleId="Zvraznencitcia">
    <w:name w:val="Intense Quote"/>
    <w:basedOn w:val="Normlny"/>
    <w:next w:val="Normlny"/>
    <w:link w:val="ZvraznencitciaChar"/>
    <w:uiPriority w:val="30"/>
    <w:qFormat/>
    <w:rsid w:val="00781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81E45"/>
    <w:rPr>
      <w:i/>
      <w:iCs/>
      <w:color w:val="0F4761" w:themeColor="accent1" w:themeShade="BF"/>
    </w:rPr>
  </w:style>
  <w:style w:type="character" w:styleId="Zvraznenodkaz">
    <w:name w:val="Intense Reference"/>
    <w:basedOn w:val="Predvolenpsmoodseku"/>
    <w:uiPriority w:val="32"/>
    <w:qFormat/>
    <w:rsid w:val="00781E45"/>
    <w:rPr>
      <w:b/>
      <w:bCs/>
      <w:smallCaps/>
      <w:color w:val="0F4761" w:themeColor="accent1" w:themeShade="BF"/>
      <w:spacing w:val="5"/>
    </w:rPr>
  </w:style>
  <w:style w:type="character" w:styleId="Hypertextovprepojenie">
    <w:name w:val="Hyperlink"/>
    <w:basedOn w:val="Predvolenpsmoodseku"/>
    <w:uiPriority w:val="99"/>
    <w:semiHidden/>
    <w:unhideWhenUsed/>
    <w:rsid w:val="00781E45"/>
    <w:rPr>
      <w:color w:val="467886"/>
      <w:u w:val="single"/>
    </w:rPr>
  </w:style>
  <w:style w:type="character" w:styleId="PouitHypertextovPrepojenie">
    <w:name w:val="FollowedHyperlink"/>
    <w:basedOn w:val="Predvolenpsmoodseku"/>
    <w:uiPriority w:val="99"/>
    <w:semiHidden/>
    <w:unhideWhenUsed/>
    <w:rsid w:val="00781E45"/>
    <w:rPr>
      <w:color w:val="96607D"/>
      <w:u w:val="single"/>
    </w:rPr>
  </w:style>
  <w:style w:type="paragraph" w:customStyle="1" w:styleId="msonormal0">
    <w:name w:val="msonormal"/>
    <w:basedOn w:val="Normlny"/>
    <w:rsid w:val="00781E45"/>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paragraph" w:customStyle="1" w:styleId="font5">
    <w:name w:val="font5"/>
    <w:basedOn w:val="Normlny"/>
    <w:rsid w:val="00781E45"/>
    <w:pPr>
      <w:spacing w:before="100" w:beforeAutospacing="1" w:after="100" w:afterAutospacing="1" w:line="240" w:lineRule="auto"/>
    </w:pPr>
    <w:rPr>
      <w:rFonts w:ascii="Times New Roman" w:eastAsia="Times New Roman" w:hAnsi="Times New Roman" w:cs="Times New Roman"/>
      <w:b/>
      <w:bCs/>
      <w:color w:val="000000"/>
      <w:kern w:val="0"/>
      <w:lang w:eastAsia="sk-SK"/>
      <w14:ligatures w14:val="none"/>
    </w:rPr>
  </w:style>
  <w:style w:type="paragraph" w:customStyle="1" w:styleId="font6">
    <w:name w:val="font6"/>
    <w:basedOn w:val="Normlny"/>
    <w:rsid w:val="00781E45"/>
    <w:pPr>
      <w:spacing w:before="100" w:beforeAutospacing="1" w:after="100" w:afterAutospacing="1" w:line="240" w:lineRule="auto"/>
    </w:pPr>
    <w:rPr>
      <w:rFonts w:ascii="Times New Roman" w:eastAsia="Times New Roman" w:hAnsi="Times New Roman" w:cs="Times New Roman"/>
      <w:color w:val="000000"/>
      <w:kern w:val="0"/>
      <w:lang w:eastAsia="sk-SK"/>
      <w14:ligatures w14:val="none"/>
    </w:rPr>
  </w:style>
  <w:style w:type="paragraph" w:customStyle="1" w:styleId="font7">
    <w:name w:val="font7"/>
    <w:basedOn w:val="Normlny"/>
    <w:rsid w:val="00781E45"/>
    <w:pPr>
      <w:spacing w:before="100" w:beforeAutospacing="1" w:after="100" w:afterAutospacing="1" w:line="240" w:lineRule="auto"/>
    </w:pPr>
    <w:rPr>
      <w:rFonts w:ascii="Times New Roman" w:eastAsia="Times New Roman" w:hAnsi="Times New Roman" w:cs="Times New Roman"/>
      <w:b/>
      <w:bCs/>
      <w:color w:val="000000"/>
      <w:kern w:val="0"/>
      <w:sz w:val="28"/>
      <w:szCs w:val="28"/>
      <w:lang w:eastAsia="sk-SK"/>
      <w14:ligatures w14:val="none"/>
    </w:rPr>
  </w:style>
  <w:style w:type="paragraph" w:customStyle="1" w:styleId="xl66">
    <w:name w:val="xl66"/>
    <w:basedOn w:val="Normlny"/>
    <w:rsid w:val="00781E4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67">
    <w:name w:val="xl67"/>
    <w:basedOn w:val="Normlny"/>
    <w:rsid w:val="00781E4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68">
    <w:name w:val="xl68"/>
    <w:basedOn w:val="Normlny"/>
    <w:rsid w:val="00781E4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69">
    <w:name w:val="xl69"/>
    <w:basedOn w:val="Normlny"/>
    <w:rsid w:val="00781E4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70">
    <w:name w:val="xl70"/>
    <w:basedOn w:val="Normlny"/>
    <w:rsid w:val="00781E45"/>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sk-SK"/>
      <w14:ligatures w14:val="none"/>
    </w:rPr>
  </w:style>
  <w:style w:type="paragraph" w:customStyle="1" w:styleId="xl71">
    <w:name w:val="xl71"/>
    <w:basedOn w:val="Normlny"/>
    <w:rsid w:val="00781E4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sk-SK"/>
      <w14:ligatures w14:val="none"/>
    </w:rPr>
  </w:style>
  <w:style w:type="paragraph" w:customStyle="1" w:styleId="xl72">
    <w:name w:val="xl72"/>
    <w:basedOn w:val="Normlny"/>
    <w:rsid w:val="00781E4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73">
    <w:name w:val="xl73"/>
    <w:basedOn w:val="Normlny"/>
    <w:rsid w:val="00781E4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74">
    <w:name w:val="xl74"/>
    <w:basedOn w:val="Normlny"/>
    <w:rsid w:val="00781E4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eastAsia="sk-SK"/>
      <w14:ligatures w14:val="none"/>
    </w:rPr>
  </w:style>
  <w:style w:type="paragraph" w:customStyle="1" w:styleId="xl75">
    <w:name w:val="xl75"/>
    <w:basedOn w:val="Normlny"/>
    <w:rsid w:val="00781E45"/>
    <w:pPr>
      <w:spacing w:before="100" w:beforeAutospacing="1" w:after="100" w:afterAutospacing="1" w:line="240" w:lineRule="auto"/>
      <w:textAlignment w:val="center"/>
    </w:pPr>
    <w:rPr>
      <w:rFonts w:ascii="Times New Roman" w:eastAsia="Times New Roman" w:hAnsi="Times New Roman" w:cs="Times New Roman"/>
      <w:color w:val="000000"/>
      <w:kern w:val="0"/>
      <w:lang w:eastAsia="sk-SK"/>
      <w14:ligatures w14:val="none"/>
    </w:rPr>
  </w:style>
  <w:style w:type="paragraph" w:customStyle="1" w:styleId="xl76">
    <w:name w:val="xl76"/>
    <w:basedOn w:val="Normlny"/>
    <w:rsid w:val="00781E45"/>
    <w:pP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sk-SK"/>
      <w14:ligatures w14:val="none"/>
    </w:rPr>
  </w:style>
  <w:style w:type="paragraph" w:customStyle="1" w:styleId="xl77">
    <w:name w:val="xl77"/>
    <w:basedOn w:val="Normlny"/>
    <w:rsid w:val="00781E4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78">
    <w:name w:val="xl78"/>
    <w:basedOn w:val="Normlny"/>
    <w:rsid w:val="00781E4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kern w:val="0"/>
      <w:lang w:eastAsia="sk-SK"/>
      <w14:ligatures w14:val="none"/>
    </w:rPr>
  </w:style>
  <w:style w:type="paragraph" w:customStyle="1" w:styleId="xl79">
    <w:name w:val="xl79"/>
    <w:basedOn w:val="Normlny"/>
    <w:rsid w:val="00781E4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eastAsia="sk-SK"/>
      <w14:ligatures w14:val="none"/>
    </w:rPr>
  </w:style>
  <w:style w:type="paragraph" w:customStyle="1" w:styleId="xl80">
    <w:name w:val="xl80"/>
    <w:basedOn w:val="Normlny"/>
    <w:rsid w:val="00781E4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sk-SK"/>
      <w14:ligatures w14:val="none"/>
    </w:rPr>
  </w:style>
  <w:style w:type="paragraph" w:customStyle="1" w:styleId="xl81">
    <w:name w:val="xl81"/>
    <w:basedOn w:val="Normlny"/>
    <w:rsid w:val="00781E4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sk-SK"/>
      <w14:ligatures w14:val="none"/>
    </w:rPr>
  </w:style>
  <w:style w:type="paragraph" w:customStyle="1" w:styleId="xl82">
    <w:name w:val="xl82"/>
    <w:basedOn w:val="Normlny"/>
    <w:rsid w:val="00781E45"/>
    <w:pPr>
      <w:spacing w:before="100" w:beforeAutospacing="1" w:after="100" w:afterAutospacing="1" w:line="240" w:lineRule="auto"/>
      <w:textAlignment w:val="center"/>
    </w:pPr>
    <w:rPr>
      <w:rFonts w:ascii="Times New Roman" w:eastAsia="Times New Roman" w:hAnsi="Times New Roman" w:cs="Times New Roman"/>
      <w:b/>
      <w:bCs/>
      <w:color w:val="000000"/>
      <w:kern w:val="0"/>
      <w:sz w:val="28"/>
      <w:szCs w:val="28"/>
      <w:lang w:eastAsia="sk-SK"/>
      <w14:ligatures w14:val="none"/>
    </w:rPr>
  </w:style>
  <w:style w:type="paragraph" w:customStyle="1" w:styleId="xl83">
    <w:name w:val="xl83"/>
    <w:basedOn w:val="Normlny"/>
    <w:rsid w:val="00781E45"/>
    <w:pPr>
      <w:spacing w:before="100" w:beforeAutospacing="1" w:after="100" w:afterAutospacing="1" w:line="240" w:lineRule="auto"/>
      <w:textAlignment w:val="center"/>
    </w:pPr>
    <w:rPr>
      <w:rFonts w:ascii="Times New Roman" w:eastAsia="Times New Roman" w:hAnsi="Times New Roman" w:cs="Times New Roman"/>
      <w:color w:val="000000"/>
      <w:kern w:val="0"/>
      <w:lang w:eastAsia="sk-SK"/>
      <w14:ligatures w14:val="none"/>
    </w:rPr>
  </w:style>
  <w:style w:type="paragraph" w:customStyle="1" w:styleId="xl84">
    <w:name w:val="xl84"/>
    <w:basedOn w:val="Normlny"/>
    <w:rsid w:val="00781E45"/>
    <w:pP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sk-SK"/>
      <w14:ligatures w14:val="none"/>
    </w:rPr>
  </w:style>
  <w:style w:type="paragraph" w:customStyle="1" w:styleId="xl85">
    <w:name w:val="xl85"/>
    <w:basedOn w:val="Normlny"/>
    <w:rsid w:val="00781E4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sk-SK"/>
      <w14:ligatures w14:val="none"/>
    </w:rPr>
  </w:style>
  <w:style w:type="paragraph" w:customStyle="1" w:styleId="xl86">
    <w:name w:val="xl86"/>
    <w:basedOn w:val="Normlny"/>
    <w:rsid w:val="00781E45"/>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eastAsia="sk-SK"/>
      <w14:ligatures w14:val="none"/>
    </w:rPr>
  </w:style>
  <w:style w:type="paragraph" w:customStyle="1" w:styleId="xl87">
    <w:name w:val="xl87"/>
    <w:basedOn w:val="Normlny"/>
    <w:rsid w:val="00781E4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sk-SK"/>
      <w14:ligatures w14:val="none"/>
    </w:rPr>
  </w:style>
  <w:style w:type="paragraph" w:customStyle="1" w:styleId="xl88">
    <w:name w:val="xl88"/>
    <w:basedOn w:val="Normlny"/>
    <w:rsid w:val="00781E45"/>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89">
    <w:name w:val="xl89"/>
    <w:basedOn w:val="Normlny"/>
    <w:rsid w:val="00781E45"/>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90">
    <w:name w:val="xl90"/>
    <w:basedOn w:val="Normlny"/>
    <w:rsid w:val="00781E45"/>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kern w:val="0"/>
      <w:lang w:eastAsia="sk-SK"/>
      <w14:ligatures w14:val="none"/>
    </w:rPr>
  </w:style>
  <w:style w:type="paragraph" w:customStyle="1" w:styleId="xl91">
    <w:name w:val="xl91"/>
    <w:basedOn w:val="Normlny"/>
    <w:rsid w:val="00781E4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kern w:val="0"/>
      <w:lang w:eastAsia="sk-SK"/>
      <w14:ligatures w14:val="none"/>
    </w:rPr>
  </w:style>
  <w:style w:type="paragraph" w:customStyle="1" w:styleId="xl92">
    <w:name w:val="xl92"/>
    <w:basedOn w:val="Normlny"/>
    <w:rsid w:val="00781E45"/>
    <w:pPr>
      <w:shd w:val="clear" w:color="000000" w:fill="FFFF00"/>
      <w:spacing w:before="100" w:beforeAutospacing="1" w:after="100" w:afterAutospacing="1" w:line="240" w:lineRule="auto"/>
    </w:pPr>
    <w:rPr>
      <w:rFonts w:ascii="Times New Roman" w:eastAsia="Times New Roman" w:hAnsi="Times New Roman" w:cs="Times New Roman"/>
      <w:kern w:val="0"/>
      <w:lang w:eastAsia="sk-SK"/>
      <w14:ligatures w14:val="none"/>
    </w:rPr>
  </w:style>
  <w:style w:type="paragraph" w:customStyle="1" w:styleId="xl93">
    <w:name w:val="xl93"/>
    <w:basedOn w:val="Normlny"/>
    <w:rsid w:val="00781E45"/>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sk-SK"/>
      <w14:ligatures w14:val="none"/>
    </w:rPr>
  </w:style>
  <w:style w:type="paragraph" w:customStyle="1" w:styleId="xl94">
    <w:name w:val="xl94"/>
    <w:basedOn w:val="Normlny"/>
    <w:rsid w:val="00781E45"/>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sk-SK"/>
      <w14:ligatures w14:val="none"/>
    </w:rPr>
  </w:style>
  <w:style w:type="paragraph" w:customStyle="1" w:styleId="xl95">
    <w:name w:val="xl95"/>
    <w:basedOn w:val="Normlny"/>
    <w:rsid w:val="00781E45"/>
    <w:pPr>
      <w:pBdr>
        <w:left w:val="single" w:sz="8" w:space="0" w:color="auto"/>
        <w:bottom w:val="single" w:sz="8" w:space="0" w:color="auto"/>
        <w:righ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sk-SK"/>
      <w14:ligatures w14:val="none"/>
    </w:rPr>
  </w:style>
  <w:style w:type="paragraph" w:customStyle="1" w:styleId="xl96">
    <w:name w:val="xl96"/>
    <w:basedOn w:val="Normlny"/>
    <w:rsid w:val="00781E45"/>
    <w:pPr>
      <w:pBdr>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sk-SK"/>
      <w14:ligatures w14:val="none"/>
    </w:rPr>
  </w:style>
  <w:style w:type="paragraph" w:customStyle="1" w:styleId="xl97">
    <w:name w:val="xl97"/>
    <w:basedOn w:val="Normlny"/>
    <w:rsid w:val="00781E45"/>
    <w:pPr>
      <w:pBdr>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sk-SK"/>
      <w14:ligatures w14:val="none"/>
    </w:rPr>
  </w:style>
  <w:style w:type="paragraph" w:customStyle="1" w:styleId="xl98">
    <w:name w:val="xl98"/>
    <w:basedOn w:val="Normlny"/>
    <w:rsid w:val="00781E45"/>
    <w:pPr>
      <w:pBdr>
        <w:bottom w:val="single" w:sz="8" w:space="0" w:color="auto"/>
        <w:righ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color w:val="000000"/>
      <w:kern w:val="0"/>
      <w:lang w:eastAsia="sk-SK"/>
      <w14:ligatures w14:val="none"/>
    </w:rPr>
  </w:style>
  <w:style w:type="paragraph" w:customStyle="1" w:styleId="xl99">
    <w:name w:val="xl99"/>
    <w:basedOn w:val="Normlny"/>
    <w:rsid w:val="00781E45"/>
    <w:pPr>
      <w:shd w:val="clear" w:color="000000" w:fill="FFC000"/>
      <w:spacing w:before="100" w:beforeAutospacing="1" w:after="100" w:afterAutospacing="1" w:line="240" w:lineRule="auto"/>
    </w:pPr>
    <w:rPr>
      <w:rFonts w:ascii="Times New Roman" w:eastAsia="Times New Roman" w:hAnsi="Times New Roman" w:cs="Times New Roman"/>
      <w:kern w:val="0"/>
      <w:lang w:eastAsia="sk-SK"/>
      <w14:ligatures w14:val="none"/>
    </w:rPr>
  </w:style>
  <w:style w:type="paragraph" w:customStyle="1" w:styleId="xl100">
    <w:name w:val="xl100"/>
    <w:basedOn w:val="Normlny"/>
    <w:rsid w:val="00781E45"/>
    <w:pPr>
      <w:pBdr>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sk-SK"/>
      <w14:ligatures w14:val="none"/>
    </w:rPr>
  </w:style>
  <w:style w:type="table" w:styleId="Mriekatabuky">
    <w:name w:val="Table Grid"/>
    <w:basedOn w:val="Normlnatabuka"/>
    <w:uiPriority w:val="39"/>
    <w:rsid w:val="00781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4241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42415"/>
    <w:rPr>
      <w:rFonts w:ascii="Tahoma" w:hAnsi="Tahoma" w:cs="Tahoma"/>
      <w:sz w:val="16"/>
      <w:szCs w:val="16"/>
    </w:rPr>
  </w:style>
  <w:style w:type="paragraph" w:styleId="Revzia">
    <w:name w:val="Revision"/>
    <w:hidden/>
    <w:uiPriority w:val="99"/>
    <w:semiHidden/>
    <w:rsid w:val="006278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98</Pages>
  <Words>90222</Words>
  <Characters>514267</Characters>
  <Application>Microsoft Office Word</Application>
  <DocSecurity>0</DocSecurity>
  <Lines>4285</Lines>
  <Paragraphs>1206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Marias Miroslav</dc:creator>
  <cp:keywords/>
  <dc:description/>
  <cp:lastModifiedBy>Barborik Peter</cp:lastModifiedBy>
  <cp:revision>29</cp:revision>
  <dcterms:created xsi:type="dcterms:W3CDTF">2026-08-11T14:43:00Z</dcterms:created>
  <dcterms:modified xsi:type="dcterms:W3CDTF">2026-08-13T07:18:00Z</dcterms:modified>
</cp:coreProperties>
</file>