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622" w:rsidRPr="00E66622" w:rsidRDefault="0078532E" w:rsidP="00DB291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lang w:val="en-US"/>
        </w:rPr>
        <w:t>VZNESENÉ PRIPOMIENKY V RÁMCI PRIPOMIENKOVÉHO KONANIA</w:t>
      </w:r>
      <w:r w:rsidRPr="00E66622">
        <w:rPr>
          <w:rFonts w:ascii="Times New Roman" w:eastAsia="Times New Roman" w:hAnsi="Times New Roman" w:cs="Times New Roman"/>
          <w:b/>
          <w:sz w:val="28"/>
        </w:rPr>
        <w:br/>
      </w:r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Návrh poslancov Národnej rady Slovenskej republiky Karola Farkašovského, Dagmar Kramplovej, Andreja Danka a Adama Lučanského na vydanie zákona, ktorým sa menia a dopĺňajú niektoré zákony v súvislosti s ochranou pred neoprávneným vyhotovením a sprístupnením klamlivých záznamov vytvorených alebo podstatne pozmenených technickým postupom (tlač 1266)</w:t>
      </w:r>
      <w:r w:rsidR="00917A99">
        <w:rPr>
          <w:rFonts w:ascii="Times New Roman" w:eastAsia="Times New Roman" w:hAnsi="Times New Roman" w:cs="Times New Roman"/>
          <w:b/>
          <w:sz w:val="28"/>
        </w:rPr>
        <w:br/>
      </w:r>
      <w:r w:rsidR="003F1216">
        <w:rPr>
          <w:rFonts w:ascii="Times New Roman" w:eastAsia="Times New Roman" w:hAnsi="Times New Roman" w:cs="Times New Roman"/>
          <w:bCs/>
          <w:sz w:val="24"/>
          <w:szCs w:val="24"/>
        </w:rPr>
        <w:t>LP/2026/295</w:t>
      </w:r>
    </w:p>
    <w:p w:rsidR="00DB2917" w:rsidRDefault="00EF042A" w:rsidP="00DB2917">
      <w:pPr>
        <w:spacing w:line="276" w:lineRule="auto"/>
        <w:rPr>
          <w:sz w:val="24"/>
          <w:szCs w:val="24"/>
        </w:rPr>
      </w:pPr>
      <w:r w:rsidRPr="00E66622">
        <w:rPr>
          <w:rFonts w:ascii="Times New Roman" w:eastAsia="Times New Roman" w:hAnsi="Times New Roman" w:cs="Times New Roman"/>
          <w:sz w:val="24"/>
          <w:szCs w:val="24"/>
        </w:rPr>
        <w:t>Vysvetlivky k použitým skratkám v tabuľke: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br/>
        <w:t>O – obyčajná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br/>
        <w:t>Z – zásadná</w:t>
      </w:r>
    </w:p>
    <w:p w:rsidR="00F0653F" w:rsidRDefault="00EF042A" w:rsidP="00DB2917">
      <w:pPr>
        <w:spacing w:line="276" w:lineRule="auto"/>
        <w:rPr>
          <w:sz w:val="24"/>
          <w:szCs w:val="24"/>
        </w:rPr>
      </w:pPr>
      <w:r w:rsidRPr="00E66622">
        <w:rPr>
          <w:rFonts w:ascii="Times New Roman" w:eastAsia="Times New Roman" w:hAnsi="Times New Roman" w:cs="Times New Roman"/>
          <w:sz w:val="24"/>
          <w:szCs w:val="24"/>
        </w:rPr>
        <w:t>Po</w:t>
      </w:r>
      <w:r w:rsidR="001F777F">
        <w:rPr>
          <w:rFonts w:ascii="Times New Roman" w:eastAsia="Times New Roman" w:hAnsi="Times New Roman" w:cs="Times New Roman"/>
          <w:sz w:val="24"/>
          <w:szCs w:val="24"/>
          <w:lang w:val="en-US"/>
        </w:rPr>
        <w:t>č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t>et vznesených pripomienok,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t xml:space="preserve"> z toho zásadných: </w:t>
      </w:r>
      <w:r w:rsidRPr="0053699B">
        <w:rPr>
          <w:rFonts w:ascii="Times New Roman" w:eastAsia="Times New Roman" w:hAnsi="Times New Roman" w:cs="Times New Roman"/>
          <w:sz w:val="18"/>
          <w:szCs w:val="18"/>
        </w:rPr>
        <w:tab/>
      </w:r>
      <w:r w:rsidR="00A36692">
        <w:rPr>
          <w:rFonts w:ascii="Times New Roman" w:eastAsia="Times New Roman" w:hAnsi="Times New Roman" w:cs="Times New Roman"/>
          <w:sz w:val="24"/>
          <w:szCs w:val="24"/>
          <w:lang w:val="en-US"/>
        </w:rPr>
        <w:t>16</w:t>
      </w:r>
      <w:r w:rsidR="002E3CEC">
        <w:rPr>
          <w:rFonts w:ascii="Times New Roman" w:eastAsia="Times New Roman" w:hAnsi="Times New Roman" w:cs="Times New Roman"/>
          <w:sz w:val="24"/>
          <w:szCs w:val="24"/>
          <w:lang w:val="en-US"/>
        </w:rPr>
        <w:t>/1</w:t>
      </w:r>
    </w:p>
    <w:p w:rsidR="00E66622" w:rsidRPr="00DB2917" w:rsidRDefault="00EF042A" w:rsidP="00DB2917">
      <w:pPr>
        <w:spacing w:line="276" w:lineRule="auto"/>
        <w:rPr>
          <w:sz w:val="24"/>
          <w:szCs w:val="24"/>
        </w:rPr>
      </w:pPr>
      <w:r w:rsidRPr="00E66622">
        <w:rPr>
          <w:rFonts w:ascii="Times New Roman" w:eastAsia="Times New Roman" w:hAnsi="Times New Roman" w:cs="Times New Roman"/>
          <w:sz w:val="24"/>
          <w:szCs w:val="24"/>
        </w:rPr>
        <w:t>Po</w:t>
      </w:r>
      <w:r w:rsidR="001F777F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t xml:space="preserve">et vznesených hromadných pripomienok: 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tab/>
      </w:r>
      <w:r w:rsidR="00335FFB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7C1A93" w:rsidRPr="00E66622" w:rsidRDefault="00E66622">
      <w:pPr>
        <w:rPr>
          <w:rFonts w:ascii="Times New Roman" w:eastAsia="Times New Roman" w:hAnsi="Times New Roman" w:cs="Times New Roman"/>
          <w:sz w:val="20"/>
        </w:rPr>
      </w:pPr>
      <w:r w:rsidRPr="00E66622">
        <w:rPr>
          <w:rFonts w:ascii="Times New Roman" w:eastAsia="Times New Roman" w:hAnsi="Times New Roman" w:cs="Times New Roman"/>
          <w:sz w:val="20"/>
        </w:rPr>
        <w:br/>
      </w:r>
      <w:r w:rsidRPr="00E66622">
        <w:rPr>
          <w:rFonts w:ascii="Times New Roman" w:eastAsia="Times New Roman" w:hAnsi="Times New Roman" w:cs="Times New Roman"/>
          <w:sz w:val="24"/>
          <w:szCs w:val="24"/>
        </w:rPr>
        <w:t>Vznesené pripomienky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87"/>
        <w:gridCol w:w="1394"/>
        <w:gridCol w:w="8779"/>
      </w:tblGrid>
      <w:tr w:rsidR="00E11D16" w:rsidTr="00CD5259">
        <w:trPr>
          <w:trHeight w:val="648"/>
        </w:trPr>
        <w:tc>
          <w:tcPr>
            <w:tcW w:w="1000" w:type="pct"/>
            <w:vAlign w:val="center"/>
          </w:tcPr>
          <w:p w:rsidR="00E11D16" w:rsidRPr="00E11D16" w:rsidRDefault="00E11D16" w:rsidP="00CB6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Subjekt</w:t>
            </w:r>
          </w:p>
        </w:tc>
        <w:tc>
          <w:tcPr>
            <w:tcW w:w="500" w:type="pct"/>
            <w:vAlign w:val="center"/>
          </w:tcPr>
          <w:p w:rsidR="00E11D16" w:rsidRPr="00E11D16" w:rsidRDefault="00E11D16" w:rsidP="00CB6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</w:t>
            </w:r>
          </w:p>
        </w:tc>
        <w:tc>
          <w:tcPr>
            <w:tcW w:w="3150" w:type="pct"/>
            <w:vAlign w:val="center"/>
          </w:tcPr>
          <w:p w:rsidR="00E11D16" w:rsidRPr="00E11D16" w:rsidRDefault="00E11D16" w:rsidP="00CB6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Pripomienka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GPSR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Generálna prokuratúra Slovenskej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Všeobecne k čl. I až V – O: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Po oboznámení sa s návrhom skupiny poslancov Národnej rady Slovenskej republiky Karola Farkašovského, Dagmar Kramplovej, Andreja Danka a Adama Lučanského na vydanie zákona, ktorým sa menia a dopĺňajú niektoré zákony v súvislosti s ochranou pred neoprávnený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 vyhotovením a sprístupnením klamlivých záznamov vytvorených alebo podstatne pozmenených technickým postupom (tlač 1266) (LP/2026/295) [ďalej len „poslanecký návrh zákona“] sa Generálna prokuratúra Slovenskej republiky (ďalej len „Generálna prokuratúra“)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 celom rozsahu stotožňuje so stanoviskom Ministerstva spravodlivosti Slovenskej republiky k poslaneckému návrhu zákona uvedeným v predkladacej správe.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Generálna prokuratúra vyjadruje k poslaneckému návrhu zákona súhlasné stanovisko.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MDSR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Ministerstvo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dopravy Slovenskej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predkladacej správe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 predkladacej správe v stanovisku k navrhovanej skutkovej podstate  „Porušenie práv digitálnym falšovaním“ v § 378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ods. 2 písm. d) navrhujeme slová „spácha čin s úmyslom“ nahradiť slovami „v úmysle“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(obdobne ako je tomu v § 192 ,§ 209, v § 344, alebo § 399),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ods. 3 navrhujeme presunúť slovo „a“ na konci predvetia na začiatok každého pododseku (rovnako ako je tomu napr.  v § 393, § 394, § 397, § 398 alebo § 399) 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3. ods. 4 navrhujeme slová „iné 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bdobné účely... tieto účely“ nahradiť slovami „iný obdobný účel...tento účel“ a čiarku a slovo „pokiaľ“ nahradiť slovom „a“.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MVSR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vnútra Slovenskej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Z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Predložený návrh sleduje legitímny cieľ reagovať na nové formy zn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eužívania umelej inteligencie a tzv. deepfake technológií, no nespĺňa požiadavky na kvalitu právnej regulácie, právnu istotu a predvídateľnosť práva. Návrh obsahuje viaceré neurčité právne pojmy, vytvára duplicitu s existujúcimi právnymi prostriedkami ochr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any a vyvoláva vážne pochybnosti o jeho praktickej aplikovateľnosti, návrhy zákonov sú právne nejasné, nezrozumiteľné, zmätočné s veľkou kumuláciou splnenia podmienok a v aplikačnej praxi nerealizovateľné.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Predložený návrh nie je dostatočne precizovaný, čo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predpokladá aplikačné problémy a množstvo otázok, nerešpektuje v dostatočnej miere požiadavky právnej istoty a nepreukazuje potrebu prijatia navrhovaných zmien vzhľadom na existujúce právne prostriedky ochrany.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 poslaneckého návrhu vyplýva zavedenie nov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ej skutkovej podstaty priestupku proti občianskemu spolunažívaniu, ktoré bude v aplikačnej praxi nemožné dokázať v štádiu objasňovania. Príslušníci Policajného zboru služby poriadkovej polície Policajného zboru nedisponujú oprávneniami ani technickým vybav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ením potrebným na preukázanie skutočnosti,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či obrazovo-zvukový záznam bol vytvorený alebo podstatne pozmenený „technickým postupom“. Taktiež v aplikačnej praxi ani správny orgán nebude schopný takéto konanie prejednať.  K postihu za tento priestupok tak 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praxi môže dôjsť v zásade iba v prípadoch, kedy boli dôkazy získané v trestnom konaní a vec bola postúpená správnemu orgánu.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Je nevyhnutné uviesť, že zavedenie takejto skutkovej podstaty z dôvodu náročnosti, rozsiahlosti, obťažnosti, zaťaženosti a rýchlo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sti objasňovania, respektíve prejednávania priestupkov, ako aj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 dôvodu jasnej nezrozumiteľnosti, nejasnosti takéhoto protiprávneho konania je v aplikačnej praxi nerealizovateľné, vzhľadom na náročnosť preukázania protiprávneho konania v čase spáchania 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iestupku, kauzálneho nexusu protiprávneho konania a škodlivého následku v realite.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Ministerstvo spravodlivosti Slovenskej republiky po zapracovaní svojich pripomienok v podstate vyjadruje súhlas s navrhovaným ustanovením, ktoré sa týka priestupkov. Podstat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nou vecou je, že tým nie je riešená procesná a vykonávacia stránka navrhovaného ustanovenia, ktorá v rámci priestupkov je v praxi nevykonateľná. S ohľadom na skrátené formy prejednávania priestupkov v blokovom konaní podľa § 84 ods. 1 zákona č. 372/1990 Zb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o priestupkoch v znení neskorších predpisov je potrebné zdôrazniť, že podmienkou na aplikáciu skrátenej formy prejednania priestupku je ex lege povinnosť správneho orgánu splniť kumulatívne podmienky, a to že je skutok spoľahlivo zistený a zároveň obvine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ný je ochotný pokutu zaplatiť. Z ustálenej judikatúry vyplýva aj v kontexte § 85 ods. 3 zákona, že obe podmienky musia byť splnené s ohľadom na časovú a miestnu súvislosť skutku. Príslušníci Policajného zboru služby poriadkovej polície Policajného zboru 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disponujú oprávneniami ani technickým vybavením potrebným na preukázanie skutočnosti, či obrazovo-zvukový záznam bol vytvorený alebo podstatne pozmenený „technickým postupom“. Taktiež v aplikačnej praxi ani správny orgán nebude schopný takéto konanie preje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dnať.  K postihu za tento priestupok tak v praxi môže dôjsť v zásade iba v prípadoch, kedy boli dôkazy získané v trestnom konaní a vec bola postúpená správnemu orgánu. Zároveň v rámci procesu objasňovania priestupku môže orgán vyžiadať len odborné vyjadren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ie a teda zákon nepozná možnosť vyžiadania znalca ako v trestnom konaní.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Z vyššie uvedeného dôvodu nesúhlasíme s poslaneckým návrhom a rovnako nesúhlasíme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so stanoviskom Ministerstva spravodlivosti Slovenskej republiky v časti, týkajúcej sa čl. II, nakoľk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 z predkladacej správy vyplýva, že Ministerstvo spravodlivosti Slovenskej republiky vyjadrí súhlas s návrhom po zapracovaní pripomienok, ktoré si uplatnilo v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predkladacej správe.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Taktiež  nesúhlasíme s čl. III a doplnením ustanovenia § 360b Trestného zák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ona, nakoľko aplikačná prax bude nevyhnutne závislá od znaleckého dokazovania v oblasti umelej inteligencie, digitálnej forenziky a informačných technológií. Takto formulovaná skutková podstata môže viesť k nejednotnej rozhodovacej praxi a k významným dôka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zným problémom. Ministerstvo spravodlivosti Slovenskej republiky v predkladacej správe jasne pomenúva riziká aplikačnej praxe, najmä legislatívno-technické nedostatky a terminologickú nejasnosť, taktiež informuje o prebiehajúcom legislatívnom procese k náv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rhu zákona o zabezpečení ochrany fyzických osôb pri spracúvaní osobných údajov a o zmene a doplnení niektorých zákonov (LP/2025/305), v ktorom je obsiahnutá nová skutková podstata trestného činu porušovania osobnostných práv prostredníctvom digitálneho fal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šovania, osobitne prispôsobená pre mediálny obsah vyhotovený alebo upravený prostredníctvom počítačového programu, ku ktorému prebehlo medzirezortné pripomienkové konanie a súvisiaca odborná diskusia. Napokon dodáva, že ak predkladateľ považuje za potrebné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upraviť trestnoprávnu ochranu osobnosti v súvislosti s problematikou „deepfake“, je tak vhodné spraviť prostredníctvom samostatnej skutkovej podstaty uvedenej v Trestnom zákone. Z vyššie uvedeného dôvodu, vyjadrujeme nesúhlas s navrhovaným čl. III a súhla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síme so stanoviskom Ministerstva spravodlivosti Slovenskej republiky, uvedeným v predkladacej správe.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Táto pripomienka je zásadná.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NBÚ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Národný bezpečnostný úrad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PMÚSR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Protimonopolný úrad Slovenskej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Celému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Slovenská aliancia pre inovatívnu ekonomiku - SAPIE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Slovenská aliancia pre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inovatívnu ekonomiku - SAPIE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Čl. I § 12 ods. 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Cieľom navrhovanej zmeny a doplnenia je uplatniť existujúcu ochranu osobnostných práv 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obrazové,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zvukové a audiovizuálne záznamy vytvorené alebo podstatne pozmenené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technickým postupom takým spôsobom, že bez súhlasu zobrazujú podobu fyzickej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osoby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spôsobom, ktorý môže (1) vytvárať dojem pravosti, alebo (2) podstatne znižovať dôstojnosť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fyzickej osoby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alebo jej vážnosť v spoločnosti.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To v podstate znamená, že samotné vytvorenie alebo pozmeňovanie obsahu zobrazujúceho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osobu bez jej súhlasu technickým postupom môže mať za následok občianskoprávnu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zodpovednosť. Nie je potrebné, aby bol obsah šírený tretím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stranám a/alebo aby spôsobil ujmu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zobrazenému jednotlivcovi. Občianskoprávna zodpovednosť môže nastať už v momente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vytvorenia, ak sa obsah javí ako autentický.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Toto mimoriadne široké znenie so sebou nesie riziko, že sa bude vzťahovať aj na úplne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neškodné,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nezlomyseľné činy, ako je vytvorenie alebo úprava obsahu na súkromné účely,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napríklad na osobnú zábavu alebo relatívne menšie úpravy fotografií/videí (napr. odstránenie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červených očí, úprava historických fotografií), ktoré však môžu stále predstavovať „pod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statnú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úpravu“. Okrem toho je pojem „vážnosť v spoločnosti“ široký a môže zahŕňať aj legitímne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použitia (napríklad na satiru alebo paródiu), čo môže mať za následok odstrašujúci účinok 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výkon slobody prejavu.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Hoci chápeme, že by sa mohli uplatniť výnimky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podľa § 12 ods. 3, obávame sa, že sa na 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bude možné odvolávať len vtedy, ak ich použitie nie je v rozpore s legitímnymi záujmami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dotknutej osoby. To naznačuje, že bude potrebné vykonať citlivé vyvažovanie rôznych záujmov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– a základných/ústavných práv. 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tále to však predstavuje riziko negatívneho vplyvu na tvorcov,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ktorí sa môžu obávať šikanóznych občianskoprávnych žalôb za paródiu, satiru, meme alebo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historické komentáre.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Okrem toho zo znenia navrhovaného pozmeňujúceho a doplňujúceho návrhu nie je jasné,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či by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sa občianskoprávna zodpovednosť vzťahovala len na tvorcu príslušného obsahu, alebo aj 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poskytovateľa použitej technológie. Občianskoprávna zodpovednosť by sa nemala vzťahovať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na poskytovateľov technológií – rovnako ako výrobca fotoaparátu nenesie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zodpovednosť, keď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paparazzi zachytí alebo šíri protiprávny záber. Je nevyhnutné, aby zákon v tomto bode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nezavádzal právnu neistotu, ktorá by mohla ohroziť inovácie v oblasti umelej inteligencie 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nasadenie technológií umelej inteligencie na Slovensku.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Vzh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ľadom na vyššie uvedené skutočnosti odporúčame Článok I úplne vypustiť. Pokiaľ si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zákonodarca na Slovensku želá zachovať toto ustanovenie, odporúčame ho upraviť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nasledovne: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(4) Ustanovenia odsekov 1 až 3 sa použijú primerane aj na obrazové snímky, zvukové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alebo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obrazové a zvukové záznamy vytvorené alebo podstatne pozmenené technickým postupom tak,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že zachytávajú podobizeň, hlas alebo iný prejav osobnej povahy fyzickej osoby spôsobom,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spôsobilým vzbudiť ktorý vyvoláva dojem pravosti alebo a spôsobom spôsobil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ým, ktorý 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značnej miere znížiť znižuje dôstojnosť fyzickej osoby alebo jej vážnosť v spoločnosti, ak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tvorca takýto obsah rozširuje alebo sprístupňuje tretím osobám  v úmysle uviesť ich do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omylu. Toto ustanovenie sa vzťahuje na fyzickú osobu, ktorá úmysel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ne vyhotoví a rozšíri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záznam; nevzťahuje sa na poskytovateľov technických prostriedkov použitých pri jeho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vyhotovení ani na poskytovateľov sprostredkovateľských služieb, ktorí obsah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uchovávajú alebo prenášajú, a to v súlade s nariadením (EÚ) 2022/2065.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Sl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ovenská aliancia pre inovatívnu ekonomiku - SAPIE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Slovenská aliancia pre inovatívnu ekonomiku - SAPIE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Čl. II. § 49 ods. ods. 1 nové písmeno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Navrhovaný pozmeňujúci návrh mení zákon o priestupkoch a zavádza priestupok proti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občianskemu spolunažívaniu, ktor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ého sa dopustí ten, kto úmyselne naruší občianske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spolunažívanie tým , že (1) že bez súhlasu iného vyhotoví obrazový, zvukový alebo obrazovo-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zvukový záznam vytvorený alebo podstatne pozmenený technickým postupom tak, že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zachytáva podobu, hlas alebo iný 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ejav osobnej povahy iného spôsobom spôsobilým vzbudiť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dojem pravosti, a taký záznam sprístupní tretej osobe alebo verejnosti, alebo (2) taký záznam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bez súhlasu iného tretej osobe alebo verejnosti sprístupní, ak je také konanie spôsobilé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poškodiť iného na 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ti, ľudskej dôstojnosti alebo narušiť jeho súkromie.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Hoci navrhovaný pozmeňujúci návrh vyžaduje úmysel narušiť občianske spolunažívanie, nie 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jasné, či si užívateľ, ktorý sprístupňuje obsah tretej osobe alebo verejnosti podľa bodu (2)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vyššie, musí byť ve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domý toho, že obsah bol vytvorený alebo podstatne upravený technickým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postupom. Jednotlivci, ktorí neúmyselne zdieľajú vysoko realistické pozmenené zobrazenie bez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toho, aby vedeli, že ide o falzifikát, by mohli čeliť neočakávanej zodpovednosti. Napríklad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oužívateľ by mohol zdieľať na sociálnych médiách vysoko realistický obsah v presvedčení, že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ide o skutočný, škandalózny únik informácií, čo znamená, že mal v úmysle vyvolať verejné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pobúrenie (čo by správny orgán či súd mohol interpretovať ako „narušenie sp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olunažívania“),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pričom si však nemusel byť vedomý toho, že video bolo deepfake. To by mohlo mať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odstrašujúci účinok na výkon slobody prejavu.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Okrem toho vyjadrujeme obavu, že prahová hodnota ujmy pre zodpovednosť za delikt zostáva 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navrhovanom pozmeňujúco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 návrhu nejasná a otvorená interpretácii: obsah musí byť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„spôsobilý poškodiť“ česť, ľudskú dôstojnosť alebo súkromie osoby. Aby vznikla deliktuálna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zodpovednosť, ujma by mala byť skutočná a významná.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Konštatujeme, že v navrhovanom pozmeňujúcom návrhu abse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ntujú akékoľvek výnimky 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ochranu slobody slova, prejavu a umeleckej tvorby podľa článku 11 Charty základných práv EÚ.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Sme tým hlboko znepokojení a očakávame, že to ešte viac prehĺbi odstrašujúci účinok na výkon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slobodu prejavu, ktorý môže spôsobiť toto 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ejasné právne znenie.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Nakoniec, podobne ako v Článku I, konštatujeme, že z formulácie navrhovaného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pozmeňujúceho návrhu nie je jasné, či by sa zodpovednosť vzťahovala len na používateľa,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ktorý vytvára a/alebo zdieľa príslušný obsah, alebo aj na poskytovat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eľa technológie použitej 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vytvorenie obsahu, alebo na poskytovateľa služby použitej na zdieľanie obsahu s treťou osobou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alebo verejnosťou. Poskytovatelia nástrojov umelej inteligencie by nemali niesť zodpovednosť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za poskytovanie všeobecných nástrojov, kt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oré by mohli byť použité na vytvorenie a šírenie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neoprávnených obrazových, zvukových alebo audiovizuálnych záznamov. Uloženie rizika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zodpovednosti na nich by oslabilo inovácie v oblasti umelej inteligencie a zavádzanie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technológií umelej inteligencie na Sl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ovensku. Podobne by poskytovatelia hostingových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platforiem nemali niesť zodpovednosť za neoprávnené obrazové, zvukové alebo audiovizuálne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záznamy šírené prostredníctvom ich služieb, keďže by to bolo v rozpore s rámcom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zodpovednosti sprostredkovateľov podľa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EÚ Aktu o digitálnych službách (a predchádzajúcej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smernice o elektronickom obchode), ktorý sa riadi mechanizmom nahlasovania a prijímania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opatrení.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Vzhľadom na vyššie uvedené odporúčame: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● V navrhovanom pozmeňujúcom návrhu objasniť, že k porušeniu dochádz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a len vtedy, ak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používateľ jednoznačne vie, že obsah je syntetický, a zdieľa ho s konkrétnym úmyslom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uviesť do omylu alebo spôsobiť škodu.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● Upresniť, že zodpovednosť sa vzťahuje na používateľa, ktorý obsah vytvorí a/alebo šíri,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a nevzťahuje sa na poskytov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ateľov použitej technológie (napr. nástrojov umelej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inteligencie) ani na poskytovateľov sprostredkovateľských služieb.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● Výslovne stanoviť výnimky na ochranu základných práv EÚ v súlade s článkom 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Charty základných práv EÚ.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Predkladáme textový pozmeňujúc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 návrh, ktorý odráža naše odporúčanie: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h) úmyselne naruší občianske spolunažívanie tým, že: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1) bez súhlasu iného vyhotoví alebo podstatne zmení technickým postupom obrazový,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zvukový alebo obrazovo-zvukový záznam vytvorený alebo podstatne zmenený technický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postupom tak, že zachytáva podobu, hlas alebo iný prejav osobnej povahy iného spôsobom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ktorý spôsobilým vzbudiť vzbudzuje dojem pravosti, a taký záznam sprístupní tretej osobe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alebo verejnosti, a to s konkrétnym úmyslom uviesť do omylu a spôsobiť škodu;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alebo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2) s vedomím, že obrazový, zvukový alebo obrazovo-zvukový záznam bol vyhotovený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alebo podstatne zmenený technickým postupom a bez súhlasu osoby na ňom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zachytenej, sprístupnením takéhoto záznamu tretej osobe alebo verejnosti bez súhlasu tejto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osoby, 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konkrétnym úmyslom uviesť do omylu a spôsobiť škodu,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ak je takéto konanie schopné spôsobilo skutočnú a významnú ujmu na cti, ľudskej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dôstojnosti alebo súkromí inej osoby.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Zodpovednosť podľa tohto odseku sa vzťahuje výlučne na fyzickú osobu, ktorá záznam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myselne vyhotoví a šíri alebo úmyselne šíri, a nevzťahuje sa na poskytovateľov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technických nástrojov použitých pri tvorbe ani na poskytovateľov sprostredkovateľských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služieb, ktorí obsah hostujú alebo prenášajú, v súlade s nariadením (EÚ) 2022/2065.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Toto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ustanovenie sa neuplatňuje, ak vyhotovenie alebo šírenie záznamu predstavuje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legitímne uplatňovanie slobody prejavu a informácií, vrátane na novinárske, umelecké,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literárne, satirické alebo parodické účely, v súlade s Chartou základných práv Európskej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únie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Slovenská aliancia pre inovatívnu ekonomiku - SAPIE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Slovenská aliancia pre inovatívnu ekonomiku - SAPIE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Čl. III:Zmeny a doplnen § 360b ods. 1 nové písmeno c)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Navrhovaný pozmeňujúci návrh kriminalizuje vytvorenie alebo zmenu obrazového, zvukového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alebo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obrazovo-zvukového záznamu tak, že zachytáva podobu, hlas alebo iný prejav osobnej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povahy iného spôsobom, ktorý môže vzbudiť dojem pravosti a značnou mierou ohroziť vážnosť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tejto osoby alebo spôsobiť inú vážnu ujmu na jej právach, a sprístupnenie takéhoto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záznamu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tretej osobe alebo verejnosti bez súhlasu, ak toto konanie vedie k zásadnému zhoršeniu kvality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života poškodeného.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Chápeme, že pozmenené ustanovenie sa týka  šikanovania a obťažovania v kyber priestore.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Tieto formy konania zvyčajne vyžadujú prvok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opakovaného správania alebo cielené,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pretrvávajúce konanie, ktoré zhoršuje kvalitu života jednotlivca. Považovať za trestný čin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obťažovania jednorazové šírenie syntetického obsahu – bez požiadavky zlomyseľného úmyslu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alebo dôkazu o pretrvávajúcom konaní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je neprimerané.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Okrem toho musí trestná zodpovednosť spočívať na úmysle používateľa a na jasných,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objektívnych štandardoch. Pojmy „spôsobilé vzbudiť dojem pravosti“ a „značnou mierou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ohrozujúcou vážnosť“ sú nejasné a vo veľkej miere závisia od subjektívneh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 výkladu. Ak sa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uplatní subjektívne kritérium, mohlo by to viesť k trestnému stíhaniu v prípadoch, keď nedošlo 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žiadnej objektívnej spoločenskej alebo individuálnej ujme (napr. bežná politická satira).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Nakoniec, podobne ako v našich pripomienkach k ostat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ným navrhovaným zmenám 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doplneniam, máme obavy, že nie sú stanovené žiadne výnimky na ochranu slobody slova,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prejavu a umeleckej tvorby podľa článku 11 Charty základných práv EÚ; a že z formulácie nie 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jasné, či by sa trestná zodpovednosť vzťahovala len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na používateľa, ktorý vytvoril a/alebo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zdieľal príslušný obsah, alebo aj na poskytovateľa technológie použitej na vytvorenie obsahu,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alebo na poskytovateľa služby použitej na zdieľanie obsahu s treťou osobou alebo verejnosťou.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Z uvedených dôvodov je ešte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naliehavejšie jasne stanoviť, že trestná zodpovednosť sa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nevzťahuje na poskytovateľov technologických nástrojov a sprostredkovateľských služieb.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Vzhľadom na vyššie uvedené skutočnosti odporúčame: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● Upresniť, že používateľ, ktorý obsah vytvoril a/alebo šíri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l, musel konať s vedomím jeho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syntetickej povahy a so zlým úmyslom obťažovať, a že toto konanie viedlo k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overiteľnej,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objektívnej ujme.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● Upresniť, že zodpovednosť sa vzťahuje na používateľa, ktorý obsah vytvoril a/alebo šíril,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a nevzťahuje sa na poskytova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teľov použitej technológie (napr. nástrojov umelej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inteligencie) ani na poskytovateľov sprostredkovateľských služieb.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● Výslovne stanoviť výnimky na ochranu základných práv EÚ v súlade s článkom 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Charty základných práv EÚ.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Predkladáme textovú zmenu, ktor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á odráža naše odporúčanie: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c) ako používateľ služby elektronickej komunikácie, počítačového systému alebo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počítačovej siete bez súhlasu iného v rámci cieleného konania a s konkrétnym úmyslom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obťažovať, zastrašovať alebo prenasledovať túto osobu vytvorí 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ebo podstatne pozmení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technickým postupom obrazový, zvukový alebo obrazovo-zvukový záznam tak, že zachytáva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podobu, hlas alebo iný prejav osobnej povahy iného tejto osoby spôsobom, ktorý vzbudzuje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spôsobilým vzbudiť dojem pravosti, spôsobilý vzbudiť dojem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pravosti a značnou mierou ohroziť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jeho vážnosť alebo privodiť mu inú vážnu ujmu na právach, a taký záznam vedome bez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súhlasu iného sprístupní tretej osobe alebo verejnosti, ak takéto konanie vedie 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overiteľnému, objektívnemu a zásadnému zhoršeniu kvality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života poškodeného.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Trestná zodpovednosť podľa tohto odseku sa vzťahuje výlučne na osobu, ktorá vytvorí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alebo šíri záznam so zákonom vyžadovaným úmyslom, a nevzťahuje sa 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poskytovateľov technických nástrojov použitých na jeho vytvorenie ani 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poskytovat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eľov sprostredkovateľských služieb, ktorí obsah hostujú, prenášajú alebo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ukladajú do vyrovnávacej pamäte, v súlade s nariadením (EÚ) 2022/2065.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Toto ustanovenie sa neuplatňuje, ak vytvorenie alebo šírenie daného záznamu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predstavuje legitímne uplatňovanie 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lobody prejavu a informácií, vrátane na novinárske,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umelecké, literárne, satirické alebo parodické účely, v súlade s Chartou základných práv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Európskej únie.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Slovenská aliancia pre inovatívnu ekonomiku - SAPIE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Slovenská aliancia pre inovatívnu ekonomiku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SAPIE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Čl. IV: Trestná zodpoved § 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Navrhovaný pozmeňujúci návrh rozširuje zodpovednosť právnických osôb o novovytvorený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trestný čin uvedený v bode 3 vyššie.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Obávame sa, že toto rozšírenie znamená zavedenie trestnej zodpovednosti pre poskytovateľov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techno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lógií, čo by mohlo brzdiť inovácie v oblasti umelej inteligencie a nasadenie technológií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umelej inteligencie na Slovensku. Okrem toho by zavedenie trestnej zodpovednosti pre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poskytovateľov sprostredkovateľských služieb porušilo EÚ Aktu o digitálnych službá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ch, ako bolo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uvedené vyššie.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Vzhľadom na vyššie uvedené skutočnosti odporúčame vypustiť Článok IV.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UOOU 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na ochranu osobných údajov Slovenskej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Nová skutková podstata trestného činu porušovania osobnostných práv prostred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níctvom digitálneho falšovania, osobitne prispôsobená pre mediálny obsah vyhotovený alebo upravený prostredníctvom počítačového programu už je obsiahnutá v návrhu zákona o zabezpečení ochrany fyzických osôb pri spracúvaní osobných údajov a o zmene a doplne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ní niektorých zákonov (LP/2025/305). Predmetná právna úprava bola v rámci prípravy uvedeného návrhu zákona predmetom odborných diskusií a medzirezortného pripomienkového konania. Súbežné prijímanie identických alebo významne prekrývajúcich sa ustanovení v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rôznych legislatívnych procesoch nie je v súlade s požiadavkou právnej istoty a prehľadnosti právneho poriadku.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 základe uvedeného žiadame vypustiť z predkladaného poslaneckého návrhu zákona ustanovenia upravujúce tento trestný čin, keďže ide o obsahovo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totožnú, resp. duplicitnú právnu úpravu.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Túto pripomienku považujeme za zásadnú.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ÚGKKSR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Úrad geodézie, kartografie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a katastra Slovenskej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Súhlasíme so stanoviskom Ministerstva spravodlivosti SR k predkladanému materiálu.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ÚJDSR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jadrového dozoru Slovenskej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Súhlasíme s pripomienkou MS SR.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ÚNMSSR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pre normalizáciu,  metrológiu a skúšobníctvo Slovenskej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ÚPVSR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priemyselného vlastníctva Slo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ÚVO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pre verejné obstarávanie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ŠÚSR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Štatistický úrad Slovenskej republiky</w:t>
            </w:r>
          </w:p>
        </w:tc>
        <w:tc>
          <w:tcPr>
            <w:tcW w:w="0" w:type="auto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MFSR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financií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MINCRS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cestovného ruchu a športu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MIRRI 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investícií, regionálneho rozvoja a informatizácie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MKSR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kultúry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MOSR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obrany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MPRVSR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pôdohospodárstva a rozvoja vidieka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MPSVRSR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isterstvo práce, sociálnych vecí a rodiny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MZSR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zdravotníctva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MZVEZ 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MŠVVaMSR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školstva,výskumu,vývoja a mládeže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352A36">
        <w:trPr>
          <w:trHeight w:val="648"/>
        </w:trPr>
        <w:tc>
          <w:tcPr>
            <w:tcW w:w="0" w:type="auto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MŽPSR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Ministerstvo životného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prostredia Slovenskej republiky</w:t>
            </w:r>
          </w:p>
        </w:tc>
        <w:tc>
          <w:tcPr>
            <w:tcW w:w="0" w:type="auto"/>
            <w:vAlign w:val="center"/>
          </w:tcPr>
          <w:p w:rsidR="00352A36" w:rsidRDefault="00352A36">
            <w:pPr>
              <w:spacing w:after="0"/>
              <w:jc w:val="center"/>
            </w:pPr>
          </w:p>
        </w:tc>
        <w:tc>
          <w:tcPr>
            <w:tcW w:w="0" w:type="auto"/>
          </w:tcPr>
          <w:p w:rsidR="00352A36" w:rsidRDefault="00EF04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</w:tbl>
    <w:p w:rsidR="00DB2917" w:rsidRDefault="00DB291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66622" w:rsidRPr="000B2D78" w:rsidRDefault="00E66622" w:rsidP="00B325C1">
      <w:pPr>
        <w:keepLines/>
        <w:rPr>
          <w:rFonts w:ascii="Times New Roman" w:hAnsi="Times New Roman" w:cs="Times New Roman"/>
        </w:rPr>
      </w:pPr>
      <w:r w:rsidRPr="00E66622">
        <w:rPr>
          <w:rFonts w:ascii="Times New Roman" w:eastAsia="Times New Roman" w:hAnsi="Times New Roman" w:cs="Times New Roman"/>
          <w:sz w:val="24"/>
          <w:szCs w:val="24"/>
        </w:rPr>
        <w:t>Vznesené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hromadn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é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t xml:space="preserve"> pripomienky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87"/>
        <w:gridCol w:w="1394"/>
        <w:gridCol w:w="8779"/>
      </w:tblGrid>
      <w:tr w:rsidR="00E11D16" w:rsidTr="00CD5259">
        <w:trPr>
          <w:trHeight w:val="648"/>
          <w:jc w:val="center"/>
        </w:trPr>
        <w:tc>
          <w:tcPr>
            <w:tcW w:w="1000" w:type="pct"/>
            <w:vAlign w:val="center"/>
          </w:tcPr>
          <w:p w:rsidR="00E11D16" w:rsidRPr="00E11D16" w:rsidRDefault="00E11D16" w:rsidP="00B325C1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Subjekt</w:t>
            </w:r>
          </w:p>
        </w:tc>
        <w:tc>
          <w:tcPr>
            <w:tcW w:w="500" w:type="pct"/>
            <w:vAlign w:val="center"/>
          </w:tcPr>
          <w:p w:rsidR="00E11D16" w:rsidRPr="00E11D16" w:rsidRDefault="00E11D16" w:rsidP="00B325C1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Podporo</w:t>
            </w:r>
            <w:r w:rsidR="000A158B" w:rsidRPr="000A15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A1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vatelia</w:t>
            </w:r>
          </w:p>
        </w:tc>
        <w:tc>
          <w:tcPr>
            <w:tcW w:w="3150" w:type="pct"/>
            <w:vAlign w:val="center"/>
          </w:tcPr>
          <w:p w:rsidR="00E11D16" w:rsidRPr="00E11D16" w:rsidRDefault="00E11D16" w:rsidP="00B325C1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Pripomienka</w:t>
            </w:r>
          </w:p>
        </w:tc>
      </w:tr>
      <w:tr w:rsidR="00EB67F3" w:rsidTr="00EB67F3">
        <w:trPr>
          <w:trHeight w:val="648"/>
          <w:jc w:val="center"/>
        </w:trPr>
        <w:tc>
          <w:tcPr>
            <w:tcW w:w="0" w:type="auto"/>
            <w:gridSpan w:val="3"/>
            <w:vAlign w:val="center"/>
          </w:tcPr>
          <w:p w:rsidR="00352A36" w:rsidRDefault="00EF04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K materiálu neboli pridané hromadné pripomienky.</w:t>
            </w:r>
          </w:p>
        </w:tc>
      </w:tr>
    </w:tbl>
    <w:p w:rsidR="00E66622" w:rsidRPr="00E66622" w:rsidRDefault="00E66622">
      <w:pPr>
        <w:rPr>
          <w:rFonts w:ascii="Times New Roman" w:hAnsi="Times New Roman" w:cs="Times New Roman"/>
        </w:rPr>
      </w:pPr>
    </w:p>
    <w:sectPr w:rsidR="00E66622" w:rsidRPr="00E66622" w:rsidSect="00E327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42A" w:rsidRPr="00E66622" w:rsidRDefault="00EF042A" w:rsidP="00E66622">
      <w:pPr>
        <w:spacing w:after="0" w:line="240" w:lineRule="auto"/>
      </w:pPr>
      <w:r w:rsidRPr="00E66622">
        <w:separator/>
      </w:r>
    </w:p>
  </w:endnote>
  <w:endnote w:type="continuationSeparator" w:id="0">
    <w:p w:rsidR="00EF042A" w:rsidRPr="00E66622" w:rsidRDefault="00EF042A" w:rsidP="00E66622">
      <w:pPr>
        <w:spacing w:after="0" w:line="240" w:lineRule="auto"/>
      </w:pPr>
      <w:r w:rsidRPr="00E666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7C3" w:rsidRDefault="00E327C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005146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E66622" w:rsidRPr="00A02DB7" w:rsidRDefault="00E66622">
        <w:pPr>
          <w:pStyle w:val="Pta"/>
          <w:jc w:val="center"/>
          <w:rPr>
            <w:rFonts w:ascii="Times New Roman" w:hAnsi="Times New Roman"/>
          </w:rPr>
        </w:pPr>
        <w:r w:rsidRPr="00A02DB7">
          <w:rPr>
            <w:rFonts w:ascii="Times New Roman" w:hAnsi="Times New Roman"/>
          </w:rPr>
          <w:fldChar w:fldCharType="begin"/>
        </w:r>
        <w:r w:rsidRPr="00A02DB7">
          <w:rPr>
            <w:rFonts w:ascii="Times New Roman" w:hAnsi="Times New Roman"/>
          </w:rPr>
          <w:instrText xml:space="preserve"> PAGE   \* MERGEFORMAT </w:instrText>
        </w:r>
        <w:r w:rsidRPr="00A02DB7">
          <w:rPr>
            <w:rFonts w:ascii="Times New Roman" w:hAnsi="Times New Roman"/>
          </w:rPr>
          <w:fldChar w:fldCharType="separate"/>
        </w:r>
        <w:r w:rsidR="00EB67F3">
          <w:rPr>
            <w:rFonts w:ascii="Times New Roman" w:hAnsi="Times New Roman"/>
            <w:noProof/>
          </w:rPr>
          <w:t>16</w:t>
        </w:r>
        <w:r w:rsidRPr="00A02DB7">
          <w:rPr>
            <w:rFonts w:ascii="Times New Roman" w:hAnsi="Times New Roman"/>
            <w:noProof/>
          </w:rPr>
          <w:fldChar w:fldCharType="end"/>
        </w:r>
      </w:p>
    </w:sdtContent>
  </w:sdt>
  <w:p w:rsidR="00E66622" w:rsidRDefault="00E6662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7C3" w:rsidRDefault="00E327C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42A" w:rsidRPr="00E66622" w:rsidRDefault="00EF042A" w:rsidP="00E66622">
      <w:pPr>
        <w:spacing w:after="0" w:line="240" w:lineRule="auto"/>
      </w:pPr>
      <w:r w:rsidRPr="00E66622">
        <w:separator/>
      </w:r>
    </w:p>
  </w:footnote>
  <w:footnote w:type="continuationSeparator" w:id="0">
    <w:p w:rsidR="00EF042A" w:rsidRPr="00E66622" w:rsidRDefault="00EF042A" w:rsidP="00E66622">
      <w:pPr>
        <w:spacing w:after="0" w:line="240" w:lineRule="auto"/>
      </w:pPr>
      <w:r w:rsidRPr="00E666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7C3" w:rsidRDefault="00E327C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7C3" w:rsidRDefault="00E327C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7C3" w:rsidRDefault="00E327C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A93"/>
    <w:rsid w:val="00047E84"/>
    <w:rsid w:val="00050137"/>
    <w:rsid w:val="00050C83"/>
    <w:rsid w:val="00076DCD"/>
    <w:rsid w:val="000A158B"/>
    <w:rsid w:val="000B2D78"/>
    <w:rsid w:val="000C172E"/>
    <w:rsid w:val="000D3CA3"/>
    <w:rsid w:val="001228AD"/>
    <w:rsid w:val="00131490"/>
    <w:rsid w:val="00131742"/>
    <w:rsid w:val="001433FA"/>
    <w:rsid w:val="00146A7D"/>
    <w:rsid w:val="001D4771"/>
    <w:rsid w:val="001E50FA"/>
    <w:rsid w:val="001E5996"/>
    <w:rsid w:val="001F777F"/>
    <w:rsid w:val="00231554"/>
    <w:rsid w:val="00237490"/>
    <w:rsid w:val="00245F36"/>
    <w:rsid w:val="0026614F"/>
    <w:rsid w:val="002715E0"/>
    <w:rsid w:val="0029170C"/>
    <w:rsid w:val="00295E6A"/>
    <w:rsid w:val="002A4482"/>
    <w:rsid w:val="002C0EB1"/>
    <w:rsid w:val="002C684B"/>
    <w:rsid w:val="002D3B5E"/>
    <w:rsid w:val="002D4B4A"/>
    <w:rsid w:val="002E3CEC"/>
    <w:rsid w:val="002F5089"/>
    <w:rsid w:val="00310F92"/>
    <w:rsid w:val="00312884"/>
    <w:rsid w:val="00335FFB"/>
    <w:rsid w:val="00350421"/>
    <w:rsid w:val="00352A36"/>
    <w:rsid w:val="003A5C5F"/>
    <w:rsid w:val="003C31D4"/>
    <w:rsid w:val="003E641E"/>
    <w:rsid w:val="003F1216"/>
    <w:rsid w:val="003F37C1"/>
    <w:rsid w:val="003F501E"/>
    <w:rsid w:val="004029A2"/>
    <w:rsid w:val="004050CF"/>
    <w:rsid w:val="00405348"/>
    <w:rsid w:val="00431C3A"/>
    <w:rsid w:val="00434080"/>
    <w:rsid w:val="00461AE1"/>
    <w:rsid w:val="00491D61"/>
    <w:rsid w:val="004A62B8"/>
    <w:rsid w:val="004B4188"/>
    <w:rsid w:val="004C4683"/>
    <w:rsid w:val="004E0BF7"/>
    <w:rsid w:val="004F4092"/>
    <w:rsid w:val="00513767"/>
    <w:rsid w:val="005146CA"/>
    <w:rsid w:val="0053699B"/>
    <w:rsid w:val="00543901"/>
    <w:rsid w:val="00583F11"/>
    <w:rsid w:val="005B618C"/>
    <w:rsid w:val="005E5B0E"/>
    <w:rsid w:val="005F3E6F"/>
    <w:rsid w:val="00602231"/>
    <w:rsid w:val="006371D1"/>
    <w:rsid w:val="00641DD8"/>
    <w:rsid w:val="00664F3B"/>
    <w:rsid w:val="00695857"/>
    <w:rsid w:val="006C2D6E"/>
    <w:rsid w:val="0070694E"/>
    <w:rsid w:val="00707B3A"/>
    <w:rsid w:val="00735F5E"/>
    <w:rsid w:val="00774ED8"/>
    <w:rsid w:val="00784062"/>
    <w:rsid w:val="0078532E"/>
    <w:rsid w:val="007C1A93"/>
    <w:rsid w:val="007F482B"/>
    <w:rsid w:val="00805BCF"/>
    <w:rsid w:val="00847145"/>
    <w:rsid w:val="008741FE"/>
    <w:rsid w:val="00887B34"/>
    <w:rsid w:val="008C2612"/>
    <w:rsid w:val="008D299D"/>
    <w:rsid w:val="00913D14"/>
    <w:rsid w:val="00917A99"/>
    <w:rsid w:val="00932936"/>
    <w:rsid w:val="00947810"/>
    <w:rsid w:val="009647D6"/>
    <w:rsid w:val="00980D7A"/>
    <w:rsid w:val="009912BF"/>
    <w:rsid w:val="009B1491"/>
    <w:rsid w:val="009D152C"/>
    <w:rsid w:val="009D32B4"/>
    <w:rsid w:val="009E0711"/>
    <w:rsid w:val="009F35D2"/>
    <w:rsid w:val="00A02DB7"/>
    <w:rsid w:val="00A070EB"/>
    <w:rsid w:val="00A36692"/>
    <w:rsid w:val="00A81039"/>
    <w:rsid w:val="00A950A9"/>
    <w:rsid w:val="00AD0FB4"/>
    <w:rsid w:val="00B02EF2"/>
    <w:rsid w:val="00B0310C"/>
    <w:rsid w:val="00B11932"/>
    <w:rsid w:val="00B13231"/>
    <w:rsid w:val="00B13C0C"/>
    <w:rsid w:val="00B325C1"/>
    <w:rsid w:val="00B8742A"/>
    <w:rsid w:val="00B946A0"/>
    <w:rsid w:val="00BB3CF4"/>
    <w:rsid w:val="00BC339E"/>
    <w:rsid w:val="00BC7790"/>
    <w:rsid w:val="00BD7F55"/>
    <w:rsid w:val="00BE323C"/>
    <w:rsid w:val="00BF207A"/>
    <w:rsid w:val="00C06F1F"/>
    <w:rsid w:val="00C13765"/>
    <w:rsid w:val="00C34659"/>
    <w:rsid w:val="00C43D79"/>
    <w:rsid w:val="00C529CC"/>
    <w:rsid w:val="00C84A5B"/>
    <w:rsid w:val="00C904D1"/>
    <w:rsid w:val="00CB600D"/>
    <w:rsid w:val="00CC742E"/>
    <w:rsid w:val="00CD5259"/>
    <w:rsid w:val="00CD7313"/>
    <w:rsid w:val="00CF1D5F"/>
    <w:rsid w:val="00D01FAC"/>
    <w:rsid w:val="00D0302E"/>
    <w:rsid w:val="00D2596D"/>
    <w:rsid w:val="00D44E47"/>
    <w:rsid w:val="00D466F6"/>
    <w:rsid w:val="00D610D0"/>
    <w:rsid w:val="00D91683"/>
    <w:rsid w:val="00DA267A"/>
    <w:rsid w:val="00DB2917"/>
    <w:rsid w:val="00DB4797"/>
    <w:rsid w:val="00DD2850"/>
    <w:rsid w:val="00DD302E"/>
    <w:rsid w:val="00DD7CB5"/>
    <w:rsid w:val="00DF139C"/>
    <w:rsid w:val="00E07639"/>
    <w:rsid w:val="00E078E8"/>
    <w:rsid w:val="00E113C2"/>
    <w:rsid w:val="00E11D16"/>
    <w:rsid w:val="00E327C3"/>
    <w:rsid w:val="00E37A37"/>
    <w:rsid w:val="00E41A2D"/>
    <w:rsid w:val="00E66622"/>
    <w:rsid w:val="00E92A50"/>
    <w:rsid w:val="00EA3B3C"/>
    <w:rsid w:val="00EB67F3"/>
    <w:rsid w:val="00EE00C6"/>
    <w:rsid w:val="00EE3DCD"/>
    <w:rsid w:val="00EF042A"/>
    <w:rsid w:val="00F0653F"/>
    <w:rsid w:val="00F17D8C"/>
    <w:rsid w:val="00F456DC"/>
    <w:rsid w:val="00F66A1B"/>
    <w:rsid w:val="00F8431B"/>
    <w:rsid w:val="00F85AB8"/>
    <w:rsid w:val="00F907A2"/>
    <w:rsid w:val="00FA016F"/>
    <w:rsid w:val="00FA40AE"/>
    <w:rsid w:val="00FD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A4F65-FABE-47DB-AF8A-6E31DFCA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11D16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6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6622"/>
  </w:style>
  <w:style w:type="paragraph" w:styleId="Pta">
    <w:name w:val="footer"/>
    <w:basedOn w:val="Normlny"/>
    <w:link w:val="PtaChar"/>
    <w:uiPriority w:val="99"/>
    <w:unhideWhenUsed/>
    <w:rsid w:val="00E66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6622"/>
  </w:style>
  <w:style w:type="character" w:styleId="Odkaznakomentr">
    <w:name w:val="annotation reference"/>
    <w:basedOn w:val="Predvolenpsmoodseku"/>
    <w:uiPriority w:val="99"/>
    <w:semiHidden/>
    <w:unhideWhenUsed/>
    <w:rsid w:val="00CD525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D525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D5259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D525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D5259"/>
    <w:rPr>
      <w:b/>
      <w:bCs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3668</Words>
  <Characters>20908</Characters>
  <DocSecurity>0</DocSecurity>
  <Lines>174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2026-06-10T10:29:00Z</dcterms:created>
  <dcterms:modified xsi:type="dcterms:W3CDTF">2026-06-10T10:29:00Z</dcterms:modified>
</cp:coreProperties>
</file>