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08" w:rsidRDefault="00254081">
      <w:bookmarkStart w:id="0" w:name="_GoBack"/>
      <w:r>
        <w:rPr>
          <w:noProof/>
          <w:lang w:eastAsia="sk-SK"/>
        </w:rPr>
        <w:drawing>
          <wp:inline distT="0" distB="0" distL="0" distR="0" wp14:anchorId="307E807D" wp14:editId="0013FDA7">
            <wp:extent cx="9039225" cy="6124575"/>
            <wp:effectExtent l="0" t="0" r="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sectPr w:rsidR="00587D08" w:rsidSect="004473C5">
      <w:headerReference w:type="default" r:id="rId8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081" w:rsidRDefault="00254081" w:rsidP="00254081">
      <w:pPr>
        <w:spacing w:after="0" w:line="240" w:lineRule="auto"/>
      </w:pPr>
      <w:r>
        <w:separator/>
      </w:r>
    </w:p>
  </w:endnote>
  <w:endnote w:type="continuationSeparator" w:id="0">
    <w:p w:rsidR="00254081" w:rsidRDefault="00254081" w:rsidP="00254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081" w:rsidRDefault="00254081" w:rsidP="00254081">
      <w:pPr>
        <w:spacing w:after="0" w:line="240" w:lineRule="auto"/>
      </w:pPr>
      <w:r>
        <w:separator/>
      </w:r>
    </w:p>
  </w:footnote>
  <w:footnote w:type="continuationSeparator" w:id="0">
    <w:p w:rsidR="00254081" w:rsidRDefault="00254081" w:rsidP="00254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081" w:rsidRPr="00254081" w:rsidRDefault="00254081">
    <w:pPr>
      <w:pStyle w:val="Hlavika"/>
      <w:rPr>
        <w:rFonts w:ascii="Times New Roman" w:hAnsi="Times New Roman" w:cs="Times New Roman"/>
        <w:sz w:val="24"/>
        <w:szCs w:val="24"/>
      </w:rPr>
    </w:pPr>
    <w:r w:rsidRPr="00254081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254081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254081">
      <w:rPr>
        <w:rFonts w:ascii="Times New Roman" w:hAnsi="Times New Roman" w:cs="Times New Roman"/>
        <w:sz w:val="24"/>
        <w:szCs w:val="24"/>
      </w:rPr>
      <w:t>Príloha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081"/>
    <w:rsid w:val="00254081"/>
    <w:rsid w:val="004473C5"/>
    <w:rsid w:val="00587D08"/>
    <w:rsid w:val="00AD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5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408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54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54081"/>
  </w:style>
  <w:style w:type="paragraph" w:styleId="Pta">
    <w:name w:val="footer"/>
    <w:basedOn w:val="Normlny"/>
    <w:link w:val="PtaChar"/>
    <w:uiPriority w:val="99"/>
    <w:unhideWhenUsed/>
    <w:rsid w:val="00254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540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5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408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54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54081"/>
  </w:style>
  <w:style w:type="paragraph" w:styleId="Pta">
    <w:name w:val="footer"/>
    <w:basedOn w:val="Normlny"/>
    <w:link w:val="PtaChar"/>
    <w:uiPriority w:val="99"/>
    <w:unhideWhenUsed/>
    <w:rsid w:val="00254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54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A-BALAZOVA_T\AppData\Local\Microsoft\Windows\INetCache\Content.Outlook\PWYL3IDT\VS%202016%20-%20grafy%20201420152016%20(pr&#237;loha%20345)-%20upraven&#23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k-SK" b="1"/>
              <a:t>Priemerné mesačné výšky vyplácaných dôchodkov na jedného dôchodcu (sólo dôchodky) v EUR</a:t>
            </a:r>
          </a:p>
        </c:rich>
      </c:tx>
      <c:layout>
        <c:manualLayout>
          <c:xMode val="edge"/>
          <c:yMode val="edge"/>
          <c:x val="0.11850311850311851"/>
          <c:y val="2.0537124802527645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3688562902239959E-2"/>
          <c:y val="6.9903952519154391E-2"/>
          <c:w val="0.93029645793748916"/>
          <c:h val="0.43380969291746774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'Zdrojové údaje'!$C$24</c:f>
              <c:strCache>
                <c:ptCount val="1"/>
                <c:pt idx="0">
                  <c:v>k 31.12.2014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2479460518186479E-2"/>
                  <c:y val="-6.7617692826564615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6395260692580372E-2"/>
                  <c:y val="-6.9782379301823891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8036767256330213E-2"/>
                  <c:y val="-5.071315372424722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6365245663156879E-2"/>
                  <c:y val="-5.9150621439495635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0815313361288987E-2"/>
                  <c:y val="-6.5511944594711921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8048015283565349E-2"/>
                  <c:y val="-5.91653142593817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8.2186132983377083E-3"/>
                  <c:y val="-3.3936508464983105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9424210891432536E-2"/>
                  <c:y val="-5.071315372424722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2486992715920915E-2"/>
                  <c:y val="-5.071315372424722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1.664932362122799E-2"/>
                  <c:y val="-4.8600105652403594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2.7786906436361564E-3"/>
                  <c:y val="-5.9180174043130106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val>
            <c:numRef>
              <c:f>'Zdrojové údaje'!$C$25:$C$35</c:f>
              <c:numCache>
                <c:formatCode>0.00</c:formatCode>
                <c:ptCount val="11"/>
                <c:pt idx="0" formatCode="General">
                  <c:v>400.18</c:v>
                </c:pt>
                <c:pt idx="1">
                  <c:v>384.42</c:v>
                </c:pt>
                <c:pt idx="2">
                  <c:v>266.64</c:v>
                </c:pt>
                <c:pt idx="3">
                  <c:v>242.9</c:v>
                </c:pt>
                <c:pt idx="4" formatCode="General">
                  <c:v>439.32</c:v>
                </c:pt>
                <c:pt idx="5" formatCode="General">
                  <c:v>186.71</c:v>
                </c:pt>
                <c:pt idx="6">
                  <c:v>509.45</c:v>
                </c:pt>
                <c:pt idx="7" formatCode="General">
                  <c:v>131.29</c:v>
                </c:pt>
                <c:pt idx="8">
                  <c:v>2.9</c:v>
                </c:pt>
                <c:pt idx="9">
                  <c:v>19</c:v>
                </c:pt>
                <c:pt idx="10" formatCode="General">
                  <c:v>227.17</c:v>
                </c:pt>
              </c:numCache>
            </c:numRef>
          </c:val>
        </c:ser>
        <c:ser>
          <c:idx val="1"/>
          <c:order val="1"/>
          <c:tx>
            <c:strRef>
              <c:f>'Zdrojové údaje'!$D$24</c:f>
              <c:strCache>
                <c:ptCount val="1"/>
                <c:pt idx="0">
                  <c:v>k 31.12.2015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1087531852483059E-2"/>
                  <c:y val="-3.514747661296693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8078385531249793E-2"/>
                  <c:y val="-3.7875880997108861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505461010922023E-2"/>
                  <c:y val="-2.5822612110094796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7842620465430135E-2"/>
                  <c:y val="-2.714882490833683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7207265827998544E-2"/>
                  <c:y val="-3.2554279951647266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354532816592515E-2"/>
                  <c:y val="-3.116446418841067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1412948381452314E-3"/>
                  <c:y val="-5.3120474105641654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249911919178677E-2"/>
                  <c:y val="-2.5614468555931261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4.9920658981102905E-3"/>
                  <c:y val="-2.644537895520587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1.1599247284516074E-2"/>
                  <c:y val="-2.3525213072613151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1.2285348722060828E-3"/>
                  <c:y val="-3.071417122478006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'Zdrojové údaje'!$B$25:$B$35</c:f>
              <c:strCache>
                <c:ptCount val="11"/>
                <c:pt idx="0">
                  <c:v>starobný dôchodok + starobný pomerný dôchodok</c:v>
                </c:pt>
                <c:pt idx="1">
                  <c:v>predčasný starobný dôchodok</c:v>
                </c:pt>
                <c:pt idx="2">
                  <c:v>invalidný dôchodok + čiastočný invalidný dôchodok + dôchodok za výsluhu rokov</c:v>
                </c:pt>
                <c:pt idx="3">
                  <c:v>vdovský dôchodok</c:v>
                </c:pt>
                <c:pt idx="4">
                  <c:v>vdovský dôchodok vyplácaný v súbehu s iným dôchodkom</c:v>
                </c:pt>
                <c:pt idx="5">
                  <c:v>vdovecký dôchodok</c:v>
                </c:pt>
                <c:pt idx="6">
                  <c:v>vdovecký dôchodok vyplácaný v súbehu s iným dôchodkom</c:v>
                </c:pt>
                <c:pt idx="7">
                  <c:v>sirotský dôchodok</c:v>
                </c:pt>
                <c:pt idx="8">
                  <c:v>iný</c:v>
                </c:pt>
                <c:pt idx="9">
                  <c:v>dôchodok manželky</c:v>
                </c:pt>
                <c:pt idx="10">
                  <c:v>sociálny dôchodok</c:v>
                </c:pt>
              </c:strCache>
            </c:strRef>
          </c:cat>
          <c:val>
            <c:numRef>
              <c:f>'Zdrojové údaje'!$D$25:$D$35</c:f>
              <c:numCache>
                <c:formatCode>0.00</c:formatCode>
                <c:ptCount val="11"/>
                <c:pt idx="0" formatCode="General">
                  <c:v>411.06</c:v>
                </c:pt>
                <c:pt idx="1">
                  <c:v>392.64</c:v>
                </c:pt>
                <c:pt idx="2">
                  <c:v>265.83</c:v>
                </c:pt>
                <c:pt idx="3">
                  <c:v>246.33</c:v>
                </c:pt>
                <c:pt idx="4">
                  <c:v>448.9</c:v>
                </c:pt>
                <c:pt idx="5" formatCode="General">
                  <c:v>190.11</c:v>
                </c:pt>
                <c:pt idx="6">
                  <c:v>521.67999999999995</c:v>
                </c:pt>
                <c:pt idx="7" formatCode="General">
                  <c:v>131.58000000000001</c:v>
                </c:pt>
                <c:pt idx="8">
                  <c:v>2.9</c:v>
                </c:pt>
                <c:pt idx="9">
                  <c:v>19</c:v>
                </c:pt>
                <c:pt idx="10" formatCode="General">
                  <c:v>231.73</c:v>
                </c:pt>
              </c:numCache>
            </c:numRef>
          </c:val>
        </c:ser>
        <c:ser>
          <c:idx val="0"/>
          <c:order val="2"/>
          <c:tx>
            <c:strRef>
              <c:f>'Zdrojové údaje'!$E$24</c:f>
              <c:strCache>
                <c:ptCount val="1"/>
                <c:pt idx="0">
                  <c:v>k 31.12.2016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2486992715920915E-2"/>
                  <c:y val="0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099409448818898E-2"/>
                  <c:y val="-1.691215395115779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7121054457162681E-3"/>
                  <c:y val="0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9372181755116202E-3"/>
                  <c:y val="3.8738767136922955E-17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099518810148732E-2"/>
                  <c:y val="-2.116661950025803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3246618106139446E-3"/>
                  <c:y val="0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3.0470874471795046E-2"/>
                  <c:y val="1.68945740999411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1099549080818592E-2"/>
                  <c:y val="0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0"/>
                  <c:y val="2.2206193691437425E-5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6.9296377602216432E-3"/>
                  <c:y val="7.3464099430319304E-6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9.7666724014675837E-3"/>
                  <c:y val="0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'Zdrojové údaje'!$B$25:$B$35</c:f>
              <c:strCache>
                <c:ptCount val="11"/>
                <c:pt idx="0">
                  <c:v>starobný dôchodok + starobný pomerný dôchodok</c:v>
                </c:pt>
                <c:pt idx="1">
                  <c:v>predčasný starobný dôchodok</c:v>
                </c:pt>
                <c:pt idx="2">
                  <c:v>invalidný dôchodok + čiastočný invalidný dôchodok + dôchodok za výsluhu rokov</c:v>
                </c:pt>
                <c:pt idx="3">
                  <c:v>vdovský dôchodok</c:v>
                </c:pt>
                <c:pt idx="4">
                  <c:v>vdovský dôchodok vyplácaný v súbehu s iným dôchodkom</c:v>
                </c:pt>
                <c:pt idx="5">
                  <c:v>vdovecký dôchodok</c:v>
                </c:pt>
                <c:pt idx="6">
                  <c:v>vdovecký dôchodok vyplácaný v súbehu s iným dôchodkom</c:v>
                </c:pt>
                <c:pt idx="7">
                  <c:v>sirotský dôchodok</c:v>
                </c:pt>
                <c:pt idx="8">
                  <c:v>iný</c:v>
                </c:pt>
                <c:pt idx="9">
                  <c:v>dôchodok manželky</c:v>
                </c:pt>
                <c:pt idx="10">
                  <c:v>sociálny dôchodok</c:v>
                </c:pt>
              </c:strCache>
            </c:strRef>
          </c:cat>
          <c:val>
            <c:numRef>
              <c:f>'Zdrojové údaje'!$E$25:$E$35</c:f>
              <c:numCache>
                <c:formatCode>0.00</c:formatCode>
                <c:ptCount val="11"/>
                <c:pt idx="0" formatCode="General">
                  <c:v>417.46</c:v>
                </c:pt>
                <c:pt idx="1">
                  <c:v>388.8</c:v>
                </c:pt>
                <c:pt idx="2">
                  <c:v>263.27</c:v>
                </c:pt>
                <c:pt idx="3">
                  <c:v>245.31</c:v>
                </c:pt>
                <c:pt idx="4">
                  <c:v>454.17</c:v>
                </c:pt>
                <c:pt idx="5" formatCode="General">
                  <c:v>190.15</c:v>
                </c:pt>
                <c:pt idx="6">
                  <c:v>528.55999999999995</c:v>
                </c:pt>
                <c:pt idx="7" formatCode="General">
                  <c:v>129.72</c:v>
                </c:pt>
                <c:pt idx="8">
                  <c:v>2.9</c:v>
                </c:pt>
                <c:pt idx="9">
                  <c:v>19</c:v>
                </c:pt>
                <c:pt idx="10" formatCode="General">
                  <c:v>233.59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5434624"/>
        <c:axId val="95436160"/>
      </c:barChart>
      <c:catAx>
        <c:axId val="95434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/>
            </a:pPr>
            <a:endParaRPr lang="sk-SK"/>
          </a:p>
        </c:txPr>
        <c:crossAx val="95436160"/>
        <c:crosses val="autoZero"/>
        <c:auto val="1"/>
        <c:lblAlgn val="ctr"/>
        <c:lblOffset val="100"/>
        <c:noMultiLvlLbl val="0"/>
      </c:catAx>
      <c:valAx>
        <c:axId val="954361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sk-SK"/>
          </a:p>
        </c:txPr>
        <c:crossAx val="95434624"/>
        <c:crosses val="autoZero"/>
        <c:crossBetween val="between"/>
      </c:valAx>
      <c:spPr>
        <a:noFill/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28261856276586117"/>
          <c:y val="0.94071678943357884"/>
          <c:w val="0.30392903180966396"/>
          <c:h val="3.4138935592881753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 panose="02020603050405020304" pitchFamily="18" charset="0"/>
          <a:ea typeface="Arial"/>
          <a:cs typeface="Arial"/>
        </a:defRPr>
      </a:pPr>
      <a:endParaRPr lang="sk-S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WKX3UHSAJ2R6-2-779266</_dlc_DocId>
    <_dlc_DocIdUrl xmlns="e60a29af-d413-48d4-bd90-fe9d2a897e4b">
      <Url>https://ovdmasv601/sites/DMS/_layouts/15/DocIdRedir.aspx?ID=WKX3UHSAJ2R6-2-779266</Url>
      <Description>WKX3UHSAJ2R6-2-779266</Description>
    </_dlc_DocIdUrl>
  </documentManagement>
</p:properties>
</file>

<file path=customXml/itemProps1.xml><?xml version="1.0" encoding="utf-8"?>
<ds:datastoreItem xmlns:ds="http://schemas.openxmlformats.org/officeDocument/2006/customXml" ds:itemID="{3C510B90-882B-418C-ACBF-2A0FABDEBFFD}"/>
</file>

<file path=customXml/itemProps2.xml><?xml version="1.0" encoding="utf-8"?>
<ds:datastoreItem xmlns:ds="http://schemas.openxmlformats.org/officeDocument/2006/customXml" ds:itemID="{47CF3060-C7C5-495C-AF88-DEBE1D87C7B7}"/>
</file>

<file path=customXml/itemProps3.xml><?xml version="1.0" encoding="utf-8"?>
<ds:datastoreItem xmlns:ds="http://schemas.openxmlformats.org/officeDocument/2006/customXml" ds:itemID="{D22A785D-D0DF-4CDF-BF34-61D4A0DE846B}"/>
</file>

<file path=customXml/itemProps4.xml><?xml version="1.0" encoding="utf-8"?>
<ds:datastoreItem xmlns:ds="http://schemas.openxmlformats.org/officeDocument/2006/customXml" ds:itemID="{A6C323A7-9D79-4215-8752-088D9AF9E9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>Sociálna poisťovňa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2</cp:revision>
  <cp:lastPrinted>2017-03-15T11:36:00Z</cp:lastPrinted>
  <dcterms:created xsi:type="dcterms:W3CDTF">2017-03-15T11:17:00Z</dcterms:created>
  <dcterms:modified xsi:type="dcterms:W3CDTF">2017-03-15T11:37:00Z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061a3008-ade5-40e7-bd59-65168ceeb0ac</vt:lpwstr>
  </property>
</Properties>
</file>