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0F82" w:rsidRDefault="000C0F82" w:rsidP="000C0F82">
      <w:pPr>
        <w:pStyle w:val="Normlnywebov"/>
        <w:spacing w:before="0" w:beforeAutospacing="0" w:after="0" w:afterAutospacing="0"/>
        <w:ind w:right="-108"/>
        <w:jc w:val="center"/>
      </w:pPr>
      <w:r>
        <w:rPr>
          <w:b/>
          <w:bCs/>
          <w:sz w:val="28"/>
          <w:szCs w:val="28"/>
        </w:rPr>
        <w:t>Doložka vybraných vplyvov</w:t>
      </w:r>
    </w:p>
    <w:p w:rsidR="000C0F82" w:rsidRDefault="000C0F82" w:rsidP="000C0F82">
      <w:pPr>
        <w:pStyle w:val="Normlnywebov"/>
        <w:spacing w:before="0" w:beforeAutospacing="0" w:after="0" w:afterAutospacing="0"/>
        <w:ind w:right="-108"/>
        <w:jc w:val="center"/>
      </w:pPr>
      <w:r>
        <w:rPr>
          <w:b/>
          <w:bCs/>
          <w:sz w:val="28"/>
          <w:szCs w:val="28"/>
        </w:rPr>
        <w:t> </w:t>
      </w:r>
    </w:p>
    <w:p w:rsidR="000C0F82" w:rsidRDefault="000C0F82" w:rsidP="000C0F82">
      <w:pPr>
        <w:pStyle w:val="Normlnywebov"/>
        <w:spacing w:before="0" w:beforeAutospacing="0" w:after="0" w:afterAutospacing="0"/>
      </w:pPr>
      <w:r>
        <w:rPr>
          <w:b/>
          <w:bCs/>
        </w:rPr>
        <w:t> </w:t>
      </w:r>
    </w:p>
    <w:p w:rsidR="000C0F82" w:rsidRDefault="000C0F82" w:rsidP="000C0F82">
      <w:pPr>
        <w:pStyle w:val="Normlnywebov"/>
        <w:spacing w:before="0" w:beforeAutospacing="0" w:after="0" w:afterAutospacing="0"/>
      </w:pPr>
      <w:r>
        <w:rPr>
          <w:b/>
          <w:bCs/>
        </w:rPr>
        <w:t> </w:t>
      </w:r>
    </w:p>
    <w:p w:rsidR="000C0F82" w:rsidRDefault="000C0F82" w:rsidP="000C0F82">
      <w:pPr>
        <w:ind w:left="2520" w:hanging="2520"/>
        <w:jc w:val="both"/>
      </w:pPr>
      <w:r>
        <w:rPr>
          <w:b/>
          <w:bCs/>
        </w:rPr>
        <w:t>A.1. Názov materiálu:</w:t>
      </w:r>
      <w:r>
        <w:rPr>
          <w:b/>
          <w:bCs/>
        </w:rPr>
        <w:tab/>
      </w:r>
      <w:r>
        <w:t>Návrh zákona o ukončení a spôsobe usporiadania niektorých nájomných vzťahov k bytom a o zmene a doplnení zákona Národnej rady Slovenskej republiky č. 18/1996 Z. z. o cenách v znení neskorších predpisov</w:t>
      </w:r>
    </w:p>
    <w:p w:rsidR="000C0F82" w:rsidRDefault="000C0F82" w:rsidP="000C0F82">
      <w:pPr>
        <w:pStyle w:val="Normlnywebov"/>
        <w:spacing w:before="0" w:beforeAutospacing="0" w:after="0" w:afterAutospacing="0"/>
      </w:pPr>
    </w:p>
    <w:p w:rsidR="000C0F82" w:rsidRDefault="000C0F82" w:rsidP="000C0F82">
      <w:pPr>
        <w:pStyle w:val="Normlnywebov"/>
        <w:spacing w:before="0" w:beforeAutospacing="0" w:after="0" w:afterAutospacing="0"/>
      </w:pPr>
      <w:r>
        <w:rPr>
          <w:b/>
          <w:bCs/>
        </w:rPr>
        <w:t xml:space="preserve">          Termín začatia a ukončenia PPK:   </w:t>
      </w:r>
      <w:r>
        <w:rPr>
          <w:bCs/>
        </w:rPr>
        <w:t xml:space="preserve">3. 9. 2010-30. 9. 2010 </w:t>
      </w:r>
      <w:r>
        <w:rPr>
          <w:b/>
          <w:bCs/>
        </w:rPr>
        <w:t>   </w:t>
      </w:r>
    </w:p>
    <w:p w:rsidR="000C0F82" w:rsidRDefault="000C0F82" w:rsidP="000C0F82">
      <w:pPr>
        <w:pStyle w:val="Normlnywebov"/>
        <w:spacing w:before="0" w:beforeAutospacing="0" w:after="0" w:afterAutospacing="0"/>
      </w:pPr>
      <w:r>
        <w:rPr>
          <w:b/>
          <w:bCs/>
        </w:rPr>
        <w:t> </w:t>
      </w:r>
    </w:p>
    <w:p w:rsidR="000C0F82" w:rsidRDefault="000C0F82" w:rsidP="000C0F82">
      <w:pPr>
        <w:pStyle w:val="Normlnywebov"/>
        <w:spacing w:before="0" w:beforeAutospacing="0" w:after="0" w:afterAutospacing="0"/>
      </w:pPr>
      <w:r>
        <w:rPr>
          <w:b/>
          <w:bCs/>
        </w:rPr>
        <w:t> </w:t>
      </w:r>
    </w:p>
    <w:p w:rsidR="000C0F82" w:rsidRDefault="000C0F82" w:rsidP="000C0F82">
      <w:pPr>
        <w:pStyle w:val="Normlnywebov"/>
        <w:spacing w:before="0" w:beforeAutospacing="0" w:after="0" w:afterAutospacing="0"/>
      </w:pPr>
      <w:r>
        <w:rPr>
          <w:b/>
          <w:bCs/>
        </w:rPr>
        <w:t>A.2. Vplyvy:</w:t>
      </w:r>
    </w:p>
    <w:p w:rsidR="000C0F82" w:rsidRDefault="000C0F82" w:rsidP="000C0F82">
      <w:pPr>
        <w:pStyle w:val="Normlnywebov"/>
        <w:spacing w:before="0" w:beforeAutospacing="0" w:after="0" w:afterAutospacing="0"/>
      </w:pPr>
      <w:r>
        <w:t> </w:t>
      </w:r>
    </w:p>
    <w:tbl>
      <w:tblPr>
        <w:tblW w:w="7564" w:type="dxa"/>
        <w:tblCellMar>
          <w:left w:w="0" w:type="dxa"/>
          <w:right w:w="0" w:type="dxa"/>
        </w:tblCellMar>
        <w:tblLook w:val="04A0"/>
      </w:tblPr>
      <w:tblGrid>
        <w:gridCol w:w="3726"/>
        <w:gridCol w:w="1242"/>
        <w:gridCol w:w="1260"/>
        <w:gridCol w:w="1336"/>
      </w:tblGrid>
      <w:tr w:rsidR="000C0F82" w:rsidTr="000C0F82">
        <w:tc>
          <w:tcPr>
            <w:tcW w:w="3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:rsidR="000C0F82" w:rsidRDefault="000C0F82">
            <w:pPr>
              <w:pStyle w:val="Normlnywebov"/>
              <w:spacing w:before="0" w:beforeAutospacing="0" w:after="0" w:afterAutospacing="0" w:line="276" w:lineRule="auto"/>
            </w:pPr>
            <w:r>
              <w:t> 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:rsidR="000C0F82" w:rsidRDefault="000C0F82">
            <w:pPr>
              <w:pStyle w:val="Normlnywebov"/>
              <w:spacing w:before="0" w:beforeAutospacing="0" w:after="0" w:afterAutospacing="0" w:line="276" w:lineRule="auto"/>
              <w:jc w:val="center"/>
            </w:pPr>
            <w:r>
              <w:t>Pozitívne</w:t>
            </w:r>
            <w:r>
              <w:rPr>
                <w:sz w:val="16"/>
                <w:szCs w:val="16"/>
                <w:vertAlign w:val="superscript"/>
              </w:rPr>
              <w:t>*</w:t>
            </w:r>
            <w:r>
              <w:t xml:space="preserve">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:rsidR="000C0F82" w:rsidRDefault="000C0F82">
            <w:pPr>
              <w:pStyle w:val="Normlnywebov"/>
              <w:spacing w:before="0" w:beforeAutospacing="0" w:after="0" w:afterAutospacing="0" w:line="276" w:lineRule="auto"/>
              <w:jc w:val="center"/>
            </w:pPr>
            <w:r>
              <w:t>Žiadne</w:t>
            </w:r>
            <w:r>
              <w:rPr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:rsidR="000C0F82" w:rsidRDefault="000C0F82">
            <w:pPr>
              <w:pStyle w:val="Normlnywebov"/>
              <w:spacing w:before="0" w:beforeAutospacing="0" w:after="0" w:afterAutospacing="0" w:line="276" w:lineRule="auto"/>
              <w:jc w:val="center"/>
            </w:pPr>
            <w:r>
              <w:t>Negatívne</w:t>
            </w:r>
            <w:r>
              <w:rPr>
                <w:sz w:val="16"/>
                <w:szCs w:val="16"/>
                <w:vertAlign w:val="superscript"/>
              </w:rPr>
              <w:t>*</w:t>
            </w:r>
          </w:p>
        </w:tc>
      </w:tr>
      <w:tr w:rsidR="000C0F82" w:rsidTr="000C0F82">
        <w:tc>
          <w:tcPr>
            <w:tcW w:w="3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:rsidR="000C0F82" w:rsidRDefault="000C0F82">
            <w:pPr>
              <w:pStyle w:val="Normlnywebov"/>
              <w:spacing w:before="0" w:beforeAutospacing="0" w:after="0" w:afterAutospacing="0" w:line="276" w:lineRule="auto"/>
              <w:rPr>
                <w:lang w:eastAsia="cs-CZ"/>
              </w:rPr>
            </w:pPr>
            <w:r>
              <w:rPr>
                <w:sz w:val="22"/>
                <w:szCs w:val="22"/>
              </w:rPr>
              <w:t>1. Vplyvy na rozpočet verejnej správy</w:t>
            </w:r>
          </w:p>
          <w:p w:rsidR="000C0F82" w:rsidRDefault="000C0F82">
            <w:pPr>
              <w:pStyle w:val="Normlnywebov"/>
              <w:spacing w:before="0" w:beforeAutospacing="0" w:after="0" w:afterAutospacing="0" w:line="276" w:lineRule="auto"/>
            </w:pPr>
            <w:r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:rsidR="000C0F82" w:rsidRDefault="000C0F82">
            <w:pPr>
              <w:pStyle w:val="Normlnywebov"/>
              <w:spacing w:before="0" w:beforeAutospacing="0" w:after="0" w:afterAutospacing="0" w:line="276" w:lineRule="auto"/>
              <w:jc w:val="center"/>
            </w:pPr>
            <w:r>
              <w:t> 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:rsidR="000C0F82" w:rsidRDefault="000C0F82">
            <w:pPr>
              <w:pStyle w:val="Normlnywebov"/>
              <w:spacing w:before="0" w:beforeAutospacing="0" w:after="0" w:afterAutospacing="0" w:line="276" w:lineRule="auto"/>
              <w:jc w:val="center"/>
            </w:pPr>
            <w:r>
              <w:t>X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:rsidR="000C0F82" w:rsidRDefault="000C0F82">
            <w:pPr>
              <w:pStyle w:val="Normlnywebov"/>
              <w:spacing w:before="0" w:beforeAutospacing="0" w:after="0" w:afterAutospacing="0" w:line="276" w:lineRule="auto"/>
              <w:jc w:val="center"/>
            </w:pPr>
            <w:r>
              <w:t> </w:t>
            </w:r>
          </w:p>
        </w:tc>
      </w:tr>
      <w:tr w:rsidR="000C0F82" w:rsidTr="000C0F82">
        <w:tc>
          <w:tcPr>
            <w:tcW w:w="3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:rsidR="000C0F82" w:rsidRDefault="000C0F82">
            <w:pPr>
              <w:pStyle w:val="Normlnywebov"/>
              <w:spacing w:before="0" w:beforeAutospacing="0" w:after="0" w:afterAutospacing="0" w:line="276" w:lineRule="auto"/>
            </w:pPr>
            <w:r>
              <w:rPr>
                <w:sz w:val="22"/>
                <w:szCs w:val="22"/>
              </w:rPr>
              <w:t>2. Vplyvy na podnikateľské prostredie – dochádza k zvýšeniu regulačného zaťaženia?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:rsidR="000C0F82" w:rsidRDefault="000C0F82">
            <w:pPr>
              <w:pStyle w:val="Normlnywebov"/>
              <w:spacing w:before="0" w:beforeAutospacing="0" w:after="0" w:afterAutospacing="0" w:line="276" w:lineRule="auto"/>
              <w:jc w:val="center"/>
            </w:pPr>
            <w:r>
              <w:t> 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:rsidR="000C0F82" w:rsidRDefault="000C0F82">
            <w:pPr>
              <w:pStyle w:val="Normlnywebov"/>
              <w:spacing w:before="0" w:beforeAutospacing="0" w:after="0" w:afterAutospacing="0" w:line="276" w:lineRule="auto"/>
              <w:jc w:val="center"/>
              <w:rPr>
                <w:lang w:eastAsia="cs-CZ"/>
              </w:rPr>
            </w:pPr>
          </w:p>
          <w:p w:rsidR="000C0F82" w:rsidRDefault="000C0F82">
            <w:pPr>
              <w:pStyle w:val="Normlnywebov"/>
              <w:spacing w:before="0" w:beforeAutospacing="0" w:after="0" w:afterAutospacing="0" w:line="276" w:lineRule="auto"/>
              <w:jc w:val="center"/>
            </w:pPr>
            <w:r>
              <w:t>X 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:rsidR="000C0F82" w:rsidRDefault="000C0F82">
            <w:pPr>
              <w:pStyle w:val="Normlnywebov"/>
              <w:spacing w:before="0" w:beforeAutospacing="0" w:after="0" w:afterAutospacing="0" w:line="276" w:lineRule="auto"/>
              <w:jc w:val="center"/>
            </w:pPr>
            <w:r>
              <w:t> </w:t>
            </w:r>
          </w:p>
        </w:tc>
      </w:tr>
      <w:tr w:rsidR="000C0F82" w:rsidTr="000C0F82">
        <w:tc>
          <w:tcPr>
            <w:tcW w:w="3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:rsidR="000C0F82" w:rsidRDefault="000C0F82">
            <w:pPr>
              <w:pStyle w:val="Normlnywebov"/>
              <w:spacing w:before="0" w:beforeAutospacing="0" w:after="0" w:afterAutospacing="0" w:line="276" w:lineRule="auto"/>
              <w:rPr>
                <w:lang w:eastAsia="cs-CZ"/>
              </w:rPr>
            </w:pPr>
            <w:r>
              <w:rPr>
                <w:sz w:val="22"/>
                <w:szCs w:val="22"/>
              </w:rPr>
              <w:t xml:space="preserve">3, Sociálne vplyvy </w:t>
            </w:r>
          </w:p>
          <w:p w:rsidR="000C0F82" w:rsidRDefault="000C0F82">
            <w:pPr>
              <w:pStyle w:val="Normlnywebov"/>
              <w:spacing w:before="0" w:beforeAutospacing="0" w:after="0" w:afterAutospacing="0" w:line="276" w:lineRule="auto"/>
            </w:pPr>
            <w:r>
              <w:rPr>
                <w:sz w:val="22"/>
                <w:szCs w:val="22"/>
              </w:rPr>
              <w:t>– vplyvy  na hospodárenie obyvateľstva,</w:t>
            </w:r>
          </w:p>
          <w:p w:rsidR="000C0F82" w:rsidRDefault="000C0F82">
            <w:pPr>
              <w:pStyle w:val="Normlnywebov"/>
              <w:spacing w:before="0" w:beforeAutospacing="0" w:after="0" w:afterAutospacing="0" w:line="276" w:lineRule="auto"/>
            </w:pPr>
            <w:r>
              <w:rPr>
                <w:sz w:val="22"/>
                <w:szCs w:val="22"/>
              </w:rPr>
              <w:t xml:space="preserve">-sociálnu </w:t>
            </w:r>
            <w:proofErr w:type="spellStart"/>
            <w:r>
              <w:rPr>
                <w:sz w:val="22"/>
                <w:szCs w:val="22"/>
              </w:rPr>
              <w:t>exklúziu</w:t>
            </w:r>
            <w:proofErr w:type="spellEnd"/>
            <w:r>
              <w:rPr>
                <w:sz w:val="22"/>
                <w:szCs w:val="22"/>
              </w:rPr>
              <w:t xml:space="preserve">,                                        </w:t>
            </w:r>
          </w:p>
          <w:p w:rsidR="000C0F82" w:rsidRDefault="000C0F82">
            <w:pPr>
              <w:pStyle w:val="Normlnywebov"/>
              <w:spacing w:before="0" w:beforeAutospacing="0" w:after="0" w:afterAutospacing="0" w:line="276" w:lineRule="auto"/>
            </w:pPr>
            <w:r>
              <w:rPr>
                <w:sz w:val="22"/>
                <w:szCs w:val="22"/>
              </w:rPr>
              <w:t>- rovnosť príležitostí a rodovú rovnosť a vplyvy na zamestnanosť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:rsidR="000C0F82" w:rsidRDefault="000C0F82">
            <w:pPr>
              <w:pStyle w:val="Normlnywebov"/>
              <w:spacing w:before="0" w:beforeAutospacing="0" w:after="0" w:afterAutospacing="0" w:line="276" w:lineRule="auto"/>
              <w:jc w:val="center"/>
            </w:pPr>
            <w:r>
              <w:t> 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:rsidR="000C0F82" w:rsidRDefault="000C0F82">
            <w:pPr>
              <w:pStyle w:val="Normlnywebov"/>
              <w:spacing w:before="0" w:beforeAutospacing="0" w:after="0" w:afterAutospacing="0" w:line="276" w:lineRule="auto"/>
              <w:jc w:val="center"/>
              <w:rPr>
                <w:lang w:eastAsia="cs-CZ"/>
              </w:rPr>
            </w:pPr>
          </w:p>
          <w:p w:rsidR="000C0F82" w:rsidRDefault="000C0F82">
            <w:pPr>
              <w:pStyle w:val="Normlnywebov"/>
              <w:spacing w:before="0" w:beforeAutospacing="0" w:after="0" w:afterAutospacing="0" w:line="276" w:lineRule="auto"/>
              <w:jc w:val="center"/>
            </w:pPr>
            <w:r>
              <w:t>X</w:t>
            </w:r>
          </w:p>
          <w:p w:rsidR="000C0F82" w:rsidRDefault="000C0F82">
            <w:pPr>
              <w:pStyle w:val="Normlnywebov"/>
              <w:spacing w:before="0" w:beforeAutospacing="0" w:after="0" w:afterAutospacing="0" w:line="276" w:lineRule="auto"/>
              <w:jc w:val="center"/>
            </w:pPr>
          </w:p>
          <w:p w:rsidR="000C0F82" w:rsidRDefault="000C0F82">
            <w:pPr>
              <w:pStyle w:val="Normlnywebov"/>
              <w:spacing w:before="0" w:beforeAutospacing="0" w:after="0" w:afterAutospacing="0" w:line="276" w:lineRule="auto"/>
              <w:jc w:val="center"/>
            </w:pPr>
            <w:r>
              <w:t>X</w:t>
            </w:r>
          </w:p>
          <w:p w:rsidR="000C0F82" w:rsidRDefault="000C0F82">
            <w:pPr>
              <w:pStyle w:val="Normlnywebov"/>
              <w:spacing w:before="0" w:beforeAutospacing="0" w:after="0" w:afterAutospacing="0" w:line="276" w:lineRule="auto"/>
              <w:jc w:val="center"/>
            </w:pPr>
            <w:r>
              <w:t>X</w:t>
            </w:r>
          </w:p>
          <w:p w:rsidR="000C0F82" w:rsidRDefault="000C0F82">
            <w:pPr>
              <w:pStyle w:val="Normlnywebov"/>
              <w:spacing w:before="0" w:beforeAutospacing="0" w:after="0" w:afterAutospacing="0" w:line="276" w:lineRule="auto"/>
              <w:jc w:val="center"/>
            </w:pPr>
            <w:r>
              <w:t> 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:rsidR="000C0F82" w:rsidRDefault="000C0F82">
            <w:pPr>
              <w:pStyle w:val="Normlnywebov"/>
              <w:spacing w:before="0" w:beforeAutospacing="0" w:after="0" w:afterAutospacing="0" w:line="276" w:lineRule="auto"/>
              <w:jc w:val="center"/>
            </w:pPr>
            <w:r>
              <w:t> </w:t>
            </w:r>
          </w:p>
        </w:tc>
      </w:tr>
      <w:tr w:rsidR="000C0F82" w:rsidTr="000C0F82">
        <w:tc>
          <w:tcPr>
            <w:tcW w:w="3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:rsidR="000C0F82" w:rsidRDefault="000C0F82">
            <w:pPr>
              <w:pStyle w:val="Normlnywebov"/>
              <w:spacing w:before="0" w:beforeAutospacing="0" w:after="0" w:afterAutospacing="0" w:line="276" w:lineRule="auto"/>
            </w:pPr>
            <w:r>
              <w:rPr>
                <w:sz w:val="22"/>
                <w:szCs w:val="22"/>
              </w:rPr>
              <w:t>4. Vplyvy na životné prostredie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:rsidR="000C0F82" w:rsidRDefault="000C0F82">
            <w:pPr>
              <w:pStyle w:val="Normlnywebov"/>
              <w:spacing w:before="0" w:beforeAutospacing="0" w:after="0" w:afterAutospacing="0" w:line="276" w:lineRule="auto"/>
              <w:jc w:val="center"/>
            </w:pPr>
            <w:r>
              <w:t> 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:rsidR="000C0F82" w:rsidRDefault="000C0F82">
            <w:pPr>
              <w:pStyle w:val="Normlnywebov"/>
              <w:spacing w:before="0" w:beforeAutospacing="0" w:after="0" w:afterAutospacing="0" w:line="276" w:lineRule="auto"/>
              <w:jc w:val="center"/>
            </w:pPr>
            <w:r>
              <w:t> X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:rsidR="000C0F82" w:rsidRDefault="000C0F82">
            <w:pPr>
              <w:pStyle w:val="Normlnywebov"/>
              <w:spacing w:before="0" w:beforeAutospacing="0" w:after="0" w:afterAutospacing="0" w:line="276" w:lineRule="auto"/>
              <w:jc w:val="center"/>
            </w:pPr>
            <w:r>
              <w:t> </w:t>
            </w:r>
          </w:p>
        </w:tc>
      </w:tr>
      <w:tr w:rsidR="000C0F82" w:rsidTr="000C0F82">
        <w:tc>
          <w:tcPr>
            <w:tcW w:w="3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:rsidR="000C0F82" w:rsidRDefault="000C0F82">
            <w:pPr>
              <w:pStyle w:val="Normlnywebov"/>
              <w:spacing w:before="0" w:beforeAutospacing="0" w:after="0" w:afterAutospacing="0" w:line="276" w:lineRule="auto"/>
            </w:pPr>
            <w:r>
              <w:rPr>
                <w:sz w:val="22"/>
                <w:szCs w:val="22"/>
              </w:rPr>
              <w:t>5. Vplyvy na informatizáciu spoločnosti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:rsidR="000C0F82" w:rsidRDefault="000C0F82">
            <w:pPr>
              <w:pStyle w:val="Normlnywebov"/>
              <w:spacing w:before="0" w:beforeAutospacing="0" w:after="0" w:afterAutospacing="0" w:line="276" w:lineRule="auto"/>
              <w:jc w:val="center"/>
            </w:pPr>
            <w:r>
              <w:t> 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:rsidR="000C0F82" w:rsidRDefault="000C0F82">
            <w:pPr>
              <w:pStyle w:val="Normlnywebov"/>
              <w:spacing w:before="0" w:beforeAutospacing="0" w:after="0" w:afterAutospacing="0" w:line="276" w:lineRule="auto"/>
              <w:jc w:val="center"/>
            </w:pPr>
            <w:r>
              <w:t> X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:rsidR="000C0F82" w:rsidRDefault="000C0F82">
            <w:pPr>
              <w:pStyle w:val="Normlnywebov"/>
              <w:spacing w:before="0" w:beforeAutospacing="0" w:after="0" w:afterAutospacing="0" w:line="276" w:lineRule="auto"/>
              <w:jc w:val="center"/>
            </w:pPr>
            <w:r>
              <w:t> </w:t>
            </w:r>
          </w:p>
        </w:tc>
      </w:tr>
    </w:tbl>
    <w:p w:rsidR="000C0F82" w:rsidRDefault="000C0F82" w:rsidP="000C0F82">
      <w:pPr>
        <w:pStyle w:val="Normlnywebov"/>
        <w:spacing w:before="0" w:beforeAutospacing="0" w:after="0" w:afterAutospacing="0"/>
        <w:jc w:val="both"/>
        <w:rPr>
          <w:b/>
          <w:bCs/>
          <w:sz w:val="16"/>
          <w:szCs w:val="16"/>
          <w:lang w:eastAsia="cs-CZ"/>
        </w:rPr>
      </w:pPr>
    </w:p>
    <w:p w:rsidR="000C0F82" w:rsidRDefault="000C0F82" w:rsidP="000C0F82">
      <w:pPr>
        <w:pStyle w:val="Normlnywebov"/>
        <w:spacing w:before="0" w:beforeAutospacing="0" w:after="0" w:afterAutospacing="0"/>
        <w:jc w:val="both"/>
        <w:rPr>
          <w:b/>
          <w:bCs/>
        </w:rPr>
      </w:pPr>
    </w:p>
    <w:p w:rsidR="000C0F82" w:rsidRDefault="000C0F82" w:rsidP="000C0F82">
      <w:pPr>
        <w:pStyle w:val="Normlnywebov"/>
        <w:spacing w:before="0" w:beforeAutospacing="0" w:after="0" w:afterAutospacing="0"/>
        <w:jc w:val="both"/>
      </w:pPr>
      <w:r>
        <w:rPr>
          <w:b/>
          <w:bCs/>
        </w:rPr>
        <w:t> </w:t>
      </w:r>
    </w:p>
    <w:p w:rsidR="000C0F82" w:rsidRDefault="000C0F82" w:rsidP="000C0F82">
      <w:pPr>
        <w:pStyle w:val="Normlnywebov"/>
        <w:spacing w:before="0" w:beforeAutospacing="0" w:after="0" w:afterAutospacing="0"/>
        <w:jc w:val="both"/>
      </w:pPr>
      <w:r>
        <w:rPr>
          <w:b/>
          <w:bCs/>
        </w:rPr>
        <w:t>A.3. Poznámky</w:t>
      </w:r>
    </w:p>
    <w:p w:rsidR="000C0F82" w:rsidRDefault="000C0F82" w:rsidP="000C0F82">
      <w:pPr>
        <w:jc w:val="both"/>
        <w:rPr>
          <w:bCs/>
        </w:rPr>
      </w:pPr>
      <w:r>
        <w:rPr>
          <w:bCs/>
        </w:rPr>
        <w:t xml:space="preserve">Návrh zákona nebude mať priamy vplyv na rozpočet verejnej správy. </w:t>
      </w:r>
    </w:p>
    <w:p w:rsidR="000C0F82" w:rsidRDefault="000C0F82" w:rsidP="000C0F82">
      <w:pPr>
        <w:jc w:val="both"/>
      </w:pPr>
      <w:r>
        <w:rPr>
          <w:bCs/>
        </w:rPr>
        <w:t>Na predkladaný návrh zákona bezprostredne vecne i časovo nadväzuje „Návrh zákona o poskytovaní dotácií na obstaranie náhradných nájomných bytov“, kde v Doložke vybraných vplyvov - Vplyvy na rozpočet verejnej správy, na zamestnanosť vo verejnej správe a financovanie návrhu je podrobne špecifikovaný</w:t>
      </w:r>
      <w:r>
        <w:rPr>
          <w:b/>
          <w:bCs/>
          <w:sz w:val="28"/>
          <w:szCs w:val="28"/>
        </w:rPr>
        <w:t xml:space="preserve"> </w:t>
      </w:r>
      <w:r>
        <w:rPr>
          <w:bCs/>
        </w:rPr>
        <w:t>vplyv na rozpočet verejnej správy. Tento materiál bol predložený na PPK dňa 27. 8. 2010.</w:t>
      </w:r>
    </w:p>
    <w:p w:rsidR="000C0F82" w:rsidRDefault="000C0F82" w:rsidP="000C0F82">
      <w:pPr>
        <w:pStyle w:val="Normlnywebov"/>
        <w:spacing w:before="0" w:beforeAutospacing="0" w:after="0" w:afterAutospacing="0"/>
        <w:jc w:val="both"/>
      </w:pPr>
      <w:r>
        <w:t> </w:t>
      </w:r>
    </w:p>
    <w:p w:rsidR="000C0F82" w:rsidRDefault="000C0F82" w:rsidP="000C0F82">
      <w:pPr>
        <w:pStyle w:val="Normlnywebov"/>
        <w:spacing w:before="0" w:beforeAutospacing="0" w:after="0" w:afterAutospacing="0"/>
        <w:jc w:val="both"/>
      </w:pPr>
      <w:r>
        <w:rPr>
          <w:b/>
          <w:bCs/>
        </w:rPr>
        <w:t>A.4. Alternatívne riešenia</w:t>
      </w:r>
    </w:p>
    <w:p w:rsidR="000C0F82" w:rsidRDefault="000C0F82" w:rsidP="000C0F82">
      <w:pPr>
        <w:pStyle w:val="Normlnywebov"/>
        <w:spacing w:before="0" w:beforeAutospacing="0" w:after="0" w:afterAutospacing="0"/>
      </w:pPr>
      <w:r>
        <w:rPr>
          <w:b/>
          <w:bCs/>
        </w:rPr>
        <w:t>A.5. Stanovisko gestorov</w:t>
      </w:r>
    </w:p>
    <w:p w:rsidR="000C0F82" w:rsidRDefault="000C0F82" w:rsidP="00BD06E7">
      <w:pPr>
        <w:jc w:val="center"/>
        <w:rPr>
          <w:b/>
          <w:bCs/>
          <w:sz w:val="28"/>
          <w:szCs w:val="28"/>
        </w:rPr>
      </w:pPr>
    </w:p>
    <w:p w:rsidR="00BD06E7" w:rsidRDefault="00BD06E7" w:rsidP="00BD06E7">
      <w:pPr>
        <w:jc w:val="center"/>
      </w:pPr>
      <w:r>
        <w:rPr>
          <w:b/>
          <w:bCs/>
          <w:sz w:val="28"/>
          <w:szCs w:val="28"/>
        </w:rPr>
        <w:t>Vplyvy na rozpočet verejnej správy,</w:t>
      </w:r>
    </w:p>
    <w:p w:rsidR="00BD06E7" w:rsidRDefault="00BD06E7" w:rsidP="00BD06E7">
      <w:pPr>
        <w:jc w:val="center"/>
      </w:pPr>
      <w:r>
        <w:rPr>
          <w:b/>
          <w:bCs/>
          <w:sz w:val="28"/>
          <w:szCs w:val="28"/>
        </w:rPr>
        <w:t>na zamestnanosť vo verejnej správe a financovanie návrhu</w:t>
      </w:r>
    </w:p>
    <w:p w:rsidR="00BD06E7" w:rsidRDefault="00BD06E7" w:rsidP="00BD06E7">
      <w:r>
        <w:t> </w:t>
      </w:r>
    </w:p>
    <w:p w:rsidR="00BD06E7" w:rsidRDefault="00BD06E7" w:rsidP="00BD06E7">
      <w:r>
        <w:rPr>
          <w:b/>
          <w:bCs/>
        </w:rPr>
        <w:t>2.1. Zhrnutie vplyvov na rozpočet verejnej správy v návrhu</w:t>
      </w:r>
    </w:p>
    <w:p w:rsidR="00BD06E7" w:rsidRDefault="00BD06E7" w:rsidP="00BD06E7">
      <w:pPr>
        <w:jc w:val="right"/>
      </w:pPr>
      <w:r>
        <w:rPr>
          <w:sz w:val="20"/>
          <w:szCs w:val="20"/>
        </w:rPr>
        <w:t xml:space="preserve">Tabuľka č. 1 </w:t>
      </w:r>
    </w:p>
    <w:tbl>
      <w:tblPr>
        <w:tblW w:w="9729" w:type="dxa"/>
        <w:tblCellMar>
          <w:left w:w="0" w:type="dxa"/>
          <w:right w:w="0" w:type="dxa"/>
        </w:tblCellMar>
        <w:tblLook w:val="04A0"/>
      </w:tblPr>
      <w:tblGrid>
        <w:gridCol w:w="4661"/>
        <w:gridCol w:w="1267"/>
        <w:gridCol w:w="1267"/>
        <w:gridCol w:w="1267"/>
        <w:gridCol w:w="1267"/>
      </w:tblGrid>
      <w:tr w:rsidR="00BD06E7" w:rsidTr="00BD06E7">
        <w:trPr>
          <w:trHeight w:val="194"/>
        </w:trPr>
        <w:tc>
          <w:tcPr>
            <w:tcW w:w="46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BD06E7" w:rsidRDefault="00BD06E7">
            <w:pPr>
              <w:spacing w:line="194" w:lineRule="atLeast"/>
              <w:jc w:val="center"/>
            </w:pPr>
            <w:bookmarkStart w:id="0" w:name="OLE_LINK1"/>
            <w:bookmarkEnd w:id="0"/>
            <w:r>
              <w:rPr>
                <w:b/>
                <w:bCs/>
                <w:color w:val="FFFFFF"/>
              </w:rPr>
              <w:t xml:space="preserve">Vplyvy na </w:t>
            </w:r>
            <w:r>
              <w:rPr>
                <w:b/>
                <w:bCs/>
              </w:rPr>
              <w:t>rozpočet verejnej správy</w:t>
            </w:r>
          </w:p>
        </w:tc>
        <w:tc>
          <w:tcPr>
            <w:tcW w:w="0" w:type="auto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BD06E7" w:rsidRDefault="00BD06E7">
            <w:pPr>
              <w:spacing w:line="194" w:lineRule="atLeast"/>
              <w:jc w:val="center"/>
            </w:pPr>
            <w:r>
              <w:rPr>
                <w:b/>
                <w:bCs/>
                <w:color w:val="FFFFFF"/>
              </w:rPr>
              <w:t xml:space="preserve">Vplyv na rozpočet verejnej správy </w:t>
            </w:r>
            <w:r>
              <w:rPr>
                <w:b/>
                <w:bCs/>
              </w:rPr>
              <w:t>(v eurách)</w:t>
            </w:r>
          </w:p>
        </w:tc>
      </w:tr>
      <w:tr w:rsidR="00BD06E7" w:rsidTr="00BD06E7">
        <w:trPr>
          <w:trHeight w:val="7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06E7" w:rsidRDefault="00BD06E7"/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BD06E7" w:rsidRDefault="00BD06E7">
            <w:pPr>
              <w:spacing w:line="70" w:lineRule="atLeast"/>
              <w:jc w:val="center"/>
            </w:pPr>
            <w:r>
              <w:rPr>
                <w:b/>
                <w:bCs/>
                <w:color w:val="FFFFFF"/>
              </w:rPr>
              <w:t>2010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BD06E7" w:rsidRDefault="00BD06E7">
            <w:pPr>
              <w:spacing w:line="70" w:lineRule="atLeast"/>
              <w:jc w:val="center"/>
            </w:pPr>
            <w:r>
              <w:rPr>
                <w:b/>
                <w:bCs/>
                <w:color w:val="FFFFFF"/>
              </w:rPr>
              <w:t>2011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BD06E7" w:rsidRDefault="00BD06E7">
            <w:pPr>
              <w:spacing w:line="70" w:lineRule="atLeast"/>
              <w:jc w:val="center"/>
            </w:pPr>
            <w:r>
              <w:rPr>
                <w:b/>
                <w:bCs/>
                <w:color w:val="FFFFFF"/>
              </w:rPr>
              <w:t>2012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BD06E7" w:rsidRDefault="00BD06E7">
            <w:pPr>
              <w:spacing w:line="70" w:lineRule="atLeast"/>
              <w:jc w:val="center"/>
            </w:pPr>
            <w:r>
              <w:rPr>
                <w:b/>
                <w:bCs/>
                <w:color w:val="FFFFFF"/>
              </w:rPr>
              <w:t>2013</w:t>
            </w:r>
          </w:p>
        </w:tc>
      </w:tr>
      <w:tr w:rsidR="00BD06E7" w:rsidTr="00BD06E7">
        <w:trPr>
          <w:trHeight w:val="70"/>
        </w:trPr>
        <w:tc>
          <w:tcPr>
            <w:tcW w:w="4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BD06E7" w:rsidRDefault="00BD06E7">
            <w:pPr>
              <w:spacing w:line="70" w:lineRule="atLeast"/>
            </w:pPr>
            <w:r>
              <w:rPr>
                <w:b/>
                <w:bCs/>
              </w:rPr>
              <w:t>Príjmy verejnej správy celkom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BD06E7" w:rsidRDefault="00BD06E7">
            <w:pPr>
              <w:spacing w:line="70" w:lineRule="atLeast"/>
              <w:jc w:val="right"/>
            </w:pPr>
            <w:r>
              <w:rPr>
                <w:b/>
                <w:bCs/>
              </w:rPr>
              <w:t>0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BD06E7" w:rsidRDefault="00BD06E7">
            <w:pPr>
              <w:spacing w:line="70" w:lineRule="atLeast"/>
              <w:jc w:val="right"/>
            </w:pPr>
            <w:r>
              <w:rPr>
                <w:b/>
                <w:bCs/>
              </w:rPr>
              <w:t>2 000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BD06E7" w:rsidRDefault="00BD06E7">
            <w:pPr>
              <w:spacing w:line="70" w:lineRule="atLeast"/>
              <w:jc w:val="right"/>
            </w:pPr>
            <w:r>
              <w:rPr>
                <w:b/>
                <w:bCs/>
              </w:rPr>
              <w:t>5 500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BD06E7" w:rsidRDefault="00BD06E7">
            <w:pPr>
              <w:spacing w:line="70" w:lineRule="atLeast"/>
              <w:jc w:val="right"/>
            </w:pPr>
            <w:r>
              <w:rPr>
                <w:b/>
                <w:bCs/>
              </w:rPr>
              <w:t>0</w:t>
            </w:r>
          </w:p>
        </w:tc>
      </w:tr>
      <w:tr w:rsidR="00BD06E7" w:rsidTr="00BD06E7">
        <w:trPr>
          <w:trHeight w:val="132"/>
        </w:trPr>
        <w:tc>
          <w:tcPr>
            <w:tcW w:w="4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BD06E7" w:rsidRDefault="00BD06E7">
            <w:pPr>
              <w:spacing w:line="132" w:lineRule="atLeast"/>
            </w:pPr>
            <w:r>
              <w:t>v tom: za každý subjekt verejnej správy zvlášť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BD06E7" w:rsidRDefault="00BD06E7">
            <w:pPr>
              <w:spacing w:line="132" w:lineRule="atLeast"/>
              <w:jc w:val="right"/>
            </w:pPr>
            <w:r>
              <w:t>0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BD06E7" w:rsidRDefault="00BD06E7">
            <w:pPr>
              <w:spacing w:line="132" w:lineRule="atLeast"/>
              <w:jc w:val="right"/>
            </w:pPr>
            <w:r>
              <w:t>2 000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BD06E7" w:rsidRDefault="00BD06E7">
            <w:pPr>
              <w:spacing w:line="132" w:lineRule="atLeast"/>
              <w:jc w:val="right"/>
            </w:pPr>
            <w:r>
              <w:t>5 500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BD06E7" w:rsidRDefault="00BD06E7">
            <w:pPr>
              <w:spacing w:line="132" w:lineRule="atLeast"/>
              <w:jc w:val="right"/>
            </w:pPr>
            <w:r>
              <w:t>0</w:t>
            </w:r>
          </w:p>
        </w:tc>
      </w:tr>
      <w:tr w:rsidR="00BD06E7" w:rsidTr="00BD06E7">
        <w:trPr>
          <w:trHeight w:val="70"/>
        </w:trPr>
        <w:tc>
          <w:tcPr>
            <w:tcW w:w="4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BD06E7" w:rsidRDefault="00BD06E7">
            <w:pPr>
              <w:spacing w:line="70" w:lineRule="atLeast"/>
            </w:pPr>
            <w:r>
              <w:rPr>
                <w:b/>
                <w:bCs/>
                <w:i/>
                <w:iCs/>
              </w:rPr>
              <w:t xml:space="preserve">z toho: 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BD06E7" w:rsidRDefault="00BD06E7">
            <w:pPr>
              <w:spacing w:line="70" w:lineRule="atLeast"/>
              <w:jc w:val="right"/>
            </w:pPr>
            <w:r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BD06E7" w:rsidRDefault="00BD06E7">
            <w:pPr>
              <w:spacing w:line="70" w:lineRule="atLeast"/>
              <w:jc w:val="right"/>
            </w:pPr>
            <w:r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BD06E7" w:rsidRDefault="00BD06E7">
            <w:pPr>
              <w:spacing w:line="70" w:lineRule="atLeast"/>
              <w:jc w:val="right"/>
            </w:pPr>
            <w:r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BD06E7" w:rsidRDefault="00BD06E7">
            <w:pPr>
              <w:spacing w:line="70" w:lineRule="atLeast"/>
              <w:jc w:val="right"/>
            </w:pPr>
            <w:r>
              <w:rPr>
                <w:b/>
                <w:bCs/>
                <w:i/>
                <w:iCs/>
              </w:rPr>
              <w:t> </w:t>
            </w:r>
          </w:p>
        </w:tc>
      </w:tr>
      <w:tr w:rsidR="00BD06E7" w:rsidTr="00BD06E7">
        <w:trPr>
          <w:trHeight w:val="125"/>
        </w:trPr>
        <w:tc>
          <w:tcPr>
            <w:tcW w:w="4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BD06E7" w:rsidRDefault="00BD06E7">
            <w:pPr>
              <w:spacing w:line="125" w:lineRule="atLeast"/>
            </w:pPr>
            <w:r>
              <w:rPr>
                <w:b/>
                <w:bCs/>
                <w:i/>
                <w:iCs/>
              </w:rPr>
              <w:t>- vplyv na ŠR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BD06E7" w:rsidRDefault="00BD06E7">
            <w:pPr>
              <w:spacing w:line="125" w:lineRule="atLeast"/>
              <w:jc w:val="right"/>
            </w:pPr>
            <w:r>
              <w:rPr>
                <w:b/>
                <w:bCs/>
                <w:iCs/>
              </w:rPr>
              <w:t>0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BD06E7" w:rsidRDefault="00BD06E7">
            <w:pPr>
              <w:spacing w:line="125" w:lineRule="atLeast"/>
              <w:jc w:val="right"/>
            </w:pPr>
            <w:r>
              <w:rPr>
                <w:b/>
                <w:bCs/>
                <w:iCs/>
              </w:rPr>
              <w:t>0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BD06E7" w:rsidRDefault="00BD06E7">
            <w:pPr>
              <w:spacing w:line="125" w:lineRule="atLeast"/>
              <w:jc w:val="right"/>
            </w:pPr>
            <w:r>
              <w:rPr>
                <w:b/>
                <w:bCs/>
                <w:iCs/>
              </w:rPr>
              <w:t>0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BD06E7" w:rsidRDefault="00BD06E7">
            <w:pPr>
              <w:spacing w:line="125" w:lineRule="atLeast"/>
              <w:jc w:val="right"/>
            </w:pPr>
            <w:r>
              <w:rPr>
                <w:b/>
                <w:bCs/>
                <w:iCs/>
              </w:rPr>
              <w:t>0</w:t>
            </w:r>
          </w:p>
        </w:tc>
      </w:tr>
      <w:tr w:rsidR="00BD06E7" w:rsidTr="00BD06E7">
        <w:trPr>
          <w:trHeight w:val="125"/>
        </w:trPr>
        <w:tc>
          <w:tcPr>
            <w:tcW w:w="4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BD06E7" w:rsidRDefault="00BD06E7">
            <w:pPr>
              <w:spacing w:line="125" w:lineRule="atLeast"/>
            </w:pPr>
            <w:r>
              <w:rPr>
                <w:b/>
                <w:bCs/>
                <w:i/>
                <w:iCs/>
              </w:rPr>
              <w:t>- vplyv na územnú samosprávu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BD06E7" w:rsidRDefault="00BD06E7">
            <w:pPr>
              <w:spacing w:line="125" w:lineRule="atLeast"/>
              <w:jc w:val="right"/>
            </w:pPr>
            <w:r>
              <w:rPr>
                <w:b/>
                <w:bCs/>
                <w:iCs/>
              </w:rPr>
              <w:t>0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BD06E7" w:rsidRDefault="00BD06E7">
            <w:pPr>
              <w:spacing w:line="125" w:lineRule="atLeast"/>
              <w:jc w:val="right"/>
            </w:pPr>
            <w:r>
              <w:rPr>
                <w:b/>
                <w:bCs/>
                <w:iCs/>
              </w:rPr>
              <w:t>2 000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BD06E7" w:rsidRDefault="00BD06E7">
            <w:pPr>
              <w:spacing w:line="125" w:lineRule="atLeast"/>
              <w:jc w:val="right"/>
            </w:pPr>
            <w:r>
              <w:rPr>
                <w:b/>
                <w:bCs/>
                <w:iCs/>
              </w:rPr>
              <w:t>5 500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BD06E7" w:rsidRDefault="00BD06E7">
            <w:pPr>
              <w:spacing w:line="125" w:lineRule="atLeast"/>
              <w:jc w:val="right"/>
            </w:pPr>
            <w:r>
              <w:rPr>
                <w:b/>
                <w:bCs/>
                <w:iCs/>
              </w:rPr>
              <w:t>0</w:t>
            </w:r>
          </w:p>
        </w:tc>
      </w:tr>
      <w:tr w:rsidR="00BD06E7" w:rsidTr="00BD06E7">
        <w:trPr>
          <w:trHeight w:val="125"/>
        </w:trPr>
        <w:tc>
          <w:tcPr>
            <w:tcW w:w="4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BD06E7" w:rsidRDefault="00BD06E7">
            <w:pPr>
              <w:spacing w:line="125" w:lineRule="atLeast"/>
            </w:pPr>
            <w:r>
              <w:rPr>
                <w:b/>
                <w:bCs/>
              </w:rPr>
              <w:t>Výdavky verejnej správy celkom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BD06E7" w:rsidRDefault="00BD06E7">
            <w:pPr>
              <w:spacing w:line="125" w:lineRule="atLeast"/>
              <w:jc w:val="right"/>
            </w:pPr>
            <w:r>
              <w:rPr>
                <w:b/>
                <w:bCs/>
              </w:rPr>
              <w:t>0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BD06E7" w:rsidRDefault="00BD06E7">
            <w:pPr>
              <w:spacing w:line="125" w:lineRule="atLeast"/>
              <w:jc w:val="right"/>
            </w:pPr>
            <w:r>
              <w:rPr>
                <w:b/>
                <w:bCs/>
              </w:rPr>
              <w:t>0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BD06E7" w:rsidRDefault="00BD06E7">
            <w:pPr>
              <w:spacing w:line="125" w:lineRule="atLeast"/>
              <w:jc w:val="right"/>
            </w:pPr>
            <w:r>
              <w:rPr>
                <w:b/>
                <w:bCs/>
              </w:rPr>
              <w:t>0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BD06E7" w:rsidRDefault="00BD06E7">
            <w:pPr>
              <w:spacing w:line="125" w:lineRule="atLeast"/>
              <w:jc w:val="right"/>
            </w:pPr>
            <w:r>
              <w:rPr>
                <w:b/>
                <w:bCs/>
              </w:rPr>
              <w:t xml:space="preserve">13 555 200   </w:t>
            </w:r>
          </w:p>
        </w:tc>
      </w:tr>
      <w:tr w:rsidR="00BD06E7" w:rsidTr="00BD06E7">
        <w:trPr>
          <w:trHeight w:val="70"/>
        </w:trPr>
        <w:tc>
          <w:tcPr>
            <w:tcW w:w="4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BD06E7" w:rsidRDefault="00BD06E7">
            <w:pPr>
              <w:spacing w:line="70" w:lineRule="atLeast"/>
            </w:pPr>
            <w:r>
              <w:t>v tom: za každý subjekt verejnej správy / program zvlášť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BD06E7" w:rsidRDefault="00BD06E7">
            <w:pPr>
              <w:spacing w:line="70" w:lineRule="atLeast"/>
              <w:jc w:val="right"/>
            </w:pPr>
            <w:r>
              <w:t>0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BD06E7" w:rsidRDefault="00BD06E7">
            <w:pPr>
              <w:spacing w:line="70" w:lineRule="atLeast"/>
              <w:jc w:val="right"/>
            </w:pPr>
            <w:r>
              <w:t>0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BD06E7" w:rsidRDefault="00BD06E7">
            <w:pPr>
              <w:spacing w:line="70" w:lineRule="atLeast"/>
              <w:jc w:val="right"/>
            </w:pPr>
            <w:r>
              <w:t>0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BD06E7" w:rsidRDefault="00BD06E7">
            <w:pPr>
              <w:spacing w:line="70" w:lineRule="atLeast"/>
              <w:jc w:val="right"/>
            </w:pPr>
            <w:r>
              <w:t>13 555 200</w:t>
            </w:r>
          </w:p>
        </w:tc>
      </w:tr>
      <w:tr w:rsidR="00BD06E7" w:rsidTr="00BD06E7">
        <w:trPr>
          <w:trHeight w:val="70"/>
        </w:trPr>
        <w:tc>
          <w:tcPr>
            <w:tcW w:w="4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BD06E7" w:rsidRDefault="00BD06E7">
            <w:pPr>
              <w:spacing w:line="70" w:lineRule="atLeast"/>
            </w:pPr>
            <w:r>
              <w:rPr>
                <w:b/>
                <w:bCs/>
                <w:i/>
                <w:iCs/>
              </w:rPr>
              <w:t xml:space="preserve">z toho: 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BD06E7" w:rsidRDefault="00BD06E7">
            <w:pPr>
              <w:spacing w:line="70" w:lineRule="atLeast"/>
              <w:jc w:val="right"/>
            </w:pPr>
            <w:r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BD06E7" w:rsidRDefault="00BD06E7">
            <w:pPr>
              <w:spacing w:line="70" w:lineRule="atLeast"/>
              <w:jc w:val="right"/>
            </w:pPr>
            <w:r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BD06E7" w:rsidRDefault="00BD06E7">
            <w:pPr>
              <w:spacing w:line="70" w:lineRule="atLeast"/>
              <w:jc w:val="right"/>
            </w:pPr>
            <w:r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BD06E7" w:rsidRDefault="00BD06E7">
            <w:pPr>
              <w:spacing w:line="70" w:lineRule="atLeast"/>
              <w:jc w:val="right"/>
            </w:pPr>
            <w:r>
              <w:rPr>
                <w:b/>
                <w:bCs/>
                <w:i/>
                <w:iCs/>
              </w:rPr>
              <w:t> </w:t>
            </w:r>
          </w:p>
        </w:tc>
      </w:tr>
      <w:tr w:rsidR="00BD06E7" w:rsidTr="00BD06E7">
        <w:trPr>
          <w:trHeight w:val="70"/>
        </w:trPr>
        <w:tc>
          <w:tcPr>
            <w:tcW w:w="4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BD06E7" w:rsidRDefault="00BD06E7">
            <w:pPr>
              <w:spacing w:line="70" w:lineRule="atLeast"/>
            </w:pPr>
            <w:r>
              <w:rPr>
                <w:b/>
                <w:bCs/>
                <w:i/>
                <w:iCs/>
              </w:rPr>
              <w:t>- vplyv na ŠR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BD06E7" w:rsidRDefault="00BD06E7">
            <w:pPr>
              <w:spacing w:line="70" w:lineRule="atLeast"/>
              <w:jc w:val="right"/>
            </w:pPr>
            <w:r>
              <w:rPr>
                <w:b/>
                <w:bCs/>
                <w:iCs/>
              </w:rPr>
              <w:t>0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BD06E7" w:rsidRDefault="00BD06E7">
            <w:pPr>
              <w:spacing w:line="70" w:lineRule="atLeast"/>
              <w:jc w:val="right"/>
            </w:pPr>
            <w:r>
              <w:rPr>
                <w:b/>
                <w:bCs/>
                <w:iCs/>
              </w:rPr>
              <w:t>0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BD06E7" w:rsidRDefault="00BD06E7">
            <w:pPr>
              <w:spacing w:line="70" w:lineRule="atLeast"/>
              <w:jc w:val="right"/>
            </w:pPr>
            <w:r>
              <w:rPr>
                <w:b/>
                <w:bCs/>
                <w:iCs/>
              </w:rPr>
              <w:t>0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BD06E7" w:rsidRDefault="00BD06E7">
            <w:pPr>
              <w:spacing w:line="70" w:lineRule="atLeast"/>
              <w:jc w:val="right"/>
            </w:pPr>
            <w:r>
              <w:t>13 550 000</w:t>
            </w:r>
          </w:p>
        </w:tc>
      </w:tr>
      <w:tr w:rsidR="00BD06E7" w:rsidTr="00BD06E7">
        <w:trPr>
          <w:trHeight w:val="125"/>
        </w:trPr>
        <w:tc>
          <w:tcPr>
            <w:tcW w:w="4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BD06E7" w:rsidRDefault="00BD06E7">
            <w:pPr>
              <w:spacing w:line="125" w:lineRule="atLeast"/>
            </w:pPr>
            <w:r>
              <w:rPr>
                <w:b/>
                <w:bCs/>
                <w:i/>
                <w:iCs/>
              </w:rPr>
              <w:t>- vplyv na územnú samosprávu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BD06E7" w:rsidRDefault="00BD06E7">
            <w:pPr>
              <w:spacing w:line="125" w:lineRule="atLeast"/>
              <w:jc w:val="right"/>
            </w:pPr>
            <w:r>
              <w:rPr>
                <w:b/>
                <w:bCs/>
                <w:iCs/>
              </w:rPr>
              <w:t>0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BD06E7" w:rsidRDefault="00BD06E7">
            <w:pPr>
              <w:spacing w:line="125" w:lineRule="atLeast"/>
              <w:jc w:val="right"/>
            </w:pPr>
            <w:r>
              <w:rPr>
                <w:b/>
                <w:bCs/>
                <w:iCs/>
              </w:rPr>
              <w:t>0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BD06E7" w:rsidRDefault="00BD06E7">
            <w:pPr>
              <w:spacing w:line="125" w:lineRule="atLeast"/>
              <w:jc w:val="right"/>
            </w:pPr>
            <w:r>
              <w:rPr>
                <w:b/>
                <w:bCs/>
                <w:iCs/>
              </w:rPr>
              <w:t>0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BD06E7" w:rsidRDefault="00BD06E7">
            <w:pPr>
              <w:spacing w:line="125" w:lineRule="atLeast"/>
              <w:jc w:val="right"/>
            </w:pPr>
            <w:r>
              <w:rPr>
                <w:bCs/>
                <w:iCs/>
              </w:rPr>
              <w:t>5 200</w:t>
            </w:r>
          </w:p>
        </w:tc>
      </w:tr>
      <w:tr w:rsidR="00BD06E7" w:rsidTr="00BD06E7">
        <w:trPr>
          <w:trHeight w:val="70"/>
        </w:trPr>
        <w:tc>
          <w:tcPr>
            <w:tcW w:w="4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BD06E7" w:rsidRDefault="00BD06E7">
            <w:pPr>
              <w:spacing w:line="70" w:lineRule="atLeast"/>
            </w:pPr>
            <w:r>
              <w:rPr>
                <w:b/>
                <w:bCs/>
              </w:rPr>
              <w:t xml:space="preserve">Celková zamestnanosť 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BD06E7" w:rsidRDefault="00BD06E7">
            <w:pPr>
              <w:spacing w:line="70" w:lineRule="atLeast"/>
              <w:jc w:val="right"/>
            </w:pPr>
            <w:r>
              <w:rPr>
                <w:b/>
                <w:bCs/>
              </w:rPr>
              <w:t>0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BD06E7" w:rsidRDefault="00BD06E7">
            <w:pPr>
              <w:spacing w:line="70" w:lineRule="atLeast"/>
              <w:jc w:val="right"/>
            </w:pPr>
            <w:r>
              <w:rPr>
                <w:b/>
                <w:bCs/>
              </w:rPr>
              <w:t>0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BD06E7" w:rsidRDefault="00BD06E7">
            <w:pPr>
              <w:spacing w:line="70" w:lineRule="atLeast"/>
              <w:jc w:val="right"/>
            </w:pPr>
            <w:r>
              <w:rPr>
                <w:b/>
                <w:bCs/>
              </w:rPr>
              <w:t>0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BD06E7" w:rsidRDefault="00BD06E7">
            <w:pPr>
              <w:spacing w:line="70" w:lineRule="atLeast"/>
              <w:jc w:val="right"/>
            </w:pPr>
            <w:r>
              <w:rPr>
                <w:b/>
                <w:bCs/>
              </w:rPr>
              <w:t>0</w:t>
            </w:r>
          </w:p>
        </w:tc>
      </w:tr>
      <w:tr w:rsidR="00BD06E7" w:rsidTr="00BD06E7">
        <w:trPr>
          <w:trHeight w:val="70"/>
        </w:trPr>
        <w:tc>
          <w:tcPr>
            <w:tcW w:w="4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BD06E7" w:rsidRDefault="00BD06E7">
            <w:pPr>
              <w:spacing w:line="70" w:lineRule="atLeast"/>
            </w:pPr>
            <w:r>
              <w:rPr>
                <w:b/>
                <w:bCs/>
                <w:i/>
                <w:iCs/>
              </w:rPr>
              <w:t>- z toho vplyv na ŠR</w:t>
            </w:r>
            <w:r>
              <w:t xml:space="preserve"> 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BD06E7" w:rsidRDefault="00BD06E7">
            <w:pPr>
              <w:spacing w:line="70" w:lineRule="atLeast"/>
              <w:jc w:val="right"/>
            </w:pPr>
            <w:r>
              <w:t>0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BD06E7" w:rsidRDefault="00BD06E7">
            <w:pPr>
              <w:spacing w:line="70" w:lineRule="atLeast"/>
              <w:jc w:val="right"/>
            </w:pPr>
            <w:r>
              <w:t>0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BD06E7" w:rsidRDefault="00BD06E7">
            <w:pPr>
              <w:spacing w:line="70" w:lineRule="atLeast"/>
              <w:jc w:val="right"/>
            </w:pPr>
            <w:r>
              <w:t>0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BD06E7" w:rsidRDefault="00BD06E7">
            <w:pPr>
              <w:spacing w:line="70" w:lineRule="atLeast"/>
              <w:jc w:val="right"/>
            </w:pPr>
            <w:r>
              <w:t>0</w:t>
            </w:r>
          </w:p>
        </w:tc>
      </w:tr>
      <w:tr w:rsidR="00BD06E7" w:rsidTr="00BD06E7">
        <w:trPr>
          <w:trHeight w:val="70"/>
        </w:trPr>
        <w:tc>
          <w:tcPr>
            <w:tcW w:w="4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BD06E7" w:rsidRDefault="00BD06E7">
            <w:pPr>
              <w:spacing w:line="70" w:lineRule="atLeast"/>
            </w:pPr>
            <w:r>
              <w:rPr>
                <w:b/>
                <w:bCs/>
              </w:rPr>
              <w:t>Financovanie zabezpečené v rozpočte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BD06E7" w:rsidRDefault="00BD06E7">
            <w:pPr>
              <w:spacing w:line="70" w:lineRule="atLeast"/>
              <w:jc w:val="right"/>
            </w:pPr>
            <w:r>
              <w:rPr>
                <w:b/>
                <w:bCs/>
              </w:rPr>
              <w:t>0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BD06E7" w:rsidRDefault="00BD06E7">
            <w:pPr>
              <w:spacing w:line="70" w:lineRule="atLeast"/>
              <w:jc w:val="right"/>
            </w:pPr>
            <w:r>
              <w:rPr>
                <w:b/>
                <w:bCs/>
              </w:rPr>
              <w:t>0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BD06E7" w:rsidRDefault="00BD06E7">
            <w:pPr>
              <w:spacing w:line="70" w:lineRule="atLeast"/>
              <w:jc w:val="right"/>
            </w:pPr>
            <w:r>
              <w:rPr>
                <w:b/>
                <w:bCs/>
              </w:rPr>
              <w:t>0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BD06E7" w:rsidRDefault="00BD06E7">
            <w:pPr>
              <w:spacing w:line="70" w:lineRule="atLeast"/>
              <w:jc w:val="right"/>
            </w:pPr>
            <w:r>
              <w:rPr>
                <w:b/>
                <w:bCs/>
              </w:rPr>
              <w:t>0</w:t>
            </w:r>
          </w:p>
        </w:tc>
      </w:tr>
      <w:tr w:rsidR="00BD06E7" w:rsidTr="00BD06E7">
        <w:trPr>
          <w:trHeight w:val="70"/>
        </w:trPr>
        <w:tc>
          <w:tcPr>
            <w:tcW w:w="4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BD06E7" w:rsidRDefault="00BD06E7">
            <w:pPr>
              <w:spacing w:line="70" w:lineRule="atLeast"/>
            </w:pPr>
            <w:r>
              <w:t>v tom: za každý subjekt verejnej správy / program zvlášť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BD06E7" w:rsidRDefault="00BD06E7">
            <w:pPr>
              <w:spacing w:line="70" w:lineRule="atLeast"/>
              <w:jc w:val="right"/>
            </w:pPr>
            <w:r>
              <w:t>0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BD06E7" w:rsidRDefault="00BD06E7">
            <w:pPr>
              <w:spacing w:line="70" w:lineRule="atLeast"/>
              <w:jc w:val="right"/>
            </w:pPr>
            <w:r>
              <w:t>0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BD06E7" w:rsidRDefault="00BD06E7">
            <w:pPr>
              <w:spacing w:line="70" w:lineRule="atLeast"/>
              <w:jc w:val="right"/>
            </w:pPr>
            <w:r>
              <w:t>0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BD06E7" w:rsidRDefault="00BD06E7">
            <w:pPr>
              <w:spacing w:line="70" w:lineRule="atLeast"/>
              <w:jc w:val="right"/>
            </w:pPr>
            <w:r>
              <w:t>0</w:t>
            </w:r>
          </w:p>
        </w:tc>
      </w:tr>
      <w:tr w:rsidR="00BD06E7" w:rsidTr="00BD06E7">
        <w:tc>
          <w:tcPr>
            <w:tcW w:w="4661" w:type="dxa"/>
            <w:vAlign w:val="center"/>
          </w:tcPr>
          <w:p w:rsidR="00BD06E7" w:rsidRDefault="00BD06E7">
            <w:pPr>
              <w:rPr>
                <w:sz w:val="2"/>
              </w:rPr>
            </w:pPr>
          </w:p>
        </w:tc>
        <w:tc>
          <w:tcPr>
            <w:tcW w:w="1267" w:type="dxa"/>
            <w:vAlign w:val="center"/>
          </w:tcPr>
          <w:p w:rsidR="00BD06E7" w:rsidRDefault="00BD06E7">
            <w:pPr>
              <w:rPr>
                <w:sz w:val="2"/>
              </w:rPr>
            </w:pPr>
          </w:p>
        </w:tc>
        <w:tc>
          <w:tcPr>
            <w:tcW w:w="1267" w:type="dxa"/>
            <w:vAlign w:val="center"/>
          </w:tcPr>
          <w:p w:rsidR="00BD06E7" w:rsidRDefault="00BD06E7">
            <w:pPr>
              <w:rPr>
                <w:sz w:val="2"/>
              </w:rPr>
            </w:pPr>
          </w:p>
        </w:tc>
        <w:tc>
          <w:tcPr>
            <w:tcW w:w="1267" w:type="dxa"/>
            <w:vAlign w:val="center"/>
          </w:tcPr>
          <w:p w:rsidR="00BD06E7" w:rsidRDefault="00BD06E7">
            <w:pPr>
              <w:rPr>
                <w:sz w:val="2"/>
              </w:rPr>
            </w:pPr>
          </w:p>
        </w:tc>
        <w:tc>
          <w:tcPr>
            <w:tcW w:w="1267" w:type="dxa"/>
            <w:vAlign w:val="center"/>
          </w:tcPr>
          <w:p w:rsidR="00BD06E7" w:rsidRDefault="00BD06E7">
            <w:pPr>
              <w:rPr>
                <w:sz w:val="2"/>
              </w:rPr>
            </w:pPr>
          </w:p>
        </w:tc>
      </w:tr>
    </w:tbl>
    <w:p w:rsidR="00BD06E7" w:rsidRDefault="00BD06E7" w:rsidP="00BD06E7">
      <w:r>
        <w:t> </w:t>
      </w:r>
    </w:p>
    <w:p w:rsidR="00BD06E7" w:rsidRDefault="00BD06E7" w:rsidP="00BD06E7">
      <w:r>
        <w:rPr>
          <w:b/>
          <w:bCs/>
        </w:rPr>
        <w:t>2.2. Financovanie návrhu</w:t>
      </w:r>
    </w:p>
    <w:p w:rsidR="00BD06E7" w:rsidRDefault="00BD06E7" w:rsidP="00BD06E7">
      <w:pPr>
        <w:jc w:val="right"/>
      </w:pPr>
      <w:r>
        <w:rPr>
          <w:sz w:val="20"/>
          <w:szCs w:val="20"/>
        </w:rPr>
        <w:t>Tabuľka č. 2</w:t>
      </w:r>
    </w:p>
    <w:tbl>
      <w:tblPr>
        <w:tblW w:w="9360" w:type="dxa"/>
        <w:tblCellMar>
          <w:left w:w="0" w:type="dxa"/>
          <w:right w:w="0" w:type="dxa"/>
        </w:tblCellMar>
        <w:tblLook w:val="04A0"/>
      </w:tblPr>
      <w:tblGrid>
        <w:gridCol w:w="4248"/>
        <w:gridCol w:w="1251"/>
        <w:gridCol w:w="1252"/>
        <w:gridCol w:w="1252"/>
        <w:gridCol w:w="1357"/>
      </w:tblGrid>
      <w:tr w:rsidR="00BD06E7" w:rsidTr="00BD06E7">
        <w:trPr>
          <w:trHeight w:val="70"/>
        </w:trPr>
        <w:tc>
          <w:tcPr>
            <w:tcW w:w="43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BD06E7" w:rsidRDefault="00BD06E7">
            <w:pPr>
              <w:spacing w:line="70" w:lineRule="atLeast"/>
              <w:jc w:val="center"/>
            </w:pPr>
            <w:r>
              <w:rPr>
                <w:b/>
                <w:bCs/>
                <w:color w:val="FFFFFF"/>
              </w:rPr>
              <w:t>Financovanie</w:t>
            </w:r>
          </w:p>
        </w:tc>
        <w:tc>
          <w:tcPr>
            <w:tcW w:w="0" w:type="auto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BD06E7" w:rsidRDefault="00BD06E7">
            <w:pPr>
              <w:spacing w:line="70" w:lineRule="atLeast"/>
              <w:jc w:val="center"/>
            </w:pPr>
            <w:r>
              <w:rPr>
                <w:b/>
                <w:bCs/>
                <w:color w:val="FFFFFF"/>
              </w:rPr>
              <w:t xml:space="preserve">Vplyv na rozpočet verejnej správy </w:t>
            </w:r>
            <w:r>
              <w:rPr>
                <w:b/>
                <w:bCs/>
              </w:rPr>
              <w:t>(v eurách)</w:t>
            </w:r>
          </w:p>
        </w:tc>
      </w:tr>
      <w:tr w:rsidR="00BD06E7" w:rsidTr="00BD06E7">
        <w:trPr>
          <w:trHeight w:val="7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06E7" w:rsidRDefault="00BD06E7"/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BD06E7" w:rsidRDefault="00BD06E7">
            <w:pPr>
              <w:spacing w:line="70" w:lineRule="atLeast"/>
              <w:jc w:val="center"/>
            </w:pPr>
            <w:r>
              <w:rPr>
                <w:b/>
                <w:bCs/>
                <w:color w:val="FFFFFF"/>
              </w:rPr>
              <w:t>2010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BD06E7" w:rsidRDefault="00BD06E7">
            <w:pPr>
              <w:spacing w:line="70" w:lineRule="atLeast"/>
              <w:jc w:val="center"/>
            </w:pPr>
            <w:r>
              <w:rPr>
                <w:b/>
                <w:bCs/>
                <w:color w:val="FFFFFF"/>
              </w:rPr>
              <w:t>2011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BD06E7" w:rsidRDefault="00BD06E7">
            <w:pPr>
              <w:spacing w:line="70" w:lineRule="atLeast"/>
              <w:jc w:val="center"/>
            </w:pPr>
            <w:r>
              <w:rPr>
                <w:b/>
                <w:bCs/>
                <w:color w:val="FFFFFF"/>
              </w:rPr>
              <w:t>2012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BD06E7" w:rsidRDefault="00BD06E7">
            <w:pPr>
              <w:spacing w:line="70" w:lineRule="atLeast"/>
              <w:jc w:val="center"/>
            </w:pPr>
            <w:r>
              <w:rPr>
                <w:b/>
                <w:bCs/>
                <w:color w:val="FFFFFF"/>
              </w:rPr>
              <w:t>2013</w:t>
            </w:r>
          </w:p>
        </w:tc>
      </w:tr>
      <w:tr w:rsidR="00BD06E7" w:rsidTr="00BD06E7">
        <w:trPr>
          <w:trHeight w:val="70"/>
        </w:trPr>
        <w:tc>
          <w:tcPr>
            <w:tcW w:w="4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BD06E7" w:rsidRDefault="00BD06E7">
            <w:pPr>
              <w:spacing w:line="70" w:lineRule="atLeast"/>
            </w:pPr>
            <w:r>
              <w:rPr>
                <w:b/>
                <w:bCs/>
              </w:rPr>
              <w:t>Celkový vplyv na rozpočet verejnej správy ( - príjmy, + výdavky)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BD06E7" w:rsidRDefault="00BD06E7">
            <w:pPr>
              <w:spacing w:line="70" w:lineRule="atLeast"/>
              <w:jc w:val="right"/>
            </w:pPr>
            <w:r>
              <w:rPr>
                <w:b/>
                <w:bCs/>
              </w:rPr>
              <w:t>0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BD06E7" w:rsidRDefault="00BD06E7">
            <w:pPr>
              <w:spacing w:line="70" w:lineRule="atLeast"/>
              <w:jc w:val="right"/>
            </w:pPr>
            <w:r>
              <w:rPr>
                <w:b/>
                <w:bCs/>
              </w:rPr>
              <w:t>-2 000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BD06E7" w:rsidRDefault="00BD06E7">
            <w:pPr>
              <w:spacing w:line="70" w:lineRule="atLeast"/>
              <w:jc w:val="right"/>
            </w:pPr>
            <w:r>
              <w:rPr>
                <w:b/>
                <w:bCs/>
              </w:rPr>
              <w:t>-5 500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BD06E7" w:rsidRDefault="00BD06E7">
            <w:pPr>
              <w:spacing w:line="70" w:lineRule="atLeast"/>
              <w:jc w:val="right"/>
              <w:rPr>
                <w:b/>
              </w:rPr>
            </w:pPr>
            <w:r>
              <w:rPr>
                <w:b/>
              </w:rPr>
              <w:t>+13 555 200</w:t>
            </w:r>
          </w:p>
        </w:tc>
      </w:tr>
      <w:tr w:rsidR="00BD06E7" w:rsidTr="00BD06E7">
        <w:trPr>
          <w:trHeight w:val="70"/>
        </w:trPr>
        <w:tc>
          <w:tcPr>
            <w:tcW w:w="4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BD06E7" w:rsidRDefault="00BD06E7">
            <w:pPr>
              <w:spacing w:line="70" w:lineRule="atLeast"/>
            </w:pPr>
            <w:r>
              <w:t>  z toho vplyv na ŠR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BD06E7" w:rsidRDefault="00BD06E7">
            <w:pPr>
              <w:spacing w:line="70" w:lineRule="atLeast"/>
              <w:jc w:val="right"/>
            </w:pPr>
            <w:r>
              <w:t>0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BD06E7" w:rsidRDefault="00BD06E7">
            <w:pPr>
              <w:spacing w:line="70" w:lineRule="atLeast"/>
              <w:jc w:val="right"/>
            </w:pPr>
            <w:r>
              <w:t>0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BD06E7" w:rsidRDefault="00BD06E7">
            <w:pPr>
              <w:spacing w:line="70" w:lineRule="atLeast"/>
              <w:jc w:val="right"/>
            </w:pPr>
            <w:r>
              <w:t>0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BD06E7" w:rsidRDefault="00BD06E7">
            <w:pPr>
              <w:spacing w:line="70" w:lineRule="atLeast"/>
              <w:jc w:val="right"/>
            </w:pPr>
            <w:r>
              <w:t>+13 550 000</w:t>
            </w:r>
          </w:p>
        </w:tc>
      </w:tr>
      <w:tr w:rsidR="00BD06E7" w:rsidTr="00BD06E7">
        <w:trPr>
          <w:trHeight w:val="151"/>
        </w:trPr>
        <w:tc>
          <w:tcPr>
            <w:tcW w:w="4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BD06E7" w:rsidRDefault="00BD06E7">
            <w:pPr>
              <w:spacing w:line="151" w:lineRule="atLeast"/>
            </w:pPr>
            <w:r>
              <w:t>  financovanie zabezpečené v rozpočte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BD06E7" w:rsidRDefault="00BD06E7">
            <w:pPr>
              <w:spacing w:line="151" w:lineRule="atLeast"/>
              <w:jc w:val="right"/>
            </w:pPr>
            <w:r>
              <w:t>0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BD06E7" w:rsidRDefault="00BD06E7">
            <w:pPr>
              <w:spacing w:line="151" w:lineRule="atLeast"/>
              <w:jc w:val="right"/>
            </w:pPr>
            <w:r>
              <w:t>0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BD06E7" w:rsidRDefault="00BD06E7">
            <w:pPr>
              <w:spacing w:line="151" w:lineRule="atLeast"/>
              <w:jc w:val="right"/>
            </w:pPr>
            <w:r>
              <w:t>0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BD06E7" w:rsidRDefault="00BD06E7">
            <w:pPr>
              <w:spacing w:line="151" w:lineRule="atLeast"/>
              <w:jc w:val="right"/>
            </w:pPr>
            <w:r>
              <w:t>0</w:t>
            </w:r>
          </w:p>
        </w:tc>
      </w:tr>
      <w:tr w:rsidR="00BD06E7" w:rsidTr="00BD06E7">
        <w:trPr>
          <w:trHeight w:val="135"/>
        </w:trPr>
        <w:tc>
          <w:tcPr>
            <w:tcW w:w="4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BD06E7" w:rsidRDefault="00BD06E7">
            <w:pPr>
              <w:spacing w:line="135" w:lineRule="atLeast"/>
            </w:pPr>
            <w:r>
              <w:t>  ostatné zdroje financovania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BD06E7" w:rsidRDefault="00BD06E7">
            <w:pPr>
              <w:spacing w:line="135" w:lineRule="atLeast"/>
              <w:jc w:val="right"/>
            </w:pPr>
            <w:r>
              <w:t>0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BD06E7" w:rsidRDefault="00BD06E7">
            <w:pPr>
              <w:spacing w:line="135" w:lineRule="atLeast"/>
              <w:jc w:val="right"/>
            </w:pPr>
            <w:r>
              <w:t>-2 000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BD06E7" w:rsidRDefault="00BD06E7">
            <w:pPr>
              <w:spacing w:line="135" w:lineRule="atLeast"/>
              <w:jc w:val="right"/>
            </w:pPr>
            <w:r>
              <w:t>-5 500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BD06E7" w:rsidRDefault="00BD06E7">
            <w:pPr>
              <w:spacing w:line="135" w:lineRule="atLeast"/>
              <w:jc w:val="right"/>
            </w:pPr>
            <w:r>
              <w:t>+5 200</w:t>
            </w:r>
          </w:p>
        </w:tc>
      </w:tr>
      <w:tr w:rsidR="00BD06E7" w:rsidTr="00BD06E7">
        <w:trPr>
          <w:trHeight w:val="70"/>
        </w:trPr>
        <w:tc>
          <w:tcPr>
            <w:tcW w:w="4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BD06E7" w:rsidRDefault="00BD06E7">
            <w:pPr>
              <w:spacing w:line="70" w:lineRule="atLeast"/>
            </w:pPr>
            <w:r>
              <w:rPr>
                <w:b/>
                <w:bCs/>
              </w:rPr>
              <w:t>Rozpočtovo nekrytý vplyv / úspora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BD06E7" w:rsidRDefault="00BD06E7">
            <w:pPr>
              <w:spacing w:line="70" w:lineRule="atLeast"/>
              <w:jc w:val="right"/>
            </w:pPr>
            <w:r>
              <w:rPr>
                <w:b/>
                <w:bCs/>
              </w:rPr>
              <w:t>0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BD06E7" w:rsidRDefault="00BD06E7">
            <w:pPr>
              <w:spacing w:line="70" w:lineRule="atLeast"/>
              <w:jc w:val="right"/>
            </w:pPr>
            <w:r>
              <w:rPr>
                <w:b/>
                <w:bCs/>
              </w:rPr>
              <w:t>-2 000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BD06E7" w:rsidRDefault="00BD06E7">
            <w:pPr>
              <w:spacing w:line="70" w:lineRule="atLeast"/>
              <w:jc w:val="right"/>
            </w:pPr>
            <w:r>
              <w:rPr>
                <w:b/>
                <w:bCs/>
              </w:rPr>
              <w:t>-5 500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BD06E7" w:rsidRDefault="00BD06E7">
            <w:pPr>
              <w:spacing w:line="70" w:lineRule="atLeast"/>
              <w:jc w:val="right"/>
            </w:pPr>
            <w:r>
              <w:rPr>
                <w:b/>
                <w:bCs/>
              </w:rPr>
              <w:t>+13 555 200</w:t>
            </w:r>
          </w:p>
        </w:tc>
      </w:tr>
      <w:tr w:rsidR="00BD06E7" w:rsidTr="00BD06E7">
        <w:tc>
          <w:tcPr>
            <w:tcW w:w="4304" w:type="dxa"/>
            <w:vAlign w:val="center"/>
          </w:tcPr>
          <w:p w:rsidR="00BD06E7" w:rsidRDefault="00BD06E7">
            <w:pPr>
              <w:rPr>
                <w:sz w:val="2"/>
              </w:rPr>
            </w:pPr>
          </w:p>
        </w:tc>
        <w:tc>
          <w:tcPr>
            <w:tcW w:w="1264" w:type="dxa"/>
            <w:vAlign w:val="center"/>
          </w:tcPr>
          <w:p w:rsidR="00BD06E7" w:rsidRDefault="00BD06E7">
            <w:pPr>
              <w:rPr>
                <w:sz w:val="2"/>
              </w:rPr>
            </w:pPr>
          </w:p>
        </w:tc>
        <w:tc>
          <w:tcPr>
            <w:tcW w:w="1264" w:type="dxa"/>
            <w:vAlign w:val="center"/>
          </w:tcPr>
          <w:p w:rsidR="00BD06E7" w:rsidRDefault="00BD06E7">
            <w:pPr>
              <w:rPr>
                <w:sz w:val="2"/>
              </w:rPr>
            </w:pPr>
          </w:p>
        </w:tc>
        <w:tc>
          <w:tcPr>
            <w:tcW w:w="1264" w:type="dxa"/>
            <w:vAlign w:val="center"/>
          </w:tcPr>
          <w:p w:rsidR="00BD06E7" w:rsidRDefault="00BD06E7">
            <w:pPr>
              <w:rPr>
                <w:sz w:val="2"/>
              </w:rPr>
            </w:pPr>
          </w:p>
        </w:tc>
        <w:tc>
          <w:tcPr>
            <w:tcW w:w="1264" w:type="dxa"/>
            <w:vAlign w:val="center"/>
          </w:tcPr>
          <w:p w:rsidR="00BD06E7" w:rsidRDefault="00BD06E7">
            <w:pPr>
              <w:rPr>
                <w:sz w:val="2"/>
              </w:rPr>
            </w:pPr>
          </w:p>
        </w:tc>
      </w:tr>
    </w:tbl>
    <w:p w:rsidR="00BD06E7" w:rsidRDefault="00BD06E7" w:rsidP="00BD06E7">
      <w:r>
        <w:t> </w:t>
      </w:r>
    </w:p>
    <w:p w:rsidR="00BD06E7" w:rsidRDefault="00BD06E7" w:rsidP="00BD06E7">
      <w:r>
        <w:rPr>
          <w:b/>
          <w:bCs/>
        </w:rPr>
        <w:t> </w:t>
      </w:r>
    </w:p>
    <w:p w:rsidR="00BD06E7" w:rsidRDefault="00BD06E7" w:rsidP="00BD06E7">
      <w:pPr>
        <w:rPr>
          <w:b/>
          <w:bCs/>
        </w:rPr>
      </w:pPr>
      <w:r>
        <w:rPr>
          <w:b/>
          <w:bCs/>
        </w:rPr>
        <w:t>Návrh na riešenie úbytku príjmov alebo zvýšených výdavkov podľa § 33 ods. 1 zákona       č. 523/2004 Z. z. o rozpočtových pravidlách verejnej správy:</w:t>
      </w:r>
    </w:p>
    <w:p w:rsidR="00BD06E7" w:rsidRDefault="00BD06E7" w:rsidP="00BD06E7"/>
    <w:p w:rsidR="00BD06E7" w:rsidRDefault="00BD06E7" w:rsidP="00BD06E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</w:pPr>
      <w:r>
        <w:t>Výdavky na obstaranie náhradných nájomných bytov sú novým dotačným titulom, ktorý má limitovanú pôsobnosť cca 5 rokov. Vzhľadom na neustály pokles výdavkov zo ŠR do oblasti bývania (z 0,52% HDP v roku 2004 na 0,29% HDP v roku 2008) nie je možné riešiť financovanie tohto titulu zo súčasne rozpočtovaných výdavkov na bývanie.</w:t>
      </w:r>
    </w:p>
    <w:p w:rsidR="00BD06E7" w:rsidRDefault="00BD06E7" w:rsidP="00BD06E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b/>
          <w:bCs/>
        </w:rPr>
      </w:pPr>
      <w:r>
        <w:rPr>
          <w:b/>
          <w:bCs/>
        </w:rPr>
        <w:t>  </w:t>
      </w:r>
    </w:p>
    <w:p w:rsidR="00BD06E7" w:rsidRDefault="00BD06E7" w:rsidP="00BD06E7">
      <w:pPr>
        <w:rPr>
          <w:b/>
          <w:bCs/>
        </w:rPr>
      </w:pPr>
    </w:p>
    <w:p w:rsidR="00BD06E7" w:rsidRDefault="00BD06E7" w:rsidP="00BD06E7">
      <w:r>
        <w:rPr>
          <w:b/>
          <w:bCs/>
        </w:rPr>
        <w:t>2.3. Popis a charakteristika návrhu</w:t>
      </w:r>
    </w:p>
    <w:p w:rsidR="00BD06E7" w:rsidRDefault="00BD06E7" w:rsidP="00BD06E7">
      <w:r>
        <w:t> </w:t>
      </w:r>
    </w:p>
    <w:p w:rsidR="00BD06E7" w:rsidRDefault="00BD06E7" w:rsidP="00BD06E7">
      <w:pPr>
        <w:jc w:val="both"/>
      </w:pPr>
      <w:r>
        <w:rPr>
          <w:b/>
          <w:bCs/>
        </w:rPr>
        <w:t>2.3.1. Popis návrhu:</w:t>
      </w:r>
    </w:p>
    <w:p w:rsidR="00BD06E7" w:rsidRDefault="00BD06E7" w:rsidP="00BD06E7">
      <w:pPr>
        <w:jc w:val="both"/>
        <w:rPr>
          <w:b/>
        </w:rPr>
      </w:pPr>
      <w:r>
        <w:rPr>
          <w:b/>
        </w:rPr>
        <w:tab/>
      </w:r>
    </w:p>
    <w:p w:rsidR="00BD06E7" w:rsidRDefault="00BD06E7" w:rsidP="00BD06E7">
      <w:pPr>
        <w:spacing w:before="120"/>
        <w:ind w:firstLine="709"/>
        <w:jc w:val="both"/>
      </w:pPr>
      <w:r>
        <w:t xml:space="preserve">Začiatkom deväťdesiatych rokov bol prostredníctvom reštitučných zákonov vrátený pôvodným, oprávneným vlastníkom súkromný majetok, o ktorý prišli v procese znárodňovania za bývalého režimu. Takto sa do vlastníctva pôvodných vlastníkov alebo ich dedičov dostali aj domy s bytmi obývanými nájomcami, ktorí nadobudli k bytom od štátu právo osobného užívania. Na základe § 871 ods. 1 a 4 Občianskeho zákonníka sa  právo osobného užívania zmenilo na nájom, alebo v prípade spoločného užívania bytu na spoločný nájom na dobu neurčitú. </w:t>
      </w:r>
    </w:p>
    <w:p w:rsidR="00BD06E7" w:rsidRDefault="00BD06E7" w:rsidP="00BD06E7">
      <w:pPr>
        <w:spacing w:before="120"/>
        <w:ind w:firstLine="709"/>
        <w:jc w:val="both"/>
      </w:pPr>
      <w:r>
        <w:t xml:space="preserve">Zákonom č. 182/1993 Z. z. o vlastníctve bytov a nebytových priestorov v znení neskorších predpisov štát umožnil odpredaj bytov z vlastníctva obcí do vlastníctva fyzických osôb - pôvodných nájomcov. Byty v reštituovaných domoch do riešenia tohto zákona nespadali.    </w:t>
      </w:r>
    </w:p>
    <w:p w:rsidR="00BD06E7" w:rsidRDefault="00BD06E7" w:rsidP="00BD06E7">
      <w:pPr>
        <w:spacing w:before="120"/>
        <w:ind w:firstLine="709"/>
        <w:jc w:val="both"/>
      </w:pPr>
      <w:r>
        <w:t>Na základe opatrenia Ministerstva financií Slovenskej republiky z 23. apríla 2008            č. 01/R/2008 o regulácií cien nájmu bytov, ktoré nadobudlo účinnosť 1. mája 2008 (a pred týmto termínom na základe iných právnych predpisov,  ktoré regulovali cenu nájmu bytu) sa aj na nájom v bytoch v domoch vydaných pri náprave krívd podľa osobitných predpisov vzťahuje regulovaná cena nájmu. Vlastníci bytov v uvedených domoch môžu, ak sa s nájomcom vopred nedohodnú na inej vzájomne akceptovateľnej sume,  požadovať  za prenájom len regulovanú cenu v zmysle platného opatrenia.  Regulované nájomné, ktoré je niekoľkokrát nižšie ako voľne dohodované nájomné (trhové nájomné) v porovnateľnom byte, neumožňuje vlastníkom bytov získať za prenájom toľko finančných  prostriedkov, aby  z nich mohli financovať potrebné opravy a rekonštrukciu vlastnených domov. Na druhej strane niektorí nájomcovia, zväčša starší občania, z ktorých viacerí do prenajatých bytov za obdobie, keď ich užívali vkladali časť vlastných finančných prostriedkov, nemajú možnosť, vzhľadom na svoje nízke príjmy a majetkové pomery, platiť trhové nájomné alebo si zaobstarať iné primerané bývanie. Ochrana nájmu v zmysle ustanovení Občianskeho zákonníka a regulácia cien nájmu na jednej strane a snaha vlastníkov plnohodnotne uplatniť svoje vlastnícke právo, ktoré im zaručuje Ústava SR, tak stoja                 vo vzájomnom protiklade.</w:t>
      </w:r>
    </w:p>
    <w:p w:rsidR="00BD06E7" w:rsidRDefault="00BD06E7" w:rsidP="00BD06E7">
      <w:pPr>
        <w:spacing w:before="120"/>
        <w:ind w:firstLine="709"/>
        <w:jc w:val="both"/>
      </w:pPr>
      <w:r>
        <w:t xml:space="preserve">Predkladaný  návrh zákona navrhuje spôsob ako túto dlhotrvajúcu a rozporuplnú situáciu vyriešiť, pričom ponúka primerane vyvážené riešenie ako pre prenajímateľov, tak aj pre nájomcov  a v neposlednom rade zohľadňuje tiež verejný záujem spoločnosti.   </w:t>
      </w:r>
    </w:p>
    <w:p w:rsidR="00BD06E7" w:rsidRDefault="00BD06E7" w:rsidP="00BD06E7">
      <w:pPr>
        <w:spacing w:before="120"/>
        <w:ind w:firstLine="709"/>
        <w:jc w:val="both"/>
      </w:pPr>
      <w:r>
        <w:t>Riešená problematika nebola doteraz legislatívne upravená.</w:t>
      </w:r>
    </w:p>
    <w:p w:rsidR="00BD06E7" w:rsidRDefault="00BD06E7" w:rsidP="00BD06E7">
      <w:pPr>
        <w:spacing w:before="120"/>
        <w:ind w:firstLine="709"/>
        <w:jc w:val="both"/>
      </w:pPr>
      <w:r>
        <w:t>Predložený návrh zákona je vypracovaný na základe bodu B.4. uznesenia vlády SR č. 640 zo 16. 9. 2009, ktorý vláda prijala k  „Návrhu koncepcie spôsobu usporiadania vzťahov súkromných vlastníkov bytových domov a nájomcov bytov dotknutých dereguláciou cien nájmu bytov“ a vychádza z vládou schváleného koncepčného riešenia. Uvedeným uznesením vlády SR vláda schválila aj dopad na štátny rozpočet vo výške cca 72 700 000 eur, ktoré sú rozložené do 5 rozpočtových rokov.</w:t>
      </w:r>
    </w:p>
    <w:p w:rsidR="00BD06E7" w:rsidRDefault="00BD06E7" w:rsidP="00BD06E7">
      <w:pPr>
        <w:spacing w:before="120"/>
        <w:ind w:firstLine="709"/>
        <w:jc w:val="both"/>
      </w:pPr>
      <w:r>
        <w:t xml:space="preserve">Návrh zákona o ukončení a spôsobe usporiadania niektorých nájomných vzťahov a o zmene a doplnení zákona č. 18/1996  Z. z. o cenách v znení neskorších predpisov rieši spôsob ukončenia niektorých nájomných vzťahov, kde je prenajímateľom súkromná osoba a cena nájmu </w:t>
      </w:r>
      <w:r>
        <w:lastRenderedPageBreak/>
        <w:t>je doposiaľ regulovaná právnym predpisom; pritom ide predovšetkým o </w:t>
      </w:r>
      <w:proofErr w:type="spellStart"/>
      <w:r>
        <w:t>nájomn</w:t>
      </w:r>
      <w:proofErr w:type="spellEnd"/>
      <w:r>
        <w:t xml:space="preserve"> é vzťahy v bytoch v domoch vydaných pri náprave krívd oprávnenej osobe podľa osobitných predpisov. </w:t>
      </w:r>
    </w:p>
    <w:p w:rsidR="00BD06E7" w:rsidRDefault="00BD06E7" w:rsidP="00BD06E7">
      <w:pPr>
        <w:spacing w:before="120"/>
        <w:ind w:firstLine="709"/>
        <w:jc w:val="both"/>
      </w:pPr>
      <w:r>
        <w:t xml:space="preserve">Predkladané riešenie navrhuje šesť a pol ročné obdobie (do 31. 12. 2017), počas ktorého by nájomcovia bytov v uvedených domoch za zákonom presne vymedzených podmienok uvoľnili prenajaté byty a následne dáva vlastníkom možnosť ponúknuť  tieto byty na prenájom za trhové nájomné alebo s nimi nakladať podľa vlastných predstáv. Zároveň budú v zákonom stanovených prípadoch obce povinné poskytnúť náhradné nájomné byty financované zo štátneho rozpočtu. </w:t>
      </w:r>
    </w:p>
    <w:p w:rsidR="00BD06E7" w:rsidRDefault="00BD06E7" w:rsidP="00BD06E7">
      <w:pPr>
        <w:spacing w:before="120"/>
        <w:ind w:firstLine="709"/>
        <w:jc w:val="both"/>
      </w:pPr>
      <w:r>
        <w:t>Cieľom je vytvoriť legislatívny mechanizmus, ktorý ukončí zásah štátu do užívania súkromného majetku a umožní postupne pristúpiť na podmienky zaužívané v iných demokratických štátoch, ktoré nemuseli prejsť časovo a materiálne transformačným procesom. Zároveň nájomcom, ktorí nie sú natoľko solventní, aby si dokázali  po doručení výpovede bez uvedenia dôvodu zabezpečiť bez pomoci náhradné bývanie, dáva možnosť požiadať obec o pridelenie náhradného nájomného bytu. Nájomná zmluva v náhradnom byte by bola uzavretá na dobu neurčitú, s regulovanou cenou nájmu, prípadne s možnosťou odkúpenia takéhoto bytu podľa zákona č. 182/1993 Z. z. o vlastníctve bytov a nebytových priestorov v znení neskorších predpisov.</w:t>
      </w:r>
    </w:p>
    <w:p w:rsidR="00BD06E7" w:rsidRDefault="00BD06E7" w:rsidP="00BD06E7">
      <w:pPr>
        <w:spacing w:before="120"/>
        <w:ind w:firstLine="709"/>
        <w:jc w:val="both"/>
      </w:pPr>
      <w:r>
        <w:t>Vo februári 2010 boli vláde Slovenskej republiky notifikované sťažnosti, ktoré podali deviati vlastníci reštituovaných bytových domov (alebo ich dedičia) proti Slovenskej republike na Európskom súde pre ľudské práva v Štrasburgu. Sťažovatelia uvádzajú, že ich práva podľa článku 1 Protokolu č. 1 Dohovoru o ochrane ľudských práv a základných slobôd</w:t>
      </w:r>
      <w:r>
        <w:rPr>
          <w:b/>
        </w:rPr>
        <w:t xml:space="preserve"> </w:t>
      </w:r>
      <w:r>
        <w:t>boli porušené v dôsledku aplikácie právnych predpisov upravujúcich reguláciu nájomného na ich majetok. Predovšetkým tvrdia, že zásah do ich práva na pokojné užívanie majetku nebol zákonný, nesledoval legitímny cieľ a uvalil na nich neprimerané bremeno, pre ktoré neexistovalo žiadne opodstatnenie. Tiež tvrdia, že nemajú, v rozpore s článkom 13 Dohovoru, k dispozícii žiadny účinný vnútroštátny prostriedok nápravy.</w:t>
      </w:r>
      <w:r>
        <w:rPr>
          <w:rFonts w:ascii="Garamond" w:hAnsi="Garamond"/>
        </w:rPr>
        <w:t xml:space="preserve"> </w:t>
      </w:r>
      <w:r>
        <w:t>Vláda SR na požiadanie zaslala k sťažnostiam Európskemu súdu pre ľudské práva svoje oficiálne stanovisko. Európsky súd pre ľudské práva zatiaľ o veci  nerokoval.</w:t>
      </w:r>
    </w:p>
    <w:p w:rsidR="00BD06E7" w:rsidRDefault="00BD06E7" w:rsidP="00BD06E7">
      <w:pPr>
        <w:spacing w:before="120"/>
        <w:ind w:firstLine="709"/>
        <w:jc w:val="both"/>
      </w:pPr>
      <w:r>
        <w:t xml:space="preserve">Obdobná situácia, pokiaľ ide o problematiku regulovaného nájomného, sprevádza vlastníkov bytov v budovách na bývanie aj v iných postkomunistických  krajinách.  V prípade </w:t>
      </w:r>
      <w:proofErr w:type="spellStart"/>
      <w:r>
        <w:t>Hutten-Czapska</w:t>
      </w:r>
      <w:proofErr w:type="spellEnd"/>
      <w:r>
        <w:t xml:space="preserve"> </w:t>
      </w:r>
      <w:proofErr w:type="spellStart"/>
      <w:r>
        <w:t>versus</w:t>
      </w:r>
      <w:proofErr w:type="spellEnd"/>
      <w:r>
        <w:t xml:space="preserve"> Poľská republika Európsky súd pre ľudské práva prisúdil žalobkyni 30 000 eur ako nemajetkovú, morálnu ujmu a 22 500 eur ako náklady a výdavky spojené s vymáhaním svojho práva a zaviazal Poľskú republiku, aby sa so žalobkyňou dohodla na náhrade škody. Okrem toho Poľská republika musí prostredníctvom vhodných právnych alebo iných opatrení zabezpečiť v právnom poriadku mechanizmus zabezpečujúci primerané vyváženie záujmov prenajímateľov a verejným záujmom, a to v súlade so štandardami ochrany práva        na pokojné užívanie majetku podľa Dohovoru o ochrane ľudských práv a základných slobôd. </w:t>
      </w:r>
    </w:p>
    <w:p w:rsidR="00BD06E7" w:rsidRDefault="00BD06E7" w:rsidP="00BD06E7">
      <w:pPr>
        <w:spacing w:before="120"/>
        <w:ind w:firstLine="709"/>
        <w:jc w:val="both"/>
      </w:pPr>
      <w:r>
        <w:t xml:space="preserve">Aj keď situácia v Slovenskej republike je iná ako v Poľskej republike a počet bytov, ktorých sa regulácia nájomného týka je na Slovensku výrazne nižší ako v Poľsku, je možné očakávať, že Európsky súd pre ľudské práva bude pri rozhodovaní vychádzať práve z rozhodnutí v prípade proti Poľskej republike.  </w:t>
      </w:r>
    </w:p>
    <w:p w:rsidR="00BD06E7" w:rsidRDefault="00BD06E7" w:rsidP="00BD06E7">
      <w:pPr>
        <w:spacing w:before="120"/>
        <w:ind w:firstLine="709"/>
        <w:jc w:val="both"/>
      </w:pPr>
      <w:r>
        <w:t xml:space="preserve">Predkladaným zákonným riešením sa sleduje v navrhovanom období (do 31. 12. 2017) komplexne doriešiť nájomné vzťahy v bytoch v domoch vo vlastníctve súkromných osôb, kde je doposiaľ cena nájmu regulovaná.  </w:t>
      </w:r>
    </w:p>
    <w:p w:rsidR="00BD06E7" w:rsidRDefault="00BD06E7" w:rsidP="00BD06E7">
      <w:pPr>
        <w:ind w:firstLine="708"/>
        <w:jc w:val="both"/>
      </w:pPr>
    </w:p>
    <w:p w:rsidR="00BD06E7" w:rsidRDefault="00BD06E7" w:rsidP="00BD06E7">
      <w:pPr>
        <w:jc w:val="both"/>
      </w:pPr>
      <w:r>
        <w:rPr>
          <w:b/>
          <w:bCs/>
        </w:rPr>
        <w:t> </w:t>
      </w:r>
    </w:p>
    <w:p w:rsidR="00BD06E7" w:rsidRDefault="00BD06E7" w:rsidP="00BD06E7">
      <w:r>
        <w:t>.......................................................................................................................................................</w:t>
      </w:r>
    </w:p>
    <w:p w:rsidR="00BD06E7" w:rsidRDefault="00BD06E7" w:rsidP="00BD06E7">
      <w:r>
        <w:t> </w:t>
      </w:r>
    </w:p>
    <w:p w:rsidR="00BD06E7" w:rsidRDefault="00BD06E7" w:rsidP="00BD06E7">
      <w:r>
        <w:rPr>
          <w:b/>
          <w:bCs/>
        </w:rPr>
        <w:t>2.3.2. Charakteristika návrhu podľa bodu  2.3.2. Metodiky :</w:t>
      </w:r>
    </w:p>
    <w:p w:rsidR="00BD06E7" w:rsidRDefault="00BD06E7" w:rsidP="00BD06E7">
      <w:r>
        <w:t> </w:t>
      </w:r>
    </w:p>
    <w:p w:rsidR="00BD06E7" w:rsidRDefault="00BD06E7" w:rsidP="00BD06E7">
      <w:r>
        <w:rPr>
          <w:b/>
          <w:bCs/>
          <w:bdr w:val="single" w:sz="4" w:space="0" w:color="000000" w:frame="1"/>
        </w:rPr>
        <w:t xml:space="preserve">     </w:t>
      </w:r>
      <w:r>
        <w:rPr>
          <w:b/>
          <w:bCs/>
        </w:rPr>
        <w:t xml:space="preserve">  </w:t>
      </w:r>
      <w:r>
        <w:t>zmena sadzby</w:t>
      </w:r>
    </w:p>
    <w:p w:rsidR="00BD06E7" w:rsidRDefault="00BD06E7" w:rsidP="00BD06E7">
      <w:r>
        <w:rPr>
          <w:bdr w:val="single" w:sz="4" w:space="0" w:color="000000" w:frame="1"/>
        </w:rPr>
        <w:t xml:space="preserve">     </w:t>
      </w:r>
      <w:r>
        <w:t>  zmena v nároku</w:t>
      </w:r>
    </w:p>
    <w:p w:rsidR="00BD06E7" w:rsidRDefault="00BD06E7" w:rsidP="00BD06E7">
      <w:r>
        <w:rPr>
          <w:bdr w:val="single" w:sz="4" w:space="0" w:color="000000" w:frame="1"/>
        </w:rPr>
        <w:t xml:space="preserve"> x  </w:t>
      </w:r>
      <w:r>
        <w:t>  nová služba alebo nariadenie (alebo ich zrušenie)</w:t>
      </w:r>
    </w:p>
    <w:p w:rsidR="00BD06E7" w:rsidRDefault="00BD06E7" w:rsidP="00BD06E7">
      <w:r>
        <w:rPr>
          <w:bdr w:val="single" w:sz="4" w:space="0" w:color="000000" w:frame="1"/>
        </w:rPr>
        <w:t xml:space="preserve">     </w:t>
      </w:r>
      <w:r>
        <w:t>  kombinovaný návrh</w:t>
      </w:r>
    </w:p>
    <w:p w:rsidR="00BD06E7" w:rsidRDefault="00BD06E7" w:rsidP="00BD06E7">
      <w:r>
        <w:rPr>
          <w:bdr w:val="single" w:sz="4" w:space="0" w:color="000000" w:frame="1"/>
        </w:rPr>
        <w:t xml:space="preserve">     </w:t>
      </w:r>
      <w:r>
        <w:t xml:space="preserve">  iné </w:t>
      </w:r>
    </w:p>
    <w:p w:rsidR="00BD06E7" w:rsidRDefault="00BD06E7" w:rsidP="00BD06E7">
      <w:r>
        <w:t> </w:t>
      </w:r>
    </w:p>
    <w:p w:rsidR="00BD06E7" w:rsidRDefault="00BD06E7" w:rsidP="00BD06E7">
      <w:r>
        <w:t> </w:t>
      </w:r>
    </w:p>
    <w:p w:rsidR="00BD06E7" w:rsidRDefault="00BD06E7" w:rsidP="00BD06E7">
      <w:r>
        <w:rPr>
          <w:b/>
          <w:bCs/>
        </w:rPr>
        <w:t>2.3.3. Predpoklady vývoja objemu aktivít:</w:t>
      </w:r>
    </w:p>
    <w:p w:rsidR="00BD06E7" w:rsidRDefault="00BD06E7" w:rsidP="00BD06E7">
      <w:r>
        <w:t> </w:t>
      </w:r>
    </w:p>
    <w:p w:rsidR="00BD06E7" w:rsidRDefault="00BD06E7" w:rsidP="00BD06E7">
      <w:pPr>
        <w:jc w:val="right"/>
      </w:pPr>
      <w:r>
        <w:rPr>
          <w:sz w:val="20"/>
          <w:szCs w:val="20"/>
        </w:rPr>
        <w:t xml:space="preserve">Tabuľka č. 3 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4530"/>
        <w:gridCol w:w="1134"/>
        <w:gridCol w:w="1134"/>
        <w:gridCol w:w="1134"/>
        <w:gridCol w:w="1134"/>
      </w:tblGrid>
      <w:tr w:rsidR="00BD06E7" w:rsidTr="00BD06E7">
        <w:trPr>
          <w:trHeight w:val="70"/>
        </w:trPr>
        <w:tc>
          <w:tcPr>
            <w:tcW w:w="45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D06E7" w:rsidRDefault="00BD06E7">
            <w:pPr>
              <w:spacing w:line="70" w:lineRule="atLeast"/>
              <w:jc w:val="center"/>
            </w:pPr>
            <w:r>
              <w:rPr>
                <w:b/>
                <w:bCs/>
                <w:color w:val="FFFFFF"/>
              </w:rPr>
              <w:t>Objem aktivít</w:t>
            </w:r>
          </w:p>
        </w:tc>
        <w:tc>
          <w:tcPr>
            <w:tcW w:w="0" w:type="auto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D06E7" w:rsidRDefault="00BD06E7">
            <w:pPr>
              <w:spacing w:line="70" w:lineRule="atLeast"/>
              <w:jc w:val="center"/>
            </w:pPr>
            <w:r>
              <w:rPr>
                <w:b/>
                <w:bCs/>
                <w:color w:val="FFFFFF"/>
              </w:rPr>
              <w:t>Odhadované objemy</w:t>
            </w:r>
          </w:p>
        </w:tc>
      </w:tr>
      <w:tr w:rsidR="00BD06E7" w:rsidTr="00BD06E7">
        <w:trPr>
          <w:trHeight w:val="7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06E7" w:rsidRDefault="00BD06E7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D06E7" w:rsidRDefault="00BD06E7">
            <w:pPr>
              <w:spacing w:line="70" w:lineRule="atLeast"/>
              <w:jc w:val="center"/>
            </w:pPr>
            <w:r>
              <w:rPr>
                <w:b/>
                <w:bCs/>
                <w:color w:val="FFFFFF"/>
              </w:rPr>
              <w:t>2010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D06E7" w:rsidRDefault="00BD06E7">
            <w:pPr>
              <w:spacing w:line="70" w:lineRule="atLeast"/>
              <w:jc w:val="center"/>
            </w:pPr>
            <w:r>
              <w:rPr>
                <w:b/>
                <w:bCs/>
                <w:color w:val="FFFFFF"/>
              </w:rPr>
              <w:t>2011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D06E7" w:rsidRDefault="00BD06E7">
            <w:pPr>
              <w:spacing w:line="70" w:lineRule="atLeast"/>
              <w:jc w:val="center"/>
            </w:pPr>
            <w:r>
              <w:rPr>
                <w:b/>
                <w:bCs/>
                <w:color w:val="FFFFFF"/>
              </w:rPr>
              <w:t>2012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D06E7" w:rsidRDefault="00BD06E7">
            <w:pPr>
              <w:spacing w:line="70" w:lineRule="atLeast"/>
              <w:jc w:val="center"/>
            </w:pPr>
            <w:r>
              <w:rPr>
                <w:b/>
                <w:bCs/>
                <w:color w:val="FFFFFF"/>
              </w:rPr>
              <w:t>2013</w:t>
            </w:r>
          </w:p>
        </w:tc>
      </w:tr>
      <w:tr w:rsidR="00BD06E7" w:rsidTr="00BD06E7">
        <w:trPr>
          <w:trHeight w:val="70"/>
        </w:trPr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6E7" w:rsidRDefault="00BD06E7">
            <w:pPr>
              <w:spacing w:line="70" w:lineRule="atLeast"/>
            </w:pPr>
            <w:r>
              <w:t>Počet žiadostí o náhradné byty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6E7" w:rsidRDefault="00BD06E7">
            <w:pPr>
              <w:spacing w:line="70" w:lineRule="atLeast"/>
              <w:jc w:val="right"/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6E7" w:rsidRDefault="00BD06E7">
            <w:pPr>
              <w:spacing w:line="70" w:lineRule="atLeast"/>
              <w:jc w:val="right"/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6E7" w:rsidRDefault="00BD06E7">
            <w:pPr>
              <w:spacing w:line="70" w:lineRule="atLeast"/>
              <w:jc w:val="right"/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6E7" w:rsidRDefault="00BD06E7">
            <w:pPr>
              <w:spacing w:line="70" w:lineRule="atLeast"/>
              <w:jc w:val="right"/>
            </w:pPr>
            <w:r>
              <w:rPr>
                <w:color w:val="000000"/>
              </w:rPr>
              <w:t>250 </w:t>
            </w:r>
          </w:p>
        </w:tc>
      </w:tr>
      <w:tr w:rsidR="00BD06E7" w:rsidTr="00BD06E7">
        <w:trPr>
          <w:trHeight w:val="70"/>
        </w:trPr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06E7" w:rsidRDefault="00BD06E7">
            <w:pPr>
              <w:spacing w:line="70" w:lineRule="atLeast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6E7" w:rsidRDefault="00BD06E7">
            <w:pPr>
              <w:spacing w:line="70" w:lineRule="atLeast"/>
              <w:jc w:val="right"/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6E7" w:rsidRDefault="00BD06E7">
            <w:pPr>
              <w:spacing w:line="70" w:lineRule="atLeast"/>
              <w:jc w:val="right"/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6E7" w:rsidRDefault="00BD06E7">
            <w:pPr>
              <w:spacing w:line="70" w:lineRule="atLeast"/>
              <w:jc w:val="right"/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6E7" w:rsidRDefault="00BD06E7">
            <w:pPr>
              <w:spacing w:line="70" w:lineRule="atLeast"/>
              <w:jc w:val="right"/>
            </w:pPr>
            <w:r>
              <w:rPr>
                <w:color w:val="000000"/>
              </w:rPr>
              <w:t> </w:t>
            </w:r>
          </w:p>
        </w:tc>
      </w:tr>
      <w:tr w:rsidR="00BD06E7" w:rsidTr="00BD06E7">
        <w:trPr>
          <w:trHeight w:val="70"/>
        </w:trPr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06E7" w:rsidRDefault="00BD06E7">
            <w:pPr>
              <w:spacing w:line="70" w:lineRule="atLeast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6E7" w:rsidRDefault="00BD06E7">
            <w:pPr>
              <w:spacing w:line="70" w:lineRule="atLeast"/>
              <w:jc w:val="right"/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6E7" w:rsidRDefault="00BD06E7">
            <w:pPr>
              <w:spacing w:line="70" w:lineRule="atLeast"/>
              <w:jc w:val="right"/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6E7" w:rsidRDefault="00BD06E7">
            <w:pPr>
              <w:spacing w:line="70" w:lineRule="atLeast"/>
              <w:jc w:val="right"/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6E7" w:rsidRDefault="00BD06E7">
            <w:pPr>
              <w:spacing w:line="70" w:lineRule="atLeast"/>
              <w:jc w:val="right"/>
            </w:pPr>
            <w:r>
              <w:rPr>
                <w:color w:val="000000"/>
              </w:rPr>
              <w:t> </w:t>
            </w:r>
          </w:p>
        </w:tc>
      </w:tr>
      <w:tr w:rsidR="00BD06E7" w:rsidTr="00BD06E7">
        <w:tc>
          <w:tcPr>
            <w:tcW w:w="4530" w:type="dxa"/>
            <w:vAlign w:val="center"/>
          </w:tcPr>
          <w:p w:rsidR="00BD06E7" w:rsidRDefault="00BD06E7">
            <w:pPr>
              <w:rPr>
                <w:sz w:val="2"/>
              </w:rPr>
            </w:pPr>
          </w:p>
        </w:tc>
        <w:tc>
          <w:tcPr>
            <w:tcW w:w="1134" w:type="dxa"/>
            <w:vAlign w:val="center"/>
          </w:tcPr>
          <w:p w:rsidR="00BD06E7" w:rsidRDefault="00BD06E7">
            <w:pPr>
              <w:rPr>
                <w:sz w:val="2"/>
              </w:rPr>
            </w:pPr>
          </w:p>
        </w:tc>
        <w:tc>
          <w:tcPr>
            <w:tcW w:w="1134" w:type="dxa"/>
            <w:vAlign w:val="center"/>
          </w:tcPr>
          <w:p w:rsidR="00BD06E7" w:rsidRDefault="00BD06E7">
            <w:pPr>
              <w:rPr>
                <w:sz w:val="2"/>
              </w:rPr>
            </w:pPr>
          </w:p>
        </w:tc>
        <w:tc>
          <w:tcPr>
            <w:tcW w:w="1134" w:type="dxa"/>
            <w:vAlign w:val="center"/>
          </w:tcPr>
          <w:p w:rsidR="00BD06E7" w:rsidRDefault="00BD06E7">
            <w:pPr>
              <w:rPr>
                <w:sz w:val="2"/>
              </w:rPr>
            </w:pPr>
          </w:p>
        </w:tc>
        <w:tc>
          <w:tcPr>
            <w:tcW w:w="1134" w:type="dxa"/>
            <w:vAlign w:val="center"/>
          </w:tcPr>
          <w:p w:rsidR="00BD06E7" w:rsidRDefault="00BD06E7">
            <w:pPr>
              <w:rPr>
                <w:sz w:val="2"/>
              </w:rPr>
            </w:pPr>
          </w:p>
        </w:tc>
      </w:tr>
    </w:tbl>
    <w:p w:rsidR="00BD06E7" w:rsidRDefault="00BD06E7" w:rsidP="00BD06E7">
      <w:r>
        <w:t> </w:t>
      </w:r>
    </w:p>
    <w:p w:rsidR="00BD06E7" w:rsidRDefault="00BD06E7" w:rsidP="00BD06E7">
      <w:r>
        <w:t> </w:t>
      </w:r>
    </w:p>
    <w:p w:rsidR="00BD06E7" w:rsidRDefault="00BD06E7" w:rsidP="00BD06E7">
      <w:r>
        <w:rPr>
          <w:b/>
          <w:bCs/>
        </w:rPr>
        <w:t>2.3.4. Výpočty vplyvov na verejné financie</w:t>
      </w:r>
    </w:p>
    <w:p w:rsidR="00BD06E7" w:rsidRDefault="00BD06E7" w:rsidP="00BD06E7">
      <w:r>
        <w:t> </w:t>
      </w:r>
    </w:p>
    <w:p w:rsidR="00BD06E7" w:rsidRDefault="00BD06E7" w:rsidP="00BD06E7">
      <w:pPr>
        <w:spacing w:before="120"/>
        <w:ind w:firstLine="708"/>
        <w:jc w:val="both"/>
      </w:pPr>
      <w:r>
        <w:t>Návrh riešenia bude mať dopad na verejné financie. Výška týchto prostriedkov je závislá od veľkostnej skladby bytov, nákladu na 1 m</w:t>
      </w:r>
      <w:r>
        <w:rPr>
          <w:vertAlign w:val="superscript"/>
        </w:rPr>
        <w:t>2</w:t>
      </w:r>
      <w:r>
        <w:t xml:space="preserve"> podlahovej plochy bytu a od počtu nájomcov, ktorí požiadajú  príslušnú obec (a budú mať, nadväzne na stanovené kritériá, aj nárok), v zmysle návrhu zákona, o náhradný nájomný byt. </w:t>
      </w:r>
    </w:p>
    <w:p w:rsidR="00BD06E7" w:rsidRDefault="00BD06E7" w:rsidP="00BD06E7">
      <w:pPr>
        <w:spacing w:before="120"/>
        <w:ind w:firstLine="708"/>
        <w:jc w:val="both"/>
      </w:pPr>
      <w:r>
        <w:t xml:space="preserve">Na základe analýzy dotazníkovej akcie, vo väzbe na prihlásený počet nájomcov MHV SR spracovalo prepočet predpokladaných výdavkov zo štátneho rozpočtu na obstaranie 1 000 náhradných nájomných bytov. Prepočet celkových nákladov, vrátane projektovej prípravy stavieb, kúpy pozemkov a výstavbu technickej vybavenosti bol spracovaný na základe limitov nákladových ukazovateľov na </w:t>
      </w:r>
      <w:smartTag w:uri="urn:schemas-microsoft-com:office:smarttags" w:element="metricconverter">
        <w:smartTagPr>
          <w:attr w:name="ProductID" w:val="1 m2"/>
        </w:smartTagPr>
        <w:r>
          <w:t>1 m</w:t>
        </w:r>
        <w:r>
          <w:rPr>
            <w:vertAlign w:val="superscript"/>
          </w:rPr>
          <w:t>2</w:t>
        </w:r>
      </w:smartTag>
      <w:r>
        <w:rPr>
          <w:vertAlign w:val="superscript"/>
        </w:rPr>
        <w:t xml:space="preserve"> </w:t>
      </w:r>
      <w:r>
        <w:t xml:space="preserve">podlahovej plochy bytu používaných pri poskytovaní dotácií na obstaranie nájomných bytov v rámci Programu rozvoja bývania, platných od roku 2009, resp. odborného odhadu. </w:t>
      </w:r>
    </w:p>
    <w:p w:rsidR="00BD06E7" w:rsidRDefault="00BD06E7" w:rsidP="00BD06E7">
      <w:pPr>
        <w:spacing w:line="360" w:lineRule="auto"/>
        <w:jc w:val="both"/>
      </w:pPr>
    </w:p>
    <w:p w:rsidR="00BD06E7" w:rsidRDefault="00BD06E7" w:rsidP="00BD06E7">
      <w:pPr>
        <w:spacing w:line="360" w:lineRule="auto"/>
        <w:jc w:val="both"/>
      </w:pPr>
    </w:p>
    <w:p w:rsidR="00BD06E7" w:rsidRDefault="00BD06E7" w:rsidP="00BD06E7">
      <w:pPr>
        <w:pStyle w:val="Odsekzoznamu"/>
        <w:numPr>
          <w:ilvl w:val="0"/>
          <w:numId w:val="1"/>
        </w:numPr>
        <w:rPr>
          <w:b/>
        </w:rPr>
      </w:pPr>
      <w:r>
        <w:rPr>
          <w:b/>
        </w:rPr>
        <w:t>Odhadovaná potreba finančných prostriedkov zo štátneho rozpočtu na obstaranie náhradných nájomných bytov  podľa jednotlivých rokov.</w:t>
      </w:r>
    </w:p>
    <w:p w:rsidR="00BD06E7" w:rsidRDefault="00BD06E7" w:rsidP="00BD06E7">
      <w:pPr>
        <w:spacing w:line="360" w:lineRule="auto"/>
        <w:ind w:left="4956" w:firstLine="708"/>
        <w:jc w:val="center"/>
      </w:pPr>
      <w:r>
        <w:t xml:space="preserve">                       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60"/>
      </w:tblPr>
      <w:tblGrid>
        <w:gridCol w:w="2268"/>
        <w:gridCol w:w="1101"/>
        <w:gridCol w:w="850"/>
        <w:gridCol w:w="851"/>
        <w:gridCol w:w="850"/>
        <w:gridCol w:w="851"/>
        <w:gridCol w:w="850"/>
        <w:gridCol w:w="1559"/>
      </w:tblGrid>
      <w:tr w:rsidR="00BD06E7" w:rsidTr="00BD06E7"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6E7" w:rsidRDefault="00BD06E7">
            <w:pPr>
              <w:spacing w:line="360" w:lineRule="auto"/>
              <w:jc w:val="center"/>
            </w:pPr>
          </w:p>
        </w:tc>
        <w:tc>
          <w:tcPr>
            <w:tcW w:w="535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6E7" w:rsidRDefault="00BD06E7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Roky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6E7" w:rsidRDefault="00BD06E7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  <w:p w:rsidR="00BD06E7" w:rsidRDefault="00BD06E7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Spolu</w:t>
            </w:r>
          </w:p>
        </w:tc>
      </w:tr>
      <w:tr w:rsidR="00BD06E7" w:rsidTr="00BD06E7"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6E7" w:rsidRDefault="00BD06E7"/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6E7" w:rsidRDefault="00BD06E7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2011-2012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6E7" w:rsidRDefault="00BD06E7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6E7" w:rsidRDefault="00BD06E7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6E7" w:rsidRDefault="00BD06E7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6E7" w:rsidRDefault="00BD06E7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6E7" w:rsidRDefault="00BD06E7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2017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6E7" w:rsidRDefault="00BD06E7">
            <w:pPr>
              <w:rPr>
                <w:b/>
                <w:sz w:val="20"/>
                <w:szCs w:val="20"/>
              </w:rPr>
            </w:pPr>
          </w:p>
        </w:tc>
      </w:tr>
      <w:tr w:rsidR="00BD06E7" w:rsidTr="00BD06E7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6E7" w:rsidRDefault="00BD06E7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Obstaranie náhradných nájomných bytov</w:t>
            </w:r>
          </w:p>
          <w:p w:rsidR="00BD06E7" w:rsidRDefault="00BD06E7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(v tis eur)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6E7" w:rsidRDefault="00BD06E7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6E7" w:rsidRDefault="00BD06E7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10 500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6E7" w:rsidRDefault="00BD06E7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13 500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6E7" w:rsidRDefault="00BD06E7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20 000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6E7" w:rsidRDefault="00BD06E7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6E7" w:rsidRDefault="00BD06E7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6E7" w:rsidRDefault="00BD06E7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54 500</w:t>
            </w:r>
          </w:p>
        </w:tc>
      </w:tr>
    </w:tbl>
    <w:p w:rsidR="00BD06E7" w:rsidRDefault="00BD06E7" w:rsidP="00BD06E7"/>
    <w:p w:rsidR="00BD06E7" w:rsidRDefault="00BD06E7" w:rsidP="00BD06E7">
      <w:pPr>
        <w:jc w:val="both"/>
      </w:pPr>
    </w:p>
    <w:p w:rsidR="00BD06E7" w:rsidRDefault="00BD06E7" w:rsidP="00BD06E7">
      <w:pPr>
        <w:pStyle w:val="Odsekzoznamu"/>
        <w:numPr>
          <w:ilvl w:val="0"/>
          <w:numId w:val="1"/>
        </w:numPr>
        <w:jc w:val="both"/>
      </w:pPr>
      <w:r>
        <w:rPr>
          <w:b/>
        </w:rPr>
        <w:t>Odhadovaná potreba finančných prostriedkov zo štátneho rozpočtu na projektovú prípravu stavieb, výstavbu technickej vybavenosti a na kúpu pozemkov pre  náhradné nájomné byty  podľa jednotlivých rokov spolu.</w:t>
      </w:r>
    </w:p>
    <w:p w:rsidR="00BD06E7" w:rsidRDefault="00BD06E7" w:rsidP="00BD06E7">
      <w:pPr>
        <w:pStyle w:val="Odsekzoznamu"/>
        <w:spacing w:line="360" w:lineRule="auto"/>
        <w:ind w:left="7440" w:firstLine="348"/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08"/>
        <w:gridCol w:w="1161"/>
        <w:gridCol w:w="795"/>
        <w:gridCol w:w="906"/>
        <w:gridCol w:w="850"/>
        <w:gridCol w:w="851"/>
        <w:gridCol w:w="850"/>
        <w:gridCol w:w="1559"/>
      </w:tblGrid>
      <w:tr w:rsidR="00BD06E7" w:rsidTr="00BD06E7">
        <w:tc>
          <w:tcPr>
            <w:tcW w:w="22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6E7" w:rsidRDefault="00BD06E7">
            <w:pPr>
              <w:spacing w:line="360" w:lineRule="auto"/>
              <w:jc w:val="center"/>
            </w:pPr>
          </w:p>
        </w:tc>
        <w:tc>
          <w:tcPr>
            <w:tcW w:w="54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6E7" w:rsidRDefault="00BD06E7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Roky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6E7" w:rsidRDefault="00BD06E7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  <w:p w:rsidR="00BD06E7" w:rsidRDefault="00BD06E7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Spolu</w:t>
            </w:r>
          </w:p>
        </w:tc>
      </w:tr>
      <w:tr w:rsidR="00BD06E7" w:rsidTr="00BD06E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6E7" w:rsidRDefault="00BD06E7"/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6E7" w:rsidRDefault="00BD06E7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2011-2012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6E7" w:rsidRDefault="00BD06E7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2013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6E7" w:rsidRDefault="00BD06E7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6E7" w:rsidRDefault="00BD06E7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6E7" w:rsidRDefault="00BD06E7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6E7" w:rsidRDefault="00BD06E7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2017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6E7" w:rsidRDefault="00BD06E7">
            <w:pPr>
              <w:rPr>
                <w:b/>
                <w:sz w:val="20"/>
                <w:szCs w:val="20"/>
              </w:rPr>
            </w:pPr>
          </w:p>
        </w:tc>
      </w:tr>
      <w:tr w:rsidR="00BD06E7" w:rsidTr="00BD06E7"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6E7" w:rsidRDefault="00BD06E7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Projektovú prípravu</w:t>
            </w:r>
          </w:p>
          <w:p w:rsidR="00BD06E7" w:rsidRDefault="00BD06E7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(v tis eur)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6E7" w:rsidRDefault="00BD06E7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6E7" w:rsidRDefault="00BD06E7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6E7" w:rsidRDefault="00BD06E7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1 550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6E7" w:rsidRDefault="00BD06E7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6E7" w:rsidRDefault="00BD06E7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6E7" w:rsidRDefault="00BD06E7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6E7" w:rsidRDefault="00BD06E7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2 750</w:t>
            </w:r>
          </w:p>
        </w:tc>
      </w:tr>
      <w:tr w:rsidR="00BD06E7" w:rsidTr="00BD06E7"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6E7" w:rsidRDefault="00BD06E7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Obstaranie technickej vybavenosti</w:t>
            </w:r>
          </w:p>
          <w:p w:rsidR="00BD06E7" w:rsidRDefault="00BD06E7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(v tis eur)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6E7" w:rsidRDefault="00BD06E7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6E7" w:rsidRDefault="00BD06E7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1 550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6E7" w:rsidRDefault="00BD06E7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6E7" w:rsidRDefault="00BD06E7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1 500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6E7" w:rsidRDefault="00BD06E7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6E7" w:rsidRDefault="00BD06E7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6E7" w:rsidRDefault="00BD06E7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5 450</w:t>
            </w:r>
          </w:p>
        </w:tc>
      </w:tr>
      <w:tr w:rsidR="00BD06E7" w:rsidTr="00BD06E7"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6E7" w:rsidRDefault="00BD06E7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Kúpa pozemkov</w:t>
            </w:r>
          </w:p>
          <w:p w:rsidR="00BD06E7" w:rsidRDefault="00BD06E7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(v tis eur)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6E7" w:rsidRDefault="00BD06E7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6E7" w:rsidRDefault="00BD06E7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1000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6E7" w:rsidRDefault="00BD06E7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6E7" w:rsidRDefault="00BD06E7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3 500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6E7" w:rsidRDefault="00BD06E7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2 500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6E7" w:rsidRDefault="00BD06E7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6E7" w:rsidRDefault="00BD06E7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10 000</w:t>
            </w:r>
          </w:p>
        </w:tc>
      </w:tr>
      <w:tr w:rsidR="00BD06E7" w:rsidTr="00BD06E7"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6E7" w:rsidRDefault="00BD06E7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Spolu</w:t>
            </w:r>
          </w:p>
          <w:p w:rsidR="00BD06E7" w:rsidRDefault="00BD06E7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(v tis eur)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6E7" w:rsidRDefault="00BD06E7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6E7" w:rsidRDefault="00BD06E7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3 050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6E7" w:rsidRDefault="00BD06E7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5 550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6E7" w:rsidRDefault="00BD06E7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5 500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6E7" w:rsidRDefault="00BD06E7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3 100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6E7" w:rsidRDefault="00BD06E7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6E7" w:rsidRDefault="00BD06E7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18 200</w:t>
            </w:r>
          </w:p>
        </w:tc>
      </w:tr>
    </w:tbl>
    <w:p w:rsidR="00BD06E7" w:rsidRDefault="00BD06E7" w:rsidP="00BD06E7">
      <w:pPr>
        <w:spacing w:line="360" w:lineRule="auto"/>
        <w:jc w:val="both"/>
      </w:pPr>
    </w:p>
    <w:p w:rsidR="00BD06E7" w:rsidRDefault="00BD06E7" w:rsidP="00BD06E7"/>
    <w:p w:rsidR="00BD06E7" w:rsidRDefault="00BD06E7" w:rsidP="00BD06E7">
      <w:pPr>
        <w:jc w:val="both"/>
      </w:pPr>
      <w:r>
        <w:rPr>
          <w:b/>
        </w:rPr>
        <w:t xml:space="preserve">Celkové predpokladané finančné výdavky zo štátneho rozpočtu na obstaranie a prípravu 1 000 náhradných nájomných bytov predstavujú sumu cca 72 700 tis. eur. </w:t>
      </w:r>
    </w:p>
    <w:p w:rsidR="00BD06E7" w:rsidRDefault="00BD06E7" w:rsidP="00BD06E7">
      <w:pPr>
        <w:spacing w:line="360" w:lineRule="auto"/>
        <w:ind w:firstLine="708"/>
        <w:jc w:val="both"/>
      </w:pPr>
    </w:p>
    <w:p w:rsidR="00BD06E7" w:rsidRDefault="00BD06E7" w:rsidP="00BD06E7">
      <w:pPr>
        <w:spacing w:before="120"/>
        <w:ind w:firstLine="709"/>
        <w:jc w:val="both"/>
      </w:pPr>
      <w:r>
        <w:t xml:space="preserve">Z tejto sumy by sa cca 54 500 tisíc eur  použilo na obstaranie náhradných nájomných bytov, zvyšných 18 200 tisíc eur by bolo potrebných na výkup pozemkov, projektovú prípravu stavieb a výstavbu technickej vybavenosti. </w:t>
      </w:r>
    </w:p>
    <w:p w:rsidR="00BD06E7" w:rsidRDefault="00BD06E7" w:rsidP="00BD06E7">
      <w:pPr>
        <w:spacing w:before="120"/>
        <w:ind w:firstLine="709"/>
        <w:jc w:val="both"/>
      </w:pPr>
      <w:r>
        <w:t>Pretože nie všetci nájomcovia budú v zmysle kritérií stanovených v návrhu zákona  spĺňať podmienky na požiadanie a poskytnutie náhradného bytu, odhaduje sa, že reálna potreba prostriedkov zo štátneho rozpočtu vo forme dotácií môže byť o niečo nižšia. Súčasne však sa budú upravovať náklady súvisiace s obstaraním náhradných bytov v závislosti na rastie cien stavebných prác a materiálov.</w:t>
      </w:r>
    </w:p>
    <w:p w:rsidR="00BD06E7" w:rsidRDefault="00BD06E7" w:rsidP="00BD06E7">
      <w:pPr>
        <w:ind w:left="284" w:hanging="284"/>
        <w:jc w:val="both"/>
        <w:rPr>
          <w:b/>
        </w:rPr>
      </w:pPr>
    </w:p>
    <w:p w:rsidR="00BD06E7" w:rsidRDefault="00BD06E7" w:rsidP="00BD06E7">
      <w:pPr>
        <w:pStyle w:val="Odsekzoznamu"/>
        <w:numPr>
          <w:ilvl w:val="0"/>
          <w:numId w:val="1"/>
        </w:numPr>
        <w:jc w:val="both"/>
        <w:rPr>
          <w:b/>
        </w:rPr>
      </w:pPr>
      <w:r>
        <w:rPr>
          <w:b/>
        </w:rPr>
        <w:t>Odhadovaná potreba finančných prostriedkov z rozpočtov obcí na náklady  spojené   so sťahovaním.</w:t>
      </w:r>
    </w:p>
    <w:p w:rsidR="00BD06E7" w:rsidRDefault="00BD06E7" w:rsidP="00BD06E7">
      <w:pPr>
        <w:ind w:left="284" w:hanging="284"/>
        <w:jc w:val="both"/>
        <w:rPr>
          <w:b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60"/>
      </w:tblPr>
      <w:tblGrid>
        <w:gridCol w:w="1526"/>
        <w:gridCol w:w="815"/>
        <w:gridCol w:w="815"/>
        <w:gridCol w:w="815"/>
        <w:gridCol w:w="815"/>
        <w:gridCol w:w="815"/>
        <w:gridCol w:w="815"/>
        <w:gridCol w:w="815"/>
        <w:gridCol w:w="815"/>
        <w:gridCol w:w="1134"/>
      </w:tblGrid>
      <w:tr w:rsidR="00BD06E7" w:rsidTr="00BD06E7">
        <w:tc>
          <w:tcPr>
            <w:tcW w:w="15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6E7" w:rsidRDefault="00BD06E7">
            <w:pPr>
              <w:spacing w:line="360" w:lineRule="auto"/>
              <w:jc w:val="center"/>
            </w:pPr>
          </w:p>
        </w:tc>
        <w:tc>
          <w:tcPr>
            <w:tcW w:w="652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6E7" w:rsidRDefault="00BD06E7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Roky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6E7" w:rsidRDefault="00BD06E7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  <w:p w:rsidR="00BD06E7" w:rsidRDefault="00BD06E7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Spolu</w:t>
            </w:r>
          </w:p>
        </w:tc>
      </w:tr>
      <w:tr w:rsidR="00BD06E7" w:rsidTr="00BD06E7">
        <w:tc>
          <w:tcPr>
            <w:tcW w:w="15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6E7" w:rsidRDefault="00BD06E7"/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6E7" w:rsidRDefault="00BD06E7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2011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6E7" w:rsidRDefault="00BD06E7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2012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6E7" w:rsidRDefault="00BD06E7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2013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6E7" w:rsidRDefault="00BD06E7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2014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6E7" w:rsidRDefault="00BD06E7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2015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6E7" w:rsidRDefault="00BD06E7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2016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6E7" w:rsidRDefault="00BD06E7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2017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6E7" w:rsidRDefault="00BD06E7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2018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6E7" w:rsidRDefault="00BD06E7">
            <w:pPr>
              <w:rPr>
                <w:b/>
                <w:sz w:val="20"/>
                <w:szCs w:val="20"/>
              </w:rPr>
            </w:pPr>
          </w:p>
        </w:tc>
      </w:tr>
      <w:tr w:rsidR="00BD06E7" w:rsidTr="00BD06E7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6E7" w:rsidRDefault="00BD06E7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Náklady spojené so sťahovaním (v tis eur)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6E7" w:rsidRDefault="00BD06E7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:rsidR="00BD06E7" w:rsidRDefault="00BD06E7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6E7" w:rsidRDefault="00BD06E7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6E7" w:rsidRDefault="00BD06E7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5,2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6E7" w:rsidRDefault="00BD06E7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50,0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6E7" w:rsidRDefault="00BD06E7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75,2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6E7" w:rsidRDefault="00BD06E7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70,0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6E7" w:rsidRDefault="00BD06E7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75,6 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6E7" w:rsidRDefault="00BD06E7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6E7" w:rsidRDefault="00BD06E7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276,0</w:t>
            </w:r>
          </w:p>
        </w:tc>
      </w:tr>
    </w:tbl>
    <w:p w:rsidR="00BD06E7" w:rsidRDefault="00BD06E7" w:rsidP="00BD06E7">
      <w:pPr>
        <w:ind w:left="284" w:hanging="284"/>
        <w:rPr>
          <w:b/>
        </w:rPr>
      </w:pPr>
    </w:p>
    <w:p w:rsidR="00BD06E7" w:rsidRDefault="00BD06E7" w:rsidP="00BD06E7">
      <w:pPr>
        <w:ind w:left="284" w:hanging="284"/>
        <w:jc w:val="both"/>
        <w:rPr>
          <w:b/>
        </w:rPr>
      </w:pPr>
    </w:p>
    <w:p w:rsidR="00BD06E7" w:rsidRDefault="00BD06E7" w:rsidP="00BD06E7">
      <w:pPr>
        <w:ind w:left="284" w:hanging="284"/>
        <w:jc w:val="both"/>
        <w:rPr>
          <w:b/>
        </w:rPr>
      </w:pPr>
    </w:p>
    <w:p w:rsidR="00BD06E7" w:rsidRDefault="00BD06E7" w:rsidP="00BD06E7">
      <w:pPr>
        <w:ind w:left="284" w:hanging="284"/>
        <w:jc w:val="both"/>
        <w:rPr>
          <w:b/>
        </w:rPr>
      </w:pPr>
    </w:p>
    <w:p w:rsidR="00BD06E7" w:rsidRDefault="00BD06E7" w:rsidP="00BD06E7">
      <w:pPr>
        <w:pStyle w:val="Odsekzoznamu"/>
        <w:numPr>
          <w:ilvl w:val="0"/>
          <w:numId w:val="1"/>
        </w:numPr>
        <w:jc w:val="both"/>
        <w:rPr>
          <w:b/>
        </w:rPr>
      </w:pPr>
      <w:r>
        <w:rPr>
          <w:b/>
        </w:rPr>
        <w:t xml:space="preserve"> Odhadovaná potreba finančných prostriedkov z rozpočtov obcí na nájomné v prípadoch ak obce nezabezpečia bytovú náhradu v termínoch podľa návrhu zákona.</w:t>
      </w:r>
    </w:p>
    <w:p w:rsidR="00BD06E7" w:rsidRDefault="00BD06E7" w:rsidP="00BD06E7">
      <w:pPr>
        <w:ind w:left="284" w:hanging="284"/>
        <w:jc w:val="both"/>
        <w:rPr>
          <w:b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60"/>
      </w:tblPr>
      <w:tblGrid>
        <w:gridCol w:w="1526"/>
        <w:gridCol w:w="815"/>
        <w:gridCol w:w="815"/>
        <w:gridCol w:w="815"/>
        <w:gridCol w:w="815"/>
        <w:gridCol w:w="815"/>
        <w:gridCol w:w="815"/>
        <w:gridCol w:w="815"/>
        <w:gridCol w:w="815"/>
        <w:gridCol w:w="1134"/>
      </w:tblGrid>
      <w:tr w:rsidR="00BD06E7" w:rsidTr="00BD06E7">
        <w:tc>
          <w:tcPr>
            <w:tcW w:w="15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6E7" w:rsidRDefault="00BD06E7">
            <w:pPr>
              <w:spacing w:line="360" w:lineRule="auto"/>
              <w:jc w:val="center"/>
            </w:pPr>
          </w:p>
        </w:tc>
        <w:tc>
          <w:tcPr>
            <w:tcW w:w="652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6E7" w:rsidRDefault="00BD06E7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Roky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6E7" w:rsidRDefault="00BD06E7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  <w:p w:rsidR="00BD06E7" w:rsidRDefault="00BD06E7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Spolu</w:t>
            </w:r>
          </w:p>
        </w:tc>
      </w:tr>
      <w:tr w:rsidR="00BD06E7" w:rsidTr="00BD06E7">
        <w:tc>
          <w:tcPr>
            <w:tcW w:w="15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6E7" w:rsidRDefault="00BD06E7"/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6E7" w:rsidRDefault="00BD06E7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2011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6E7" w:rsidRDefault="00BD06E7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2012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6E7" w:rsidRDefault="00BD06E7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2013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6E7" w:rsidRDefault="00BD06E7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2014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6E7" w:rsidRDefault="00BD06E7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2015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6E7" w:rsidRDefault="00BD06E7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2016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6E7" w:rsidRDefault="00BD06E7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2017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6E7" w:rsidRDefault="00BD06E7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2018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6E7" w:rsidRDefault="00BD06E7">
            <w:pPr>
              <w:rPr>
                <w:b/>
                <w:sz w:val="20"/>
                <w:szCs w:val="20"/>
              </w:rPr>
            </w:pPr>
          </w:p>
        </w:tc>
      </w:tr>
      <w:tr w:rsidR="00BD06E7" w:rsidTr="00BD06E7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6E7" w:rsidRDefault="00BD06E7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Náklady na nájomné za jeden rok </w:t>
            </w:r>
          </w:p>
          <w:p w:rsidR="00BD06E7" w:rsidRDefault="00BD06E7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(v tis eur)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6E7" w:rsidRDefault="00BD06E7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6E7" w:rsidRDefault="00BD06E7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6E7" w:rsidRDefault="00BD06E7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6E7" w:rsidRDefault="00BD06E7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6E7" w:rsidRDefault="00BD06E7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6E7" w:rsidRDefault="00BD06E7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6E7" w:rsidRDefault="00BD06E7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6E7" w:rsidRDefault="00BD06E7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158,4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6E7" w:rsidRDefault="00BD06E7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158,4</w:t>
            </w:r>
          </w:p>
        </w:tc>
      </w:tr>
    </w:tbl>
    <w:p w:rsidR="00BD06E7" w:rsidRDefault="00BD06E7" w:rsidP="00BD06E7">
      <w:pPr>
        <w:ind w:left="284" w:hanging="284"/>
        <w:rPr>
          <w:b/>
        </w:rPr>
      </w:pPr>
    </w:p>
    <w:p w:rsidR="00BD06E7" w:rsidRDefault="00BD06E7" w:rsidP="00BD06E7">
      <w:pPr>
        <w:ind w:left="284" w:hanging="284"/>
        <w:rPr>
          <w:b/>
        </w:rPr>
      </w:pPr>
    </w:p>
    <w:p w:rsidR="00BD06E7" w:rsidRDefault="00BD06E7" w:rsidP="00BD06E7">
      <w:pPr>
        <w:pStyle w:val="Odsekzoznamu"/>
        <w:numPr>
          <w:ilvl w:val="0"/>
          <w:numId w:val="1"/>
        </w:numPr>
        <w:rPr>
          <w:b/>
        </w:rPr>
      </w:pPr>
      <w:r>
        <w:rPr>
          <w:b/>
        </w:rPr>
        <w:t xml:space="preserve">Prijmi do rozpočtu obcí  z pokút štátnych orgánov,  iných orgánov a právnických osôb pri neposkytnutí súčinnosti. </w:t>
      </w:r>
    </w:p>
    <w:p w:rsidR="00BD06E7" w:rsidRDefault="00BD06E7" w:rsidP="00BD06E7">
      <w:pPr>
        <w:ind w:left="284" w:hanging="284"/>
        <w:rPr>
          <w:b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60"/>
      </w:tblPr>
      <w:tblGrid>
        <w:gridCol w:w="1668"/>
        <w:gridCol w:w="673"/>
        <w:gridCol w:w="815"/>
        <w:gridCol w:w="815"/>
        <w:gridCol w:w="815"/>
        <w:gridCol w:w="815"/>
        <w:gridCol w:w="815"/>
        <w:gridCol w:w="815"/>
        <w:gridCol w:w="815"/>
        <w:gridCol w:w="1134"/>
      </w:tblGrid>
      <w:tr w:rsidR="00BD06E7" w:rsidTr="00BD06E7">
        <w:tc>
          <w:tcPr>
            <w:tcW w:w="16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6E7" w:rsidRDefault="00BD06E7">
            <w:pPr>
              <w:spacing w:line="360" w:lineRule="auto"/>
              <w:jc w:val="center"/>
            </w:pPr>
          </w:p>
        </w:tc>
        <w:tc>
          <w:tcPr>
            <w:tcW w:w="637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6E7" w:rsidRDefault="00BD06E7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Roky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6E7" w:rsidRDefault="00BD06E7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  <w:p w:rsidR="00BD06E7" w:rsidRDefault="00BD06E7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Spolu</w:t>
            </w:r>
          </w:p>
        </w:tc>
      </w:tr>
      <w:tr w:rsidR="00BD06E7" w:rsidTr="00BD06E7">
        <w:tc>
          <w:tcPr>
            <w:tcW w:w="1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6E7" w:rsidRDefault="00BD06E7"/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6E7" w:rsidRDefault="00BD06E7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2011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6E7" w:rsidRDefault="00BD06E7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2012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6E7" w:rsidRDefault="00BD06E7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2013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6E7" w:rsidRDefault="00BD06E7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2014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6E7" w:rsidRDefault="00BD06E7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2015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6E7" w:rsidRDefault="00BD06E7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2016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6E7" w:rsidRDefault="00BD06E7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2017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6E7" w:rsidRDefault="00BD06E7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2018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6E7" w:rsidRDefault="00BD06E7">
            <w:pPr>
              <w:rPr>
                <w:b/>
                <w:sz w:val="20"/>
                <w:szCs w:val="20"/>
              </w:rPr>
            </w:pPr>
          </w:p>
        </w:tc>
      </w:tr>
      <w:tr w:rsidR="00BD06E7" w:rsidTr="00BD06E7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6E7" w:rsidRDefault="00BD06E7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Prijmi pri neposkytnutí súčinnosti </w:t>
            </w:r>
          </w:p>
          <w:p w:rsidR="00BD06E7" w:rsidRDefault="00BD06E7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(v tis eur)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6E7" w:rsidRDefault="00BD06E7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2,0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6E7" w:rsidRDefault="00BD06E7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5,5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6E7" w:rsidRDefault="00BD06E7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6E7" w:rsidRDefault="00BD06E7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6E7" w:rsidRDefault="00BD06E7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6E7" w:rsidRDefault="00BD06E7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6E7" w:rsidRDefault="00BD06E7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6E7" w:rsidRDefault="00BD06E7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6E7" w:rsidRDefault="00BD06E7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7,5</w:t>
            </w:r>
          </w:p>
        </w:tc>
      </w:tr>
    </w:tbl>
    <w:p w:rsidR="00BD06E7" w:rsidRDefault="00BD06E7" w:rsidP="00BD06E7">
      <w:pPr>
        <w:ind w:left="284" w:hanging="284"/>
        <w:rPr>
          <w:b/>
        </w:rPr>
      </w:pPr>
    </w:p>
    <w:p w:rsidR="00BD06E7" w:rsidRDefault="00BD06E7" w:rsidP="00BD06E7">
      <w:pPr>
        <w:jc w:val="both"/>
        <w:rPr>
          <w:b/>
        </w:rPr>
      </w:pPr>
      <w:r>
        <w:rPr>
          <w:b/>
        </w:rPr>
        <w:t>Odhadovaná výška nákladov z rozpočtov obcí (náklady na sťahovanie a náklady na nájomné ak obce nezabezpečia v termíne  náhradné nájomné byty) predstavuje spolu cca 434,4 tisíc eur.</w:t>
      </w:r>
    </w:p>
    <w:p w:rsidR="00BD06E7" w:rsidRDefault="00BD06E7" w:rsidP="00BD06E7">
      <w:pPr>
        <w:jc w:val="both"/>
        <w:rPr>
          <w:b/>
        </w:rPr>
      </w:pPr>
    </w:p>
    <w:p w:rsidR="00BD06E7" w:rsidRDefault="00D93EF2" w:rsidP="00BD06E7">
      <w:pPr>
        <w:jc w:val="both"/>
      </w:pPr>
      <w:r>
        <w:rPr>
          <w:b/>
        </w:rPr>
        <w:t>Odhadované prijmy</w:t>
      </w:r>
      <w:r w:rsidR="00BD06E7">
        <w:rPr>
          <w:b/>
        </w:rPr>
        <w:t xml:space="preserve"> do rozpočtu obcí z pokút pri neposkytnutí súčinnosti predstavujú spolu cca</w:t>
      </w:r>
      <w:r w:rsidR="00BD06E7">
        <w:t xml:space="preserve"> </w:t>
      </w:r>
      <w:r w:rsidR="00BD06E7">
        <w:rPr>
          <w:b/>
        </w:rPr>
        <w:t>7,5 tisíc eur.</w:t>
      </w:r>
    </w:p>
    <w:p w:rsidR="00BD06E7" w:rsidRDefault="00BD06E7" w:rsidP="00BD06E7">
      <w:pPr>
        <w:spacing w:before="120"/>
        <w:jc w:val="both"/>
      </w:pPr>
    </w:p>
    <w:p w:rsidR="00BD06E7" w:rsidRDefault="00BD06E7" w:rsidP="00BD06E7">
      <w:pPr>
        <w:spacing w:before="120"/>
        <w:ind w:firstLine="709"/>
        <w:jc w:val="both"/>
      </w:pPr>
    </w:p>
    <w:p w:rsidR="00BD06E7" w:rsidRDefault="00BD06E7" w:rsidP="00BD06E7">
      <w:pPr>
        <w:spacing w:before="120"/>
        <w:ind w:firstLine="709"/>
        <w:jc w:val="both"/>
      </w:pPr>
    </w:p>
    <w:p w:rsidR="00BD06E7" w:rsidRDefault="00BD06E7" w:rsidP="00BD06E7">
      <w:pPr>
        <w:spacing w:before="120"/>
        <w:ind w:firstLine="709"/>
        <w:jc w:val="both"/>
      </w:pPr>
    </w:p>
    <w:p w:rsidR="00BD06E7" w:rsidRDefault="00BD06E7" w:rsidP="00BD06E7">
      <w:pPr>
        <w:spacing w:before="120"/>
        <w:ind w:firstLine="709"/>
        <w:jc w:val="both"/>
      </w:pPr>
    </w:p>
    <w:p w:rsidR="00BD06E7" w:rsidRDefault="00BD06E7" w:rsidP="00BD06E7">
      <w:pPr>
        <w:ind w:left="284" w:hanging="284"/>
        <w:jc w:val="both"/>
      </w:pPr>
      <w:r>
        <w:rPr>
          <w:b/>
        </w:rPr>
        <w:t xml:space="preserve">  </w:t>
      </w:r>
    </w:p>
    <w:p w:rsidR="00BD06E7" w:rsidRDefault="00BD06E7" w:rsidP="00BD06E7">
      <w:pPr>
        <w:spacing w:before="120"/>
        <w:ind w:firstLine="709"/>
        <w:jc w:val="both"/>
      </w:pPr>
    </w:p>
    <w:p w:rsidR="00BD06E7" w:rsidRDefault="00BD06E7" w:rsidP="00BD06E7">
      <w:pPr>
        <w:sectPr w:rsidR="00BD06E7">
          <w:pgSz w:w="12240" w:h="15840"/>
          <w:pgMar w:top="1417" w:right="1417" w:bottom="1417" w:left="1417" w:header="708" w:footer="708" w:gutter="0"/>
          <w:cols w:space="708"/>
          <w:rtlGutter/>
        </w:sectPr>
      </w:pPr>
    </w:p>
    <w:p w:rsidR="00BD06E7" w:rsidRDefault="00BD06E7" w:rsidP="00BD06E7">
      <w:pPr>
        <w:pStyle w:val="Normlnywebov"/>
        <w:spacing w:before="0" w:beforeAutospacing="0" w:after="0" w:afterAutospacing="0"/>
        <w:jc w:val="right"/>
      </w:pPr>
      <w:r>
        <w:lastRenderedPageBreak/>
        <w:t xml:space="preserve">Tabuľka č. 4 </w:t>
      </w:r>
    </w:p>
    <w:tbl>
      <w:tblPr>
        <w:tblW w:w="13950" w:type="dxa"/>
        <w:tblCellMar>
          <w:left w:w="0" w:type="dxa"/>
          <w:right w:w="0" w:type="dxa"/>
        </w:tblCellMar>
        <w:tblLook w:val="04A0"/>
      </w:tblPr>
      <w:tblGrid>
        <w:gridCol w:w="6449"/>
        <w:gridCol w:w="1276"/>
        <w:gridCol w:w="1276"/>
        <w:gridCol w:w="1275"/>
        <w:gridCol w:w="1276"/>
        <w:gridCol w:w="2398"/>
      </w:tblGrid>
      <w:tr w:rsidR="00BD06E7" w:rsidTr="00BD06E7">
        <w:trPr>
          <w:trHeight w:val="255"/>
        </w:trPr>
        <w:tc>
          <w:tcPr>
            <w:tcW w:w="64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BD06E7" w:rsidRDefault="00BD06E7">
            <w:pPr>
              <w:pStyle w:val="Normlnywebov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  <w:r>
              <w:rPr>
                <w:b/>
                <w:bCs/>
                <w:color w:val="FFFFFF"/>
                <w:sz w:val="20"/>
                <w:szCs w:val="20"/>
              </w:rPr>
              <w:t>Príjmy (v eurách)</w:t>
            </w:r>
          </w:p>
        </w:tc>
        <w:tc>
          <w:tcPr>
            <w:tcW w:w="510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000000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D06E7" w:rsidRDefault="00BD06E7">
            <w:pPr>
              <w:pStyle w:val="Normlnywebov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color w:val="FFFFFF"/>
                <w:sz w:val="20"/>
                <w:szCs w:val="20"/>
              </w:rPr>
              <w:t>Vplyv na rozpočet verejnej správy</w:t>
            </w:r>
          </w:p>
        </w:tc>
        <w:tc>
          <w:tcPr>
            <w:tcW w:w="23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BD06E7" w:rsidRDefault="00BD06E7">
            <w:pPr>
              <w:pStyle w:val="Normlnywebov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color w:val="FFFFFF"/>
                <w:sz w:val="20"/>
                <w:szCs w:val="20"/>
              </w:rPr>
              <w:t>poznámka</w:t>
            </w:r>
          </w:p>
        </w:tc>
      </w:tr>
      <w:tr w:rsidR="00BD06E7" w:rsidTr="00BD06E7">
        <w:trPr>
          <w:trHeight w:val="255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06E7" w:rsidRDefault="00BD06E7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000000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D06E7" w:rsidRDefault="00BD06E7">
            <w:pPr>
              <w:pStyle w:val="Normlnywebov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color w:val="FFFFFF"/>
                <w:sz w:val="20"/>
                <w:szCs w:val="20"/>
              </w:rPr>
              <w:t>2010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000000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D06E7" w:rsidRDefault="00BD06E7">
            <w:pPr>
              <w:pStyle w:val="Normlnywebov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color w:val="FFFFFF"/>
                <w:sz w:val="20"/>
                <w:szCs w:val="20"/>
              </w:rPr>
              <w:t>2011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000000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D06E7" w:rsidRDefault="00BD06E7">
            <w:pPr>
              <w:pStyle w:val="Normlnywebov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color w:val="FFFFFF"/>
                <w:sz w:val="20"/>
                <w:szCs w:val="20"/>
              </w:rPr>
              <w:t>2012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000000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D06E7" w:rsidRDefault="00BD06E7">
            <w:pPr>
              <w:pStyle w:val="Normlnywebov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color w:val="FFFFFF"/>
                <w:sz w:val="20"/>
                <w:szCs w:val="20"/>
              </w:rPr>
              <w:t>2013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06E7" w:rsidRDefault="00BD06E7">
            <w:pPr>
              <w:rPr>
                <w:sz w:val="20"/>
                <w:szCs w:val="20"/>
              </w:rPr>
            </w:pPr>
          </w:p>
        </w:tc>
      </w:tr>
      <w:tr w:rsidR="00BD06E7" w:rsidTr="00BD06E7">
        <w:trPr>
          <w:trHeight w:val="255"/>
        </w:trPr>
        <w:tc>
          <w:tcPr>
            <w:tcW w:w="64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D06E7" w:rsidRDefault="00BD06E7">
            <w:pPr>
              <w:pStyle w:val="Normlnywebov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Daňové príjmy (100)</w:t>
            </w:r>
            <w:r>
              <w:rPr>
                <w:b/>
                <w:bCs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D06E7" w:rsidRDefault="00BD06E7">
            <w:pPr>
              <w:pStyle w:val="Normlnywebov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D06E7" w:rsidRDefault="00BD06E7">
            <w:pPr>
              <w:pStyle w:val="Normlnywebov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D06E7" w:rsidRDefault="00BD06E7">
            <w:pPr>
              <w:pStyle w:val="Normlnywebov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D06E7" w:rsidRDefault="00BD06E7">
            <w:pPr>
              <w:pStyle w:val="Normlnywebov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3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BD06E7" w:rsidRDefault="00BD06E7">
            <w:pPr>
              <w:pStyle w:val="Normlnywebov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BD06E7" w:rsidTr="00BD06E7">
        <w:trPr>
          <w:trHeight w:val="255"/>
        </w:trPr>
        <w:tc>
          <w:tcPr>
            <w:tcW w:w="64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D06E7" w:rsidRDefault="00BD06E7">
            <w:pPr>
              <w:pStyle w:val="Normlnywebov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Nedaňové príjmy (200)</w:t>
            </w:r>
            <w:r>
              <w:rPr>
                <w:b/>
                <w:bCs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D06E7" w:rsidRDefault="00BD06E7">
            <w:pPr>
              <w:pStyle w:val="Normlnywebov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D06E7" w:rsidRDefault="00BD06E7">
            <w:pPr>
              <w:pStyle w:val="Normlnywebov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D06E7" w:rsidRDefault="00BD06E7">
            <w:pPr>
              <w:pStyle w:val="Normlnywebov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D06E7" w:rsidRDefault="00BD06E7">
            <w:pPr>
              <w:pStyle w:val="Normlnywebov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3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BD06E7" w:rsidRDefault="00BD06E7">
            <w:pPr>
              <w:pStyle w:val="Normlnywebov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BD06E7" w:rsidTr="00BD06E7">
        <w:trPr>
          <w:trHeight w:val="255"/>
        </w:trPr>
        <w:tc>
          <w:tcPr>
            <w:tcW w:w="64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D06E7" w:rsidRDefault="00BD06E7">
            <w:pPr>
              <w:pStyle w:val="Normlnywebov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 220 Administratívne poplatky a iné poplatky a platby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D06E7" w:rsidRDefault="00BD06E7">
            <w:pPr>
              <w:pStyle w:val="Normlnywebov"/>
              <w:spacing w:before="0" w:beforeAutospacing="0" w:after="0" w:afterAutospacing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D06E7" w:rsidRDefault="00BD06E7">
            <w:pPr>
              <w:pStyle w:val="Normlnywebov"/>
              <w:spacing w:before="0" w:beforeAutospacing="0" w:after="0" w:afterAutospacing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D06E7" w:rsidRDefault="00BD06E7">
            <w:pPr>
              <w:pStyle w:val="Normlnywebov"/>
              <w:spacing w:before="0" w:beforeAutospacing="0" w:after="0" w:afterAutospacing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D06E7" w:rsidRDefault="00BD06E7">
            <w:pPr>
              <w:pStyle w:val="Normlnywebov"/>
              <w:spacing w:before="0" w:beforeAutospacing="0" w:after="0" w:afterAutospacing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3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BD06E7" w:rsidRDefault="00BD06E7">
            <w:pPr>
              <w:pStyle w:val="Normlnywebov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</w:tr>
      <w:tr w:rsidR="00BD06E7" w:rsidTr="00BD06E7">
        <w:trPr>
          <w:trHeight w:val="255"/>
        </w:trPr>
        <w:tc>
          <w:tcPr>
            <w:tcW w:w="64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D06E7" w:rsidRDefault="00BD06E7">
            <w:pPr>
              <w:pStyle w:val="Normlnywebov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 222 Pokuty, penále a iné sankcie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D06E7" w:rsidRDefault="00BD06E7">
            <w:pPr>
              <w:pStyle w:val="Normlnywebov"/>
              <w:spacing w:before="0" w:beforeAutospacing="0" w:after="0" w:afterAutospacing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D06E7" w:rsidRDefault="00BD06E7">
            <w:pPr>
              <w:pStyle w:val="Normlnywebov"/>
              <w:spacing w:before="0" w:beforeAutospacing="0" w:after="0" w:afterAutospacing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D06E7" w:rsidRDefault="00BD06E7">
            <w:pPr>
              <w:pStyle w:val="Normlnywebov"/>
              <w:spacing w:before="0" w:beforeAutospacing="0" w:after="0" w:afterAutospacing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D06E7" w:rsidRDefault="00BD06E7">
            <w:pPr>
              <w:pStyle w:val="Normlnywebov"/>
              <w:spacing w:before="0" w:beforeAutospacing="0" w:after="0" w:afterAutospacing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3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BD06E7" w:rsidRDefault="00BD06E7">
            <w:pPr>
              <w:pStyle w:val="Normlnywebov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</w:tr>
      <w:tr w:rsidR="00BD06E7" w:rsidTr="00BD06E7">
        <w:trPr>
          <w:trHeight w:val="255"/>
        </w:trPr>
        <w:tc>
          <w:tcPr>
            <w:tcW w:w="64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D06E7" w:rsidRDefault="00BD06E7">
            <w:pPr>
              <w:pStyle w:val="Normlnywebov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   222 003 Za porušenie predpisov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D06E7" w:rsidRDefault="00BD06E7">
            <w:pPr>
              <w:pStyle w:val="Normlnywebov"/>
              <w:spacing w:before="0" w:beforeAutospacing="0" w:after="0" w:afterAutospacing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D06E7" w:rsidRDefault="00BD06E7">
            <w:pPr>
              <w:pStyle w:val="Normlnywebov"/>
              <w:spacing w:before="0" w:beforeAutospacing="0" w:after="0" w:afterAutospacing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2 000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D06E7" w:rsidRDefault="00BD06E7">
            <w:pPr>
              <w:pStyle w:val="Normlnywebov"/>
              <w:spacing w:before="0" w:beforeAutospacing="0" w:after="0" w:afterAutospacing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5 500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D06E7" w:rsidRDefault="00BD06E7">
            <w:pPr>
              <w:pStyle w:val="Normlnywebov"/>
              <w:spacing w:before="0" w:beforeAutospacing="0" w:after="0" w:afterAutospacing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3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BD06E7" w:rsidRDefault="00BD06E7">
            <w:pPr>
              <w:pStyle w:val="Normlnywebov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</w:tr>
      <w:tr w:rsidR="00BD06E7" w:rsidTr="00BD06E7">
        <w:trPr>
          <w:trHeight w:val="255"/>
        </w:trPr>
        <w:tc>
          <w:tcPr>
            <w:tcW w:w="64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D06E7" w:rsidRDefault="00BD06E7">
            <w:pPr>
              <w:pStyle w:val="Normlnywebov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Granty a transfery (300)</w:t>
            </w:r>
            <w:r>
              <w:rPr>
                <w:b/>
                <w:bCs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D06E7" w:rsidRDefault="00BD06E7">
            <w:pPr>
              <w:pStyle w:val="Normlnywebov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D06E7" w:rsidRDefault="00BD06E7">
            <w:pPr>
              <w:pStyle w:val="Normlnywebov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D06E7" w:rsidRDefault="00BD06E7">
            <w:pPr>
              <w:pStyle w:val="Normlnywebov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D06E7" w:rsidRDefault="00BD06E7">
            <w:pPr>
              <w:pStyle w:val="Normlnywebov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3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BD06E7" w:rsidRDefault="00BD06E7">
            <w:pPr>
              <w:pStyle w:val="Normlnywebov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BD06E7" w:rsidTr="00BD06E7">
        <w:trPr>
          <w:trHeight w:val="255"/>
        </w:trPr>
        <w:tc>
          <w:tcPr>
            <w:tcW w:w="64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D06E7" w:rsidRDefault="00BD06E7">
            <w:pPr>
              <w:pStyle w:val="Normlnywebov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Príjmy z transakcií s finančnými aktívami a finančnými pasívami (400)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99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D06E7" w:rsidRDefault="00BD06E7">
            <w:pPr>
              <w:pStyle w:val="Normlnywebov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99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D06E7" w:rsidRDefault="00BD06E7">
            <w:pPr>
              <w:pStyle w:val="Normlnywebov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99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D06E7" w:rsidRDefault="00BD06E7">
            <w:pPr>
              <w:pStyle w:val="Normlnywebov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99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D06E7" w:rsidRDefault="00BD06E7">
            <w:pPr>
              <w:pStyle w:val="Normlnywebov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3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BD06E7" w:rsidRDefault="00BD06E7">
            <w:pPr>
              <w:pStyle w:val="Normlnywebov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BD06E7" w:rsidTr="00BD06E7">
        <w:trPr>
          <w:trHeight w:val="255"/>
        </w:trPr>
        <w:tc>
          <w:tcPr>
            <w:tcW w:w="64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D06E7" w:rsidRDefault="00BD06E7">
            <w:pPr>
              <w:pStyle w:val="Normlnywebov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Prijaté úvery, pôžičky a návratné finančné výpomoci (500)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99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D06E7" w:rsidRDefault="00BD06E7">
            <w:pPr>
              <w:pStyle w:val="Normlnywebov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99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D06E7" w:rsidRDefault="00BD06E7">
            <w:pPr>
              <w:pStyle w:val="Normlnywebov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99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D06E7" w:rsidRDefault="00BD06E7">
            <w:pPr>
              <w:pStyle w:val="Normlnywebov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99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D06E7" w:rsidRDefault="00BD06E7">
            <w:pPr>
              <w:pStyle w:val="Normlnywebov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3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BD06E7" w:rsidRDefault="00BD06E7">
            <w:pPr>
              <w:pStyle w:val="Normlnywebov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BD06E7" w:rsidTr="00BD06E7">
        <w:trPr>
          <w:trHeight w:val="255"/>
        </w:trPr>
        <w:tc>
          <w:tcPr>
            <w:tcW w:w="64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D06E7" w:rsidRDefault="00BD06E7">
            <w:pPr>
              <w:pStyle w:val="Normlnywebov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b/>
                <w:bCs/>
                <w:color w:val="FFFFFF"/>
                <w:sz w:val="20"/>
                <w:szCs w:val="20"/>
              </w:rPr>
              <w:t>Dopad na príjmy verejnej správy celkom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000000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D06E7" w:rsidRDefault="00BD06E7">
            <w:pPr>
              <w:pStyle w:val="Normlnywebov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color w:val="FFFFFF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000000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D06E7" w:rsidRDefault="00BD06E7">
            <w:pPr>
              <w:pStyle w:val="Normlnywebov"/>
              <w:spacing w:before="0" w:beforeAutospacing="0" w:after="0" w:afterAutospacing="0"/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>2 000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000000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D06E7" w:rsidRDefault="00BD06E7">
            <w:pPr>
              <w:pStyle w:val="Normlnywebov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color w:val="FFFFFF"/>
                <w:sz w:val="20"/>
                <w:szCs w:val="20"/>
              </w:rPr>
              <w:t>5 500 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000000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D06E7" w:rsidRDefault="00BD06E7">
            <w:pPr>
              <w:pStyle w:val="Normlnywebov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color w:val="FFFFFF"/>
                <w:sz w:val="20"/>
                <w:szCs w:val="20"/>
              </w:rPr>
              <w:t> </w:t>
            </w:r>
          </w:p>
        </w:tc>
        <w:tc>
          <w:tcPr>
            <w:tcW w:w="23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000000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BD06E7" w:rsidRDefault="00BD06E7">
            <w:pPr>
              <w:pStyle w:val="Normlnywebov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color w:val="FFFFFF"/>
                <w:sz w:val="20"/>
                <w:szCs w:val="20"/>
              </w:rPr>
              <w:t> </w:t>
            </w:r>
          </w:p>
        </w:tc>
      </w:tr>
      <w:tr w:rsidR="00BD06E7" w:rsidTr="00BD06E7">
        <w:tc>
          <w:tcPr>
            <w:tcW w:w="6449" w:type="dxa"/>
            <w:vAlign w:val="center"/>
          </w:tcPr>
          <w:p w:rsidR="00BD06E7" w:rsidRDefault="00BD06E7">
            <w:pPr>
              <w:rPr>
                <w:sz w:val="2"/>
              </w:rPr>
            </w:pPr>
          </w:p>
        </w:tc>
        <w:tc>
          <w:tcPr>
            <w:tcW w:w="1276" w:type="dxa"/>
            <w:vAlign w:val="center"/>
          </w:tcPr>
          <w:p w:rsidR="00BD06E7" w:rsidRDefault="00BD06E7">
            <w:pPr>
              <w:rPr>
                <w:sz w:val="2"/>
              </w:rPr>
            </w:pPr>
          </w:p>
        </w:tc>
        <w:tc>
          <w:tcPr>
            <w:tcW w:w="1276" w:type="dxa"/>
            <w:vAlign w:val="center"/>
          </w:tcPr>
          <w:p w:rsidR="00BD06E7" w:rsidRDefault="00BD06E7">
            <w:pPr>
              <w:rPr>
                <w:sz w:val="2"/>
              </w:rPr>
            </w:pPr>
          </w:p>
        </w:tc>
        <w:tc>
          <w:tcPr>
            <w:tcW w:w="1275" w:type="dxa"/>
            <w:vAlign w:val="center"/>
          </w:tcPr>
          <w:p w:rsidR="00BD06E7" w:rsidRDefault="00BD06E7">
            <w:pPr>
              <w:rPr>
                <w:sz w:val="2"/>
              </w:rPr>
            </w:pPr>
          </w:p>
        </w:tc>
        <w:tc>
          <w:tcPr>
            <w:tcW w:w="1276" w:type="dxa"/>
            <w:vAlign w:val="center"/>
          </w:tcPr>
          <w:p w:rsidR="00BD06E7" w:rsidRDefault="00BD06E7">
            <w:pPr>
              <w:rPr>
                <w:sz w:val="2"/>
              </w:rPr>
            </w:pPr>
          </w:p>
        </w:tc>
        <w:tc>
          <w:tcPr>
            <w:tcW w:w="2398" w:type="dxa"/>
            <w:vAlign w:val="center"/>
          </w:tcPr>
          <w:p w:rsidR="00BD06E7" w:rsidRDefault="00BD06E7">
            <w:pPr>
              <w:rPr>
                <w:sz w:val="2"/>
              </w:rPr>
            </w:pPr>
          </w:p>
        </w:tc>
      </w:tr>
    </w:tbl>
    <w:p w:rsidR="00BD06E7" w:rsidRDefault="00BD06E7" w:rsidP="00BD06E7">
      <w:pPr>
        <w:pStyle w:val="Normlnywebov"/>
        <w:spacing w:before="0" w:beforeAutospacing="0" w:after="0" w:afterAutospacing="0"/>
        <w:jc w:val="both"/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</w:t>
      </w:r>
      <w:r>
        <w:t xml:space="preserve">Tabuľka č. 5 </w:t>
      </w:r>
    </w:p>
    <w:tbl>
      <w:tblPr>
        <w:tblW w:w="15008" w:type="dxa"/>
        <w:tblInd w:w="-781" w:type="dxa"/>
        <w:tblCellMar>
          <w:left w:w="0" w:type="dxa"/>
          <w:right w:w="0" w:type="dxa"/>
        </w:tblCellMar>
        <w:tblLook w:val="04A0"/>
      </w:tblPr>
      <w:tblGrid>
        <w:gridCol w:w="6628"/>
        <w:gridCol w:w="1540"/>
        <w:gridCol w:w="1540"/>
        <w:gridCol w:w="1540"/>
        <w:gridCol w:w="1540"/>
        <w:gridCol w:w="2220"/>
      </w:tblGrid>
      <w:tr w:rsidR="00BD06E7" w:rsidTr="00BD06E7">
        <w:trPr>
          <w:trHeight w:val="255"/>
        </w:trPr>
        <w:tc>
          <w:tcPr>
            <w:tcW w:w="66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BD06E7" w:rsidRDefault="00BD06E7">
            <w:pPr>
              <w:pStyle w:val="Normlnywebov"/>
              <w:spacing w:before="0" w:beforeAutospacing="0" w:after="0" w:afterAutospacing="0"/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>Výdavky (v eurách)</w:t>
            </w:r>
          </w:p>
        </w:tc>
        <w:tc>
          <w:tcPr>
            <w:tcW w:w="0" w:type="auto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000000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D06E7" w:rsidRDefault="00BD06E7">
            <w:pPr>
              <w:pStyle w:val="Normlnywebov"/>
              <w:spacing w:before="0" w:beforeAutospacing="0" w:after="0" w:afterAutospacing="0"/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>Vplyv na rozpočet verejnej správy</w:t>
            </w:r>
          </w:p>
        </w:tc>
        <w:tc>
          <w:tcPr>
            <w:tcW w:w="22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BD06E7" w:rsidRDefault="00BD06E7">
            <w:pPr>
              <w:pStyle w:val="Normlnywebov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color w:val="FFFFFF"/>
                <w:sz w:val="20"/>
                <w:szCs w:val="20"/>
              </w:rPr>
              <w:t>poznámka</w:t>
            </w:r>
          </w:p>
        </w:tc>
      </w:tr>
      <w:tr w:rsidR="00BD06E7" w:rsidTr="00BD06E7">
        <w:trPr>
          <w:trHeight w:val="197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06E7" w:rsidRDefault="00BD06E7"/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000000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D06E7" w:rsidRDefault="00BD06E7">
            <w:pPr>
              <w:pStyle w:val="Normlnywebov"/>
              <w:spacing w:before="0" w:beforeAutospacing="0" w:after="0" w:afterAutospacing="0"/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>2010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000000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D06E7" w:rsidRDefault="00BD06E7">
            <w:pPr>
              <w:pStyle w:val="Normlnywebov"/>
              <w:spacing w:before="0" w:beforeAutospacing="0" w:after="0" w:afterAutospacing="0"/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>2011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000000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D06E7" w:rsidRDefault="00BD06E7">
            <w:pPr>
              <w:pStyle w:val="Normlnywebov"/>
              <w:spacing w:before="0" w:beforeAutospacing="0" w:after="0" w:afterAutospacing="0"/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>2012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000000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D06E7" w:rsidRDefault="00BD06E7">
            <w:pPr>
              <w:pStyle w:val="Normlnywebov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color w:val="FFFFFF"/>
                <w:sz w:val="20"/>
                <w:szCs w:val="20"/>
              </w:rPr>
              <w:t>2013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06E7" w:rsidRDefault="00BD06E7">
            <w:pPr>
              <w:rPr>
                <w:sz w:val="20"/>
                <w:szCs w:val="20"/>
              </w:rPr>
            </w:pPr>
          </w:p>
        </w:tc>
      </w:tr>
      <w:tr w:rsidR="00BD06E7" w:rsidTr="00BD06E7">
        <w:trPr>
          <w:trHeight w:val="255"/>
        </w:trPr>
        <w:tc>
          <w:tcPr>
            <w:tcW w:w="66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D06E7" w:rsidRDefault="00BD06E7">
            <w:pPr>
              <w:pStyle w:val="Normlnywebov"/>
              <w:spacing w:before="0" w:beforeAutospacing="0" w:after="0" w:afterAutospacing="0"/>
            </w:pPr>
            <w:r>
              <w:rPr>
                <w:b/>
                <w:bCs/>
                <w:sz w:val="20"/>
                <w:szCs w:val="20"/>
              </w:rPr>
              <w:t>Bežné výdavky (600)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D06E7" w:rsidRDefault="00BD06E7">
            <w:pPr>
              <w:pStyle w:val="Normlnywebov"/>
              <w:spacing w:before="0" w:beforeAutospacing="0" w:after="0" w:afterAutospacing="0"/>
              <w:jc w:val="center"/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D06E7" w:rsidRDefault="00BD06E7">
            <w:pPr>
              <w:pStyle w:val="Normlnywebov"/>
              <w:spacing w:before="0" w:beforeAutospacing="0" w:after="0" w:afterAutospacing="0"/>
              <w:jc w:val="center"/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D06E7" w:rsidRDefault="00BD06E7">
            <w:pPr>
              <w:pStyle w:val="Normlnywebov"/>
              <w:spacing w:before="0" w:beforeAutospacing="0" w:after="0" w:afterAutospacing="0"/>
              <w:jc w:val="center"/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D06E7" w:rsidRDefault="00BD06E7">
            <w:pPr>
              <w:pStyle w:val="Normlnywebov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5 200 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BD06E7" w:rsidRDefault="00BD06E7">
            <w:pPr>
              <w:pStyle w:val="Normlnywebov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BD06E7" w:rsidTr="00BD06E7">
        <w:trPr>
          <w:trHeight w:val="255"/>
        </w:trPr>
        <w:tc>
          <w:tcPr>
            <w:tcW w:w="66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D06E7" w:rsidRDefault="00BD06E7">
            <w:pPr>
              <w:pStyle w:val="Normlnywebov"/>
              <w:spacing w:before="0" w:beforeAutospacing="0" w:after="0" w:afterAutospacing="0"/>
            </w:pPr>
            <w:r>
              <w:rPr>
                <w:sz w:val="20"/>
                <w:szCs w:val="20"/>
              </w:rPr>
              <w:t>  Mzdy, platy, služobné príjmy a ostatné osobné vyrovnania (610)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D06E7" w:rsidRDefault="00BD06E7">
            <w:pPr>
              <w:pStyle w:val="Normlnywebov"/>
              <w:spacing w:before="0" w:beforeAutospacing="0" w:after="0" w:afterAutospacing="0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D06E7" w:rsidRDefault="00BD06E7">
            <w:pPr>
              <w:pStyle w:val="Normlnywebov"/>
              <w:spacing w:before="0" w:beforeAutospacing="0" w:after="0" w:afterAutospacing="0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D06E7" w:rsidRDefault="00BD06E7">
            <w:pPr>
              <w:pStyle w:val="Normlnywebov"/>
              <w:spacing w:before="0" w:beforeAutospacing="0" w:after="0" w:afterAutospacing="0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D06E7" w:rsidRDefault="00BD06E7">
            <w:pPr>
              <w:pStyle w:val="Normlnywebov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BD06E7" w:rsidRDefault="00BD06E7">
            <w:pPr>
              <w:pStyle w:val="Normlnywebov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BD06E7" w:rsidTr="00BD06E7">
        <w:trPr>
          <w:trHeight w:val="255"/>
        </w:trPr>
        <w:tc>
          <w:tcPr>
            <w:tcW w:w="66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D06E7" w:rsidRDefault="00BD06E7">
            <w:pPr>
              <w:pStyle w:val="Normlnywebov"/>
              <w:spacing w:before="0" w:beforeAutospacing="0" w:after="0" w:afterAutospacing="0"/>
            </w:pPr>
            <w:r>
              <w:rPr>
                <w:sz w:val="20"/>
                <w:szCs w:val="20"/>
              </w:rPr>
              <w:t>  Poistné a príspevok do poisťovní (620)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D06E7" w:rsidRDefault="00BD06E7">
            <w:pPr>
              <w:pStyle w:val="Normlnywebov"/>
              <w:spacing w:before="0" w:beforeAutospacing="0" w:after="0" w:afterAutospacing="0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D06E7" w:rsidRDefault="00BD06E7">
            <w:pPr>
              <w:pStyle w:val="Normlnywebov"/>
              <w:spacing w:before="0" w:beforeAutospacing="0" w:after="0" w:afterAutospacing="0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D06E7" w:rsidRDefault="00BD06E7">
            <w:pPr>
              <w:pStyle w:val="Normlnywebov"/>
              <w:spacing w:before="0" w:beforeAutospacing="0" w:after="0" w:afterAutospacing="0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D06E7" w:rsidRDefault="00BD06E7">
            <w:pPr>
              <w:pStyle w:val="Normlnywebov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BD06E7" w:rsidRDefault="00BD06E7">
            <w:pPr>
              <w:pStyle w:val="Normlnywebov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BD06E7" w:rsidTr="00BD06E7">
        <w:trPr>
          <w:trHeight w:val="255"/>
        </w:trPr>
        <w:tc>
          <w:tcPr>
            <w:tcW w:w="66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D06E7" w:rsidRDefault="00BD06E7">
            <w:pPr>
              <w:pStyle w:val="Normlnywebov"/>
              <w:spacing w:before="0" w:beforeAutospacing="0" w:after="0" w:afterAutospacing="0"/>
            </w:pPr>
            <w:r>
              <w:rPr>
                <w:sz w:val="20"/>
                <w:szCs w:val="20"/>
              </w:rPr>
              <w:t>  Tovary a služby (630)</w:t>
            </w:r>
            <w:r>
              <w:rPr>
                <w:sz w:val="13"/>
                <w:szCs w:val="13"/>
                <w:vertAlign w:val="superscript"/>
              </w:rPr>
              <w:t>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D06E7" w:rsidRDefault="00BD06E7">
            <w:pPr>
              <w:pStyle w:val="Normlnywebov"/>
              <w:spacing w:before="0" w:beforeAutospacing="0" w:after="0" w:afterAutospacing="0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D06E7" w:rsidRDefault="00BD06E7">
            <w:pPr>
              <w:pStyle w:val="Normlnywebov"/>
              <w:spacing w:before="0" w:beforeAutospacing="0" w:after="0" w:afterAutospacing="0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D06E7" w:rsidRDefault="00BD06E7">
            <w:pPr>
              <w:pStyle w:val="Normlnywebov"/>
              <w:spacing w:before="0" w:beforeAutospacing="0" w:after="0" w:afterAutospacing="0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D06E7" w:rsidRDefault="00BD06E7">
            <w:pPr>
              <w:pStyle w:val="Normlnywebov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5 200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BD06E7" w:rsidRDefault="00BD06E7">
            <w:pPr>
              <w:pStyle w:val="Normlnywebov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BD06E7" w:rsidTr="00BD06E7">
        <w:trPr>
          <w:trHeight w:val="255"/>
        </w:trPr>
        <w:tc>
          <w:tcPr>
            <w:tcW w:w="66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D06E7" w:rsidRDefault="00BD06E7">
            <w:pPr>
              <w:pStyle w:val="Normlnywebov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637 Služby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D06E7" w:rsidRDefault="00BD06E7">
            <w:pPr>
              <w:pStyle w:val="Normlnywebov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D06E7" w:rsidRDefault="00BD06E7">
            <w:pPr>
              <w:pStyle w:val="Normlnywebov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D06E7" w:rsidRDefault="00BD06E7">
            <w:pPr>
              <w:pStyle w:val="Normlnywebov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D06E7" w:rsidRDefault="00BD06E7">
            <w:pPr>
              <w:pStyle w:val="Normlnywebov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5 200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BD06E7" w:rsidRDefault="00BD06E7">
            <w:pPr>
              <w:pStyle w:val="Normlnywebov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</w:tr>
      <w:tr w:rsidR="00BD06E7" w:rsidTr="00BD06E7">
        <w:trPr>
          <w:trHeight w:val="255"/>
        </w:trPr>
        <w:tc>
          <w:tcPr>
            <w:tcW w:w="66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D06E7" w:rsidRDefault="00BD06E7">
            <w:pPr>
              <w:pStyle w:val="Normlnywebov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637 004 Všeobecné služby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D06E7" w:rsidRDefault="00BD06E7">
            <w:pPr>
              <w:pStyle w:val="Normlnywebov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D06E7" w:rsidRDefault="00BD06E7">
            <w:pPr>
              <w:pStyle w:val="Normlnywebov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D06E7" w:rsidRDefault="00BD06E7">
            <w:pPr>
              <w:pStyle w:val="Normlnywebov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D06E7" w:rsidRDefault="00BD06E7">
            <w:pPr>
              <w:pStyle w:val="Normlnywebov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5 200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BD06E7" w:rsidRDefault="00BD06E7">
            <w:pPr>
              <w:pStyle w:val="Normlnywebov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</w:tr>
      <w:tr w:rsidR="00BD06E7" w:rsidTr="00BD06E7">
        <w:trPr>
          <w:trHeight w:val="255"/>
        </w:trPr>
        <w:tc>
          <w:tcPr>
            <w:tcW w:w="66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D06E7" w:rsidRDefault="00BD06E7">
            <w:pPr>
              <w:pStyle w:val="Normlnywebov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637 031 Pokuty a penále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D06E7" w:rsidRDefault="00BD06E7">
            <w:pPr>
              <w:pStyle w:val="Normlnywebov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D06E7" w:rsidRDefault="00BD06E7">
            <w:pPr>
              <w:pStyle w:val="Normlnywebov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D06E7" w:rsidRDefault="00BD06E7">
            <w:pPr>
              <w:pStyle w:val="Normlnywebov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D06E7" w:rsidRDefault="00BD06E7">
            <w:pPr>
              <w:pStyle w:val="Normlnywebov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BD06E7" w:rsidRDefault="00BD06E7">
            <w:pPr>
              <w:pStyle w:val="Normlnywebov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</w:tr>
      <w:tr w:rsidR="00BD06E7" w:rsidTr="00BD06E7">
        <w:trPr>
          <w:trHeight w:val="255"/>
        </w:trPr>
        <w:tc>
          <w:tcPr>
            <w:tcW w:w="66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D06E7" w:rsidRDefault="00BD06E7">
            <w:pPr>
              <w:pStyle w:val="Normlnywebov"/>
              <w:spacing w:before="0" w:beforeAutospacing="0" w:after="0" w:afterAutospacing="0"/>
            </w:pPr>
            <w:r>
              <w:rPr>
                <w:sz w:val="20"/>
                <w:szCs w:val="20"/>
              </w:rPr>
              <w:t>  Bežné transfery (640)</w:t>
            </w:r>
            <w:r>
              <w:rPr>
                <w:sz w:val="13"/>
                <w:szCs w:val="13"/>
                <w:vertAlign w:val="superscript"/>
              </w:rPr>
              <w:t>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D06E7" w:rsidRDefault="00BD06E7">
            <w:pPr>
              <w:pStyle w:val="Normlnywebov"/>
              <w:spacing w:before="0" w:beforeAutospacing="0" w:after="0" w:afterAutospacing="0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D06E7" w:rsidRDefault="00BD06E7">
            <w:pPr>
              <w:pStyle w:val="Normlnywebov"/>
              <w:spacing w:before="0" w:beforeAutospacing="0" w:after="0" w:afterAutospacing="0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D06E7" w:rsidRDefault="00BD06E7">
            <w:pPr>
              <w:pStyle w:val="Normlnywebov"/>
              <w:spacing w:before="0" w:beforeAutospacing="0" w:after="0" w:afterAutospacing="0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D06E7" w:rsidRDefault="00BD06E7">
            <w:pPr>
              <w:pStyle w:val="Normlnywebov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BD06E7" w:rsidRDefault="00BD06E7">
            <w:pPr>
              <w:pStyle w:val="Normlnywebov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BD06E7" w:rsidTr="00BD06E7">
        <w:trPr>
          <w:trHeight w:val="255"/>
        </w:trPr>
        <w:tc>
          <w:tcPr>
            <w:tcW w:w="66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BD06E7" w:rsidRDefault="00BD06E7">
            <w:pPr>
              <w:pStyle w:val="Normlnywebov"/>
              <w:spacing w:before="0" w:beforeAutospacing="0" w:after="0" w:afterAutospacing="0"/>
            </w:pPr>
            <w:r>
              <w:rPr>
                <w:sz w:val="20"/>
                <w:szCs w:val="20"/>
              </w:rPr>
              <w:t>  Splácanie úrokov a ostatné platby súvisiace s úvermi, pôžičkami a NFV (650)</w:t>
            </w:r>
            <w:r>
              <w:rPr>
                <w:sz w:val="13"/>
                <w:szCs w:val="13"/>
                <w:vertAlign w:val="superscript"/>
              </w:rPr>
              <w:t>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D06E7" w:rsidRDefault="00BD06E7">
            <w:pPr>
              <w:pStyle w:val="Normlnywebov"/>
              <w:spacing w:before="0" w:beforeAutospacing="0" w:after="0" w:afterAutospacing="0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D06E7" w:rsidRDefault="00BD06E7">
            <w:pPr>
              <w:pStyle w:val="Normlnywebov"/>
              <w:spacing w:before="0" w:beforeAutospacing="0" w:after="0" w:afterAutospacing="0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D06E7" w:rsidRDefault="00BD06E7">
            <w:pPr>
              <w:pStyle w:val="Normlnywebov"/>
              <w:spacing w:before="0" w:beforeAutospacing="0" w:after="0" w:afterAutospacing="0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D06E7" w:rsidRDefault="00BD06E7">
            <w:pPr>
              <w:pStyle w:val="Normlnywebov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BD06E7" w:rsidRDefault="00BD06E7">
            <w:pPr>
              <w:pStyle w:val="Normlnywebov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BD06E7" w:rsidTr="00BD06E7">
        <w:trPr>
          <w:trHeight w:val="255"/>
        </w:trPr>
        <w:tc>
          <w:tcPr>
            <w:tcW w:w="66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D06E7" w:rsidRDefault="00BD06E7">
            <w:pPr>
              <w:pStyle w:val="Normlnywebov"/>
              <w:spacing w:before="0" w:beforeAutospacing="0" w:after="0" w:afterAutospacing="0"/>
            </w:pPr>
            <w:r>
              <w:rPr>
                <w:b/>
                <w:bCs/>
                <w:sz w:val="20"/>
                <w:szCs w:val="20"/>
              </w:rPr>
              <w:t>Kapitálové výdavky (700)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D06E7" w:rsidRDefault="00BD06E7">
            <w:pPr>
              <w:pStyle w:val="Normlnywebov"/>
              <w:spacing w:before="0" w:beforeAutospacing="0" w:after="0" w:afterAutospacing="0"/>
              <w:jc w:val="center"/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D06E7" w:rsidRDefault="00BD06E7">
            <w:pPr>
              <w:pStyle w:val="Normlnywebov"/>
              <w:spacing w:before="0" w:beforeAutospacing="0" w:after="0" w:afterAutospacing="0"/>
              <w:jc w:val="center"/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D06E7" w:rsidRDefault="00BD06E7">
            <w:pPr>
              <w:pStyle w:val="Normlnywebov"/>
              <w:spacing w:before="0" w:beforeAutospacing="0" w:after="0" w:afterAutospacing="0"/>
              <w:jc w:val="center"/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D06E7" w:rsidRDefault="00BD06E7">
            <w:pPr>
              <w:pStyle w:val="Normlnywebov"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13 550 000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BD06E7" w:rsidRDefault="00BD06E7">
            <w:pPr>
              <w:pStyle w:val="Normlnywebov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BD06E7" w:rsidTr="00BD06E7">
        <w:trPr>
          <w:trHeight w:val="255"/>
        </w:trPr>
        <w:tc>
          <w:tcPr>
            <w:tcW w:w="66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D06E7" w:rsidRDefault="00BD06E7">
            <w:pPr>
              <w:pStyle w:val="Normlnywebov"/>
              <w:spacing w:before="0" w:beforeAutospacing="0" w:after="0" w:afterAutospacing="0"/>
            </w:pPr>
            <w:r>
              <w:rPr>
                <w:sz w:val="20"/>
                <w:szCs w:val="20"/>
              </w:rPr>
              <w:t>  Obstarávanie kapitálových aktív (710)</w:t>
            </w:r>
            <w:r>
              <w:rPr>
                <w:sz w:val="13"/>
                <w:szCs w:val="13"/>
                <w:vertAlign w:val="superscript"/>
              </w:rPr>
              <w:t>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D06E7" w:rsidRDefault="00BD06E7">
            <w:pPr>
              <w:pStyle w:val="Normlnywebov"/>
              <w:spacing w:before="0" w:beforeAutospacing="0" w:after="0" w:afterAutospacing="0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D06E7" w:rsidRDefault="00BD06E7">
            <w:pPr>
              <w:pStyle w:val="Normlnywebov"/>
              <w:spacing w:before="0" w:beforeAutospacing="0" w:after="0" w:afterAutospacing="0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D06E7" w:rsidRDefault="00BD06E7">
            <w:pPr>
              <w:pStyle w:val="Normlnywebov"/>
              <w:spacing w:before="0" w:beforeAutospacing="0" w:after="0" w:afterAutospacing="0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D06E7" w:rsidRDefault="00BD06E7">
            <w:pPr>
              <w:pStyle w:val="Normlnywebov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BD06E7" w:rsidRDefault="00BD06E7">
            <w:pPr>
              <w:pStyle w:val="Normlnywebov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BD06E7" w:rsidTr="00BD06E7">
        <w:trPr>
          <w:trHeight w:val="255"/>
        </w:trPr>
        <w:tc>
          <w:tcPr>
            <w:tcW w:w="66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D06E7" w:rsidRDefault="00BD06E7">
            <w:pPr>
              <w:pStyle w:val="Normlnywebov"/>
              <w:spacing w:before="0" w:beforeAutospacing="0" w:after="0" w:afterAutospacing="0"/>
            </w:pPr>
            <w:r>
              <w:rPr>
                <w:sz w:val="20"/>
                <w:szCs w:val="20"/>
              </w:rPr>
              <w:t>  Kapitálové transfery (720)</w:t>
            </w:r>
            <w:r>
              <w:rPr>
                <w:sz w:val="13"/>
                <w:szCs w:val="13"/>
                <w:vertAlign w:val="superscript"/>
              </w:rPr>
              <w:t>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D06E7" w:rsidRDefault="00BD06E7">
            <w:pPr>
              <w:pStyle w:val="Normlnywebov"/>
              <w:spacing w:before="0" w:beforeAutospacing="0" w:after="0" w:afterAutospacing="0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D06E7" w:rsidRDefault="00BD06E7">
            <w:pPr>
              <w:pStyle w:val="Normlnywebov"/>
              <w:spacing w:before="0" w:beforeAutospacing="0" w:after="0" w:afterAutospacing="0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D06E7" w:rsidRDefault="00BD06E7">
            <w:pPr>
              <w:pStyle w:val="Normlnywebov"/>
              <w:spacing w:before="0" w:beforeAutospacing="0" w:after="0" w:afterAutospacing="0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D06E7" w:rsidRDefault="00BD06E7">
            <w:pPr>
              <w:pStyle w:val="Normlnywebov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13 550 000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BD06E7" w:rsidRDefault="00BD06E7">
            <w:pPr>
              <w:pStyle w:val="Normlnywebov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BD06E7" w:rsidTr="00BD06E7">
        <w:trPr>
          <w:trHeight w:val="255"/>
        </w:trPr>
        <w:tc>
          <w:tcPr>
            <w:tcW w:w="66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D06E7" w:rsidRDefault="00BD06E7">
            <w:pPr>
              <w:pStyle w:val="Normlnywebov"/>
              <w:spacing w:before="0" w:beforeAutospacing="0" w:after="0" w:afterAutospacing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 v tom:  721 003 – kapitálové transfery obciam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9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D06E7" w:rsidRDefault="00BD06E7">
            <w:pPr>
              <w:pStyle w:val="Normlnywebov"/>
              <w:spacing w:before="0" w:beforeAutospacing="0" w:after="0" w:afterAutospacing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9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D06E7" w:rsidRDefault="00BD06E7">
            <w:pPr>
              <w:pStyle w:val="Normlnywebov"/>
              <w:spacing w:before="0" w:beforeAutospacing="0" w:after="0" w:afterAutospacing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9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D06E7" w:rsidRDefault="00BD06E7">
            <w:pPr>
              <w:pStyle w:val="Normlnywebov"/>
              <w:spacing w:before="0" w:beforeAutospacing="0" w:after="0" w:afterAutospacing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99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D06E7" w:rsidRDefault="00BD06E7">
            <w:pPr>
              <w:pStyle w:val="Normlnywebov"/>
              <w:spacing w:before="0" w:beforeAutospacing="0" w:after="0" w:afterAutospacing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13 550 000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BD06E7" w:rsidRDefault="00BD06E7">
            <w:pPr>
              <w:pStyle w:val="Normlnywebov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</w:tr>
      <w:tr w:rsidR="00BD06E7" w:rsidTr="00BD06E7">
        <w:trPr>
          <w:trHeight w:val="255"/>
        </w:trPr>
        <w:tc>
          <w:tcPr>
            <w:tcW w:w="66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D06E7" w:rsidRDefault="00BD06E7">
            <w:pPr>
              <w:pStyle w:val="Normlnywebov"/>
              <w:spacing w:before="0" w:beforeAutospacing="0" w:after="0" w:afterAutospacing="0"/>
            </w:pPr>
            <w:r>
              <w:rPr>
                <w:b/>
                <w:bCs/>
                <w:sz w:val="20"/>
                <w:szCs w:val="20"/>
              </w:rPr>
              <w:t>Výdavky z transakcií s finančnými aktívami a finančnými pasívami (800)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99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D06E7" w:rsidRDefault="00BD06E7">
            <w:pPr>
              <w:pStyle w:val="Normlnywebov"/>
              <w:spacing w:before="0" w:beforeAutospacing="0" w:after="0" w:afterAutospacing="0"/>
              <w:jc w:val="center"/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99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D06E7" w:rsidRDefault="00BD06E7">
            <w:pPr>
              <w:pStyle w:val="Normlnywebov"/>
              <w:spacing w:before="0" w:beforeAutospacing="0" w:after="0" w:afterAutospacing="0"/>
              <w:jc w:val="center"/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99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D06E7" w:rsidRDefault="00BD06E7">
            <w:pPr>
              <w:pStyle w:val="Normlnywebov"/>
              <w:spacing w:before="0" w:beforeAutospacing="0" w:after="0" w:afterAutospacing="0"/>
              <w:jc w:val="center"/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99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D06E7" w:rsidRDefault="00BD06E7">
            <w:pPr>
              <w:pStyle w:val="Normlnywebov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BD06E7" w:rsidRDefault="00BD06E7">
            <w:pPr>
              <w:pStyle w:val="Normlnywebov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BD06E7" w:rsidTr="00BD06E7">
        <w:trPr>
          <w:trHeight w:val="255"/>
        </w:trPr>
        <w:tc>
          <w:tcPr>
            <w:tcW w:w="662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000000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D06E7" w:rsidRDefault="00BD06E7">
            <w:pPr>
              <w:pStyle w:val="Normlnywebov"/>
              <w:spacing w:before="0" w:beforeAutospacing="0" w:after="0" w:afterAutospacing="0"/>
            </w:pPr>
            <w:r>
              <w:rPr>
                <w:b/>
                <w:bCs/>
                <w:color w:val="FFFFFF"/>
                <w:sz w:val="20"/>
                <w:szCs w:val="20"/>
              </w:rPr>
              <w:t>Dopad na výdavky verejnej správy celkom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000000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D06E7" w:rsidRDefault="00BD06E7">
            <w:pPr>
              <w:pStyle w:val="Normlnywebov"/>
              <w:spacing w:before="0" w:beforeAutospacing="0" w:after="0" w:afterAutospacing="0"/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000000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D06E7" w:rsidRDefault="00BD06E7">
            <w:pPr>
              <w:pStyle w:val="Normlnywebov"/>
              <w:spacing w:before="0" w:beforeAutospacing="0" w:after="0" w:afterAutospacing="0"/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000000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D06E7" w:rsidRDefault="00BD06E7">
            <w:pPr>
              <w:pStyle w:val="Normlnywebov"/>
              <w:spacing w:before="0" w:beforeAutospacing="0" w:after="0" w:afterAutospacing="0"/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000000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D06E7" w:rsidRDefault="00BD06E7">
            <w:pPr>
              <w:pStyle w:val="Normlnywebov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13 550 000</w:t>
            </w: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000000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BD06E7" w:rsidRDefault="00BD06E7">
            <w:pPr>
              <w:pStyle w:val="Normlnywebov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color w:val="FFFFFF"/>
                <w:sz w:val="20"/>
                <w:szCs w:val="20"/>
              </w:rPr>
              <w:t> </w:t>
            </w:r>
          </w:p>
        </w:tc>
      </w:tr>
      <w:tr w:rsidR="00BD06E7" w:rsidTr="00BD06E7">
        <w:trPr>
          <w:trHeight w:val="255"/>
        </w:trPr>
        <w:tc>
          <w:tcPr>
            <w:tcW w:w="66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D06E7" w:rsidRDefault="00BD06E7">
            <w:pPr>
              <w:pStyle w:val="Normlnywebov"/>
              <w:spacing w:before="0" w:beforeAutospacing="0" w:after="0" w:afterAutospacing="0"/>
            </w:pPr>
            <w:r>
              <w:rPr>
                <w:b/>
                <w:bCs/>
                <w:sz w:val="20"/>
                <w:szCs w:val="20"/>
              </w:rPr>
              <w:t>  z toho výdavky na ŠR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D06E7" w:rsidRDefault="00BD06E7">
            <w:pPr>
              <w:pStyle w:val="Normlnywebov"/>
              <w:spacing w:before="0" w:beforeAutospacing="0" w:after="0" w:afterAutospacing="0"/>
              <w:jc w:val="center"/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D06E7" w:rsidRDefault="00BD06E7">
            <w:pPr>
              <w:pStyle w:val="Normlnywebov"/>
              <w:spacing w:before="0" w:beforeAutospacing="0" w:after="0" w:afterAutospacing="0"/>
              <w:jc w:val="center"/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D06E7" w:rsidRDefault="00BD06E7">
            <w:pPr>
              <w:pStyle w:val="Normlnywebov"/>
              <w:spacing w:before="0" w:beforeAutospacing="0" w:after="0" w:afterAutospacing="0"/>
              <w:jc w:val="center"/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D06E7" w:rsidRDefault="00BD06E7">
            <w:pPr>
              <w:pStyle w:val="Normlnywebov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BD06E7" w:rsidRDefault="00BD06E7">
            <w:pPr>
              <w:pStyle w:val="Normlnywebov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BD06E7" w:rsidTr="00BD06E7">
        <w:trPr>
          <w:trHeight w:val="255"/>
        </w:trPr>
        <w:tc>
          <w:tcPr>
            <w:tcW w:w="6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D06E7" w:rsidRDefault="00BD06E7">
            <w:pPr>
              <w:pStyle w:val="Normlnywebov"/>
              <w:spacing w:before="0" w:beforeAutospacing="0" w:after="0" w:afterAutospacing="0"/>
            </w:pPr>
            <w:r>
              <w:rPr>
                <w:sz w:val="20"/>
                <w:szCs w:val="20"/>
              </w:rPr>
              <w:t>   Bežné výdavky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(600)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5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D06E7" w:rsidRDefault="00BD06E7">
            <w:pPr>
              <w:pStyle w:val="Normlnywebov"/>
              <w:spacing w:before="0" w:beforeAutospacing="0" w:after="0" w:afterAutospacing="0"/>
              <w:jc w:val="center"/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D06E7" w:rsidRDefault="00BD06E7">
            <w:pPr>
              <w:pStyle w:val="Normlnywebov"/>
              <w:spacing w:before="0" w:beforeAutospacing="0" w:after="0" w:afterAutospacing="0"/>
              <w:jc w:val="center"/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D06E7" w:rsidRDefault="00BD06E7">
            <w:pPr>
              <w:pStyle w:val="Normlnywebov"/>
              <w:spacing w:before="0" w:beforeAutospacing="0" w:after="0" w:afterAutospacing="0"/>
              <w:jc w:val="center"/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D06E7" w:rsidRDefault="00BD06E7">
            <w:pPr>
              <w:pStyle w:val="Normlnywebov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2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BD06E7" w:rsidRDefault="00BD06E7">
            <w:pPr>
              <w:pStyle w:val="Normlnywebov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BD06E7" w:rsidTr="00BD06E7">
        <w:trPr>
          <w:trHeight w:val="255"/>
        </w:trPr>
        <w:tc>
          <w:tcPr>
            <w:tcW w:w="6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D06E7" w:rsidRDefault="00BD06E7">
            <w:pPr>
              <w:pStyle w:val="Normlnywebov"/>
              <w:spacing w:before="0" w:beforeAutospacing="0" w:after="0" w:afterAutospacing="0"/>
            </w:pPr>
            <w:r>
              <w:rPr>
                <w:b/>
                <w:bCs/>
                <w:sz w:val="20"/>
                <w:szCs w:val="20"/>
              </w:rPr>
              <w:t>    </w:t>
            </w:r>
            <w:r>
              <w:rPr>
                <w:sz w:val="20"/>
                <w:szCs w:val="20"/>
              </w:rPr>
              <w:t>Mzdy, platy, služobné príjmy a ostatné osobné vyrovnania (610)</w:t>
            </w:r>
          </w:p>
        </w:tc>
        <w:tc>
          <w:tcPr>
            <w:tcW w:w="15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D06E7" w:rsidRDefault="00BD06E7">
            <w:pPr>
              <w:pStyle w:val="Normlnywebov"/>
              <w:spacing w:before="0" w:beforeAutospacing="0" w:after="0" w:afterAutospacing="0"/>
              <w:jc w:val="center"/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D06E7" w:rsidRDefault="00BD06E7">
            <w:pPr>
              <w:pStyle w:val="Normlnywebov"/>
              <w:spacing w:before="0" w:beforeAutospacing="0" w:after="0" w:afterAutospacing="0"/>
              <w:jc w:val="center"/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D06E7" w:rsidRDefault="00BD06E7">
            <w:pPr>
              <w:pStyle w:val="Normlnywebov"/>
              <w:spacing w:before="0" w:beforeAutospacing="0" w:after="0" w:afterAutospacing="0"/>
              <w:jc w:val="center"/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D06E7" w:rsidRDefault="00BD06E7">
            <w:pPr>
              <w:pStyle w:val="Normlnywebov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2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BD06E7" w:rsidRDefault="00BD06E7">
            <w:pPr>
              <w:pStyle w:val="Normlnywebov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BD06E7" w:rsidTr="00BD06E7">
        <w:trPr>
          <w:trHeight w:val="255"/>
        </w:trPr>
        <w:tc>
          <w:tcPr>
            <w:tcW w:w="6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D06E7" w:rsidRDefault="00BD06E7">
            <w:pPr>
              <w:pStyle w:val="Normlnywebov"/>
              <w:spacing w:before="0" w:beforeAutospacing="0" w:after="0" w:afterAutospacing="0"/>
            </w:pPr>
            <w:r>
              <w:rPr>
                <w:sz w:val="20"/>
                <w:szCs w:val="20"/>
              </w:rPr>
              <w:t>    Kapitálové výdavky (700)</w:t>
            </w:r>
          </w:p>
        </w:tc>
        <w:tc>
          <w:tcPr>
            <w:tcW w:w="15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D06E7" w:rsidRDefault="00BD06E7">
            <w:pPr>
              <w:pStyle w:val="Normlnywebov"/>
              <w:spacing w:before="0" w:beforeAutospacing="0" w:after="0" w:afterAutospacing="0"/>
              <w:jc w:val="center"/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D06E7" w:rsidRDefault="00BD06E7">
            <w:pPr>
              <w:pStyle w:val="Normlnywebov"/>
              <w:spacing w:before="0" w:beforeAutospacing="0" w:after="0" w:afterAutospacing="0"/>
              <w:jc w:val="center"/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D06E7" w:rsidRDefault="00BD06E7">
            <w:pPr>
              <w:pStyle w:val="Normlnywebov"/>
              <w:spacing w:before="0" w:beforeAutospacing="0" w:after="0" w:afterAutospacing="0"/>
              <w:jc w:val="center"/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D06E7" w:rsidRDefault="00BD06E7">
            <w:pPr>
              <w:pStyle w:val="Normlnywebov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13 550 000</w:t>
            </w:r>
          </w:p>
        </w:tc>
        <w:tc>
          <w:tcPr>
            <w:tcW w:w="22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BD06E7" w:rsidRDefault="00BD06E7">
            <w:pPr>
              <w:pStyle w:val="Normlnywebov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BD06E7" w:rsidTr="00BD06E7">
        <w:trPr>
          <w:trHeight w:val="255"/>
        </w:trPr>
        <w:tc>
          <w:tcPr>
            <w:tcW w:w="6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D06E7" w:rsidRDefault="00BD06E7">
            <w:pPr>
              <w:pStyle w:val="Normlnywebov"/>
              <w:spacing w:before="0" w:beforeAutospacing="0" w:after="0" w:afterAutospacing="0"/>
            </w:pPr>
            <w:r>
              <w:rPr>
                <w:sz w:val="20"/>
                <w:szCs w:val="20"/>
              </w:rPr>
              <w:t>    Výdavky z transakcií s finančnými aktívami a finančnými pasívami (800)</w:t>
            </w:r>
          </w:p>
        </w:tc>
        <w:tc>
          <w:tcPr>
            <w:tcW w:w="15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D06E7" w:rsidRDefault="00BD06E7">
            <w:pPr>
              <w:pStyle w:val="Normlnywebov"/>
              <w:spacing w:before="0" w:beforeAutospacing="0" w:after="0" w:afterAutospacing="0"/>
              <w:jc w:val="center"/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D06E7" w:rsidRDefault="00BD06E7">
            <w:pPr>
              <w:pStyle w:val="Normlnywebov"/>
              <w:spacing w:before="0" w:beforeAutospacing="0" w:after="0" w:afterAutospacing="0"/>
              <w:jc w:val="center"/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D06E7" w:rsidRDefault="00BD06E7">
            <w:pPr>
              <w:pStyle w:val="Normlnywebov"/>
              <w:spacing w:before="0" w:beforeAutospacing="0" w:after="0" w:afterAutospacing="0"/>
              <w:jc w:val="center"/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D06E7" w:rsidRDefault="00BD06E7">
            <w:pPr>
              <w:pStyle w:val="Normlnywebov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2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BD06E7" w:rsidRDefault="00BD06E7">
            <w:pPr>
              <w:pStyle w:val="Normlnywebov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BD06E7" w:rsidTr="00BD06E7">
        <w:tc>
          <w:tcPr>
            <w:tcW w:w="6628" w:type="dxa"/>
            <w:vAlign w:val="center"/>
          </w:tcPr>
          <w:p w:rsidR="00BD06E7" w:rsidRDefault="00BD06E7">
            <w:pPr>
              <w:rPr>
                <w:sz w:val="2"/>
              </w:rPr>
            </w:pPr>
          </w:p>
        </w:tc>
        <w:tc>
          <w:tcPr>
            <w:tcW w:w="1540" w:type="dxa"/>
            <w:vAlign w:val="center"/>
          </w:tcPr>
          <w:p w:rsidR="00BD06E7" w:rsidRDefault="00BD06E7">
            <w:pPr>
              <w:rPr>
                <w:sz w:val="2"/>
              </w:rPr>
            </w:pPr>
          </w:p>
        </w:tc>
        <w:tc>
          <w:tcPr>
            <w:tcW w:w="1540" w:type="dxa"/>
            <w:vAlign w:val="center"/>
          </w:tcPr>
          <w:p w:rsidR="00BD06E7" w:rsidRDefault="00BD06E7">
            <w:pPr>
              <w:rPr>
                <w:sz w:val="2"/>
              </w:rPr>
            </w:pPr>
          </w:p>
        </w:tc>
        <w:tc>
          <w:tcPr>
            <w:tcW w:w="1540" w:type="dxa"/>
            <w:vAlign w:val="center"/>
          </w:tcPr>
          <w:p w:rsidR="00BD06E7" w:rsidRDefault="00BD06E7">
            <w:pPr>
              <w:rPr>
                <w:sz w:val="2"/>
              </w:rPr>
            </w:pPr>
          </w:p>
        </w:tc>
        <w:tc>
          <w:tcPr>
            <w:tcW w:w="1540" w:type="dxa"/>
            <w:vAlign w:val="center"/>
          </w:tcPr>
          <w:p w:rsidR="00BD06E7" w:rsidRDefault="00BD06E7">
            <w:pPr>
              <w:rPr>
                <w:sz w:val="2"/>
              </w:rPr>
            </w:pPr>
          </w:p>
        </w:tc>
        <w:tc>
          <w:tcPr>
            <w:tcW w:w="2220" w:type="dxa"/>
            <w:vAlign w:val="center"/>
          </w:tcPr>
          <w:p w:rsidR="00BD06E7" w:rsidRDefault="00BD06E7">
            <w:pPr>
              <w:rPr>
                <w:sz w:val="2"/>
              </w:rPr>
            </w:pPr>
          </w:p>
        </w:tc>
      </w:tr>
    </w:tbl>
    <w:p w:rsidR="00BD06E7" w:rsidRDefault="00BD06E7" w:rsidP="00BD06E7">
      <w:pPr>
        <w:pStyle w:val="Normlnywebov"/>
        <w:spacing w:before="0" w:beforeAutospacing="0" w:after="0" w:afterAutospacing="0"/>
        <w:jc w:val="both"/>
        <w:rPr>
          <w:b/>
          <w:sz w:val="20"/>
          <w:szCs w:val="20"/>
        </w:rPr>
      </w:pPr>
    </w:p>
    <w:p w:rsidR="00BD06E7" w:rsidRDefault="00BD06E7" w:rsidP="00BD06E7">
      <w:pPr>
        <w:pStyle w:val="Normlnywebov"/>
        <w:spacing w:before="0" w:beforeAutospacing="0" w:after="0" w:afterAutospacing="0"/>
        <w:jc w:val="both"/>
        <w:rPr>
          <w:b/>
          <w:sz w:val="20"/>
          <w:szCs w:val="20"/>
        </w:rPr>
      </w:pPr>
    </w:p>
    <w:p w:rsidR="00BD06E7" w:rsidRDefault="00BD06E7" w:rsidP="00BD06E7">
      <w:pPr>
        <w:pStyle w:val="Normlnywebov"/>
        <w:spacing w:before="0" w:beforeAutospacing="0" w:after="0" w:afterAutospacing="0"/>
        <w:jc w:val="both"/>
        <w:rPr>
          <w:b/>
        </w:rPr>
      </w:pPr>
      <w:r>
        <w:rPr>
          <w:b/>
          <w:sz w:val="20"/>
          <w:szCs w:val="20"/>
        </w:rPr>
        <w:t xml:space="preserve">                                                                                                                                                                                                                       </w:t>
      </w:r>
      <w:r>
        <w:rPr>
          <w:b/>
        </w:rPr>
        <w:t xml:space="preserve">                 Tabuľka č. 6 </w:t>
      </w:r>
    </w:p>
    <w:tbl>
      <w:tblPr>
        <w:tblpPr w:leftFromText="141" w:rightFromText="141" w:vertAnchor="text" w:horzAnchor="margin" w:tblpXSpec="center" w:tblpY="170"/>
        <w:tblW w:w="15114" w:type="dxa"/>
        <w:tblCellMar>
          <w:left w:w="0" w:type="dxa"/>
          <w:right w:w="0" w:type="dxa"/>
        </w:tblCellMar>
        <w:tblLook w:val="04A0"/>
      </w:tblPr>
      <w:tblGrid>
        <w:gridCol w:w="5932"/>
        <w:gridCol w:w="1500"/>
        <w:gridCol w:w="1598"/>
        <w:gridCol w:w="1559"/>
        <w:gridCol w:w="1550"/>
        <w:gridCol w:w="2975"/>
      </w:tblGrid>
      <w:tr w:rsidR="00BD06E7" w:rsidTr="00BD06E7">
        <w:trPr>
          <w:trHeight w:val="255"/>
        </w:trPr>
        <w:tc>
          <w:tcPr>
            <w:tcW w:w="59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BD06E7" w:rsidRDefault="00BD06E7">
            <w:pPr>
              <w:pStyle w:val="Normlnywebov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color w:val="FFFFFF"/>
                <w:sz w:val="20"/>
                <w:szCs w:val="20"/>
              </w:rPr>
              <w:t>Zamestnanosť</w:t>
            </w:r>
          </w:p>
        </w:tc>
        <w:tc>
          <w:tcPr>
            <w:tcW w:w="0" w:type="auto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000000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D06E7" w:rsidRDefault="00BD06E7">
            <w:pPr>
              <w:pStyle w:val="Normlnywebov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color w:val="FFFFFF"/>
                <w:sz w:val="20"/>
                <w:szCs w:val="20"/>
              </w:rPr>
              <w:t>Vplyv na rozpočet verejnej správy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BD06E7" w:rsidRDefault="00BD06E7">
            <w:pPr>
              <w:pStyle w:val="Normlnywebov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color w:val="FFFFFF"/>
                <w:sz w:val="20"/>
                <w:szCs w:val="20"/>
              </w:rPr>
              <w:t>poznámka</w:t>
            </w:r>
          </w:p>
        </w:tc>
      </w:tr>
      <w:tr w:rsidR="00BD06E7" w:rsidTr="00BD06E7">
        <w:trPr>
          <w:trHeight w:val="255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06E7" w:rsidRDefault="00BD06E7">
            <w:pPr>
              <w:rPr>
                <w:sz w:val="20"/>
                <w:szCs w:val="20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000000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D06E7" w:rsidRDefault="00BD06E7">
            <w:pPr>
              <w:pStyle w:val="Normlnywebov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color w:val="FFFFFF"/>
                <w:sz w:val="20"/>
                <w:szCs w:val="20"/>
              </w:rPr>
              <w:t>2010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000000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D06E7" w:rsidRDefault="00BD06E7">
            <w:pPr>
              <w:pStyle w:val="Normlnywebov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color w:val="FFFFFF"/>
                <w:sz w:val="20"/>
                <w:szCs w:val="20"/>
              </w:rPr>
              <w:t>2011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000000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D06E7" w:rsidRDefault="00BD06E7">
            <w:pPr>
              <w:pStyle w:val="Normlnywebov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color w:val="FFFFFF"/>
                <w:sz w:val="20"/>
                <w:szCs w:val="20"/>
              </w:rPr>
              <w:t>2012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000000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D06E7" w:rsidRDefault="00BD06E7">
            <w:pPr>
              <w:pStyle w:val="Normlnywebov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color w:val="FFFFFF"/>
                <w:sz w:val="20"/>
                <w:szCs w:val="20"/>
              </w:rPr>
              <w:t>2013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06E7" w:rsidRDefault="00BD06E7">
            <w:pPr>
              <w:rPr>
                <w:sz w:val="20"/>
                <w:szCs w:val="20"/>
              </w:rPr>
            </w:pPr>
          </w:p>
        </w:tc>
      </w:tr>
      <w:tr w:rsidR="00BD06E7" w:rsidTr="00BD06E7">
        <w:trPr>
          <w:trHeight w:val="255"/>
        </w:trPr>
        <w:tc>
          <w:tcPr>
            <w:tcW w:w="59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06E7" w:rsidRDefault="00BD06E7">
            <w:pPr>
              <w:pStyle w:val="Normlnywebov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Počet zamestnancov celkom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BD06E7" w:rsidRDefault="00BD06E7">
            <w:pPr>
              <w:pStyle w:val="Normlnywebov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BD06E7" w:rsidRDefault="00BD06E7">
            <w:pPr>
              <w:pStyle w:val="Normlnywebov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BD06E7" w:rsidRDefault="00BD06E7">
            <w:pPr>
              <w:pStyle w:val="Normlnywebov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D06E7" w:rsidRDefault="00BD06E7">
            <w:pPr>
              <w:pStyle w:val="Normlnywebov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BD06E7" w:rsidRDefault="00BD06E7">
            <w:pPr>
              <w:pStyle w:val="Normlnywebov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BD06E7" w:rsidTr="00BD06E7">
        <w:trPr>
          <w:trHeight w:val="255"/>
        </w:trPr>
        <w:tc>
          <w:tcPr>
            <w:tcW w:w="59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06E7" w:rsidRDefault="00BD06E7">
            <w:pPr>
              <w:pStyle w:val="Normlnywebov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  z toho vplyv na ŠR</w:t>
            </w:r>
          </w:p>
        </w:tc>
        <w:tc>
          <w:tcPr>
            <w:tcW w:w="15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BD06E7" w:rsidRDefault="00BD06E7">
            <w:pPr>
              <w:pStyle w:val="Normlnywebov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BD06E7" w:rsidRDefault="00BD06E7">
            <w:pPr>
              <w:pStyle w:val="Normlnywebov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BD06E7" w:rsidRDefault="00BD06E7">
            <w:pPr>
              <w:pStyle w:val="Normlnywebov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D06E7" w:rsidRDefault="00BD06E7">
            <w:pPr>
              <w:pStyle w:val="Normlnywebov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BD06E7" w:rsidRDefault="00BD06E7">
            <w:pPr>
              <w:pStyle w:val="Normlnywebov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BD06E7" w:rsidTr="00BD06E7">
        <w:trPr>
          <w:trHeight w:val="255"/>
        </w:trPr>
        <w:tc>
          <w:tcPr>
            <w:tcW w:w="59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06E7" w:rsidRDefault="00BD06E7">
            <w:pPr>
              <w:pStyle w:val="Normlnywebov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Priemerný mzdový výdavok (v eurách)</w:t>
            </w:r>
          </w:p>
        </w:tc>
        <w:tc>
          <w:tcPr>
            <w:tcW w:w="15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BD06E7" w:rsidRDefault="00BD06E7">
            <w:pPr>
              <w:pStyle w:val="Normlnywebov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BD06E7" w:rsidRDefault="00BD06E7">
            <w:pPr>
              <w:pStyle w:val="Normlnywebov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BD06E7" w:rsidRDefault="00BD06E7">
            <w:pPr>
              <w:pStyle w:val="Normlnywebov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D06E7" w:rsidRDefault="00BD06E7">
            <w:pPr>
              <w:pStyle w:val="Normlnywebov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BD06E7" w:rsidRDefault="00BD06E7">
            <w:pPr>
              <w:pStyle w:val="Normlnywebov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BD06E7" w:rsidTr="00BD06E7">
        <w:trPr>
          <w:trHeight w:val="255"/>
        </w:trPr>
        <w:tc>
          <w:tcPr>
            <w:tcW w:w="59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06E7" w:rsidRDefault="00BD06E7">
            <w:pPr>
              <w:pStyle w:val="Normlnywebov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  z toho vplyv na ŠR</w:t>
            </w:r>
          </w:p>
        </w:tc>
        <w:tc>
          <w:tcPr>
            <w:tcW w:w="15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BD06E7" w:rsidRDefault="00BD06E7">
            <w:pPr>
              <w:pStyle w:val="Normlnywebov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BD06E7" w:rsidRDefault="00BD06E7">
            <w:pPr>
              <w:pStyle w:val="Normlnywebov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BD06E7" w:rsidRDefault="00BD06E7">
            <w:pPr>
              <w:pStyle w:val="Normlnywebov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D06E7" w:rsidRDefault="00BD06E7">
            <w:pPr>
              <w:pStyle w:val="Normlnywebov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BD06E7" w:rsidRDefault="00BD06E7">
            <w:pPr>
              <w:pStyle w:val="Normlnywebov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BD06E7" w:rsidTr="00BD06E7">
        <w:trPr>
          <w:trHeight w:val="255"/>
        </w:trPr>
        <w:tc>
          <w:tcPr>
            <w:tcW w:w="59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  <w:hideMark/>
          </w:tcPr>
          <w:p w:rsidR="00BD06E7" w:rsidRDefault="00BD06E7">
            <w:pPr>
              <w:pStyle w:val="Normlnywebov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b/>
                <w:bCs/>
                <w:color w:val="FFFFFF"/>
                <w:sz w:val="20"/>
                <w:szCs w:val="20"/>
              </w:rPr>
              <w:t>Osobné výdavky celkom (v eurách)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000000"/>
            <w:hideMark/>
          </w:tcPr>
          <w:p w:rsidR="00BD06E7" w:rsidRDefault="00BD06E7">
            <w:pPr>
              <w:pStyle w:val="Normlnywebov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color w:val="FFFFFF"/>
                <w:sz w:val="20"/>
                <w:szCs w:val="20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000000"/>
            <w:hideMark/>
          </w:tcPr>
          <w:p w:rsidR="00BD06E7" w:rsidRDefault="00BD06E7">
            <w:pPr>
              <w:pStyle w:val="Normlnywebov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color w:val="FFFFFF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000000"/>
            <w:hideMark/>
          </w:tcPr>
          <w:p w:rsidR="00BD06E7" w:rsidRDefault="00BD06E7">
            <w:pPr>
              <w:pStyle w:val="Normlnywebov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color w:val="FFFFFF"/>
                <w:sz w:val="20"/>
                <w:szCs w:val="20"/>
              </w:rPr>
              <w:t> 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000000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D06E7" w:rsidRDefault="00BD06E7">
            <w:pPr>
              <w:pStyle w:val="Normlnywebov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color w:val="FFFFFF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000000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BD06E7" w:rsidRDefault="00BD06E7">
            <w:pPr>
              <w:pStyle w:val="Normlnywebov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b/>
                <w:bCs/>
                <w:color w:val="FFFFFF"/>
                <w:sz w:val="20"/>
                <w:szCs w:val="20"/>
              </w:rPr>
              <w:t> </w:t>
            </w:r>
          </w:p>
        </w:tc>
      </w:tr>
      <w:tr w:rsidR="00BD06E7" w:rsidTr="00BD06E7">
        <w:trPr>
          <w:trHeight w:val="255"/>
        </w:trPr>
        <w:tc>
          <w:tcPr>
            <w:tcW w:w="59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06E7" w:rsidRDefault="00BD06E7">
            <w:pPr>
              <w:pStyle w:val="Normlnywebov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Mzdy, platy, služobné príjmy a ostatné osobné vyrovnania (610)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BD06E7" w:rsidRDefault="00BD06E7">
            <w:pPr>
              <w:pStyle w:val="Normlnywebov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BD06E7" w:rsidRDefault="00BD06E7">
            <w:pPr>
              <w:pStyle w:val="Normlnywebov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BD06E7" w:rsidRDefault="00BD06E7">
            <w:pPr>
              <w:pStyle w:val="Normlnywebov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D06E7" w:rsidRDefault="00BD06E7">
            <w:pPr>
              <w:pStyle w:val="Normlnywebov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BD06E7" w:rsidRDefault="00BD06E7">
            <w:pPr>
              <w:pStyle w:val="Normlnywebov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BD06E7" w:rsidTr="00BD06E7">
        <w:trPr>
          <w:trHeight w:val="255"/>
        </w:trPr>
        <w:tc>
          <w:tcPr>
            <w:tcW w:w="59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06E7" w:rsidRDefault="00BD06E7">
            <w:pPr>
              <w:pStyle w:val="Normlnywebov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  z toho vplyv na ŠR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BD06E7" w:rsidRDefault="00BD06E7">
            <w:pPr>
              <w:pStyle w:val="Normlnywebov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BD06E7" w:rsidRDefault="00BD06E7">
            <w:pPr>
              <w:pStyle w:val="Normlnywebov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BD06E7" w:rsidRDefault="00BD06E7">
            <w:pPr>
              <w:pStyle w:val="Normlnywebov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D06E7" w:rsidRDefault="00BD06E7">
            <w:pPr>
              <w:pStyle w:val="Normlnywebov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BD06E7" w:rsidRDefault="00BD06E7">
            <w:pPr>
              <w:pStyle w:val="Normlnywebov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BD06E7" w:rsidTr="00BD06E7">
        <w:trPr>
          <w:trHeight w:val="255"/>
        </w:trPr>
        <w:tc>
          <w:tcPr>
            <w:tcW w:w="59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06E7" w:rsidRDefault="00BD06E7">
            <w:pPr>
              <w:pStyle w:val="Normlnywebov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Poistné a príspevok do poisťovní (620)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BD06E7" w:rsidRDefault="00BD06E7">
            <w:pPr>
              <w:pStyle w:val="Normlnywebov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BD06E7" w:rsidRDefault="00BD06E7">
            <w:pPr>
              <w:pStyle w:val="Normlnywebov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BD06E7" w:rsidRDefault="00BD06E7">
            <w:pPr>
              <w:pStyle w:val="Normlnywebov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D06E7" w:rsidRDefault="00BD06E7">
            <w:pPr>
              <w:pStyle w:val="Normlnywebov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BD06E7" w:rsidRDefault="00BD06E7">
            <w:pPr>
              <w:pStyle w:val="Normlnywebov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BD06E7" w:rsidTr="00BD06E7">
        <w:trPr>
          <w:trHeight w:val="255"/>
        </w:trPr>
        <w:tc>
          <w:tcPr>
            <w:tcW w:w="59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06E7" w:rsidRDefault="00BD06E7">
            <w:pPr>
              <w:pStyle w:val="Normlnywebov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  z toho vplyv na ŠR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BD06E7" w:rsidRDefault="00BD06E7">
            <w:pPr>
              <w:pStyle w:val="Normlnywebov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BD06E7" w:rsidRDefault="00BD06E7">
            <w:pPr>
              <w:pStyle w:val="Normlnywebov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BD06E7" w:rsidRDefault="00BD06E7">
            <w:pPr>
              <w:pStyle w:val="Normlnywebov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D06E7" w:rsidRDefault="00BD06E7">
            <w:pPr>
              <w:pStyle w:val="Normlnywebov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BD06E7" w:rsidRDefault="00BD06E7">
            <w:pPr>
              <w:pStyle w:val="Normlnywebov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BD06E7" w:rsidTr="00BD06E7">
        <w:trPr>
          <w:trHeight w:val="255"/>
        </w:trPr>
        <w:tc>
          <w:tcPr>
            <w:tcW w:w="5932" w:type="dxa"/>
            <w:vAlign w:val="bottom"/>
            <w:hideMark/>
          </w:tcPr>
          <w:p w:rsidR="00BD06E7" w:rsidRDefault="00BD06E7">
            <w:pPr>
              <w:pStyle w:val="Normlnywebov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1500" w:type="dxa"/>
            <w:vAlign w:val="bottom"/>
            <w:hideMark/>
          </w:tcPr>
          <w:p w:rsidR="00BD06E7" w:rsidRDefault="00BD06E7">
            <w:pPr>
              <w:pStyle w:val="Normlnywebov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1598" w:type="dxa"/>
            <w:vAlign w:val="bottom"/>
            <w:hideMark/>
          </w:tcPr>
          <w:p w:rsidR="00BD06E7" w:rsidRDefault="00BD06E7">
            <w:pPr>
              <w:pStyle w:val="Normlnywebov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0" w:type="auto"/>
            <w:vAlign w:val="bottom"/>
            <w:hideMark/>
          </w:tcPr>
          <w:p w:rsidR="00BD06E7" w:rsidRDefault="00BD06E7">
            <w:pPr>
              <w:pStyle w:val="Normlnywebov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1550" w:type="dxa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BD06E7" w:rsidRDefault="00BD06E7">
            <w:pPr>
              <w:pStyle w:val="Normlnywebov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BD06E7" w:rsidRDefault="00BD06E7">
            <w:pPr>
              <w:pStyle w:val="Normlnywebov"/>
              <w:spacing w:before="0" w:beforeAutospacing="0" w:after="0" w:afterAutospacing="0"/>
            </w:pPr>
            <w:r>
              <w:t> </w:t>
            </w:r>
          </w:p>
        </w:tc>
      </w:tr>
    </w:tbl>
    <w:p w:rsidR="00BD06E7" w:rsidRDefault="00BD06E7" w:rsidP="00BD06E7"/>
    <w:p w:rsidR="00DF0E02" w:rsidRDefault="00DF0E02"/>
    <w:sectPr w:rsidR="00DF0E02" w:rsidSect="00DF0E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2B60B65"/>
    <w:multiLevelType w:val="hybridMultilevel"/>
    <w:tmpl w:val="7E1691A6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D06E7"/>
    <w:rsid w:val="000C0F82"/>
    <w:rsid w:val="00BD06E7"/>
    <w:rsid w:val="00C732F6"/>
    <w:rsid w:val="00D93EF2"/>
    <w:rsid w:val="00DF0E02"/>
    <w:rsid w:val="00E943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D06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uiPriority w:val="99"/>
    <w:unhideWhenUsed/>
    <w:rsid w:val="00BD06E7"/>
    <w:pPr>
      <w:spacing w:before="100" w:beforeAutospacing="1" w:after="100" w:afterAutospacing="1"/>
    </w:pPr>
  </w:style>
  <w:style w:type="paragraph" w:styleId="Odsekzoznamu">
    <w:name w:val="List Paragraph"/>
    <w:basedOn w:val="Normlny"/>
    <w:uiPriority w:val="34"/>
    <w:qFormat/>
    <w:rsid w:val="00BD06E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511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8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10" Type="http://schemas.openxmlformats.org/officeDocument/2006/relationships/customXml" Target="../customXml/item4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>
    <_dlc_DocId xmlns="e60a29af-d413-48d4-bd90-fe9d2a897e4b">WKX3UHSAJ2R6-2-263060</_dlc_DocId>
    <_dlc_DocIdUrl xmlns="e60a29af-d413-48d4-bd90-fe9d2a897e4b">
      <Url>https://ovdmasv601/sites/DMS/_layouts/15/DocIdRedir.aspx?ID=WKX3UHSAJ2R6-2-263060</Url>
      <Description>WKX3UHSAJ2R6-2-263060</Description>
    </_dlc_DocIdUrl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C0C8C3C1E3DCC44BECE3792677AD011" ma:contentTypeVersion="0" ma:contentTypeDescription="Umožňuje vytvoriť nový dokument." ma:contentTypeScope="" ma:versionID="85fc4bdbf09a6aa5742b4e3db9523750">
  <xsd:schema xmlns:xsd="http://www.w3.org/2001/XMLSchema" xmlns:xs="http://www.w3.org/2001/XMLSchema" xmlns:p="http://schemas.microsoft.com/office/2006/metadata/properties" xmlns:ns2="e60a29af-d413-48d4-bd90-fe9d2a897e4b" targetNamespace="http://schemas.microsoft.com/office/2006/metadata/properties" ma:root="true" ma:fieldsID="d088e84141cffc04886a2632a8c86973" ns2:_="">
    <xsd:import namespace="e60a29af-d413-48d4-bd90-fe9d2a897e4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a29af-d413-48d4-bd90-fe9d2a897e4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entifikátora dokumentu" ma:description="Hodnota identifikátora dokumentu priradená k tejto položke." ma:internalName="_dlc_DocId" ma:readOnly="true">
      <xsd:simpleType>
        <xsd:restriction base="dms:Text"/>
      </xsd:simpleType>
    </xsd:element>
    <xsd:element name="_dlc_DocIdUrl" ma:index="9" nillable="true" ma:displayName="Identifikátor dokumentu" ma:description="Trvalé prepojenie na tento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592DC05-6810-49E8-A68B-EB40D0497661}"/>
</file>

<file path=customXml/itemProps2.xml><?xml version="1.0" encoding="utf-8"?>
<ds:datastoreItem xmlns:ds="http://schemas.openxmlformats.org/officeDocument/2006/customXml" ds:itemID="{53CF4D73-1D3E-42D1-9FD0-4907F2D71BA4}"/>
</file>

<file path=customXml/itemProps3.xml><?xml version="1.0" encoding="utf-8"?>
<ds:datastoreItem xmlns:ds="http://schemas.openxmlformats.org/officeDocument/2006/customXml" ds:itemID="{2CAC090A-BB9A-4911-B9FE-4D21775628F9}"/>
</file>

<file path=customXml/itemProps4.xml><?xml version="1.0" encoding="utf-8"?>
<ds:datastoreItem xmlns:ds="http://schemas.openxmlformats.org/officeDocument/2006/customXml" ds:itemID="{B866734B-9EDF-4F48-9E80-000504A0075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2508</Words>
  <Characters>14298</Characters>
  <Application>Microsoft Office Word</Application>
  <DocSecurity>0</DocSecurity>
  <Lines>119</Lines>
  <Paragraphs>33</Paragraphs>
  <ScaleCrop>false</ScaleCrop>
  <Company/>
  <LinksUpToDate>false</LinksUpToDate>
  <CharactersWithSpaces>16773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kriak</dc:creator>
  <cp:lastModifiedBy>kriak</cp:lastModifiedBy>
  <cp:revision>2</cp:revision>
  <dcterms:created xsi:type="dcterms:W3CDTF">2011-02-24T12:09:00Z</dcterms:created>
  <dcterms:modified xsi:type="dcterms:W3CDTF">2011-02-24T12:09:00Z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0x0101006C0C8C3C1E3DCC44BECE3792677AD011</vt:lpwstr>
  </property>
  <property fmtid="{D5CDD505-2E9C-101B-9397-08002B2CF9AE}" pid="3" name="_dlc_DocIdItemGuid">
    <vt:lpwstr>32db3cfc-3b4f-4bdc-8a9b-235c88f69772</vt:lpwstr>
  </property>
</Properties>
</file>