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18343" w14:textId="77777777" w:rsidR="00FF3761" w:rsidRPr="001B0AFE" w:rsidRDefault="00FF3761" w:rsidP="00FF3761">
      <w:pPr>
        <w:jc w:val="center"/>
        <w:rPr>
          <w:b/>
          <w:caps/>
          <w:color w:val="000000"/>
          <w:spacing w:val="30"/>
        </w:rPr>
      </w:pPr>
      <w:r w:rsidRPr="001B0AFE">
        <w:rPr>
          <w:b/>
          <w:caps/>
          <w:color w:val="000000"/>
          <w:spacing w:val="30"/>
        </w:rPr>
        <w:t>PREDKLADACIA správa</w:t>
      </w:r>
    </w:p>
    <w:p w14:paraId="1CE58F43" w14:textId="77777777" w:rsidR="00FF3761" w:rsidRPr="001B0AFE" w:rsidRDefault="00FF3761" w:rsidP="00FF3761">
      <w:pPr>
        <w:jc w:val="both"/>
        <w:rPr>
          <w:color w:val="000000"/>
        </w:rPr>
      </w:pPr>
    </w:p>
    <w:p w14:paraId="2DB5C2BA" w14:textId="77777777" w:rsidR="00FF3761" w:rsidRPr="001B0AFE" w:rsidRDefault="00FF3761" w:rsidP="00FF3761">
      <w:pPr>
        <w:rPr>
          <w:bCs/>
        </w:rPr>
      </w:pPr>
    </w:p>
    <w:p w14:paraId="30FC14B1" w14:textId="3F21A943" w:rsidR="0008546A" w:rsidRPr="0041536D" w:rsidRDefault="0008546A" w:rsidP="007C0DFF">
      <w:pPr>
        <w:jc w:val="both"/>
        <w:rPr>
          <w:bCs/>
        </w:rPr>
      </w:pPr>
      <w:r w:rsidRPr="0041536D">
        <w:t xml:space="preserve">Ministerstvo financií Slovenskej republiky predkladá </w:t>
      </w:r>
      <w:r w:rsidR="002D696C">
        <w:t>v</w:t>
      </w:r>
      <w:r w:rsidR="0043093F">
        <w:t xml:space="preserve"> súlade s </w:t>
      </w:r>
      <w:r w:rsidR="002D696C" w:rsidRPr="00793C6C">
        <w:rPr>
          <w:bCs/>
        </w:rPr>
        <w:t>Plán</w:t>
      </w:r>
      <w:r w:rsidR="0043093F">
        <w:rPr>
          <w:bCs/>
        </w:rPr>
        <w:t>om</w:t>
      </w:r>
      <w:r w:rsidR="002D696C" w:rsidRPr="00793C6C">
        <w:rPr>
          <w:bCs/>
        </w:rPr>
        <w:t xml:space="preserve"> legislatívnych úloh vlády Slovenskej republiky na rok 2026</w:t>
      </w:r>
      <w:r w:rsidR="002D696C">
        <w:t xml:space="preserve"> </w:t>
      </w:r>
      <w:r w:rsidRPr="0041536D">
        <w:t>návrh zákona, ktorým sa mení a dopĺňa zákon č.</w:t>
      </w:r>
      <w:r w:rsidR="00963BB6">
        <w:t> </w:t>
      </w:r>
      <w:r w:rsidR="002533C9">
        <w:t>530</w:t>
      </w:r>
      <w:r w:rsidRPr="0041536D">
        <w:t>/20</w:t>
      </w:r>
      <w:r w:rsidR="002533C9">
        <w:t>11</w:t>
      </w:r>
      <w:r w:rsidRPr="0041536D">
        <w:t xml:space="preserve"> Z. z. o spotrebnej dani z</w:t>
      </w:r>
      <w:r w:rsidR="002533C9">
        <w:t> alkoholických nápojov</w:t>
      </w:r>
      <w:r w:rsidRPr="0041536D">
        <w:t xml:space="preserve"> v znení neskorších predpisov </w:t>
      </w:r>
      <w:r w:rsidR="002533C9">
        <w:t>a </w:t>
      </w:r>
      <w:bookmarkStart w:id="0" w:name="_Hlk221872420"/>
      <w:r w:rsidR="002533C9">
        <w:t xml:space="preserve">ktorým sa menia a dopĺňajú niektoré zákony </w:t>
      </w:r>
      <w:bookmarkEnd w:id="0"/>
      <w:r w:rsidRPr="0041536D">
        <w:t>(ďalej len „návrh zákona“).</w:t>
      </w:r>
    </w:p>
    <w:p w14:paraId="51B289D7" w14:textId="77777777" w:rsidR="0008546A" w:rsidRDefault="0008546A" w:rsidP="0008546A">
      <w:pPr>
        <w:jc w:val="both"/>
      </w:pPr>
    </w:p>
    <w:p w14:paraId="124934D9" w14:textId="6CEF8A8A" w:rsidR="0028484E" w:rsidRDefault="0028484E" w:rsidP="007C0DFF">
      <w:pPr>
        <w:jc w:val="both"/>
      </w:pPr>
      <w:r w:rsidRPr="0028484E">
        <w:t>Hlavným dôvodom vypracovania predkladaného návrhu záko</w:t>
      </w:r>
      <w:r w:rsidR="00CF3B0B">
        <w:t xml:space="preserve">na je </w:t>
      </w:r>
      <w:r w:rsidR="00520BCE" w:rsidRPr="0028484E">
        <w:t>zlepš</w:t>
      </w:r>
      <w:r w:rsidR="00CF3B0B">
        <w:t>enie</w:t>
      </w:r>
      <w:r w:rsidR="00520BCE" w:rsidRPr="0028484E">
        <w:t xml:space="preserve"> podnikateľské</w:t>
      </w:r>
      <w:r w:rsidR="00CF3B0B">
        <w:t xml:space="preserve">ho </w:t>
      </w:r>
      <w:r w:rsidR="00520BCE" w:rsidRPr="0028484E">
        <w:t xml:space="preserve"> prostredi</w:t>
      </w:r>
      <w:r w:rsidR="00CF3B0B">
        <w:t>a</w:t>
      </w:r>
      <w:r w:rsidR="00520BCE" w:rsidRPr="0028484E">
        <w:t xml:space="preserve"> </w:t>
      </w:r>
      <w:r w:rsidR="00520BCE">
        <w:t>a</w:t>
      </w:r>
      <w:r w:rsidR="00520BCE" w:rsidRPr="0028484E">
        <w:t xml:space="preserve"> zefektívn</w:t>
      </w:r>
      <w:r w:rsidR="00CF3B0B">
        <w:t>enie</w:t>
      </w:r>
      <w:r w:rsidR="00520BCE" w:rsidRPr="0028484E">
        <w:t xml:space="preserve"> výkon</w:t>
      </w:r>
      <w:r w:rsidR="00CF3B0B">
        <w:t>u</w:t>
      </w:r>
      <w:r w:rsidR="00520BCE" w:rsidRPr="0028484E">
        <w:t xml:space="preserve"> správy dan</w:t>
      </w:r>
      <w:r w:rsidR="00520BCE">
        <w:t>e</w:t>
      </w:r>
      <w:r w:rsidR="00520BCE" w:rsidRPr="0028484E">
        <w:t xml:space="preserve"> </w:t>
      </w:r>
      <w:r w:rsidR="00CF3B0B">
        <w:t xml:space="preserve">v nadväznosti na </w:t>
      </w:r>
      <w:r w:rsidR="0043093F" w:rsidRPr="00A55AFD">
        <w:t>podnet</w:t>
      </w:r>
      <w:r w:rsidR="0043093F">
        <w:t>y</w:t>
      </w:r>
      <w:r w:rsidR="0043093F" w:rsidRPr="00A55AFD">
        <w:t xml:space="preserve"> z aplikačnej praxe</w:t>
      </w:r>
      <w:r w:rsidR="00781ECD">
        <w:t xml:space="preserve">. Vzhľadom na to, že jednotlivé právne úpravy spotrebných daní sú postavené na rovnakých systémových princípoch a mechanizmoch správy dane, ako </w:t>
      </w:r>
      <w:r w:rsidR="00651934">
        <w:t>a</w:t>
      </w:r>
      <w:r w:rsidR="00781ECD">
        <w:t xml:space="preserve">j obdobných inštitútoch fungovania, je potrebné vykonať úpravy aj </w:t>
      </w:r>
      <w:r>
        <w:t xml:space="preserve">vybraných </w:t>
      </w:r>
      <w:r w:rsidRPr="00A55AFD">
        <w:t>zákonov</w:t>
      </w:r>
      <w:r>
        <w:t xml:space="preserve"> o spotrebných daniach</w:t>
      </w:r>
      <w:r w:rsidR="00781ECD">
        <w:t>, a to zákona č. 98/2004 Z. z. o spotrebnej dani z mineráln</w:t>
      </w:r>
      <w:r w:rsidR="00A7127C">
        <w:t>eho</w:t>
      </w:r>
      <w:r w:rsidR="00781ECD">
        <w:t xml:space="preserve"> olej</w:t>
      </w:r>
      <w:r w:rsidR="00A7127C">
        <w:t>a</w:t>
      </w:r>
      <w:r w:rsidR="00781ECD">
        <w:t xml:space="preserve"> v znení neskorších predpisov</w:t>
      </w:r>
      <w:r w:rsidR="00A7127C">
        <w:t>,</w:t>
      </w:r>
      <w:r w:rsidR="00781ECD">
        <w:t xml:space="preserve"> zákona č. </w:t>
      </w:r>
      <w:r>
        <w:t>106/2004 Z. z.</w:t>
      </w:r>
      <w:r w:rsidR="00781ECD">
        <w:t xml:space="preserve"> o spotrebnej dani z tabakových výrobkov v znení neskorších predpisov</w:t>
      </w:r>
      <w:r w:rsidR="00A7127C">
        <w:t xml:space="preserve"> a z</w:t>
      </w:r>
      <w:r w:rsidR="00A7127C" w:rsidRPr="00A7127C">
        <w:t>ákon</w:t>
      </w:r>
      <w:r w:rsidR="00A7127C">
        <w:t>a</w:t>
      </w:r>
      <w:r w:rsidR="00A7127C" w:rsidRPr="00A7127C">
        <w:t xml:space="preserve"> č. 609/2007 Z. z. o spotrebnej dani z elektriny, uhlia a zemného plynu</w:t>
      </w:r>
      <w:r w:rsidR="00A7127C">
        <w:t xml:space="preserve"> v znení neskorších predpisov</w:t>
      </w:r>
      <w:r>
        <w:t>.</w:t>
      </w:r>
    </w:p>
    <w:p w14:paraId="743E972A" w14:textId="77777777" w:rsidR="0028484E" w:rsidRDefault="0028484E" w:rsidP="00C6675B">
      <w:pPr>
        <w:pStyle w:val="Zkladntext0"/>
        <w:jc w:val="both"/>
        <w:rPr>
          <w:rFonts w:ascii="Times New Roman" w:hAnsi="Times New Roman" w:cs="Times New Roman"/>
        </w:rPr>
      </w:pPr>
    </w:p>
    <w:p w14:paraId="495ED825" w14:textId="203A17DA" w:rsidR="0008546A" w:rsidRDefault="0008546A" w:rsidP="00C6675B">
      <w:pPr>
        <w:pStyle w:val="Zkladntext0"/>
        <w:ind w:firstLine="567"/>
        <w:jc w:val="both"/>
        <w:rPr>
          <w:rFonts w:ascii="Times New Roman" w:hAnsi="Times New Roman" w:cs="Times New Roman"/>
        </w:rPr>
      </w:pPr>
      <w:bookmarkStart w:id="1" w:name="_Hlk221877525"/>
      <w:r>
        <w:rPr>
          <w:rFonts w:ascii="Times New Roman" w:hAnsi="Times New Roman" w:cs="Times New Roman"/>
        </w:rPr>
        <w:t>Cieľom návrhu zákona je:</w:t>
      </w:r>
    </w:p>
    <w:p w14:paraId="4B96F19C" w14:textId="77777777" w:rsidR="008A1C63" w:rsidRDefault="008A1C63" w:rsidP="008A1C63">
      <w:pPr>
        <w:pStyle w:val="Zkladntext0"/>
        <w:jc w:val="both"/>
        <w:rPr>
          <w:rFonts w:ascii="Times New Roman" w:hAnsi="Times New Roman" w:cs="Times New Roman"/>
        </w:rPr>
      </w:pPr>
    </w:p>
    <w:p w14:paraId="5696D184" w14:textId="6CA09417" w:rsidR="002533C9" w:rsidRDefault="00AD4784" w:rsidP="002533C9">
      <w:pPr>
        <w:pStyle w:val="Bezriadkovania"/>
        <w:numPr>
          <w:ilvl w:val="0"/>
          <w:numId w:val="8"/>
        </w:numPr>
        <w:tabs>
          <w:tab w:val="clear" w:pos="720"/>
        </w:tabs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realizovať </w:t>
      </w:r>
      <w:r w:rsidR="002533C9" w:rsidRPr="00A56597">
        <w:rPr>
          <w:rFonts w:ascii="Times New Roman" w:hAnsi="Times New Roman"/>
          <w:sz w:val="24"/>
          <w:szCs w:val="24"/>
        </w:rPr>
        <w:t>úpravy zamerané na skvalitnenie zákonných mechanizmov, ako aj na spresnenie práv a povinností jednotlivých subjektov vyplývajúce zo zistení a poznatkov z aplikačnej praxe</w:t>
      </w:r>
      <w:r w:rsidR="002533C9">
        <w:rPr>
          <w:rFonts w:ascii="Times New Roman" w:hAnsi="Times New Roman"/>
          <w:sz w:val="24"/>
          <w:szCs w:val="24"/>
        </w:rPr>
        <w:t>,</w:t>
      </w:r>
    </w:p>
    <w:p w14:paraId="42F55EDD" w14:textId="598B5E8A" w:rsidR="00AD4784" w:rsidRDefault="00AD4784" w:rsidP="002533C9">
      <w:pPr>
        <w:pStyle w:val="Bezriadkovania"/>
        <w:numPr>
          <w:ilvl w:val="0"/>
          <w:numId w:val="8"/>
        </w:numPr>
        <w:tabs>
          <w:tab w:val="clear" w:pos="720"/>
        </w:tabs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vytvoriť právnu istotu pre daňové subjekty i správcu dane spresnením požadovaných povinností a postupov,</w:t>
      </w:r>
    </w:p>
    <w:p w14:paraId="72F09921" w14:textId="450FC80B" w:rsidR="002533C9" w:rsidRDefault="002533C9" w:rsidP="002533C9">
      <w:pPr>
        <w:pStyle w:val="Bezriadkovania"/>
        <w:numPr>
          <w:ilvl w:val="0"/>
          <w:numId w:val="8"/>
        </w:numPr>
        <w:tabs>
          <w:tab w:val="clear" w:pos="720"/>
        </w:tabs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A56597">
        <w:rPr>
          <w:rFonts w:ascii="Times New Roman" w:hAnsi="Times New Roman"/>
          <w:sz w:val="24"/>
          <w:szCs w:val="24"/>
        </w:rPr>
        <w:t>spresn</w:t>
      </w:r>
      <w:r w:rsidR="00AD4784">
        <w:rPr>
          <w:rFonts w:ascii="Times New Roman" w:hAnsi="Times New Roman"/>
          <w:sz w:val="24"/>
          <w:szCs w:val="24"/>
        </w:rPr>
        <w:t>iť</w:t>
      </w:r>
      <w:r w:rsidRPr="00A56597">
        <w:rPr>
          <w:rFonts w:ascii="Times New Roman" w:hAnsi="Times New Roman"/>
          <w:sz w:val="24"/>
          <w:szCs w:val="24"/>
        </w:rPr>
        <w:t xml:space="preserve"> kompetenci</w:t>
      </w:r>
      <w:r w:rsidR="00AD4784">
        <w:rPr>
          <w:rFonts w:ascii="Times New Roman" w:hAnsi="Times New Roman"/>
          <w:sz w:val="24"/>
          <w:szCs w:val="24"/>
        </w:rPr>
        <w:t>e</w:t>
      </w:r>
      <w:r w:rsidRPr="00A56597">
        <w:rPr>
          <w:rFonts w:ascii="Times New Roman" w:hAnsi="Times New Roman"/>
          <w:sz w:val="24"/>
          <w:szCs w:val="24"/>
        </w:rPr>
        <w:t xml:space="preserve"> správcu dane pri </w:t>
      </w:r>
      <w:r w:rsidR="00AD4784">
        <w:rPr>
          <w:rFonts w:ascii="Times New Roman" w:hAnsi="Times New Roman"/>
          <w:sz w:val="24"/>
          <w:szCs w:val="24"/>
        </w:rPr>
        <w:t xml:space="preserve">zabezpečovaní, zaistení a </w:t>
      </w:r>
      <w:r w:rsidRPr="00A56597">
        <w:rPr>
          <w:rFonts w:ascii="Times New Roman" w:hAnsi="Times New Roman"/>
          <w:sz w:val="24"/>
          <w:szCs w:val="24"/>
        </w:rPr>
        <w:t>likvidácii tovaru (predmetu dane), ktorý prepadol v prospech štátu</w:t>
      </w:r>
      <w:r>
        <w:rPr>
          <w:rFonts w:ascii="Times New Roman" w:hAnsi="Times New Roman"/>
          <w:sz w:val="24"/>
          <w:szCs w:val="24"/>
        </w:rPr>
        <w:t>,</w:t>
      </w:r>
    </w:p>
    <w:p w14:paraId="714F07BB" w14:textId="1476D4BC" w:rsidR="006B0621" w:rsidRPr="006B0621" w:rsidRDefault="006B0621" w:rsidP="006B0621">
      <w:pPr>
        <w:pStyle w:val="Bezriadkovania"/>
        <w:numPr>
          <w:ilvl w:val="0"/>
          <w:numId w:val="8"/>
        </w:numPr>
        <w:tabs>
          <w:tab w:val="clear" w:pos="720"/>
        </w:tabs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zefektívniť výkon daňového dozoru v prípade trvalej prítomnosti správcu dane v daňovom sklade,</w:t>
      </w:r>
    </w:p>
    <w:p w14:paraId="1C4C2169" w14:textId="5FA85AA0" w:rsidR="006F0F7F" w:rsidRDefault="006F0F7F" w:rsidP="006F0F7F">
      <w:pPr>
        <w:pStyle w:val="Bezriadkovania"/>
        <w:numPr>
          <w:ilvl w:val="0"/>
          <w:numId w:val="8"/>
        </w:numPr>
        <w:tabs>
          <w:tab w:val="clear" w:pos="720"/>
        </w:tabs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spresn</w:t>
      </w:r>
      <w:r w:rsidR="004D5DA3">
        <w:rPr>
          <w:rFonts w:ascii="Times New Roman" w:hAnsi="Times New Roman"/>
          <w:sz w:val="24"/>
          <w:szCs w:val="24"/>
        </w:rPr>
        <w:t>iť</w:t>
      </w:r>
      <w:r>
        <w:rPr>
          <w:rFonts w:ascii="Times New Roman" w:hAnsi="Times New Roman"/>
          <w:sz w:val="24"/>
          <w:szCs w:val="24"/>
        </w:rPr>
        <w:t xml:space="preserve"> </w:t>
      </w:r>
      <w:r w:rsidR="008A1C63">
        <w:rPr>
          <w:rFonts w:ascii="Times New Roman" w:hAnsi="Times New Roman"/>
          <w:sz w:val="24"/>
          <w:szCs w:val="24"/>
        </w:rPr>
        <w:t>práv</w:t>
      </w:r>
      <w:r w:rsidR="004D5DA3">
        <w:rPr>
          <w:rFonts w:ascii="Times New Roman" w:hAnsi="Times New Roman"/>
          <w:sz w:val="24"/>
          <w:szCs w:val="24"/>
        </w:rPr>
        <w:t>a</w:t>
      </w:r>
      <w:r w:rsidR="008A1C63">
        <w:rPr>
          <w:rFonts w:ascii="Times New Roman" w:hAnsi="Times New Roman"/>
          <w:sz w:val="24"/>
          <w:szCs w:val="24"/>
        </w:rPr>
        <w:t xml:space="preserve"> a </w:t>
      </w:r>
      <w:r>
        <w:rPr>
          <w:rFonts w:ascii="Times New Roman" w:hAnsi="Times New Roman"/>
          <w:sz w:val="24"/>
          <w:szCs w:val="24"/>
        </w:rPr>
        <w:t xml:space="preserve">povinností právnických </w:t>
      </w:r>
      <w:r w:rsidR="004D745F">
        <w:rPr>
          <w:rFonts w:ascii="Times New Roman" w:hAnsi="Times New Roman"/>
          <w:sz w:val="24"/>
          <w:szCs w:val="24"/>
        </w:rPr>
        <w:t xml:space="preserve">osôb </w:t>
      </w:r>
      <w:r>
        <w:rPr>
          <w:rFonts w:ascii="Times New Roman" w:hAnsi="Times New Roman"/>
          <w:sz w:val="24"/>
          <w:szCs w:val="24"/>
        </w:rPr>
        <w:t xml:space="preserve">a fyzických osôb v oblasti výroby, </w:t>
      </w:r>
      <w:r w:rsidR="008A1C63">
        <w:rPr>
          <w:rFonts w:ascii="Times New Roman" w:hAnsi="Times New Roman"/>
          <w:sz w:val="24"/>
          <w:szCs w:val="24"/>
        </w:rPr>
        <w:t xml:space="preserve">spracovania, </w:t>
      </w:r>
      <w:r>
        <w:rPr>
          <w:rFonts w:ascii="Times New Roman" w:hAnsi="Times New Roman"/>
          <w:sz w:val="24"/>
          <w:szCs w:val="24"/>
        </w:rPr>
        <w:t>prijímania, odosielania a skladovania vína,</w:t>
      </w:r>
    </w:p>
    <w:p w14:paraId="0B4C61DE" w14:textId="77777777" w:rsidR="00214FBD" w:rsidRDefault="004D5DA3" w:rsidP="00214FBD">
      <w:pPr>
        <w:pStyle w:val="Bezriadkovania"/>
        <w:numPr>
          <w:ilvl w:val="0"/>
          <w:numId w:val="8"/>
        </w:numPr>
        <w:tabs>
          <w:tab w:val="clear" w:pos="720"/>
        </w:tabs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</w:t>
      </w:r>
      <w:r w:rsidR="006F0F7F">
        <w:rPr>
          <w:rFonts w:ascii="Times New Roman" w:hAnsi="Times New Roman"/>
          <w:sz w:val="24"/>
          <w:szCs w:val="24"/>
        </w:rPr>
        <w:t>nadväz</w:t>
      </w:r>
      <w:r>
        <w:rPr>
          <w:rFonts w:ascii="Times New Roman" w:hAnsi="Times New Roman"/>
          <w:sz w:val="24"/>
          <w:szCs w:val="24"/>
        </w:rPr>
        <w:t xml:space="preserve">nosti </w:t>
      </w:r>
      <w:r w:rsidR="00727BD8">
        <w:rPr>
          <w:rFonts w:ascii="Times New Roman" w:hAnsi="Times New Roman"/>
          <w:sz w:val="24"/>
          <w:szCs w:val="24"/>
        </w:rPr>
        <w:t xml:space="preserve">na </w:t>
      </w:r>
      <w:r w:rsidR="006F0F7F">
        <w:rPr>
          <w:rFonts w:ascii="Times New Roman" w:hAnsi="Times New Roman"/>
          <w:sz w:val="24"/>
          <w:szCs w:val="24"/>
        </w:rPr>
        <w:t>podnet</w:t>
      </w:r>
      <w:r w:rsidR="00946CD4">
        <w:rPr>
          <w:rFonts w:ascii="Times New Roman" w:hAnsi="Times New Roman"/>
          <w:sz w:val="24"/>
          <w:szCs w:val="24"/>
        </w:rPr>
        <w:t>y</w:t>
      </w:r>
      <w:r w:rsidR="002533C9">
        <w:rPr>
          <w:rFonts w:ascii="Times New Roman" w:hAnsi="Times New Roman"/>
          <w:sz w:val="24"/>
          <w:szCs w:val="24"/>
        </w:rPr>
        <w:t xml:space="preserve"> z aplikačnej praxe</w:t>
      </w:r>
      <w:r w:rsidR="00946CD4">
        <w:rPr>
          <w:rFonts w:ascii="Times New Roman" w:hAnsi="Times New Roman"/>
          <w:sz w:val="24"/>
          <w:szCs w:val="24"/>
        </w:rPr>
        <w:t>, legislatívno-technická úprava n</w:t>
      </w:r>
      <w:r w:rsidR="009109A8">
        <w:rPr>
          <w:rFonts w:ascii="Times New Roman" w:hAnsi="Times New Roman"/>
          <w:sz w:val="24"/>
          <w:szCs w:val="24"/>
        </w:rPr>
        <w:t>iektorých</w:t>
      </w:r>
      <w:r w:rsidR="00946CD4">
        <w:rPr>
          <w:rFonts w:ascii="Times New Roman" w:hAnsi="Times New Roman"/>
          <w:sz w:val="24"/>
          <w:szCs w:val="24"/>
        </w:rPr>
        <w:t xml:space="preserve"> ustanovení zákonov</w:t>
      </w:r>
      <w:r w:rsidR="00214FBD">
        <w:rPr>
          <w:rFonts w:ascii="Times New Roman" w:hAnsi="Times New Roman"/>
          <w:sz w:val="24"/>
          <w:szCs w:val="24"/>
        </w:rPr>
        <w:t>,</w:t>
      </w:r>
    </w:p>
    <w:p w14:paraId="37959AEF" w14:textId="5C2ED273" w:rsidR="00214FBD" w:rsidRPr="00214FBD" w:rsidRDefault="00214FBD" w:rsidP="00214FBD">
      <w:pPr>
        <w:pStyle w:val="Bezriadkovania"/>
        <w:numPr>
          <w:ilvl w:val="0"/>
          <w:numId w:val="8"/>
        </w:numPr>
        <w:tabs>
          <w:tab w:val="clear" w:pos="720"/>
        </w:tabs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14FBD">
        <w:rPr>
          <w:rFonts w:ascii="Times New Roman" w:hAnsi="Times New Roman"/>
          <w:bCs/>
          <w:iCs/>
          <w:sz w:val="24"/>
          <w:szCs w:val="24"/>
        </w:rPr>
        <w:t>na úpravu v zákonoch o spotrebných daniach súvisiacu so zabezpečením, zaistením a následným zničením predmetov spotrebnej dane nadväzuje novela zákona o dani z príjmov (obstarávacia cena predmetu spotrebnej dane sa bude považovať za nedaňový výdavok) a zároveň sa nastavuje mechanizmus asignácie dane rodičom pri spätnom priznávaní dôchodkov.</w:t>
      </w:r>
    </w:p>
    <w:p w14:paraId="132F8193" w14:textId="0C533E32" w:rsidR="002533C9" w:rsidRPr="006F0F7F" w:rsidRDefault="002533C9" w:rsidP="00214FBD">
      <w:pPr>
        <w:pStyle w:val="Bezriadkovania"/>
        <w:ind w:left="567"/>
        <w:jc w:val="both"/>
        <w:rPr>
          <w:rFonts w:ascii="Times New Roman" w:hAnsi="Times New Roman"/>
          <w:sz w:val="24"/>
          <w:szCs w:val="24"/>
        </w:rPr>
      </w:pPr>
    </w:p>
    <w:bookmarkEnd w:id="1"/>
    <w:p w14:paraId="5BF73955" w14:textId="77777777" w:rsidR="008A1C63" w:rsidRPr="009109A8" w:rsidRDefault="008A1C63" w:rsidP="008A1C63">
      <w:pPr>
        <w:jc w:val="both"/>
        <w:rPr>
          <w:rStyle w:val="Nadpis1Char"/>
          <w:color w:val="000000"/>
          <w:lang w:val="sk-SK"/>
        </w:rPr>
      </w:pPr>
    </w:p>
    <w:p w14:paraId="54B19A0A" w14:textId="6A8049C6" w:rsidR="00B27122" w:rsidRPr="00CC7D1F" w:rsidRDefault="003229E2" w:rsidP="00CC7D1F">
      <w:pPr>
        <w:jc w:val="both"/>
        <w:rPr>
          <w:color w:val="000000"/>
        </w:rPr>
      </w:pPr>
      <w:r>
        <w:rPr>
          <w:color w:val="000000"/>
        </w:rPr>
        <w:t xml:space="preserve">Návrh zákona </w:t>
      </w:r>
      <w:r w:rsidRPr="003229E2">
        <w:rPr>
          <w:color w:val="000000"/>
        </w:rPr>
        <w:t>bol predmetom medzirezortného pripomienkovaného konania, ktorého výsledky sú uvedené vo vyhodnotení pripomienkového konania.</w:t>
      </w:r>
      <w:r w:rsidR="00CC7D1F">
        <w:rPr>
          <w:color w:val="000000"/>
        </w:rPr>
        <w:t xml:space="preserve"> </w:t>
      </w:r>
      <w:r w:rsidR="00CC7D1F" w:rsidRPr="00CC7D1F">
        <w:rPr>
          <w:color w:val="000000"/>
        </w:rPr>
        <w:t>Návrh zákona</w:t>
      </w:r>
      <w:r w:rsidR="00CC7D1F">
        <w:rPr>
          <w:color w:val="000000"/>
        </w:rPr>
        <w:t xml:space="preserve"> </w:t>
      </w:r>
      <w:r w:rsidR="00CC7D1F" w:rsidRPr="00CC7D1F">
        <w:rPr>
          <w:color w:val="000000"/>
        </w:rPr>
        <w:t>sa predkladá bez rozporov</w:t>
      </w:r>
      <w:r w:rsidR="00B27122">
        <w:rPr>
          <w:color w:val="000000"/>
        </w:rPr>
        <w:t xml:space="preserve"> a bez odchýlok od schváleného legislatívneho zámeru.</w:t>
      </w:r>
    </w:p>
    <w:p w14:paraId="3C183E96" w14:textId="77777777" w:rsidR="00CC7D1F" w:rsidRPr="00CC7D1F" w:rsidRDefault="00CC7D1F" w:rsidP="00CC7D1F">
      <w:pPr>
        <w:jc w:val="both"/>
        <w:rPr>
          <w:color w:val="000000"/>
        </w:rPr>
      </w:pPr>
    </w:p>
    <w:p w14:paraId="454ECC1D" w14:textId="2CF5DCC3" w:rsidR="00907A4E" w:rsidRPr="00907A4E" w:rsidRDefault="00907A4E" w:rsidP="007C0DFF">
      <w:pPr>
        <w:jc w:val="both"/>
        <w:rPr>
          <w:color w:val="000000"/>
        </w:rPr>
      </w:pPr>
      <w:r w:rsidRPr="00907A4E">
        <w:rPr>
          <w:color w:val="000000"/>
        </w:rPr>
        <w:t>Návrh zákona sa netýka pôsobnosti miestnej územnej samosprávy</w:t>
      </w:r>
      <w:r w:rsidR="003229E2">
        <w:rPr>
          <w:color w:val="000000"/>
        </w:rPr>
        <w:t>,</w:t>
      </w:r>
      <w:r w:rsidRPr="00907A4E">
        <w:rPr>
          <w:color w:val="000000"/>
        </w:rPr>
        <w:t xml:space="preserve"> z tohto dôvodu nie je potrebné vyjadrovať sa k súladu návrhu s Európskou chartou miestnej samosprávy.</w:t>
      </w:r>
    </w:p>
    <w:p w14:paraId="33AEBD73" w14:textId="77777777" w:rsidR="002824FB" w:rsidRPr="001B0AFE" w:rsidRDefault="002824FB" w:rsidP="008A1C63">
      <w:pPr>
        <w:jc w:val="both"/>
      </w:pPr>
    </w:p>
    <w:sectPr w:rsidR="002824FB" w:rsidRPr="001B0AFE" w:rsidSect="004D5DA3">
      <w:footerReference w:type="even" r:id="rId7"/>
      <w:footerReference w:type="default" r:id="rId8"/>
      <w:footerReference w:type="first" r:id="rId9"/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19ABA" w14:textId="77777777" w:rsidR="006B2279" w:rsidRDefault="006B2279" w:rsidP="00520BCE">
      <w:r>
        <w:separator/>
      </w:r>
    </w:p>
  </w:endnote>
  <w:endnote w:type="continuationSeparator" w:id="0">
    <w:p w14:paraId="4EDA379F" w14:textId="77777777" w:rsidR="006B2279" w:rsidRDefault="006B2279" w:rsidP="00520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32E1D" w14:textId="69DBD277" w:rsidR="00520BCE" w:rsidRDefault="00520BCE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126153E" wp14:editId="33BC26E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44525" cy="345440"/>
              <wp:effectExtent l="0" t="0" r="3175" b="0"/>
              <wp:wrapNone/>
              <wp:docPr id="857256276" name="Textové pole 2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452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6CF530" w14:textId="1F073723" w:rsidR="00520BCE" w:rsidRPr="00520BCE" w:rsidRDefault="00520BCE" w:rsidP="00520BC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20BC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26153E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é" style="position:absolute;margin-left:0;margin-top:0;width:50.75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" filled="f" stroked="f">
              <v:textbox style="mso-fit-shape-to-text:t" inset="20pt,0,0,15pt">
                <w:txbxContent>
                  <w:p w14:paraId="706CF530" w14:textId="1F073723" w:rsidR="00520BCE" w:rsidRPr="00520BCE" w:rsidRDefault="00520BCE" w:rsidP="00520BC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20BC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F3A38" w14:textId="7B38760F" w:rsidR="00520BCE" w:rsidRDefault="00520BCE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0161197" wp14:editId="7116B38A">
              <wp:simplePos x="898497" y="10066351"/>
              <wp:positionH relativeFrom="page">
                <wp:align>left</wp:align>
              </wp:positionH>
              <wp:positionV relativeFrom="page">
                <wp:align>bottom</wp:align>
              </wp:positionV>
              <wp:extent cx="644525" cy="345440"/>
              <wp:effectExtent l="0" t="0" r="3175" b="0"/>
              <wp:wrapNone/>
              <wp:docPr id="1202620710" name="Textové pole 3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452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F9AAFF" w14:textId="6421E308" w:rsidR="00520BCE" w:rsidRPr="00520BCE" w:rsidRDefault="00520BCE" w:rsidP="00520BC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20BC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161197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é" style="position:absolute;margin-left:0;margin-top:0;width:50.75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" filled="f" stroked="f">
              <v:textbox style="mso-fit-shape-to-text:t" inset="20pt,0,0,15pt">
                <w:txbxContent>
                  <w:p w14:paraId="6BF9AAFF" w14:textId="6421E308" w:rsidR="00520BCE" w:rsidRPr="00520BCE" w:rsidRDefault="00520BCE" w:rsidP="00520BC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20BC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37D46" w14:textId="7A2BC9B6" w:rsidR="00520BCE" w:rsidRDefault="00520BCE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CE64A31" wp14:editId="1C07F72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44525" cy="345440"/>
              <wp:effectExtent l="0" t="0" r="3175" b="0"/>
              <wp:wrapNone/>
              <wp:docPr id="2106503791" name="Textové pole 1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452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A4F107" w14:textId="0EBF9601" w:rsidR="00520BCE" w:rsidRPr="00520BCE" w:rsidRDefault="00520BCE" w:rsidP="00520BC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20BC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E64A31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é" style="position:absolute;margin-left:0;margin-top:0;width:50.7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" filled="f" stroked="f">
              <v:textbox style="mso-fit-shape-to-text:t" inset="20pt,0,0,15pt">
                <w:txbxContent>
                  <w:p w14:paraId="6CA4F107" w14:textId="0EBF9601" w:rsidR="00520BCE" w:rsidRPr="00520BCE" w:rsidRDefault="00520BCE" w:rsidP="00520BC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20BC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4D230" w14:textId="77777777" w:rsidR="006B2279" w:rsidRDefault="006B2279" w:rsidP="00520BCE">
      <w:r>
        <w:separator/>
      </w:r>
    </w:p>
  </w:footnote>
  <w:footnote w:type="continuationSeparator" w:id="0">
    <w:p w14:paraId="160342C1" w14:textId="77777777" w:rsidR="006B2279" w:rsidRDefault="006B2279" w:rsidP="00520B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Nadpis1"/>
      <w:lvlText w:val="%1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color w:val="auto"/>
        <w:sz w:val="22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0"/>
        </w:tabs>
      </w:pPr>
      <w:rPr>
        <w:rFonts w:cs="Times New Roman"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0"/>
        </w:tabs>
      </w:pPr>
      <w:rPr>
        <w:rFonts w:cs="Times New Roman"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" w15:restartNumberingAfterBreak="0">
    <w:nsid w:val="388F1604"/>
    <w:multiLevelType w:val="hybridMultilevel"/>
    <w:tmpl w:val="FFFFFFFF"/>
    <w:lvl w:ilvl="0" w:tplc="EC285C2C">
      <w:numFmt w:val="bullet"/>
      <w:lvlText w:val="–"/>
      <w:lvlJc w:val="left"/>
      <w:pPr>
        <w:ind w:left="3763" w:hanging="360"/>
      </w:pPr>
      <w:rPr>
        <w:rFonts w:ascii="Times New Roman" w:eastAsia="Times New Roman" w:hAnsi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2" w15:restartNumberingAfterBreak="0">
    <w:nsid w:val="3D26213A"/>
    <w:multiLevelType w:val="hybridMultilevel"/>
    <w:tmpl w:val="FFFFFFFF"/>
    <w:lvl w:ilvl="0" w:tplc="3BFA3EE2">
      <w:numFmt w:val="bullet"/>
      <w:lvlText w:val="-"/>
      <w:lvlJc w:val="left"/>
      <w:pPr>
        <w:ind w:left="720" w:hanging="360"/>
      </w:pPr>
      <w:rPr>
        <w:rFonts w:ascii="Vrinda" w:eastAsia="Times New Roman" w:hAnsi="Vrind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4445C0"/>
    <w:multiLevelType w:val="hybridMultilevel"/>
    <w:tmpl w:val="FFFFFFFF"/>
    <w:lvl w:ilvl="0" w:tplc="9078EEF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1B042D"/>
    <w:multiLevelType w:val="hybridMultilevel"/>
    <w:tmpl w:val="FFFFFFFF"/>
    <w:lvl w:ilvl="0" w:tplc="267E25B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07080D"/>
    <w:multiLevelType w:val="hybridMultilevel"/>
    <w:tmpl w:val="FFFFFFFF"/>
    <w:lvl w:ilvl="0" w:tplc="ED70AB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8EABA3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6C1FD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FF0227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F14E61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5C0A20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3807E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FE0D9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3ABF5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596599281">
    <w:abstractNumId w:val="4"/>
  </w:num>
  <w:num w:numId="2" w16cid:durableId="1800416934">
    <w:abstractNumId w:val="1"/>
  </w:num>
  <w:num w:numId="3" w16cid:durableId="154672344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32030095">
    <w:abstractNumId w:val="3"/>
  </w:num>
  <w:num w:numId="5" w16cid:durableId="809247624">
    <w:abstractNumId w:val="2"/>
  </w:num>
  <w:num w:numId="6" w16cid:durableId="1361470750">
    <w:abstractNumId w:val="0"/>
  </w:num>
  <w:num w:numId="7" w16cid:durableId="156382391">
    <w:abstractNumId w:val="5"/>
  </w:num>
  <w:num w:numId="8" w16cid:durableId="400719167">
    <w:abstractNumId w:val="5"/>
  </w:num>
  <w:num w:numId="9" w16cid:durableId="8203457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278"/>
    <w:rsid w:val="00016349"/>
    <w:rsid w:val="000276A1"/>
    <w:rsid w:val="00034835"/>
    <w:rsid w:val="00040A99"/>
    <w:rsid w:val="0008546A"/>
    <w:rsid w:val="000B75DA"/>
    <w:rsid w:val="000E5DCC"/>
    <w:rsid w:val="000F1B27"/>
    <w:rsid w:val="00113413"/>
    <w:rsid w:val="0017125E"/>
    <w:rsid w:val="001B0AFE"/>
    <w:rsid w:val="001B231F"/>
    <w:rsid w:val="001C02F1"/>
    <w:rsid w:val="00214FBD"/>
    <w:rsid w:val="00222E2A"/>
    <w:rsid w:val="00243E51"/>
    <w:rsid w:val="002533C9"/>
    <w:rsid w:val="00261F31"/>
    <w:rsid w:val="00277CBB"/>
    <w:rsid w:val="002824FB"/>
    <w:rsid w:val="0028484E"/>
    <w:rsid w:val="0029263A"/>
    <w:rsid w:val="002A2D8A"/>
    <w:rsid w:val="002B1207"/>
    <w:rsid w:val="002B7E76"/>
    <w:rsid w:val="002D094C"/>
    <w:rsid w:val="002D696C"/>
    <w:rsid w:val="002F142D"/>
    <w:rsid w:val="002F6F28"/>
    <w:rsid w:val="003229E2"/>
    <w:rsid w:val="00327416"/>
    <w:rsid w:val="003C7D9B"/>
    <w:rsid w:val="003D61FB"/>
    <w:rsid w:val="003E2ED4"/>
    <w:rsid w:val="003E6073"/>
    <w:rsid w:val="00402CF6"/>
    <w:rsid w:val="00412B8D"/>
    <w:rsid w:val="0041536D"/>
    <w:rsid w:val="00423E3F"/>
    <w:rsid w:val="0043093F"/>
    <w:rsid w:val="00433750"/>
    <w:rsid w:val="0044533D"/>
    <w:rsid w:val="00455C32"/>
    <w:rsid w:val="00480CC1"/>
    <w:rsid w:val="004B0532"/>
    <w:rsid w:val="004C5950"/>
    <w:rsid w:val="004D5DA3"/>
    <w:rsid w:val="004D745F"/>
    <w:rsid w:val="004F1B59"/>
    <w:rsid w:val="004F4C20"/>
    <w:rsid w:val="004F6B23"/>
    <w:rsid w:val="0050587A"/>
    <w:rsid w:val="0052049D"/>
    <w:rsid w:val="00520BCE"/>
    <w:rsid w:val="00521141"/>
    <w:rsid w:val="00541A18"/>
    <w:rsid w:val="0054662B"/>
    <w:rsid w:val="0056189C"/>
    <w:rsid w:val="00575278"/>
    <w:rsid w:val="00585665"/>
    <w:rsid w:val="00591A6A"/>
    <w:rsid w:val="005938ED"/>
    <w:rsid w:val="00595F8E"/>
    <w:rsid w:val="005C259E"/>
    <w:rsid w:val="005F42CD"/>
    <w:rsid w:val="00603C7E"/>
    <w:rsid w:val="00651934"/>
    <w:rsid w:val="0066487E"/>
    <w:rsid w:val="00676426"/>
    <w:rsid w:val="00677393"/>
    <w:rsid w:val="006954A2"/>
    <w:rsid w:val="00695B8A"/>
    <w:rsid w:val="006B0621"/>
    <w:rsid w:val="006B2279"/>
    <w:rsid w:val="006C5421"/>
    <w:rsid w:val="006E25CA"/>
    <w:rsid w:val="006F0F7F"/>
    <w:rsid w:val="00707BC2"/>
    <w:rsid w:val="00727BD8"/>
    <w:rsid w:val="00755571"/>
    <w:rsid w:val="0076638E"/>
    <w:rsid w:val="00777F1C"/>
    <w:rsid w:val="00781D28"/>
    <w:rsid w:val="00781ECD"/>
    <w:rsid w:val="007B726D"/>
    <w:rsid w:val="007C0D19"/>
    <w:rsid w:val="007C0DFF"/>
    <w:rsid w:val="007C26A7"/>
    <w:rsid w:val="007F3753"/>
    <w:rsid w:val="008215A5"/>
    <w:rsid w:val="008300A4"/>
    <w:rsid w:val="00872D74"/>
    <w:rsid w:val="00891BF2"/>
    <w:rsid w:val="00896BCA"/>
    <w:rsid w:val="008A1C63"/>
    <w:rsid w:val="008B029A"/>
    <w:rsid w:val="008B621F"/>
    <w:rsid w:val="008E3CCE"/>
    <w:rsid w:val="008F3892"/>
    <w:rsid w:val="00907A4E"/>
    <w:rsid w:val="009109A8"/>
    <w:rsid w:val="00922451"/>
    <w:rsid w:val="00946CD4"/>
    <w:rsid w:val="00947246"/>
    <w:rsid w:val="00963BB6"/>
    <w:rsid w:val="00966778"/>
    <w:rsid w:val="009E065B"/>
    <w:rsid w:val="00A56597"/>
    <w:rsid w:val="00A638D0"/>
    <w:rsid w:val="00A7127C"/>
    <w:rsid w:val="00AD4784"/>
    <w:rsid w:val="00AE7FC9"/>
    <w:rsid w:val="00B065C0"/>
    <w:rsid w:val="00B27122"/>
    <w:rsid w:val="00B42FC5"/>
    <w:rsid w:val="00B840E0"/>
    <w:rsid w:val="00B85FE8"/>
    <w:rsid w:val="00BC2094"/>
    <w:rsid w:val="00BF517A"/>
    <w:rsid w:val="00C14165"/>
    <w:rsid w:val="00C51444"/>
    <w:rsid w:val="00C5661B"/>
    <w:rsid w:val="00C6675B"/>
    <w:rsid w:val="00C82073"/>
    <w:rsid w:val="00C922C8"/>
    <w:rsid w:val="00CC7D1F"/>
    <w:rsid w:val="00CD3C94"/>
    <w:rsid w:val="00CE1188"/>
    <w:rsid w:val="00CE28FC"/>
    <w:rsid w:val="00CF0EC4"/>
    <w:rsid w:val="00CF3B0B"/>
    <w:rsid w:val="00D26625"/>
    <w:rsid w:val="00D632CD"/>
    <w:rsid w:val="00D74511"/>
    <w:rsid w:val="00D9755D"/>
    <w:rsid w:val="00E06842"/>
    <w:rsid w:val="00E06B32"/>
    <w:rsid w:val="00E63E72"/>
    <w:rsid w:val="00EE0DC7"/>
    <w:rsid w:val="00F002DB"/>
    <w:rsid w:val="00F119E6"/>
    <w:rsid w:val="00F11B95"/>
    <w:rsid w:val="00F42E05"/>
    <w:rsid w:val="00F47926"/>
    <w:rsid w:val="00F74A55"/>
    <w:rsid w:val="00F8127B"/>
    <w:rsid w:val="00F94FF7"/>
    <w:rsid w:val="00FF3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F397B1"/>
  <w14:defaultImageDpi w14:val="0"/>
  <w15:docId w15:val="{EE86252C-0068-4BF2-8592-DE705C850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0" w:line="240" w:lineRule="auto"/>
    </w:pPr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6954A2"/>
    <w:pPr>
      <w:numPr>
        <w:numId w:val="6"/>
      </w:numPr>
      <w:overflowPunct w:val="0"/>
      <w:autoSpaceDE w:val="0"/>
      <w:autoSpaceDN w:val="0"/>
      <w:adjustRightInd w:val="0"/>
      <w:spacing w:line="288" w:lineRule="auto"/>
      <w:jc w:val="both"/>
      <w:textAlignment w:val="baseline"/>
      <w:outlineLvl w:val="0"/>
    </w:pPr>
    <w:rPr>
      <w:kern w:val="28"/>
      <w:sz w:val="22"/>
      <w:szCs w:val="22"/>
      <w:lang w:val="nl-BE"/>
    </w:rPr>
  </w:style>
  <w:style w:type="paragraph" w:styleId="Nadpis2">
    <w:name w:val="heading 2"/>
    <w:basedOn w:val="Normlny"/>
    <w:next w:val="Normlny"/>
    <w:link w:val="Nadpis2Char"/>
    <w:uiPriority w:val="9"/>
    <w:qFormat/>
    <w:rsid w:val="006954A2"/>
    <w:pPr>
      <w:numPr>
        <w:ilvl w:val="1"/>
        <w:numId w:val="6"/>
      </w:numPr>
      <w:overflowPunct w:val="0"/>
      <w:autoSpaceDE w:val="0"/>
      <w:autoSpaceDN w:val="0"/>
      <w:adjustRightInd w:val="0"/>
      <w:spacing w:line="288" w:lineRule="auto"/>
      <w:jc w:val="both"/>
      <w:textAlignment w:val="baseline"/>
      <w:outlineLvl w:val="1"/>
    </w:pPr>
    <w:rPr>
      <w:sz w:val="22"/>
      <w:szCs w:val="22"/>
      <w:lang w:val="nl-BE"/>
    </w:rPr>
  </w:style>
  <w:style w:type="paragraph" w:styleId="Nadpis3">
    <w:name w:val="heading 3"/>
    <w:basedOn w:val="Normlny"/>
    <w:next w:val="Normlny"/>
    <w:link w:val="Nadpis3Char"/>
    <w:uiPriority w:val="9"/>
    <w:qFormat/>
    <w:rsid w:val="006954A2"/>
    <w:pPr>
      <w:numPr>
        <w:ilvl w:val="2"/>
        <w:numId w:val="6"/>
      </w:numPr>
      <w:overflowPunct w:val="0"/>
      <w:autoSpaceDE w:val="0"/>
      <w:autoSpaceDN w:val="0"/>
      <w:adjustRightInd w:val="0"/>
      <w:spacing w:line="288" w:lineRule="auto"/>
      <w:jc w:val="both"/>
      <w:textAlignment w:val="baseline"/>
      <w:outlineLvl w:val="2"/>
    </w:pPr>
    <w:rPr>
      <w:sz w:val="22"/>
      <w:szCs w:val="22"/>
      <w:lang w:val="nl-BE"/>
    </w:rPr>
  </w:style>
  <w:style w:type="paragraph" w:styleId="Nadpis4">
    <w:name w:val="heading 4"/>
    <w:basedOn w:val="Normlny"/>
    <w:next w:val="Normlny"/>
    <w:link w:val="Nadpis4Char"/>
    <w:uiPriority w:val="9"/>
    <w:qFormat/>
    <w:rsid w:val="006954A2"/>
    <w:pPr>
      <w:numPr>
        <w:ilvl w:val="3"/>
        <w:numId w:val="6"/>
      </w:numPr>
      <w:overflowPunct w:val="0"/>
      <w:autoSpaceDE w:val="0"/>
      <w:autoSpaceDN w:val="0"/>
      <w:adjustRightInd w:val="0"/>
      <w:spacing w:line="288" w:lineRule="auto"/>
      <w:jc w:val="both"/>
      <w:textAlignment w:val="baseline"/>
      <w:outlineLvl w:val="3"/>
    </w:pPr>
    <w:rPr>
      <w:sz w:val="22"/>
      <w:szCs w:val="22"/>
      <w:lang w:val="nl-BE"/>
    </w:rPr>
  </w:style>
  <w:style w:type="paragraph" w:styleId="Nadpis5">
    <w:name w:val="heading 5"/>
    <w:basedOn w:val="Normlny"/>
    <w:next w:val="Normlny"/>
    <w:link w:val="Nadpis5Char"/>
    <w:uiPriority w:val="9"/>
    <w:qFormat/>
    <w:rsid w:val="006954A2"/>
    <w:pPr>
      <w:numPr>
        <w:ilvl w:val="4"/>
        <w:numId w:val="6"/>
      </w:numPr>
      <w:overflowPunct w:val="0"/>
      <w:autoSpaceDE w:val="0"/>
      <w:autoSpaceDN w:val="0"/>
      <w:adjustRightInd w:val="0"/>
      <w:spacing w:line="288" w:lineRule="auto"/>
      <w:jc w:val="both"/>
      <w:textAlignment w:val="baseline"/>
      <w:outlineLvl w:val="4"/>
    </w:pPr>
    <w:rPr>
      <w:sz w:val="22"/>
      <w:szCs w:val="22"/>
      <w:lang w:val="nl-BE"/>
    </w:rPr>
  </w:style>
  <w:style w:type="paragraph" w:styleId="Nadpis6">
    <w:name w:val="heading 6"/>
    <w:basedOn w:val="Normlny"/>
    <w:next w:val="Normlny"/>
    <w:link w:val="Nadpis6Char"/>
    <w:uiPriority w:val="9"/>
    <w:qFormat/>
    <w:rsid w:val="006954A2"/>
    <w:pPr>
      <w:numPr>
        <w:ilvl w:val="5"/>
        <w:numId w:val="6"/>
      </w:numPr>
      <w:overflowPunct w:val="0"/>
      <w:autoSpaceDE w:val="0"/>
      <w:autoSpaceDN w:val="0"/>
      <w:adjustRightInd w:val="0"/>
      <w:spacing w:line="288" w:lineRule="auto"/>
      <w:jc w:val="both"/>
      <w:textAlignment w:val="baseline"/>
      <w:outlineLvl w:val="5"/>
    </w:pPr>
    <w:rPr>
      <w:sz w:val="22"/>
      <w:szCs w:val="22"/>
      <w:lang w:val="nl-BE"/>
    </w:rPr>
  </w:style>
  <w:style w:type="paragraph" w:styleId="Nadpis7">
    <w:name w:val="heading 7"/>
    <w:basedOn w:val="Normlny"/>
    <w:next w:val="Normlny"/>
    <w:link w:val="Nadpis7Char"/>
    <w:uiPriority w:val="9"/>
    <w:qFormat/>
    <w:rsid w:val="006954A2"/>
    <w:pPr>
      <w:numPr>
        <w:ilvl w:val="6"/>
        <w:numId w:val="6"/>
      </w:numPr>
      <w:overflowPunct w:val="0"/>
      <w:autoSpaceDE w:val="0"/>
      <w:autoSpaceDN w:val="0"/>
      <w:adjustRightInd w:val="0"/>
      <w:spacing w:line="288" w:lineRule="auto"/>
      <w:jc w:val="both"/>
      <w:textAlignment w:val="baseline"/>
      <w:outlineLvl w:val="6"/>
    </w:pPr>
    <w:rPr>
      <w:sz w:val="22"/>
      <w:szCs w:val="22"/>
      <w:lang w:val="nl-BE"/>
    </w:rPr>
  </w:style>
  <w:style w:type="paragraph" w:styleId="Nadpis8">
    <w:name w:val="heading 8"/>
    <w:basedOn w:val="Normlny"/>
    <w:next w:val="Normlny"/>
    <w:link w:val="Nadpis8Char"/>
    <w:uiPriority w:val="9"/>
    <w:qFormat/>
    <w:rsid w:val="006954A2"/>
    <w:pPr>
      <w:numPr>
        <w:ilvl w:val="7"/>
        <w:numId w:val="6"/>
      </w:numPr>
      <w:overflowPunct w:val="0"/>
      <w:autoSpaceDE w:val="0"/>
      <w:autoSpaceDN w:val="0"/>
      <w:adjustRightInd w:val="0"/>
      <w:spacing w:line="288" w:lineRule="auto"/>
      <w:jc w:val="both"/>
      <w:textAlignment w:val="baseline"/>
      <w:outlineLvl w:val="7"/>
    </w:pPr>
    <w:rPr>
      <w:sz w:val="22"/>
      <w:szCs w:val="22"/>
      <w:lang w:val="nl-BE"/>
    </w:rPr>
  </w:style>
  <w:style w:type="paragraph" w:styleId="Nadpis9">
    <w:name w:val="heading 9"/>
    <w:basedOn w:val="Normlny"/>
    <w:next w:val="Normlny"/>
    <w:link w:val="Nadpis9Char"/>
    <w:uiPriority w:val="9"/>
    <w:qFormat/>
    <w:rsid w:val="006954A2"/>
    <w:pPr>
      <w:numPr>
        <w:ilvl w:val="8"/>
        <w:numId w:val="6"/>
      </w:numPr>
      <w:overflowPunct w:val="0"/>
      <w:autoSpaceDE w:val="0"/>
      <w:autoSpaceDN w:val="0"/>
      <w:adjustRightInd w:val="0"/>
      <w:spacing w:line="288" w:lineRule="auto"/>
      <w:jc w:val="both"/>
      <w:textAlignment w:val="baseline"/>
      <w:outlineLvl w:val="8"/>
    </w:pPr>
    <w:rPr>
      <w:sz w:val="22"/>
      <w:szCs w:val="22"/>
      <w:lang w:val="nl-B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6954A2"/>
    <w:rPr>
      <w:rFonts w:cs="Times New Roman"/>
      <w:kern w:val="28"/>
      <w:lang w:val="nl-BE" w:eastAsia="x-none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6954A2"/>
    <w:rPr>
      <w:rFonts w:cs="Times New Roman"/>
      <w:lang w:val="nl-BE" w:eastAsia="x-none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6954A2"/>
    <w:rPr>
      <w:rFonts w:cs="Times New Roman"/>
      <w:lang w:val="nl-BE" w:eastAsia="x-none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6954A2"/>
    <w:rPr>
      <w:rFonts w:cs="Times New Roman"/>
      <w:lang w:val="nl-BE" w:eastAsia="x-none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6954A2"/>
    <w:rPr>
      <w:rFonts w:cs="Times New Roman"/>
      <w:lang w:val="nl-BE" w:eastAsia="x-none"/>
    </w:rPr>
  </w:style>
  <w:style w:type="character" w:customStyle="1" w:styleId="Nadpis6Char">
    <w:name w:val="Nadpis 6 Char"/>
    <w:basedOn w:val="Predvolenpsmoodseku"/>
    <w:link w:val="Nadpis6"/>
    <w:uiPriority w:val="9"/>
    <w:locked/>
    <w:rsid w:val="006954A2"/>
    <w:rPr>
      <w:rFonts w:cs="Times New Roman"/>
      <w:lang w:val="nl-BE" w:eastAsia="x-none"/>
    </w:rPr>
  </w:style>
  <w:style w:type="character" w:customStyle="1" w:styleId="Nadpis7Char">
    <w:name w:val="Nadpis 7 Char"/>
    <w:basedOn w:val="Predvolenpsmoodseku"/>
    <w:link w:val="Nadpis7"/>
    <w:uiPriority w:val="9"/>
    <w:locked/>
    <w:rsid w:val="006954A2"/>
    <w:rPr>
      <w:rFonts w:cs="Times New Roman"/>
      <w:lang w:val="nl-BE" w:eastAsia="x-none"/>
    </w:rPr>
  </w:style>
  <w:style w:type="character" w:customStyle="1" w:styleId="Nadpis8Char">
    <w:name w:val="Nadpis 8 Char"/>
    <w:basedOn w:val="Predvolenpsmoodseku"/>
    <w:link w:val="Nadpis8"/>
    <w:uiPriority w:val="9"/>
    <w:locked/>
    <w:rsid w:val="006954A2"/>
    <w:rPr>
      <w:rFonts w:cs="Times New Roman"/>
      <w:lang w:val="nl-BE" w:eastAsia="x-none"/>
    </w:rPr>
  </w:style>
  <w:style w:type="character" w:customStyle="1" w:styleId="Nadpis9Char">
    <w:name w:val="Nadpis 9 Char"/>
    <w:basedOn w:val="Predvolenpsmoodseku"/>
    <w:link w:val="Nadpis9"/>
    <w:uiPriority w:val="9"/>
    <w:locked/>
    <w:rsid w:val="006954A2"/>
    <w:rPr>
      <w:rFonts w:cs="Times New Roman"/>
      <w:lang w:val="nl-BE" w:eastAsia="x-none"/>
    </w:rPr>
  </w:style>
  <w:style w:type="character" w:styleId="Zstupntext">
    <w:name w:val="Placeholder Text"/>
    <w:basedOn w:val="Predvolenpsmoodseku"/>
    <w:uiPriority w:val="99"/>
    <w:semiHidden/>
    <w:rsid w:val="00BC2094"/>
    <w:rPr>
      <w:rFonts w:ascii="Times New Roman" w:hAnsi="Times New Roman" w:cs="Times New Roman"/>
      <w:color w:val="808080"/>
    </w:rPr>
  </w:style>
  <w:style w:type="paragraph" w:styleId="Zkladntext2">
    <w:name w:val="Body Text 2"/>
    <w:basedOn w:val="Normlny"/>
    <w:link w:val="Zkladntext2Char"/>
    <w:uiPriority w:val="99"/>
    <w:rsid w:val="00BC2094"/>
    <w:pPr>
      <w:jc w:val="both"/>
    </w:p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BC2094"/>
    <w:rPr>
      <w:rFonts w:cs="Times New Roman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BC2094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BC2094"/>
    <w:rPr>
      <w:rFonts w:cs="Times New Roman"/>
      <w:sz w:val="24"/>
      <w:szCs w:val="24"/>
    </w:rPr>
  </w:style>
  <w:style w:type="paragraph" w:customStyle="1" w:styleId="CM19">
    <w:name w:val="CM1+9"/>
    <w:basedOn w:val="Normlny"/>
    <w:next w:val="Normlny"/>
    <w:uiPriority w:val="99"/>
    <w:rsid w:val="0044533D"/>
    <w:pPr>
      <w:autoSpaceDE w:val="0"/>
      <w:autoSpaceDN w:val="0"/>
      <w:adjustRightInd w:val="0"/>
    </w:pPr>
    <w:rPr>
      <w:rFonts w:ascii="EUAlbertina" w:hAnsi="EUAlbertina"/>
    </w:rPr>
  </w:style>
  <w:style w:type="paragraph" w:customStyle="1" w:styleId="Default">
    <w:name w:val="Default"/>
    <w:rsid w:val="00C5661B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C5661B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C5661B"/>
    <w:rPr>
      <w:rFonts w:cs="Times New Roman"/>
      <w:color w:val="auto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6677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966778"/>
    <w:rPr>
      <w:rFonts w:ascii="Tahoma" w:hAnsi="Tahoma" w:cs="Tahoma"/>
      <w:sz w:val="16"/>
      <w:szCs w:val="16"/>
    </w:rPr>
  </w:style>
  <w:style w:type="paragraph" w:customStyle="1" w:styleId="Zkladntext0">
    <w:name w:val="Základní text"/>
    <w:aliases w:val="Základný text Char Char"/>
    <w:rsid w:val="008B621F"/>
    <w:pPr>
      <w:widowControl w:val="0"/>
      <w:autoSpaceDE w:val="0"/>
      <w:autoSpaceDN w:val="0"/>
      <w:spacing w:after="0" w:line="240" w:lineRule="auto"/>
    </w:pPr>
    <w:rPr>
      <w:rFonts w:ascii="Arial Narrow" w:hAnsi="Arial Narrow" w:cs="Arial Narrow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AE7FC9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ezriadkovania">
    <w:name w:val="No Spacing"/>
    <w:uiPriority w:val="1"/>
    <w:qFormat/>
    <w:rsid w:val="00F11B95"/>
    <w:pPr>
      <w:spacing w:after="0" w:line="240" w:lineRule="auto"/>
    </w:pPr>
    <w:rPr>
      <w:rFonts w:ascii="Calibri" w:hAnsi="Calibri"/>
      <w:lang w:eastAsia="en-US"/>
    </w:rPr>
  </w:style>
  <w:style w:type="paragraph" w:styleId="Pta">
    <w:name w:val="footer"/>
    <w:basedOn w:val="Normlny"/>
    <w:link w:val="PtaChar"/>
    <w:uiPriority w:val="99"/>
    <w:rsid w:val="00520BC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20BC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9878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361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Predkladacia správa</vt:lpstr>
    </vt:vector>
  </TitlesOfParts>
  <Company>MFSR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Predkladacia správa</dc:title>
  <dc:subject/>
  <dc:creator>MFSR</dc:creator>
  <cp:keywords/>
  <dc:description/>
  <cp:lastModifiedBy>Danišovič Milan</cp:lastModifiedBy>
  <cp:revision>6</cp:revision>
  <cp:lastPrinted>2026-03-23T10:12:00Z</cp:lastPrinted>
  <dcterms:created xsi:type="dcterms:W3CDTF">2026-05-27T14:10:00Z</dcterms:created>
  <dcterms:modified xsi:type="dcterms:W3CDTF">2026-08-03T12:10:00Z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7d8eb26f,3318b154,47ae8926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Interné</vt:lpwstr>
  </property>
  <property fmtid="{D5CDD505-2E9C-101B-9397-08002B2CF9AE}" pid="5" name="MSIP_Label_4c805978-f532-4a1a-b9e1-4e19c2c6466f_Enabled">
    <vt:lpwstr>true</vt:lpwstr>
  </property>
  <property fmtid="{D5CDD505-2E9C-101B-9397-08002B2CF9AE}" pid="6" name="MSIP_Label_4c805978-f532-4a1a-b9e1-4e19c2c6466f_SetDate">
    <vt:lpwstr>2026-02-12T14:55:05Z</vt:lpwstr>
  </property>
  <property fmtid="{D5CDD505-2E9C-101B-9397-08002B2CF9AE}" pid="7" name="MSIP_Label_4c805978-f532-4a1a-b9e1-4e19c2c6466f_Method">
    <vt:lpwstr>Standard</vt:lpwstr>
  </property>
  <property fmtid="{D5CDD505-2E9C-101B-9397-08002B2CF9AE}" pid="8" name="MSIP_Label_4c805978-f532-4a1a-b9e1-4e19c2c6466f_Name">
    <vt:lpwstr>Internal</vt:lpwstr>
  </property>
  <property fmtid="{D5CDD505-2E9C-101B-9397-08002B2CF9AE}" pid="9" name="MSIP_Label_4c805978-f532-4a1a-b9e1-4e19c2c6466f_SiteId">
    <vt:lpwstr>579df390-dbff-49fd-8f10-624670566482</vt:lpwstr>
  </property>
  <property fmtid="{D5CDD505-2E9C-101B-9397-08002B2CF9AE}" pid="10" name="MSIP_Label_4c805978-f532-4a1a-b9e1-4e19c2c6466f_ActionId">
    <vt:lpwstr>e9feb4c9-480a-482a-8da8-b968e0c34775</vt:lpwstr>
  </property>
  <property fmtid="{D5CDD505-2E9C-101B-9397-08002B2CF9AE}" pid="11" name="MSIP_Label_4c805978-f532-4a1a-b9e1-4e19c2c6466f_ContentBits">
    <vt:lpwstr>2</vt:lpwstr>
  </property>
  <property fmtid="{D5CDD505-2E9C-101B-9397-08002B2CF9AE}" pid="12" name="MSIP_Label_4c805978-f532-4a1a-b9e1-4e19c2c6466f_Tag">
    <vt:lpwstr>10, 3, 0, 1</vt:lpwstr>
  </property>
</Properties>
</file>