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491751" w:rsidRDefault="00491751">
      <w:pPr>
        <w:jc w:val="center"/>
        <w:divId w:val="1608851289"/>
        <w:rPr>
          <w:rFonts w:ascii="Times" w:hAnsi="Times" w:cs="Times"/>
          <w:sz w:val="25"/>
          <w:szCs w:val="25"/>
        </w:rPr>
      </w:pPr>
      <w:r>
        <w:rPr>
          <w:rFonts w:ascii="Times" w:hAnsi="Times" w:cs="Times"/>
          <w:sz w:val="25"/>
          <w:szCs w:val="25"/>
        </w:rPr>
        <w:t>Zmena Operačného programu Kvalita životného prostredia (verzia 7)</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491751" w:rsidP="00491751">
            <w:pPr>
              <w:spacing w:after="0" w:line="240" w:lineRule="auto"/>
              <w:rPr>
                <w:rFonts w:ascii="Times New Roman" w:hAnsi="Times New Roman" w:cs="Calibri"/>
                <w:sz w:val="20"/>
                <w:szCs w:val="20"/>
              </w:rPr>
            </w:pPr>
            <w:r>
              <w:rPr>
                <w:rFonts w:ascii="Times" w:hAnsi="Times" w:cs="Times"/>
                <w:sz w:val="25"/>
                <w:szCs w:val="25"/>
              </w:rPr>
              <w:t>15 /2</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491751" w:rsidP="00491751">
            <w:pPr>
              <w:spacing w:after="0" w:line="240" w:lineRule="auto"/>
              <w:rPr>
                <w:rFonts w:ascii="Times New Roman" w:hAnsi="Times New Roman" w:cs="Calibri"/>
                <w:sz w:val="20"/>
                <w:szCs w:val="20"/>
              </w:rPr>
            </w:pPr>
            <w:r>
              <w:rPr>
                <w:rFonts w:ascii="Times" w:hAnsi="Times" w:cs="Times"/>
                <w:sz w:val="25"/>
                <w:szCs w:val="25"/>
              </w:rPr>
              <w:t>15</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491751" w:rsidP="00491751">
            <w:pPr>
              <w:spacing w:after="0" w:line="240" w:lineRule="auto"/>
              <w:rPr>
                <w:rFonts w:ascii="Times New Roman" w:hAnsi="Times New Roman" w:cs="Calibri"/>
                <w:sz w:val="20"/>
                <w:szCs w:val="20"/>
              </w:rPr>
            </w:pPr>
            <w:r>
              <w:rPr>
                <w:rFonts w:ascii="Times" w:hAnsi="Times" w:cs="Times"/>
                <w:sz w:val="25"/>
                <w:szCs w:val="25"/>
              </w:rPr>
              <w:t>2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491751" w:rsidP="00491751">
            <w:pPr>
              <w:spacing w:after="0" w:line="240" w:lineRule="auto"/>
              <w:rPr>
                <w:rFonts w:ascii="Times New Roman" w:hAnsi="Times New Roman" w:cs="Calibri"/>
                <w:sz w:val="20"/>
                <w:szCs w:val="20"/>
              </w:rPr>
            </w:pPr>
            <w:r>
              <w:rPr>
                <w:rFonts w:ascii="Times" w:hAnsi="Times" w:cs="Times"/>
                <w:sz w:val="25"/>
                <w:szCs w:val="25"/>
              </w:rPr>
              <w:t>2 /2</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491751" w:rsidP="00491751">
            <w:pPr>
              <w:spacing w:after="0" w:line="240" w:lineRule="auto"/>
              <w:rPr>
                <w:rFonts w:ascii="Times New Roman" w:hAnsi="Times New Roman" w:cs="Calibri"/>
                <w:sz w:val="20"/>
                <w:szCs w:val="20"/>
              </w:rPr>
            </w:pPr>
            <w:r>
              <w:rPr>
                <w:rFonts w:ascii="Times" w:hAnsi="Times" w:cs="Times"/>
                <w:sz w:val="25"/>
                <w:szCs w:val="25"/>
              </w:rPr>
              <w:t>0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491751" w:rsidRDefault="00491751"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7738"/>
        <w:gridCol w:w="1404"/>
        <w:gridCol w:w="1404"/>
        <w:gridCol w:w="1391"/>
        <w:gridCol w:w="1040"/>
      </w:tblGrid>
      <w:tr w:rsidR="00491751">
        <w:trPr>
          <w:divId w:val="164560925"/>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Vôbec nezaslali</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lastRenderedPageBreak/>
              <w:t>5.</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Slovenská asociácia fotovoltického priemyslu a OZE (SAPI)</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 (0o,2z)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Verejnosť</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 (4o,0z)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dopravy a výstavby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lastRenderedPageBreak/>
              <w:t>21.</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Únia miest Slovenska</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BRATISLAVSKÝ SAMOSPRÁVNY KRAJ</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Trnavský samosprávny kraj</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Trenčiansky samosprávny kraj</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Žilinský samosprávny kraj</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Banskobystrický samosprávny kraj</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Prešovský samosprávny kraj</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Košický samosprávny kraj</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Nitriansky samosprávny kraj</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Splnomocnenec vlády SR pre rozvoj občianskej spoločnosti</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Slovenský plynárenský priemysel, a.s.</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lastRenderedPageBreak/>
              <w:t>38.</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42.</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43.</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44.</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45.</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46.</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47.</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48.</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49.</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50.</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51.</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52.</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x</w:t>
            </w:r>
          </w:p>
        </w:tc>
      </w:tr>
      <w:tr w:rsidR="00491751">
        <w:trPr>
          <w:divId w:val="164560925"/>
          <w:jc w:val="center"/>
        </w:trPr>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15 (13o,2z)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491751" w:rsidRDefault="00491751">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491751" w:rsidRDefault="00491751"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377"/>
        <w:gridCol w:w="6641"/>
        <w:gridCol w:w="653"/>
        <w:gridCol w:w="653"/>
        <w:gridCol w:w="3981"/>
      </w:tblGrid>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Spôsob vyhodnotenia</w:t>
            </w: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 xml:space="preserve">Bez pripomienok.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k Analýze vplyvov na rozpočet verejnej správy, na zamestnanosť vo verejnej správe a financovanie návrhu: časť 2.1.1. Financovanie návrhu – navrhujem upresniť pojem „navýšenie alokácie súkromných verejných zdrojov“.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t xml:space="preserve">Analýza vplyvov na rozpočet verejnej správy, na zamestnanosť vo verejnej správe a financovanie návrhu bola v časti 2.1.1 upravená a doplnená v zmysle pripomienky. Zároveň bol namiesto pôvodného, omylom uvedeného pojmu „navýšenie alokácie súkromných verejných zdrojov“ použitý správny pojem „navýšenie alokácie národných súkromných zdrojov“. </w:t>
            </w: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MHSR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 xml:space="preserve">K DOLOŽKE VYBRANÝCH VPLYVOV Upozorňujeme predkladateľa že v časti 5. Alternatívne riešenia je uvedený identický text ako v časti 4. Dotknuté subjekty. V tejto súvislosti je preto potrebné korektne vyplniť časť 5. Alternatívne riešenia o informácie, aké alternatívne riešenia predkladateľ zvažoval. Taktiež je potrebné uviesť prečo je potrebné intervenovať, resp. prečo nie je vhodné zachovať súčasný stav (tzv. nulový variant). Odôvodnenie: Doložka vybraných vplyvov v časti 5. Alternatívne riešenia nespĺňa obsahové požiadavky podľa Jednotnej metodiky </w:t>
            </w:r>
            <w:r>
              <w:rPr>
                <w:rFonts w:ascii="Times" w:hAnsi="Times" w:cs="Times"/>
                <w:sz w:val="25"/>
                <w:szCs w:val="25"/>
              </w:rPr>
              <w:lastRenderedPageBreak/>
              <w:t xml:space="preserve">na posudzovanie vybraných vplyvov.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t>Išlo o technickú chybu pri zadávaní doložky vybraných vplyvov do portálu Slov-lex, ktorá bola odstránená. Doložka vybraných vplyvov bola v časti 5. Alternatívne riešenia doplnená a spĺňa obsahové požiadavky podľa Jednotnej metodiky na posudzovanie vybraných vplyvov.</w:t>
            </w: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lastRenderedPageBreak/>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SAPI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 xml:space="preserve">Kapitola PRIORITNÁ OS 4: ENERGETICKY EFEKTÍVNE NÍZKOUHLÍKOVÉ HOSPODÁRSTVO VO VŠETKÝCH SEKTOROCH ŠPECIFICKÝ CIEĽ 4.1.1: Zvýšenie podielu OZE na hrubej konečnej energetickej spotrebe SR NAVRHUJEME navýšiť finančné prostriedky pre program Zelená domácnostiam - navýšenie prostriedkov korešponduje s cieľom 4. 1. 1 Zdôvodnenie: Vzhľadom na to, že v roku 2016 klesol podiel OZE na konečnej energetickej spotrebe o 0,9% na 12% a taktiež, že o program Zelená domácnostiam je obrovský dopyt, čo sa uvádza aj v sprievodnej dokumentácii k pripomienkovanému dokumentu. V bode C Podporu na kotly na spaľovanie biomasy bude možné využiť len v lokalitách, kde nie je možnosť pripojenia rodinného </w:t>
            </w:r>
            <w:r>
              <w:rPr>
                <w:rFonts w:ascii="Times" w:hAnsi="Times" w:cs="Times"/>
                <w:sz w:val="25"/>
                <w:szCs w:val="25"/>
              </w:rPr>
              <w:lastRenderedPageBreak/>
              <w:t xml:space="preserve">domu k systému centralizovaného zásobovania teplom a kotlom na biomasu sa nahradí kotol na tuhé fosílne palivá. Pri kotloch na biomasu sa bude okrem energetickej účinnosti prihliadať aj na to, aby zariadenia spĺňali emisné limity v súlade s požiadavkami uvedenými v kapitole 2.4.2.3. Pri inštalácii fotovoltických panelov sa prebytočná elektrina bude priebežne dodávať bezodplatne do distribučnej sústavy a bude použitá na pokrývanie strát distribučnej sústavy. Obdobne to platí aj pre zariadenia na výrobu elektriny z veternej energie. NAVRHUJEME: Navrhujeme vypustiť „kde nie je možnosť pripojenia rodinného domu k systému centralizovaného zásobovania teplom“ - pretože podporené má byť nákladovo efektívnejšie. Ak ním je kotol na biomasu - bez ohľadu na to, či rodinný dom má v blízkosti CZT alebo nie, mala by mu byť poskytnutá podpora. Uvedené je na základe stanoviska európskeho komisára pre energetiku M. A. Cañete: „podľa smernice o energetickej efektívnosti sa má účinné centralizované zásobovanie teplom a chladom podporovať vtedy, keď je nákladovo efektívnejšie ako individuálne vykurovanie a chladenie“, V bode C Zároveň bol v poslednom odseku odstránený nasledujúci text: „...aby sa návratnosť vložených finančných prostriedkov pohybovala okolo 7 až 10 rokov.“; NAVRHUJEME ponechať pôvodné ustanovenie - 7 až 10 rokov, resp. aby návratnosť nepresiahla 10 rokov. V bode C Pre veterné turbíny požadujeme vyčleniť finančné prostriedky v ďalšom kole programu, pretože podľa novely zákona 309/2009 Z.z. budú začlené pod inštitút Lokálneho zdroja a teda by malo byť umožnené ich pripájanie do sústavy. Pre fotovoltiku požadujeme vyčlenenie finančných prostriedkov pre bytové domy a </w:t>
            </w:r>
            <w:r>
              <w:rPr>
                <w:rFonts w:ascii="Times" w:hAnsi="Times" w:cs="Times"/>
                <w:sz w:val="25"/>
                <w:szCs w:val="25"/>
              </w:rPr>
              <w:lastRenderedPageBreak/>
              <w:t xml:space="preserve">spoločenstvá vlastníkov bytov v ďalšom kole programu. Doteraz to nebolo možné.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t xml:space="preserve">V nadväznosti na prvú časť pripomienky, kde sa navrhuje navýšiť finančné prostriedky na národný projekt (NP) Zelená domácnostiam uvádzame, že finančné prostriedky pre predmetný NP budú navýšené. Za týmto účelom Monitorovací výbor pre Operačný program Kvalita životného prostredia (OP KŽP) dňa 29. 5. 2018 schválil projektový zámer „NP Zelená domácnostiam II“ v predpokladanej výške oprávnených výdavkov projektu 48 mil. € (čo je o 3 mil. € viac v </w:t>
            </w:r>
            <w:r>
              <w:rPr>
                <w:rFonts w:ascii="Times" w:hAnsi="Times" w:cs="Times"/>
                <w:sz w:val="25"/>
                <w:szCs w:val="25"/>
              </w:rPr>
              <w:lastRenderedPageBreak/>
              <w:t xml:space="preserve">porovnaní s pilotným projektom). V prípade druhej časti pripomienky, kde sa navrhuje vypustiť podmienka vzťahujúca sa k systémom centralizovaného zásobovania teplom (CZT) uvádzame, že predmetná podmienka, uvedená v texte OP KŽP, vychádza z požiadavky Európskej komisie (EK) vznesenej v procese prípravy a schvaľovania OP KŽP, a to najmä vo vzťahu k ochrane a zachovaniu kvality ovzdušia, ako to vyplýva z globálneho cieľa operačného programu. Práve pri podpore kotlov na biomasu je nevyhnutné zabezpečiť, aby sa lokálne nezvýšili emisie znečisťujúcich látok do ovzdušia. EK v tejto súvislosti preferovala systémy CZT z dôvodu, že ide o zariadenia s vyšším tepelným príkonom, ktoré pravidelne podliehajú kontrole emisií znečisťujúcich látok do ovzdušia. V prípade malých zariadení na spaľovanie biomasy v rodinných domoch napriek možným technickým predpokladom nie je zabezpečená pravidelná kontrola emisií znečisťujúcich látok do ovzdušia. </w:t>
            </w:r>
            <w:r>
              <w:rPr>
                <w:rFonts w:ascii="Times" w:hAnsi="Times" w:cs="Times"/>
                <w:sz w:val="25"/>
                <w:szCs w:val="25"/>
              </w:rPr>
              <w:lastRenderedPageBreak/>
              <w:t xml:space="preserve">Predmetná podmienka neznamená podporu systémov CZT, lebo rodinný dom má možnosť využiť obnoviteľný zdroj energie (OZE) aj na vykurovanie alebo prípravu teplej vody, a to aj vtedy, ak je v lokalite možnosť pripojenia na systém CZT, ale musí to byť zariadenie, ktoré neprodukuje znečisťujúce látky do ovzdušia napr. tepelné čerpadlo, alebo slnečný tepelný kolektor. V nadväznosti na uvedené preto nie je možné túto časť pripomienky akceptovať. Čo sa týka tretej časti pripomienky, kde sa vo vzťahu k návratnosti zariadení navrhuje ponechať pôvodné ustanovenie „7 – 10 rokov“ uvádzame, že pôvodné ustanovenie bolo uvedené z dôvodu, aby príspevok nebol neprimerane vysoký. Zároveň uvedené ustanovenie nevplývalo dostatočne efektívne na plnenie ukazovateľa „Zvýšená kapacita výroby energie z obnoviteľných zdrojov“, dôsledkom čoho bolo obmedzovanie podpory fotovoltických zariadení. Keďže podmienkou úspešného procesu implementácie (vrátane získania </w:t>
            </w:r>
            <w:r>
              <w:rPr>
                <w:rFonts w:ascii="Times" w:hAnsi="Times" w:cs="Times"/>
                <w:sz w:val="25"/>
                <w:szCs w:val="25"/>
              </w:rPr>
              <w:lastRenderedPageBreak/>
              <w:t xml:space="preserve">výkonnostnej rezervy) prioritnej osi 4 je splnenie čiastkových cieľov (pre r. 2018), ako aj celkových cieľov (pre r. 2023) ukazovateľa výstupu „Zvýšená kapacita výroby energie z obnoviteľných zdrojov“, vypustenie zmieneného limitu návratnosti vložených finančných prostriedkov umožní podporovať zariadenia operatívne. Tým sa zvýši počet podporených domácností, čo sa týka najmä fotovoltických zariadení. Vo vzťahu k podpore veterných turbín a fotovoltických systémov pre bytové domy formou vyčlenenia finančných prostriedkov, tak ako sa požaduje v štvrtej časti pripomienky, uvádzame, že predmetné požiadavky sa neustanovujú na úrovni OP KŽP, ale na úrovni NP resp. na úrovni vyzvania pre NP. Obdobne ako v prípade súčasného NP Zelená domácnostiam, Slovenská energetická a inovačná agentúra, ako sprostredkovateľský orgán pre OP KŽP, predpokladá vytvoriť pracovnú skupinu za účelom konzultácií v procese prípravy NP Zelená domácnostiam II. Jej členmi </w:t>
            </w:r>
            <w:r>
              <w:rPr>
                <w:rFonts w:ascii="Times" w:hAnsi="Times" w:cs="Times"/>
                <w:sz w:val="25"/>
                <w:szCs w:val="25"/>
              </w:rPr>
              <w:lastRenderedPageBreak/>
              <w:t>budú tak, ako v pilotnom projekte, okrem zástupcov riadiaceho orgánu, sprostredkovateľského orgánu, resp. iných orgánov štátnej správy, aj zástupcovia profesijných zväzov a združení. Čiže s návrhom je možné súhlasiť, ale požiadavka môže byť zohľadnená až pri nastavovaní NP Zelená domácnostiam II. Keďže pripomienka pozostáva z viacerých častí a niektoré boli akceptované, možno jej vyhodnotenie považovať za „čiastočne akceptovaná“.</w:t>
            </w: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lastRenderedPageBreak/>
              <w:t>SAPI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 xml:space="preserve">Kapitola PRIORITNÁ OS 4: ENERGETICKY EFEKTÍVNE NÍZKOUHLÍKOVÉ HOSPODÁRSTVO VO VŠETKÝCH SEKTOROCH ŠPECIFICKÝ CIEĽ 4.1.1: Zvýšenie podielu OZE na hrubej konečnej energetickej spotrebe SR V bode C Inštalácia malých zariadení na využívanie OZE bol pôvodný text: „Pri inštalácii fotovoltických panelov pre domácnosti v rodinných domoch sa prioritne podporia inštalácie s čo najvyšším využitím vyrobenej elektriny v domácnosti. Prebytočná elektrina bude priebežne dodávaná bezodplatne do distribučnej sústavy a bude použitá na pokrývanie strát distribučnej sústavy.“ NAVRHUJEME: Ponechať príspevok na kWh akumulácie v batériách. V dôvodovej správe sa píše: "Inštalácia malých zariadení na využívanie OZE bola odstránená prioritizácia </w:t>
            </w:r>
            <w:r>
              <w:rPr>
                <w:rFonts w:ascii="Times" w:hAnsi="Times" w:cs="Times"/>
                <w:sz w:val="25"/>
                <w:szCs w:val="25"/>
              </w:rPr>
              <w:lastRenderedPageBreak/>
              <w:t xml:space="preserve">podpory inštalácií s čo najvyšším využitím vyrobenej elektriny v domácnosti." A ďalej: "Doteraz bola táto uprednostňujúca podmienka aplikovaná pri vydávaní poukážok prostredníctvom zariadení na výrobu elektriny zariadením inštalovaným spolu so systémom akumulácie elektriny, nakoľko pri systémoch s akumuláciou elektriny je predpoklad vyššej miery využitia vyrobenej elektriny. V snahe domácností získať poukážku za každú cenu, žiadali príspevok na systém s akumuláciou elektriny, pričom vzhľadom na kapacitu akumulácie to nebolo vždy efektívne riešenie." Súhlasíme s tým, aby toto kritérium nebolo uprednostňujúce - avšak pre domácnosti, ktoré majú svoj systém naplánovaný dopredu je motivujúce ponechať v prípade záujmu príspevok aj na akumuláciu, pretože ide o efektívnejšie využitie vyrobenej elektriny pre vlastnú spotrebu, čo je kľúčové.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t xml:space="preserve">Ponechanie „príspevku na kWh akumulácie v batériách“ nie je relevantné vo vzťahu k OP KŽP. Ide o požiadavku, ktorá sa ustanovuje na úrovni NP, resp. na úrovni vyzvania pre NP. V texte OP KŽP však zostáva ponechané ustanovenie, že „Oprávnený projekt bude aj systém výroby v malom zdroji vrátane zariadenia na akumuláciu takto vyrobenej elektriny alebo tepla a inteligentného systému riadenia spotreby energie“. Príspevok na kWh akumulácie v batériách, ako aj ostatné špecifikácie NP Zelená </w:t>
            </w:r>
            <w:r>
              <w:rPr>
                <w:rFonts w:ascii="Times" w:hAnsi="Times" w:cs="Times"/>
                <w:sz w:val="25"/>
                <w:szCs w:val="25"/>
              </w:rPr>
              <w:lastRenderedPageBreak/>
              <w:t>domácnostiam II budú predmetom riešenia v procese prípravy uvedeného NP, ktorý bude konzultovaný aj v rámci pracovnej skupiny, ktorá bude zriadená sprostredkovateľským orgánom - Slovenskou inovačnou a energetickou agentúrou. Jej členmi budú tak, ako v pilotnom projekte, okrem zástupcov riadiaceho orgánu, sprostredkovateľského orgánu, resp. iných orgánov štátnej správy, aj zástupcovia profesijných zväzov a združení. Čiže uvedený návrhom je možné riešiť, avšak až pri nastavovaní NP Zelená domácnostiam II.</w:t>
            </w: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lastRenderedPageBreak/>
              <w:t>ÚGKKSR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r w:rsidR="00491751">
        <w:trPr>
          <w:divId w:val="405228564"/>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rPr>
                <w:rFonts w:ascii="Times" w:hAnsi="Times" w:cs="Times"/>
                <w:sz w:val="25"/>
                <w:szCs w:val="25"/>
              </w:rPr>
            </w:pPr>
            <w:r>
              <w:rPr>
                <w:rFonts w:ascii="Times" w:hAnsi="Times" w:cs="Times"/>
                <w:sz w:val="25"/>
                <w:szCs w:val="25"/>
              </w:rPr>
              <w:br/>
            </w:r>
            <w:r>
              <w:rPr>
                <w:rFonts w:ascii="Times" w:hAnsi="Times" w:cs="Times"/>
                <w:sz w:val="25"/>
                <w:szCs w:val="25"/>
              </w:rPr>
              <w:lastRenderedPageBreak/>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491751" w:rsidRDefault="00491751">
            <w:pPr>
              <w:jc w:val="center"/>
              <w:rPr>
                <w:sz w:val="20"/>
                <w:szCs w:val="20"/>
              </w:rPr>
            </w:pP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9526D"/>
    <w:rsid w:val="003B435B"/>
    <w:rsid w:val="003D101C"/>
    <w:rsid w:val="003D5E45"/>
    <w:rsid w:val="003E4226"/>
    <w:rsid w:val="004075B2"/>
    <w:rsid w:val="00436C44"/>
    <w:rsid w:val="00474A9D"/>
    <w:rsid w:val="00491751"/>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B3794E"/>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60925">
      <w:bodyDiv w:val="1"/>
      <w:marLeft w:val="0"/>
      <w:marRight w:val="0"/>
      <w:marTop w:val="0"/>
      <w:marBottom w:val="0"/>
      <w:divBdr>
        <w:top w:val="none" w:sz="0" w:space="0" w:color="auto"/>
        <w:left w:val="none" w:sz="0" w:space="0" w:color="auto"/>
        <w:bottom w:val="none" w:sz="0" w:space="0" w:color="auto"/>
        <w:right w:val="none" w:sz="0" w:space="0" w:color="auto"/>
      </w:divBdr>
    </w:div>
    <w:div w:id="398598044">
      <w:bodyDiv w:val="1"/>
      <w:marLeft w:val="0"/>
      <w:marRight w:val="0"/>
      <w:marTop w:val="0"/>
      <w:marBottom w:val="0"/>
      <w:divBdr>
        <w:top w:val="none" w:sz="0" w:space="0" w:color="auto"/>
        <w:left w:val="none" w:sz="0" w:space="0" w:color="auto"/>
        <w:bottom w:val="none" w:sz="0" w:space="0" w:color="auto"/>
        <w:right w:val="none" w:sz="0" w:space="0" w:color="auto"/>
      </w:divBdr>
    </w:div>
    <w:div w:id="405228564">
      <w:bodyDiv w:val="1"/>
      <w:marLeft w:val="0"/>
      <w:marRight w:val="0"/>
      <w:marTop w:val="0"/>
      <w:marBottom w:val="0"/>
      <w:divBdr>
        <w:top w:val="none" w:sz="0" w:space="0" w:color="auto"/>
        <w:left w:val="none" w:sz="0" w:space="0" w:color="auto"/>
        <w:bottom w:val="none" w:sz="0" w:space="0" w:color="auto"/>
        <w:right w:val="none" w:sz="0" w:space="0" w:color="auto"/>
      </w:divBdr>
    </w:div>
    <w:div w:id="1122964031">
      <w:bodyDiv w:val="1"/>
      <w:marLeft w:val="0"/>
      <w:marRight w:val="0"/>
      <w:marTop w:val="0"/>
      <w:marBottom w:val="0"/>
      <w:divBdr>
        <w:top w:val="none" w:sz="0" w:space="0" w:color="auto"/>
        <w:left w:val="none" w:sz="0" w:space="0" w:color="auto"/>
        <w:bottom w:val="none" w:sz="0" w:space="0" w:color="auto"/>
        <w:right w:val="none" w:sz="0" w:space="0" w:color="auto"/>
      </w:divBdr>
    </w:div>
    <w:div w:id="1235168283">
      <w:bodyDiv w:val="1"/>
      <w:marLeft w:val="0"/>
      <w:marRight w:val="0"/>
      <w:marTop w:val="0"/>
      <w:marBottom w:val="0"/>
      <w:divBdr>
        <w:top w:val="none" w:sz="0" w:space="0" w:color="auto"/>
        <w:left w:val="none" w:sz="0" w:space="0" w:color="auto"/>
        <w:bottom w:val="none" w:sz="0" w:space="0" w:color="auto"/>
        <w:right w:val="none" w:sz="0" w:space="0" w:color="auto"/>
      </w:divBdr>
    </w:div>
    <w:div w:id="1366910513">
      <w:bodyDiv w:val="1"/>
      <w:marLeft w:val="0"/>
      <w:marRight w:val="0"/>
      <w:marTop w:val="0"/>
      <w:marBottom w:val="0"/>
      <w:divBdr>
        <w:top w:val="none" w:sz="0" w:space="0" w:color="auto"/>
        <w:left w:val="none" w:sz="0" w:space="0" w:color="auto"/>
        <w:bottom w:val="none" w:sz="0" w:space="0" w:color="auto"/>
        <w:right w:val="none" w:sz="0" w:space="0" w:color="auto"/>
      </w:divBdr>
    </w:div>
    <w:div w:id="1608851289">
      <w:bodyDiv w:val="1"/>
      <w:marLeft w:val="0"/>
      <w:marRight w:val="0"/>
      <w:marTop w:val="0"/>
      <w:marBottom w:val="0"/>
      <w:divBdr>
        <w:top w:val="none" w:sz="0" w:space="0" w:color="auto"/>
        <w:left w:val="none" w:sz="0" w:space="0" w:color="auto"/>
        <w:bottom w:val="none" w:sz="0" w:space="0" w:color="auto"/>
        <w:right w:val="none" w:sz="0" w:space="0" w:color="auto"/>
      </w:divBdr>
    </w:div>
    <w:div w:id="16919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19.6.2018 16:02:58"/>
    <f:field ref="objchangedby" par="" text="Administrator, System"/>
    <f:field ref="objmodifiedat" par="" text="19.6.2018 16:03:02"/>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https://ovdmasv601/sites/DMS/_layouts/15/DocIdRedir.aspx?ID=WKX3UHSAJ2R6-2-851341</Url>
      <Description>WKX3UHSAJ2R6-2-851341</Description>
    </_dlc_DocIdUrl>
    <_dlc_DocId xmlns="e60a29af-d413-48d4-bd90-fe9d2a897e4b">WKX3UHSAJ2R6-2-851341</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F18A6099-0297-4CE3-84A6-2314CD5A8D88}"/>
</file>

<file path=customXml/itemProps3.xml><?xml version="1.0" encoding="utf-8"?>
<ds:datastoreItem xmlns:ds="http://schemas.openxmlformats.org/officeDocument/2006/customXml" ds:itemID="{2226217B-199C-4D3D-BD55-7EE9F6A6A59E}"/>
</file>

<file path=customXml/itemProps4.xml><?xml version="1.0" encoding="utf-8"?>
<ds:datastoreItem xmlns:ds="http://schemas.openxmlformats.org/officeDocument/2006/customXml" ds:itemID="{FD7A2063-9FD8-4093-9773-1E9C1BA7DAC0}"/>
</file>

<file path=customXml/itemProps5.xml><?xml version="1.0" encoding="utf-8"?>
<ds:datastoreItem xmlns:ds="http://schemas.openxmlformats.org/officeDocument/2006/customXml" ds:itemID="{0AE4B42D-944D-45B8-9A5F-81F4CCF8FE54}"/>
</file>

<file path=docProps/app.xml><?xml version="1.0" encoding="utf-8"?>
<Properties xmlns="http://schemas.openxmlformats.org/officeDocument/2006/extended-properties" xmlns:vt="http://schemas.openxmlformats.org/officeDocument/2006/docPropsVTypes">
  <Template>Normal</Template>
  <TotalTime>0</TotalTime>
  <Pages>13</Pages>
  <Words>2274</Words>
  <Characters>12966</Characters>
  <Application>Microsoft Office Word</Application>
  <DocSecurity>0</DocSecurity>
  <Lines>108</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2018-06-19T14:04:00Z</dcterms:created>
  <dcterms:modified xsi:type="dcterms:W3CDTF">2018-06-19T14:04:00Z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Ing. Peter Jány</vt:lpwstr>
  </property>
  <property fmtid="{D5CDD505-2E9C-101B-9397-08002B2CF9AE}" pid="11" name="FSC#SKEDITIONSLOVLEX@103.510:zodppredkladatel">
    <vt:lpwstr>László Sólymos</vt:lpwstr>
  </property>
  <property fmtid="{D5CDD505-2E9C-101B-9397-08002B2CF9AE}" pid="12" name="FSC#SKEDITIONSLOVLEX@103.510:dalsipredkladatel">
    <vt:lpwstr/>
  </property>
  <property fmtid="{D5CDD505-2E9C-101B-9397-08002B2CF9AE}" pid="13" name="FSC#SKEDITIONSLOVLEX@103.510:nazovpredpis">
    <vt:lpwstr> Zmena Operačného programu Kvalita životného prostredia (verzia 7)</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životného prostredia Slovenskej republiky</vt:lpwstr>
  </property>
  <property fmtid="{D5CDD505-2E9C-101B-9397-08002B2CF9AE}" pid="19" name="FSC#SKEDITIONSLOVLEX@103.510:pripomienkovatelia">
    <vt:lpwstr>Ministerstvo životného prostredia Slovenskej republiky, Ministerstvo životného prostredia Slovenskej republiky, Ministerstvo životného prostredia Slovenskej republiky, Ministerstvo životného prostredia Slovenskej republiky, Ministerstvo životného prostred</vt:lpwstr>
  </property>
  <property fmtid="{D5CDD505-2E9C-101B-9397-08002B2CF9AE}" pid="20" name="FSC#SKEDITIONSLOVLEX@103.510:autorpredpis">
    <vt:lpwstr/>
  </property>
  <property fmtid="{D5CDD505-2E9C-101B-9397-08002B2CF9AE}" pid="21" name="FSC#SKEDITIONSLOVLEX@103.510:podnetpredpis">
    <vt:lpwstr>iniciatívny materiál</vt:lpwstr>
  </property>
  <property fmtid="{D5CDD505-2E9C-101B-9397-08002B2CF9AE}" pid="22" name="FSC#SKEDITIONSLOVLEX@103.510:plnynazovpredpis">
    <vt:lpwstr> Zmena Operačného programu Kvalita životného prostredia (verzia 7)</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7603/2018-7.1.2</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LP/2018/387</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4. 6. 2018</vt:lpwstr>
  </property>
  <property fmtid="{D5CDD505-2E9C-101B-9397-08002B2CF9AE}" pid="58" name="FSC#SKEDITIONSLOVLEX@103.510:AttrDateDocPropUkonceniePKK">
    <vt:lpwstr>11. 6. 2018</vt:lpwstr>
  </property>
  <property fmtid="{D5CDD505-2E9C-101B-9397-08002B2CF9AE}" pid="59" name="FSC#SKEDITIONSLOVLEX@103.510:AttrStrDocPropVplyvRozpocetVS">
    <vt:lpwstr>Pozitívne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Pozitívne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Hlavným cieľom a predmetom navrhovanej zmeny OP KŽP je úprava hodnôt čiastkových cieľov ukazovateľov výkonnostného rámca pre rok 2018, ako aj realokácia disponibilných prostriedkov z PO 2 do PO 1. Pri týchto zmenách operačného programu sa predpokladá nepr</vt:lpwstr>
  </property>
  <property fmtid="{D5CDD505-2E9C-101B-9397-08002B2CF9AE}" pid="65" name="FSC#SKEDITIONSLOVLEX@103.510:AttrStrListDocPropAltRiesenia">
    <vt:lpwstr>Alternatívne riešenia nie sú predkladané.Vzhľadom na procesné náležitosti súvisiace so zmenou operačných programov (konzultácie s EK, zadávanie do elektronického systému na výmenu dokumentov s EK - SFC2014, schvaľovanie Monitorovacím výborom a EK) sa pred</vt:lpwstr>
  </property>
  <property fmtid="{D5CDD505-2E9C-101B-9397-08002B2CF9AE}" pid="66" name="FSC#SKEDITIONSLOVLEX@103.510:AttrStrListDocPropStanoviskoGest">
    <vt:lpwstr>Predbežné pripomienkové konanie k doložke vplyvov sa uskutočnilo v dňoch 4. 6. – 11. 6. 2018. Stála pracovná komisia legislatívnej rady vlády Slovenskej republiky na posudzovanie vybraných vplyvov (ďalej len „Komisia“) zaslala k doložke stanovisko č. 119/</vt:lpwstr>
  </property>
  <property fmtid="{D5CDD505-2E9C-101B-9397-08002B2CF9AE}" pid="67" name="FSC#SKEDITIONSLOVLEX@103.510:AttrStrListDocPropTextKomunike">
    <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podpredseda vlády a minister životného prostredia </vt:lpwstr>
  </property>
  <property fmtid="{D5CDD505-2E9C-101B-9397-08002B2CF9AE}" pid="136" name="FSC#SKEDITIONSLOVLEX@103.510:AttrStrListDocPropUznesenieNaVedomie">
    <vt:lpwstr>podpredseda vlády SR pre investície a informatizáciu _x000d_
minister vnútra _x000d_
minister hospodárstva</vt:lpwstr>
  </property>
  <property fmtid="{D5CDD505-2E9C-101B-9397-08002B2CF9AE}" pid="137" name="FSC#SKEDITIONSLOVLEX@103.510:funkciaPred">
    <vt:lpwstr>Ministerstvo životného prostredia SR</vt:lpwstr>
  </property>
  <property fmtid="{D5CDD505-2E9C-101B-9397-08002B2CF9AE}" pid="138" name="FSC#SKEDITIONSLOVLEX@103.510:funkciaPredAkuzativ">
    <vt:lpwstr>Ministerstvu životného prostredia SR</vt:lpwstr>
  </property>
  <property fmtid="{D5CDD505-2E9C-101B-9397-08002B2CF9AE}" pid="139" name="FSC#SKEDITIONSLOVLEX@103.510:funkciaPredDativ">
    <vt:lpwstr>Ministerstvo životného prostredia SR</vt:lpwstr>
  </property>
  <property fmtid="{D5CDD505-2E9C-101B-9397-08002B2CF9AE}" pid="140" name="FSC#SKEDITIONSLOVLEX@103.510:funkciaZodpPred">
    <vt:lpwstr>podpredseda vlády a minister životného prostredia Slovenskej republiky</vt:lpwstr>
  </property>
  <property fmtid="{D5CDD505-2E9C-101B-9397-08002B2CF9AE}" pid="141" name="FSC#SKEDITIONSLOVLEX@103.510:funkciaZodpPredAkuzativ">
    <vt:lpwstr>podpredsedovi vlády a ministrovi životného prostredia Slovenskej republiky</vt:lpwstr>
  </property>
  <property fmtid="{D5CDD505-2E9C-101B-9397-08002B2CF9AE}" pid="142" name="FSC#SKEDITIONSLOVLEX@103.510:funkciaZodpPredDativ">
    <vt:lpwstr>podpredsedu vlády a ministra životného prostredia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László Sólymos_x000d_
podpredseda vlády a minister životného prostredia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style="text-align: justify;"&gt;Ministerstvo životného prostredia Slovenskej republiky (ďalej len „SR“), ako riadiaci orgán pre Operačný program Kvalita životného prostredia (ďalej len „OP KŽP“) vypracovalo návrh zmeny OP KŽP (verzia 7), ktorý podpredseda</vt:lpwstr>
  </property>
  <property fmtid="{D5CDD505-2E9C-101B-9397-08002B2CF9AE}" pid="149" name="FSC#COOSYSTEM@1.1:Container">
    <vt:lpwstr>COO.2145.1000.3.2779590</vt:lpwstr>
  </property>
  <property fmtid="{D5CDD505-2E9C-101B-9397-08002B2CF9AE}" pid="150" name="FSC#FSCFOLIO@1.1001:docpropproject">
    <vt:lpwstr/>
  </property>
  <property fmtid="{D5CDD505-2E9C-101B-9397-08002B2CF9AE}" pid="151" name="FSC#SKEDITIONSLOVLEX@103.510:aktualnyrok">
    <vt:lpwstr>2018</vt:lpwstr>
  </property>
  <property fmtid="{D5CDD505-2E9C-101B-9397-08002B2CF9AE}" pid="152" name="FSC#SKEDITIONSLOVLEX@103.510:vytvorenedna">
    <vt:lpwstr>19. 6. 2018</vt:lpwstr>
  </property>
  <property fmtid="{D5CDD505-2E9C-101B-9397-08002B2CF9AE}" pid="153" name="ContentTypeId">
    <vt:lpwstr>0x0101006C0C8C3C1E3DCC44BECE3792677AD011</vt:lpwstr>
  </property>
  <property fmtid="{D5CDD505-2E9C-101B-9397-08002B2CF9AE}" pid="154" name="_dlc_DocIdItemGuid">
    <vt:lpwstr>c28746e6-b210-4940-aca0-2e10d090d510</vt:lpwstr>
  </property>
</Properties>
</file>