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C5" w:rsidRPr="007D5748" w:rsidRDefault="009846C5" w:rsidP="009846C5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D5748">
        <w:rPr>
          <w:b/>
          <w:bCs/>
          <w:sz w:val="28"/>
          <w:szCs w:val="28"/>
        </w:rPr>
        <w:t>Analýza vplyvov na rozpočet verejnej správy,</w:t>
      </w:r>
    </w:p>
    <w:p w:rsidR="009846C5" w:rsidRPr="007D5748" w:rsidRDefault="009846C5" w:rsidP="009846C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5748">
        <w:rPr>
          <w:b/>
          <w:bCs/>
          <w:sz w:val="28"/>
          <w:szCs w:val="28"/>
        </w:rPr>
        <w:t>na zamestnanosť vo verejnej správe a financovanie návrhu</w:t>
      </w:r>
    </w:p>
    <w:p w:rsidR="009846C5" w:rsidRPr="00212894" w:rsidRDefault="009846C5" w:rsidP="009846C5">
      <w:pPr>
        <w:spacing w:after="0" w:line="240" w:lineRule="auto"/>
        <w:jc w:val="right"/>
        <w:rPr>
          <w:b/>
          <w:bCs/>
        </w:rPr>
      </w:pPr>
    </w:p>
    <w:p w:rsidR="009846C5" w:rsidRDefault="009846C5" w:rsidP="009846C5">
      <w:pPr>
        <w:spacing w:after="0" w:line="240" w:lineRule="auto"/>
        <w:rPr>
          <w:b/>
          <w:bCs/>
        </w:rPr>
      </w:pPr>
    </w:p>
    <w:p w:rsidR="009846C5" w:rsidRPr="00212894" w:rsidRDefault="009846C5" w:rsidP="009846C5">
      <w:pPr>
        <w:spacing w:after="0" w:line="240" w:lineRule="auto"/>
        <w:rPr>
          <w:b/>
          <w:bCs/>
        </w:rPr>
      </w:pPr>
      <w:r w:rsidRPr="00212894">
        <w:rPr>
          <w:b/>
          <w:bCs/>
        </w:rPr>
        <w:t>2.1 Zhrnutie vplyvov na rozpočet verejnej správy v návrhu</w:t>
      </w:r>
    </w:p>
    <w:p w:rsidR="009846C5" w:rsidRDefault="009846C5" w:rsidP="009846C5">
      <w:pPr>
        <w:spacing w:after="0" w:line="240" w:lineRule="auto"/>
        <w:jc w:val="right"/>
        <w:rPr>
          <w:sz w:val="20"/>
          <w:szCs w:val="20"/>
        </w:rPr>
      </w:pPr>
    </w:p>
    <w:p w:rsidR="009846C5" w:rsidRPr="007D5748" w:rsidRDefault="009712DF" w:rsidP="009846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846C5" w:rsidRPr="007D5748">
        <w:rPr>
          <w:sz w:val="20"/>
          <w:szCs w:val="20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B7DB8" w:rsidRPr="007D5748" w:rsidTr="007B7DB8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B7DB8" w:rsidRPr="007D5748" w:rsidRDefault="007B7DB8" w:rsidP="005A26F2">
            <w:pPr>
              <w:spacing w:after="0" w:line="240" w:lineRule="auto"/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B7DB8" w:rsidRPr="007D5748" w:rsidRDefault="007B7DB8" w:rsidP="005A26F2">
            <w:pPr>
              <w:spacing w:after="0" w:line="240" w:lineRule="auto"/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Vplyv na rozpočet verejnej správy (v eurách)</w:t>
            </w:r>
          </w:p>
        </w:tc>
      </w:tr>
      <w:tr w:rsidR="008B1935" w:rsidRPr="007D5748" w:rsidTr="007B7DB8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8B1935" w:rsidRPr="007D5748" w:rsidRDefault="008B1935" w:rsidP="008B19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B1935" w:rsidRPr="00866251" w:rsidRDefault="008B1935" w:rsidP="008B1935">
            <w:pPr>
              <w:spacing w:after="0" w:line="240" w:lineRule="auto"/>
              <w:jc w:val="center"/>
              <w:rPr>
                <w:b/>
                <w:bCs/>
              </w:rPr>
            </w:pPr>
            <w:r w:rsidRPr="00866251">
              <w:rPr>
                <w:b/>
                <w:bCs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B1935" w:rsidRPr="00866251" w:rsidRDefault="008B1935" w:rsidP="008B1935">
            <w:pPr>
              <w:spacing w:after="0" w:line="240" w:lineRule="auto"/>
              <w:jc w:val="center"/>
              <w:rPr>
                <w:b/>
                <w:bCs/>
              </w:rPr>
            </w:pPr>
            <w:r w:rsidRPr="00866251">
              <w:rPr>
                <w:b/>
                <w:bCs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B1935" w:rsidRPr="00866251" w:rsidRDefault="008B1935" w:rsidP="008B1935">
            <w:pPr>
              <w:spacing w:after="0" w:line="240" w:lineRule="auto"/>
              <w:jc w:val="center"/>
              <w:rPr>
                <w:b/>
                <w:bCs/>
              </w:rPr>
            </w:pPr>
            <w:r w:rsidRPr="00866251">
              <w:rPr>
                <w:b/>
                <w:bCs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8B1935" w:rsidRPr="00866251" w:rsidRDefault="008B1935" w:rsidP="008B1935">
            <w:pPr>
              <w:spacing w:after="0" w:line="240" w:lineRule="auto"/>
              <w:jc w:val="center"/>
              <w:rPr>
                <w:b/>
                <w:bCs/>
              </w:rPr>
            </w:pPr>
            <w:r w:rsidRPr="00866251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 w:rsidRPr="007D5748">
              <w:rPr>
                <w:b/>
                <w:bCs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8B1935" w:rsidRPr="00C70F23" w:rsidRDefault="009B59C9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690 420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</w:tr>
      <w:tr w:rsidR="008B1935" w:rsidRPr="007D5748" w:rsidTr="007B7DB8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 w:rsidRPr="007D5748">
              <w:t xml:space="preserve">v tom: </w:t>
            </w:r>
            <w:r>
              <w:t>za MPRV SR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9B59C9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9B59C9">
              <w:rPr>
                <w:color w:val="000000" w:themeColor="text1"/>
              </w:rPr>
              <w:t>570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-1 080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-1 080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-1 080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ind w:firstLine="685"/>
              <w:rPr>
                <w:b/>
                <w:bCs/>
                <w:i/>
                <w:iCs/>
              </w:rPr>
            </w:pPr>
            <w:r>
              <w:t>za MV SR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9B59C9" w:rsidP="008B1935">
            <w:pPr>
              <w:spacing w:after="0" w:line="240" w:lineRule="auto"/>
              <w:jc w:val="right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690 990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1 381 920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1 381 920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1 381 920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  <w:color w:val="000000" w:themeColor="text1"/>
              </w:rPr>
            </w:pP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9B59C9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690 420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  <w:tc>
          <w:tcPr>
            <w:tcW w:w="1267" w:type="dxa"/>
            <w:noWrap/>
            <w:vAlign w:val="center"/>
          </w:tcPr>
          <w:p w:rsidR="008B1935" w:rsidRPr="00C70F23" w:rsidRDefault="008B1935" w:rsidP="008B1935">
            <w:pPr>
              <w:spacing w:after="0" w:line="240" w:lineRule="auto"/>
              <w:jc w:val="right"/>
              <w:rPr>
                <w:b/>
                <w:bCs/>
                <w:color w:val="000000" w:themeColor="text1"/>
              </w:rPr>
            </w:pPr>
            <w:r w:rsidRPr="0026275D">
              <w:rPr>
                <w:b/>
                <w:bCs/>
                <w:color w:val="000000" w:themeColor="text1"/>
              </w:rPr>
              <w:t>1 380 840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ind w:left="259"/>
              <w:rPr>
                <w:b/>
                <w:bCs/>
                <w:i/>
                <w:iCs/>
              </w:rPr>
            </w:pPr>
            <w:r>
              <w:rPr>
                <w:bCs/>
                <w:i/>
                <w:iCs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9712D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9712D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9712D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9712DF">
              <w:rPr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ind w:left="259"/>
              <w:rPr>
                <w:bCs/>
                <w:i/>
                <w:iCs/>
              </w:rPr>
            </w:pPr>
            <w:r w:rsidRPr="007D5748">
              <w:rPr>
                <w:bCs/>
                <w:i/>
                <w:iCs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2F4075" w:rsidRDefault="008B1935" w:rsidP="008B1935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114 000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149 250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96 750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 w:rsidRPr="007D5748">
              <w:t xml:space="preserve">v tom: </w:t>
            </w:r>
            <w:r>
              <w:t>za MPRV SR/zdroj 111/ 08V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50 625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114 000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149 250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96 750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>
              <w:t xml:space="preserve">           za MPRV SR/zdroj 111/ 0EK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36 006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8B1935" w:rsidRPr="007D5748" w:rsidTr="000D6AB9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</w:pPr>
            <w:r w:rsidRPr="000D6AB9">
              <w:t xml:space="preserve">           za </w:t>
            </w:r>
            <w:r>
              <w:t>MV SR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  <w:jc w:val="right"/>
              <w:rPr>
                <w:iCs/>
              </w:rPr>
            </w:pPr>
            <w:r w:rsidRPr="000D6AB9"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  <w:jc w:val="right"/>
              <w:rPr>
                <w:iCs/>
              </w:rPr>
            </w:pPr>
            <w:r w:rsidRPr="000D6AB9"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  <w:jc w:val="right"/>
              <w:rPr>
                <w:iCs/>
              </w:rPr>
            </w:pPr>
            <w:r w:rsidRPr="000D6AB9"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  <w:jc w:val="right"/>
              <w:rPr>
                <w:iCs/>
              </w:rPr>
            </w:pPr>
            <w:r w:rsidRPr="000D6AB9">
              <w:rPr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B1935" w:rsidRPr="002F4075" w:rsidRDefault="008B1935" w:rsidP="008B1935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114 000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149 250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96 75</w:t>
            </w:r>
            <w:r w:rsidRPr="003325A6">
              <w:rPr>
                <w:b/>
                <w:b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ind w:left="259"/>
              <w:rPr>
                <w:b/>
                <w:bCs/>
                <w:i/>
                <w:iCs/>
              </w:rPr>
            </w:pPr>
            <w:r>
              <w:rPr>
                <w:bCs/>
                <w:i/>
                <w:iCs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8B1935" w:rsidRPr="002F4075" w:rsidRDefault="008B1935" w:rsidP="008B1935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114 000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149 250</w:t>
            </w:r>
          </w:p>
        </w:tc>
        <w:tc>
          <w:tcPr>
            <w:tcW w:w="1267" w:type="dxa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96 75</w:t>
            </w:r>
            <w:r w:rsidRPr="003325A6">
              <w:rPr>
                <w:b/>
                <w:b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Cs/>
                <w:i/>
                <w:iCs/>
              </w:rPr>
            </w:pPr>
            <w:r w:rsidRPr="007D5748">
              <w:rPr>
                <w:bCs/>
                <w:i/>
                <w:iCs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Cs/>
                <w:i/>
                <w:iCs/>
              </w:rPr>
            </w:pPr>
            <w:r w:rsidRPr="007D5748">
              <w:rPr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 w:rsidRPr="009712DF"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</w:rPr>
            </w:pPr>
            <w:r w:rsidRPr="007D5748">
              <w:rPr>
                <w:b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</w:rPr>
            </w:pPr>
            <w:r w:rsidRPr="0035710F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</w:rPr>
            </w:pPr>
            <w:r w:rsidRPr="0035710F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</w:rPr>
            </w:pPr>
            <w:r w:rsidRPr="0035710F">
              <w:rPr>
                <w:b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</w:rPr>
            </w:pPr>
            <w:r w:rsidRPr="0035710F">
              <w:rPr>
                <w:b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35710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35710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35710F">
              <w:rPr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Cs/>
                <w:iCs/>
              </w:rPr>
            </w:pPr>
            <w:r w:rsidRPr="0035710F">
              <w:rPr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D5748">
              <w:rPr>
                <w:b/>
                <w:bCs/>
                <w:i/>
                <w:iCs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  <w:i/>
                <w:iCs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  <w:iCs/>
              </w:rPr>
            </w:pPr>
            <w:r w:rsidRPr="009712DF">
              <w:rPr>
                <w:b/>
                <w:bCs/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2F4075" w:rsidRDefault="008B1935" w:rsidP="008B1935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114 000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3325A6">
              <w:rPr>
                <w:b/>
                <w:bCs/>
              </w:rPr>
              <w:t>149 250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B1935" w:rsidRPr="003325A6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96 750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 w:rsidRPr="007D5748">
              <w:t xml:space="preserve">v tom: </w:t>
            </w:r>
            <w:r>
              <w:t>za MPRV SR/zdroj 111/ 08V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50 625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114 000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149 250</w:t>
            </w:r>
          </w:p>
        </w:tc>
        <w:tc>
          <w:tcPr>
            <w:tcW w:w="1267" w:type="dxa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</w:pPr>
            <w:r>
              <w:t>96 750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</w:pPr>
            <w:r>
              <w:t xml:space="preserve">           za MPRV SR/zdroj 111/ 0EK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36 006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7" w:type="dxa"/>
            <w:noWrap/>
            <w:vAlign w:val="center"/>
          </w:tcPr>
          <w:p w:rsidR="008B1935" w:rsidRDefault="008B1935" w:rsidP="008B1935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8B1935" w:rsidRPr="000D6AB9" w:rsidRDefault="008B1935" w:rsidP="008B1935">
            <w:pPr>
              <w:spacing w:after="0" w:line="240" w:lineRule="auto"/>
            </w:pPr>
            <w:r w:rsidRPr="000D6AB9">
              <w:t xml:space="preserve">           za </w:t>
            </w:r>
            <w:r>
              <w:t>MV SR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iCs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8B1935" w:rsidRPr="0035710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i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</w:rPr>
            </w:pPr>
            <w:r w:rsidRPr="007D5748">
              <w:rPr>
                <w:b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</w:tr>
      <w:tr w:rsidR="008B1935" w:rsidRPr="007D5748" w:rsidTr="007B7DB8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8B1935" w:rsidRPr="007D5748" w:rsidRDefault="008B1935" w:rsidP="008B1935">
            <w:pPr>
              <w:spacing w:after="0" w:line="240" w:lineRule="auto"/>
              <w:rPr>
                <w:b/>
                <w:bCs/>
              </w:rPr>
            </w:pPr>
            <w:r w:rsidRPr="007D5748">
              <w:rPr>
                <w:b/>
                <w:bCs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8B1935" w:rsidRPr="009712DF" w:rsidRDefault="008B1935" w:rsidP="008B1935">
            <w:pPr>
              <w:spacing w:after="0" w:line="240" w:lineRule="auto"/>
              <w:jc w:val="right"/>
              <w:rPr>
                <w:b/>
                <w:bCs/>
              </w:rPr>
            </w:pPr>
            <w:r w:rsidRPr="009712DF">
              <w:rPr>
                <w:b/>
                <w:bCs/>
              </w:rPr>
              <w:t>0</w:t>
            </w:r>
          </w:p>
        </w:tc>
      </w:tr>
    </w:tbl>
    <w:p w:rsidR="009846C5" w:rsidRPr="007D5748" w:rsidRDefault="009846C5" w:rsidP="009846C5">
      <w:pPr>
        <w:spacing w:after="0" w:line="240" w:lineRule="auto"/>
        <w:rPr>
          <w:b/>
          <w:bCs/>
        </w:rPr>
      </w:pPr>
    </w:p>
    <w:p w:rsidR="009846C5" w:rsidRDefault="009846C5" w:rsidP="009846C5">
      <w:pPr>
        <w:rPr>
          <w:b/>
          <w:bCs/>
        </w:rPr>
      </w:pPr>
      <w:r>
        <w:rPr>
          <w:b/>
          <w:bCs/>
        </w:rPr>
        <w:br w:type="page"/>
      </w:r>
    </w:p>
    <w:p w:rsidR="009846C5" w:rsidRDefault="009846C5" w:rsidP="009846C5">
      <w:pPr>
        <w:spacing w:after="0" w:line="240" w:lineRule="auto"/>
        <w:jc w:val="both"/>
        <w:rPr>
          <w:b/>
          <w:bCs/>
        </w:rPr>
      </w:pPr>
      <w:r w:rsidRPr="007D5748">
        <w:rPr>
          <w:b/>
          <w:bCs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00494F" w:rsidRPr="007D5748" w:rsidRDefault="0000494F" w:rsidP="009846C5">
      <w:pPr>
        <w:spacing w:after="0" w:line="240" w:lineRule="auto"/>
        <w:jc w:val="both"/>
        <w:rPr>
          <w:b/>
          <w:bCs/>
        </w:rPr>
      </w:pPr>
    </w:p>
    <w:p w:rsidR="009846C5" w:rsidRPr="007D5748" w:rsidRDefault="009846C5" w:rsidP="009846C5">
      <w:pPr>
        <w:spacing w:after="0" w:line="240" w:lineRule="auto"/>
        <w:jc w:val="both"/>
        <w:rPr>
          <w:b/>
          <w:bCs/>
          <w:sz w:val="12"/>
        </w:rPr>
      </w:pPr>
    </w:p>
    <w:p w:rsidR="0000494F" w:rsidRDefault="0000494F" w:rsidP="00004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</w:pPr>
      <w:r>
        <w:t>Návrh zákona predpokladá zníženie príjmov kapitoly MPRV SR vzhľadom na skutočnosť, že niektoré kompetencie návrhom zákona prejdú na okresné úrady. Zároveň sa v kapitole MV SR predpokladá úbytok príjmov z dôvodu zrušenia poplatkov za mi</w:t>
      </w:r>
      <w:r w:rsidR="001A1E5D">
        <w:t>moriadne povolenie na lov zveri a predpokladá sa navýšenie príjmov za poplatky za vydávanie poľovných lístkov. Táto kompetencia sa návrhom zákona o poľovníctve presúva zo Slovenskej poľovníckej komory na okresné úrady.</w:t>
      </w:r>
    </w:p>
    <w:p w:rsidR="0000494F" w:rsidRDefault="001731F7" w:rsidP="00004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</w:pPr>
      <w:r>
        <w:t>Vo výdavkovej časti</w:t>
      </w:r>
      <w:r w:rsidR="0000494F">
        <w:t xml:space="preserve"> sa predpokladá v kapitole MPRV SR</w:t>
      </w:r>
      <w:r>
        <w:t xml:space="preserve"> vplyv</w:t>
      </w:r>
      <w:r w:rsidR="0000494F">
        <w:t xml:space="preserve"> zo zavedenia nových kompetencií pre správcu informačného systému poľovníctva, ktorým bude príspevková organizácia Národné lesnícke centrum. Objem finančných prostriedkov bude použitý na rozšírenie a úpravu informačného systém</w:t>
      </w:r>
      <w:r w:rsidR="00866251">
        <w:t>u</w:t>
      </w:r>
      <w:r w:rsidR="00ED5EA9">
        <w:t xml:space="preserve"> registra nepoľovných plôch</w:t>
      </w:r>
      <w:r w:rsidR="00866251">
        <w:t xml:space="preserve"> v objeme </w:t>
      </w:r>
      <w:r w:rsidR="00ED5EA9">
        <w:t>36 006 eur v prvom roku účinnosti zákona</w:t>
      </w:r>
      <w:r w:rsidR="0000494F">
        <w:t xml:space="preserve"> a na oso</w:t>
      </w:r>
      <w:r w:rsidR="00BC7D02">
        <w:t>bné výdavky pre zamestnancov Národného lesníckeh</w:t>
      </w:r>
      <w:r w:rsidR="0045295D">
        <w:t>o centra v</w:t>
      </w:r>
      <w:r w:rsidR="001A735E">
        <w:t> 2. pol</w:t>
      </w:r>
      <w:r w:rsidR="0045295D">
        <w:t>roku 2023</w:t>
      </w:r>
      <w:r w:rsidR="0000494F">
        <w:t xml:space="preserve"> objeme </w:t>
      </w:r>
      <w:r w:rsidR="001A735E">
        <w:t>50 625</w:t>
      </w:r>
      <w:r w:rsidR="0045295D">
        <w:t xml:space="preserve"> eur, v roku 2024</w:t>
      </w:r>
      <w:r w:rsidR="0000494F">
        <w:t xml:space="preserve"> v objeme </w:t>
      </w:r>
      <w:r w:rsidR="0045295D">
        <w:t>114 000 eur, v roku 2025</w:t>
      </w:r>
      <w:r w:rsidR="0000494F">
        <w:t xml:space="preserve"> vo výške </w:t>
      </w:r>
      <w:r w:rsidR="0045295D">
        <w:t xml:space="preserve">149 250 </w:t>
      </w:r>
      <w:r w:rsidR="0000494F">
        <w:t>eur</w:t>
      </w:r>
      <w:r w:rsidR="001A735E">
        <w:t xml:space="preserve"> a v roku 2026 v objeme 96 750 eur</w:t>
      </w:r>
      <w:r w:rsidR="0000494F">
        <w:t xml:space="preserve">, ktorí budú vypracovávať </w:t>
      </w:r>
      <w:r w:rsidR="0045295D">
        <w:t xml:space="preserve">analýzy vlastníckych vzťahov poľovných revírov </w:t>
      </w:r>
      <w:r w:rsidR="0000494F">
        <w:t xml:space="preserve">a spravovať register nepoľovných plôch. Finančné </w:t>
      </w:r>
      <w:r w:rsidR="005F7F9F">
        <w:t>prostriedky budú</w:t>
      </w:r>
      <w:r w:rsidR="0000494F">
        <w:t xml:space="preserve"> zabezpečené v rozpočte kapitoly MPRV SR a budú hradené z transferu príspevkovej organizácie.</w:t>
      </w:r>
    </w:p>
    <w:p w:rsidR="0000494F" w:rsidRPr="005E7852" w:rsidRDefault="0000494F" w:rsidP="00004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</w:pPr>
      <w:r>
        <w:t>Účinn</w:t>
      </w:r>
      <w:r w:rsidR="00652432">
        <w:t xml:space="preserve">osť zákona sa predpokladá od 1. júna </w:t>
      </w:r>
      <w:r>
        <w:t>2023.</w:t>
      </w:r>
    </w:p>
    <w:p w:rsidR="009846C5" w:rsidRDefault="009846C5" w:rsidP="009846C5">
      <w:pPr>
        <w:spacing w:after="0" w:line="240" w:lineRule="auto"/>
        <w:jc w:val="both"/>
        <w:rPr>
          <w:bCs/>
        </w:rPr>
      </w:pPr>
    </w:p>
    <w:p w:rsidR="00594FDE" w:rsidRDefault="00594FDE" w:rsidP="009846C5">
      <w:pPr>
        <w:spacing w:after="0" w:line="240" w:lineRule="auto"/>
        <w:rPr>
          <w:b/>
          <w:bCs/>
        </w:rPr>
      </w:pPr>
    </w:p>
    <w:p w:rsidR="009846C5" w:rsidRDefault="009846C5" w:rsidP="009846C5">
      <w:pPr>
        <w:spacing w:after="0" w:line="240" w:lineRule="auto"/>
        <w:rPr>
          <w:b/>
          <w:bCs/>
        </w:rPr>
      </w:pPr>
      <w:r w:rsidRPr="007D5748">
        <w:rPr>
          <w:b/>
          <w:bCs/>
        </w:rPr>
        <w:t>2.2. Popis a charakteristika návrhu</w:t>
      </w:r>
    </w:p>
    <w:p w:rsidR="009846C5" w:rsidRPr="007D5748" w:rsidRDefault="009846C5" w:rsidP="009846C5">
      <w:pPr>
        <w:spacing w:after="0" w:line="240" w:lineRule="auto"/>
        <w:rPr>
          <w:b/>
          <w:bCs/>
        </w:rPr>
      </w:pPr>
    </w:p>
    <w:p w:rsidR="009846C5" w:rsidRPr="007D5748" w:rsidRDefault="009846C5" w:rsidP="009846C5">
      <w:pPr>
        <w:spacing w:after="0" w:line="240" w:lineRule="auto"/>
        <w:jc w:val="both"/>
        <w:rPr>
          <w:b/>
          <w:bCs/>
        </w:rPr>
      </w:pPr>
      <w:r w:rsidRPr="007D5748">
        <w:rPr>
          <w:b/>
          <w:bCs/>
        </w:rPr>
        <w:t>2.2.1. Popis návrhu:</w:t>
      </w:r>
    </w:p>
    <w:p w:rsidR="009846C5" w:rsidRPr="007D5748" w:rsidRDefault="009846C5" w:rsidP="009846C5">
      <w:pPr>
        <w:spacing w:after="0" w:line="240" w:lineRule="auto"/>
      </w:pPr>
    </w:p>
    <w:p w:rsidR="009846C5" w:rsidRDefault="009846C5" w:rsidP="009846C5">
      <w:pPr>
        <w:spacing w:after="0" w:line="240" w:lineRule="auto"/>
        <w:jc w:val="both"/>
      </w:pPr>
      <w:r w:rsidRPr="000C22A5">
        <w:t>Návrh zákona v</w:t>
      </w:r>
      <w:r w:rsidR="00110821">
        <w:t> </w:t>
      </w:r>
      <w:r w:rsidRPr="000C22A5">
        <w:t>čl</w:t>
      </w:r>
      <w:r w:rsidR="00110821">
        <w:t>. I</w:t>
      </w:r>
      <w:r w:rsidRPr="000C22A5">
        <w:t xml:space="preserve"> </w:t>
      </w:r>
      <w:r>
        <w:t>vychádza z </w:t>
      </w:r>
      <w:r w:rsidRPr="006357AC">
        <w:rPr>
          <w:i/>
        </w:rPr>
        <w:t>Koncepcie rozvoja poľovníctva v Slovenskej republike – národný program rozvoja poľovníctva a zachovania genofondu voľne žijúcej zveri</w:t>
      </w:r>
      <w:r>
        <w:t xml:space="preserve">, schválenej </w:t>
      </w:r>
      <w:r w:rsidRPr="006357AC">
        <w:t xml:space="preserve">vládou Slovenskej republiky </w:t>
      </w:r>
      <w:r>
        <w:t xml:space="preserve">uznesením vlády č. 548 z 29. novembra 2017 a zároveň </w:t>
      </w:r>
      <w:r w:rsidRPr="000C22A5">
        <w:t>reaguje na poznatky z aplik</w:t>
      </w:r>
      <w:r>
        <w:t>ácie</w:t>
      </w:r>
      <w:r w:rsidRPr="000C22A5">
        <w:t xml:space="preserve"> </w:t>
      </w:r>
      <w:r>
        <w:t>súčasného zákona č. 274/2009 Z. z. o poľovníctve a o zmene a doplnení niektorých zákonov v znení neskorších predpisov.</w:t>
      </w:r>
    </w:p>
    <w:p w:rsidR="009846C5" w:rsidRDefault="009846C5" w:rsidP="009846C5">
      <w:pPr>
        <w:spacing w:after="0" w:line="240" w:lineRule="auto"/>
        <w:jc w:val="both"/>
      </w:pPr>
      <w:r w:rsidRPr="000C22A5">
        <w:t>Predkladaný návrh zákona spresňuje niektoré pojmy</w:t>
      </w:r>
      <w:r>
        <w:t>, konania</w:t>
      </w:r>
      <w:r w:rsidRPr="000C22A5">
        <w:t xml:space="preserve"> a postupy a odstraňuje nejasnosti </w:t>
      </w:r>
      <w:r>
        <w:t xml:space="preserve">identifikované </w:t>
      </w:r>
      <w:r w:rsidRPr="000C22A5">
        <w:t xml:space="preserve">pri aplikácii </w:t>
      </w:r>
      <w:r>
        <w:t>súčasného zákona o poľovníctve.</w:t>
      </w:r>
      <w:r w:rsidRPr="000C22A5">
        <w:t xml:space="preserve"> Okrem iného </w:t>
      </w:r>
      <w:r>
        <w:t>zavádza nový systém registrácie užívateľa poľovného revíru, ktorý má nahradiť súčasné evidovanie zmluvy o užívaní poľovného revíru. Zákon zavádza viacero registrov, ktoré budú vedené prostredníctvom informačného systému poľovníctva a budú verejne prístupné. Zákon obsahuje viaceré ustanovenia, ktorých cieľom je úprava stavov raticovej zveri, ktorá v súčasnosti spôsobuje vzhľadom na svoju početnosť značné škody v poľnohospodárstve a aj na lesných porastoch.</w:t>
      </w:r>
    </w:p>
    <w:p w:rsidR="009846C5" w:rsidRDefault="009846C5" w:rsidP="009846C5">
      <w:pPr>
        <w:spacing w:after="0" w:line="240" w:lineRule="auto"/>
        <w:jc w:val="both"/>
      </w:pPr>
    </w:p>
    <w:p w:rsidR="009846C5" w:rsidRDefault="009846C5" w:rsidP="009846C5">
      <w:pPr>
        <w:spacing w:after="0" w:line="240" w:lineRule="auto"/>
        <w:jc w:val="both"/>
      </w:pPr>
      <w:r>
        <w:t xml:space="preserve">Aplikáciu návrhu zákona zabezpečia najmä orgány štátnej správy poľovníctva, užívatelia poľovných revírov, užívatelia poľovných pozemkoch a ďalší. </w:t>
      </w:r>
    </w:p>
    <w:p w:rsidR="009846C5" w:rsidRPr="007D5748" w:rsidRDefault="009846C5" w:rsidP="009846C5">
      <w:pPr>
        <w:spacing w:after="0" w:line="240" w:lineRule="auto"/>
      </w:pPr>
    </w:p>
    <w:p w:rsidR="009846C5" w:rsidRPr="000F109D" w:rsidRDefault="009846C5" w:rsidP="009846C5">
      <w:pPr>
        <w:spacing w:after="0" w:line="240" w:lineRule="auto"/>
        <w:rPr>
          <w:b/>
          <w:bCs/>
        </w:rPr>
      </w:pPr>
      <w:r w:rsidRPr="007D5748">
        <w:rPr>
          <w:b/>
          <w:bCs/>
        </w:rPr>
        <w:t>2.2.2. Charakteristika návrhu:</w:t>
      </w:r>
    </w:p>
    <w:p w:rsidR="009846C5" w:rsidRPr="007D5748" w:rsidRDefault="009846C5" w:rsidP="009846C5">
      <w:pPr>
        <w:spacing w:after="0" w:line="240" w:lineRule="auto"/>
      </w:pPr>
      <w:r>
        <w:rPr>
          <w:b/>
          <w:bdr w:val="single" w:sz="4" w:space="0" w:color="auto"/>
        </w:rPr>
        <w:t xml:space="preserve"> </w:t>
      </w:r>
      <w:r w:rsidRPr="00963DE5">
        <w:rPr>
          <w:bdr w:val="single" w:sz="4" w:space="0" w:color="auto"/>
        </w:rPr>
        <w:t>X</w:t>
      </w:r>
      <w:r w:rsidRPr="007D5748">
        <w:rPr>
          <w:b/>
          <w:bdr w:val="single" w:sz="4" w:space="0" w:color="auto"/>
        </w:rPr>
        <w:t xml:space="preserve"> </w:t>
      </w:r>
      <w:r w:rsidRPr="007D5748">
        <w:rPr>
          <w:b/>
        </w:rPr>
        <w:t xml:space="preserve">  </w:t>
      </w:r>
      <w:r w:rsidRPr="007D5748">
        <w:t>zmena sadzby</w:t>
      </w:r>
    </w:p>
    <w:p w:rsidR="009846C5" w:rsidRPr="007D5748" w:rsidRDefault="009846C5" w:rsidP="009846C5">
      <w:pPr>
        <w:spacing w:after="0" w:line="240" w:lineRule="auto"/>
      </w:pPr>
      <w:r w:rsidRPr="007D5748">
        <w:rPr>
          <w:bdr w:val="single" w:sz="4" w:space="0" w:color="auto"/>
        </w:rPr>
        <w:t xml:space="preserve">     </w:t>
      </w:r>
      <w:r w:rsidRPr="007D5748">
        <w:t xml:space="preserve">  zmena v nároku</w:t>
      </w:r>
    </w:p>
    <w:p w:rsidR="009846C5" w:rsidRPr="007D5748" w:rsidRDefault="009846C5" w:rsidP="009846C5">
      <w:pPr>
        <w:spacing w:after="0" w:line="240" w:lineRule="auto"/>
      </w:pPr>
      <w:r>
        <w:rPr>
          <w:bdr w:val="single" w:sz="4" w:space="0" w:color="auto"/>
        </w:rPr>
        <w:t xml:space="preserve">    </w:t>
      </w:r>
      <w:r w:rsidRPr="007D5748">
        <w:rPr>
          <w:bdr w:val="single" w:sz="4" w:space="0" w:color="auto"/>
        </w:rPr>
        <w:t xml:space="preserve"> </w:t>
      </w:r>
      <w:r w:rsidRPr="007D5748">
        <w:t xml:space="preserve">  nová služba alebo nariadenie (alebo ich zrušenie)</w:t>
      </w:r>
    </w:p>
    <w:p w:rsidR="009846C5" w:rsidRPr="007D5748" w:rsidRDefault="009846C5" w:rsidP="009846C5">
      <w:pPr>
        <w:spacing w:after="0" w:line="240" w:lineRule="auto"/>
      </w:pPr>
      <w:r w:rsidRPr="007D5748">
        <w:rPr>
          <w:bdr w:val="single" w:sz="4" w:space="0" w:color="auto"/>
        </w:rPr>
        <w:t xml:space="preserve">     </w:t>
      </w:r>
      <w:r w:rsidRPr="007D5748">
        <w:t xml:space="preserve">  kombinovaný návrh</w:t>
      </w:r>
    </w:p>
    <w:p w:rsidR="009846C5" w:rsidRPr="007D5748" w:rsidRDefault="009846C5" w:rsidP="009846C5">
      <w:pPr>
        <w:spacing w:after="0" w:line="240" w:lineRule="auto"/>
      </w:pPr>
      <w:r>
        <w:rPr>
          <w:bdr w:val="single" w:sz="4" w:space="0" w:color="auto"/>
        </w:rPr>
        <w:lastRenderedPageBreak/>
        <w:t xml:space="preserve">    </w:t>
      </w:r>
      <w:r w:rsidRPr="007D5748">
        <w:rPr>
          <w:bdr w:val="single" w:sz="4" w:space="0" w:color="auto"/>
        </w:rPr>
        <w:t xml:space="preserve"> </w:t>
      </w:r>
      <w:r w:rsidRPr="007D5748">
        <w:t xml:space="preserve">  iné </w:t>
      </w:r>
    </w:p>
    <w:p w:rsidR="009846C5" w:rsidRPr="007D5748" w:rsidRDefault="009846C5" w:rsidP="009846C5">
      <w:pPr>
        <w:spacing w:after="0" w:line="240" w:lineRule="auto"/>
      </w:pPr>
    </w:p>
    <w:p w:rsidR="009846C5" w:rsidRPr="007D5748" w:rsidRDefault="009846C5" w:rsidP="009846C5">
      <w:pPr>
        <w:spacing w:after="0" w:line="240" w:lineRule="auto"/>
      </w:pPr>
    </w:p>
    <w:p w:rsidR="009846C5" w:rsidRPr="007D5748" w:rsidRDefault="009846C5" w:rsidP="009846C5">
      <w:pPr>
        <w:spacing w:after="0" w:line="240" w:lineRule="auto"/>
      </w:pPr>
      <w:r w:rsidRPr="007D5748">
        <w:rPr>
          <w:b/>
          <w:bCs/>
        </w:rPr>
        <w:t>2.2.3. Predpoklady vývoja objemu aktivít:</w:t>
      </w:r>
    </w:p>
    <w:p w:rsidR="009846C5" w:rsidRPr="007D5748" w:rsidRDefault="009846C5" w:rsidP="009846C5">
      <w:pPr>
        <w:spacing w:after="0" w:line="240" w:lineRule="auto"/>
        <w:jc w:val="right"/>
        <w:rPr>
          <w:sz w:val="20"/>
          <w:szCs w:val="20"/>
        </w:rPr>
      </w:pPr>
      <w:r w:rsidRPr="007D5748">
        <w:rPr>
          <w:sz w:val="20"/>
          <w:szCs w:val="20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9846C5" w:rsidRPr="007D5748" w:rsidTr="005A26F2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Odhadované objemy</w:t>
            </w:r>
          </w:p>
        </w:tc>
      </w:tr>
      <w:tr w:rsidR="009846C5" w:rsidRPr="007D5748" w:rsidTr="005A26F2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6C5" w:rsidRPr="007D5748" w:rsidRDefault="009846C5" w:rsidP="00725E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B1935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6C5" w:rsidRPr="007D5748" w:rsidRDefault="009846C5" w:rsidP="00725E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B1935">
              <w:rPr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6C5" w:rsidRPr="007D5748" w:rsidRDefault="009846C5" w:rsidP="00725E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B1935">
              <w:rPr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46C5" w:rsidRPr="007D5748" w:rsidRDefault="009846C5" w:rsidP="00725E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B1935">
              <w:rPr>
                <w:b/>
                <w:bCs/>
              </w:rPr>
              <w:t>6</w:t>
            </w:r>
          </w:p>
        </w:tc>
      </w:tr>
      <w:tr w:rsidR="009846C5" w:rsidRPr="007D5748" w:rsidTr="005A26F2">
        <w:trPr>
          <w:trHeight w:val="70"/>
        </w:trPr>
        <w:tc>
          <w:tcPr>
            <w:tcW w:w="4530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846C5" w:rsidRPr="007D5748" w:rsidTr="005A26F2">
        <w:trPr>
          <w:trHeight w:val="70"/>
        </w:trPr>
        <w:tc>
          <w:tcPr>
            <w:tcW w:w="4530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D5748">
              <w:rPr>
                <w:color w:val="000000"/>
              </w:rPr>
              <w:t>Indikátor KLM</w:t>
            </w: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9846C5" w:rsidRPr="007D5748" w:rsidTr="005A26F2">
        <w:trPr>
          <w:trHeight w:val="70"/>
        </w:trPr>
        <w:tc>
          <w:tcPr>
            <w:tcW w:w="4530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D5748">
              <w:rPr>
                <w:color w:val="000000"/>
              </w:rPr>
              <w:t>Indikátor XYZ</w:t>
            </w: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9846C5" w:rsidRPr="007D5748" w:rsidRDefault="009846C5" w:rsidP="005A26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9846C5" w:rsidRDefault="009846C5" w:rsidP="009846C5">
      <w:pPr>
        <w:spacing w:after="0" w:line="240" w:lineRule="auto"/>
      </w:pPr>
    </w:p>
    <w:p w:rsidR="009846C5" w:rsidRPr="007D5748" w:rsidRDefault="009846C5" w:rsidP="009846C5">
      <w:pPr>
        <w:spacing w:after="0" w:line="240" w:lineRule="auto"/>
      </w:pPr>
    </w:p>
    <w:p w:rsidR="009846C5" w:rsidRPr="007D5748" w:rsidRDefault="009846C5" w:rsidP="009846C5">
      <w:pPr>
        <w:spacing w:after="0" w:line="240" w:lineRule="auto"/>
        <w:rPr>
          <w:b/>
          <w:bCs/>
        </w:rPr>
      </w:pPr>
      <w:r w:rsidRPr="007D5748">
        <w:rPr>
          <w:b/>
          <w:bCs/>
        </w:rPr>
        <w:t>2.2.4. Výpočty vplyvov na verejné financie</w:t>
      </w:r>
    </w:p>
    <w:p w:rsidR="009846C5" w:rsidRPr="007D5748" w:rsidRDefault="009846C5" w:rsidP="009846C5">
      <w:pPr>
        <w:spacing w:after="0" w:line="240" w:lineRule="auto"/>
      </w:pPr>
    </w:p>
    <w:p w:rsidR="002C4141" w:rsidRPr="002C4141" w:rsidRDefault="002C4141" w:rsidP="009846C5">
      <w:pPr>
        <w:tabs>
          <w:tab w:val="num" w:pos="1080"/>
        </w:tabs>
        <w:spacing w:after="0" w:line="240" w:lineRule="auto"/>
        <w:jc w:val="both"/>
        <w:rPr>
          <w:b/>
        </w:rPr>
      </w:pPr>
      <w:r w:rsidRPr="002C4141">
        <w:rPr>
          <w:b/>
        </w:rPr>
        <w:t>PRÍJMY:</w:t>
      </w:r>
    </w:p>
    <w:p w:rsidR="002C4141" w:rsidRPr="00943A02" w:rsidRDefault="00222A15" w:rsidP="009E01D2">
      <w:pPr>
        <w:pStyle w:val="Odsekzoznamu"/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 w:rsidRPr="00943A02">
        <w:rPr>
          <w:b/>
          <w:u w:val="single"/>
        </w:rPr>
        <w:t>Za kapitolu MV SR</w:t>
      </w:r>
    </w:p>
    <w:p w:rsidR="00854CA9" w:rsidRDefault="00854CA9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2C4141" w:rsidRPr="002C4141" w:rsidRDefault="002C4141" w:rsidP="009E01D2">
      <w:pPr>
        <w:pStyle w:val="Odsekzoznamu"/>
        <w:numPr>
          <w:ilvl w:val="0"/>
          <w:numId w:val="12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 w:rsidRPr="002C4141">
        <w:rPr>
          <w:b/>
          <w:u w:val="single"/>
        </w:rPr>
        <w:t>Výpis z registra poľovníckych organizácií:</w:t>
      </w:r>
    </w:p>
    <w:p w:rsidR="009846C5" w:rsidRDefault="009846C5" w:rsidP="00C4758A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  <w:r w:rsidRPr="002C4141">
        <w:rPr>
          <w:bCs/>
        </w:rPr>
        <w:t>Odhadovaná zmena výšky príjmu rozpočtu kapitoly MPRV SR a kapitoly MV SR</w:t>
      </w:r>
      <w:r w:rsidR="00833FBE" w:rsidRPr="002C4141">
        <w:rPr>
          <w:bCs/>
          <w:color w:val="FF0000"/>
        </w:rPr>
        <w:t xml:space="preserve"> </w:t>
      </w:r>
      <w:r w:rsidRPr="002C4141">
        <w:rPr>
          <w:bCs/>
        </w:rPr>
        <w:t>vyplývajúca z presunu kompetencie vydávať výpisy z registra poľovníckych organizácií (súčasného centrálneho registra poľovníckych organizácií) z MPRV SR na miestne príslušný okresný úrad vychádza z priemerného počtu doteraz vydaných výpisov z centrálneho registra poľovníckych organizácií za rok, pričom zohľadňuje, že po integrácii registra poľovníckych organizácií do registra právnických osôb, ktorá prebehla v roku 2020, bude v ďalších rokoch počet žiado</w:t>
      </w:r>
      <w:r w:rsidR="009E01D2">
        <w:rPr>
          <w:bCs/>
        </w:rPr>
        <w:t>stí o vydanie výpisu klesať</w:t>
      </w:r>
      <w:r w:rsidR="00507B9A">
        <w:rPr>
          <w:bCs/>
        </w:rPr>
        <w:t>. Cena výpisu sú 3 eurá</w:t>
      </w:r>
      <w:r w:rsidR="009E01D2">
        <w:rPr>
          <w:bCs/>
        </w:rPr>
        <w:t xml:space="preserve"> (</w:t>
      </w:r>
      <w:r w:rsidRPr="002C4141">
        <w:rPr>
          <w:bCs/>
        </w:rPr>
        <w:t>odhad na r. 202</w:t>
      </w:r>
      <w:r w:rsidR="00725EA5">
        <w:rPr>
          <w:bCs/>
        </w:rPr>
        <w:t>3</w:t>
      </w:r>
      <w:r w:rsidRPr="002C4141">
        <w:rPr>
          <w:bCs/>
        </w:rPr>
        <w:t xml:space="preserve"> </w:t>
      </w:r>
      <w:r w:rsidR="001763B8">
        <w:rPr>
          <w:bCs/>
        </w:rPr>
        <w:t>je</w:t>
      </w:r>
      <w:r w:rsidR="001623B7">
        <w:rPr>
          <w:bCs/>
        </w:rPr>
        <w:t xml:space="preserve"> 3</w:t>
      </w:r>
      <w:r w:rsidRPr="002C4141">
        <w:rPr>
          <w:bCs/>
        </w:rPr>
        <w:t xml:space="preserve">0 výpisov, t. j. </w:t>
      </w:r>
      <w:r w:rsidR="001623B7">
        <w:rPr>
          <w:bCs/>
        </w:rPr>
        <w:t>3</w:t>
      </w:r>
      <w:r w:rsidR="009E01D2">
        <w:rPr>
          <w:bCs/>
        </w:rPr>
        <w:t>0</w:t>
      </w:r>
      <w:r w:rsidR="00725EA5">
        <w:rPr>
          <w:bCs/>
        </w:rPr>
        <w:t xml:space="preserve"> </w:t>
      </w:r>
      <w:r w:rsidR="001763B8">
        <w:rPr>
          <w:bCs/>
        </w:rPr>
        <w:t>x</w:t>
      </w:r>
      <w:r w:rsidR="00725EA5">
        <w:rPr>
          <w:bCs/>
        </w:rPr>
        <w:t xml:space="preserve"> </w:t>
      </w:r>
      <w:r w:rsidR="009E01D2">
        <w:rPr>
          <w:bCs/>
        </w:rPr>
        <w:t>3 eurá =</w:t>
      </w:r>
      <w:r w:rsidR="001623B7">
        <w:rPr>
          <w:bCs/>
        </w:rPr>
        <w:t>9</w:t>
      </w:r>
      <w:r w:rsidR="001F6649">
        <w:rPr>
          <w:bCs/>
        </w:rPr>
        <w:t>0 eur,</w:t>
      </w:r>
      <w:r w:rsidR="001F6649" w:rsidRPr="001F6649">
        <w:rPr>
          <w:bCs/>
        </w:rPr>
        <w:t xml:space="preserve"> </w:t>
      </w:r>
      <w:r w:rsidR="001F6649" w:rsidRPr="002C4141">
        <w:rPr>
          <w:bCs/>
        </w:rPr>
        <w:t>ďalšie roky 202</w:t>
      </w:r>
      <w:r w:rsidR="001F6649">
        <w:rPr>
          <w:bCs/>
        </w:rPr>
        <w:t>4</w:t>
      </w:r>
      <w:r w:rsidR="001F6649" w:rsidRPr="002C4141">
        <w:rPr>
          <w:bCs/>
        </w:rPr>
        <w:t xml:space="preserve"> – 202</w:t>
      </w:r>
      <w:r w:rsidR="001F6649">
        <w:rPr>
          <w:bCs/>
        </w:rPr>
        <w:t>6</w:t>
      </w:r>
      <w:r w:rsidR="001F6649" w:rsidRPr="002C4141">
        <w:rPr>
          <w:bCs/>
        </w:rPr>
        <w:t xml:space="preserve"> sa predpokladá</w:t>
      </w:r>
      <w:r w:rsidR="001F6649">
        <w:rPr>
          <w:bCs/>
        </w:rPr>
        <w:t xml:space="preserve"> 40 výpisov, t. j. 120 eur). Uvádzaný počet výpisov z registra a k tomu zodpovedajúca suma poplatkov sú údaje za rok v období rokov 2024 až 2026</w:t>
      </w:r>
      <w:r w:rsidRPr="002C4141">
        <w:rPr>
          <w:bCs/>
        </w:rPr>
        <w:t>.</w:t>
      </w:r>
    </w:p>
    <w:p w:rsidR="002C4141" w:rsidRDefault="002C4141" w:rsidP="002C4141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</w:p>
    <w:p w:rsidR="002C4141" w:rsidRDefault="002C4141" w:rsidP="009E01D2">
      <w:pPr>
        <w:pStyle w:val="Odsekzoznamu"/>
        <w:numPr>
          <w:ilvl w:val="0"/>
          <w:numId w:val="12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 w:rsidRPr="002C4141">
        <w:rPr>
          <w:b/>
          <w:u w:val="single"/>
        </w:rPr>
        <w:t>Poplatky za vydávanie poľovných lístkov:</w:t>
      </w:r>
    </w:p>
    <w:p w:rsidR="00A9684F" w:rsidRPr="00507B9A" w:rsidRDefault="000928A3" w:rsidP="00507B9A">
      <w:pPr>
        <w:pStyle w:val="adda"/>
        <w:numPr>
          <w:ilvl w:val="0"/>
          <w:numId w:val="0"/>
        </w:numPr>
        <w:spacing w:before="0" w:after="120"/>
        <w:ind w:left="720"/>
        <w:contextualSpacing/>
      </w:pPr>
      <w:r>
        <w:t>Ak sa presunie kompetencia vydávať poľovné lístky (PL) a predlžovať ich platnosť z SPK na okresné úrady, je potrebné v  zákone o poľovníctve</w:t>
      </w:r>
      <w:r w:rsidRPr="00357252">
        <w:t xml:space="preserve"> </w:t>
      </w:r>
      <w:r>
        <w:t>v čl. II, ktorým</w:t>
      </w:r>
      <w:r w:rsidR="00FB4672">
        <w:t xml:space="preserve"> sa</w:t>
      </w:r>
      <w:r>
        <w:t xml:space="preserve"> novelizuje zákon o správnych poplatkoch</w:t>
      </w:r>
      <w:r w:rsidR="00FB4672">
        <w:t>,</w:t>
      </w:r>
      <w:r>
        <w:t xml:space="preserve"> doplniť správny poplatok za vydanie jednotlivých druhov PL a za predlžovanie ich platnosti</w:t>
      </w:r>
      <w:r w:rsidRPr="00357252">
        <w:t xml:space="preserve"> </w:t>
      </w:r>
      <w:r>
        <w:t xml:space="preserve">a určiť jeho výšku. </w:t>
      </w:r>
    </w:p>
    <w:p w:rsidR="00A9684F" w:rsidRDefault="00A9684F" w:rsidP="00730208">
      <w:pPr>
        <w:pStyle w:val="adda"/>
        <w:numPr>
          <w:ilvl w:val="0"/>
          <w:numId w:val="0"/>
        </w:numPr>
        <w:spacing w:before="0" w:after="120" w:line="276" w:lineRule="auto"/>
        <w:ind w:left="360" w:hanging="360"/>
        <w:contextualSpacing/>
        <w:jc w:val="center"/>
        <w:rPr>
          <w:b/>
        </w:rPr>
      </w:pPr>
    </w:p>
    <w:p w:rsidR="00730208" w:rsidRPr="00F47304" w:rsidRDefault="00730208" w:rsidP="00F47304">
      <w:pPr>
        <w:pStyle w:val="adda"/>
        <w:numPr>
          <w:ilvl w:val="0"/>
          <w:numId w:val="0"/>
        </w:numPr>
        <w:spacing w:before="0" w:after="120" w:line="276" w:lineRule="auto"/>
        <w:ind w:left="360" w:hanging="360"/>
        <w:contextualSpacing/>
        <w:jc w:val="center"/>
        <w:rPr>
          <w:b/>
        </w:rPr>
      </w:pPr>
      <w:r w:rsidRPr="00F47304">
        <w:rPr>
          <w:b/>
        </w:rPr>
        <w:t>Poľovné lístky – nové správne poplatky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3090"/>
        <w:gridCol w:w="3091"/>
      </w:tblGrid>
      <w:tr w:rsidR="00730208" w:rsidRPr="00357252" w:rsidTr="001D48EB">
        <w:trPr>
          <w:trHeight w:val="211"/>
          <w:jc w:val="center"/>
        </w:trPr>
        <w:tc>
          <w:tcPr>
            <w:tcW w:w="1544" w:type="dxa"/>
            <w:vMerge w:val="restart"/>
            <w:vAlign w:val="center"/>
          </w:tcPr>
          <w:p w:rsidR="00730208" w:rsidRPr="00357252" w:rsidRDefault="00730208" w:rsidP="005A26F2">
            <w:pPr>
              <w:jc w:val="center"/>
              <w:rPr>
                <w:b/>
              </w:rPr>
            </w:pPr>
            <w:r w:rsidRPr="00357252">
              <w:rPr>
                <w:b/>
              </w:rPr>
              <w:t>platnosť PL</w:t>
            </w:r>
          </w:p>
        </w:tc>
        <w:tc>
          <w:tcPr>
            <w:tcW w:w="3090" w:type="dxa"/>
          </w:tcPr>
          <w:p w:rsidR="00730208" w:rsidRPr="00357252" w:rsidRDefault="00730208" w:rsidP="005A26F2">
            <w:pPr>
              <w:jc w:val="center"/>
              <w:rPr>
                <w:b/>
              </w:rPr>
            </w:pPr>
            <w:r w:rsidRPr="00357252">
              <w:rPr>
                <w:b/>
              </w:rPr>
              <w:t>občan SR a čl. štátu EÚ</w:t>
            </w:r>
          </w:p>
        </w:tc>
        <w:tc>
          <w:tcPr>
            <w:tcW w:w="3091" w:type="dxa"/>
          </w:tcPr>
          <w:p w:rsidR="00730208" w:rsidRPr="00357252" w:rsidRDefault="00730208" w:rsidP="005A26F2">
            <w:pPr>
              <w:jc w:val="center"/>
              <w:rPr>
                <w:b/>
              </w:rPr>
            </w:pPr>
            <w:r w:rsidRPr="00357252">
              <w:rPr>
                <w:b/>
              </w:rPr>
              <w:t>cudzinec z tretích krajín</w:t>
            </w:r>
          </w:p>
        </w:tc>
      </w:tr>
      <w:tr w:rsidR="00553081" w:rsidRPr="00357252" w:rsidTr="000A2A64">
        <w:trPr>
          <w:trHeight w:val="223"/>
          <w:jc w:val="center"/>
        </w:trPr>
        <w:tc>
          <w:tcPr>
            <w:tcW w:w="1544" w:type="dxa"/>
            <w:vMerge/>
          </w:tcPr>
          <w:p w:rsidR="00553081" w:rsidRPr="00357252" w:rsidRDefault="00553081" w:rsidP="005A26F2">
            <w:pPr>
              <w:jc w:val="center"/>
              <w:rPr>
                <w:b/>
              </w:rPr>
            </w:pPr>
          </w:p>
        </w:tc>
        <w:tc>
          <w:tcPr>
            <w:tcW w:w="3090" w:type="dxa"/>
          </w:tcPr>
          <w:p w:rsidR="00553081" w:rsidRPr="00357252" w:rsidRDefault="00553081" w:rsidP="005A26F2">
            <w:pPr>
              <w:jc w:val="center"/>
              <w:rPr>
                <w:b/>
              </w:rPr>
            </w:pPr>
            <w:r w:rsidRPr="00357252">
              <w:rPr>
                <w:b/>
              </w:rPr>
              <w:t>vydanie PL</w:t>
            </w:r>
          </w:p>
        </w:tc>
        <w:tc>
          <w:tcPr>
            <w:tcW w:w="3091" w:type="dxa"/>
          </w:tcPr>
          <w:p w:rsidR="00553081" w:rsidRPr="00357252" w:rsidRDefault="00553081" w:rsidP="00553081">
            <w:pPr>
              <w:jc w:val="center"/>
              <w:rPr>
                <w:b/>
              </w:rPr>
            </w:pPr>
            <w:r w:rsidRPr="00357252">
              <w:rPr>
                <w:b/>
              </w:rPr>
              <w:t>vydanie PL</w:t>
            </w:r>
          </w:p>
        </w:tc>
      </w:tr>
      <w:tr w:rsidR="00553081" w:rsidTr="00C66EC6">
        <w:trPr>
          <w:trHeight w:val="211"/>
          <w:jc w:val="center"/>
        </w:trPr>
        <w:tc>
          <w:tcPr>
            <w:tcW w:w="1544" w:type="dxa"/>
          </w:tcPr>
          <w:p w:rsidR="00553081" w:rsidRDefault="00553081" w:rsidP="005A26F2">
            <w:r>
              <w:t>týždeň</w:t>
            </w:r>
          </w:p>
        </w:tc>
        <w:tc>
          <w:tcPr>
            <w:tcW w:w="3090" w:type="dxa"/>
          </w:tcPr>
          <w:p w:rsidR="00553081" w:rsidRDefault="00553081" w:rsidP="005A26F2">
            <w:pPr>
              <w:jc w:val="center"/>
            </w:pPr>
            <w:r>
              <w:t>10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50</w:t>
            </w:r>
          </w:p>
        </w:tc>
      </w:tr>
      <w:tr w:rsidR="00553081" w:rsidTr="00AC545A">
        <w:trPr>
          <w:trHeight w:val="211"/>
          <w:jc w:val="center"/>
        </w:trPr>
        <w:tc>
          <w:tcPr>
            <w:tcW w:w="1544" w:type="dxa"/>
          </w:tcPr>
          <w:p w:rsidR="00553081" w:rsidRDefault="00553081" w:rsidP="005A26F2">
            <w:r>
              <w:t>mesiac</w:t>
            </w:r>
          </w:p>
        </w:tc>
        <w:tc>
          <w:tcPr>
            <w:tcW w:w="3090" w:type="dxa"/>
          </w:tcPr>
          <w:p w:rsidR="00553081" w:rsidRDefault="00553081" w:rsidP="005A26F2">
            <w:pPr>
              <w:jc w:val="center"/>
            </w:pPr>
            <w:r>
              <w:t>20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80</w:t>
            </w:r>
          </w:p>
        </w:tc>
      </w:tr>
      <w:tr w:rsidR="00553081" w:rsidTr="009A5FB1">
        <w:trPr>
          <w:trHeight w:val="211"/>
          <w:jc w:val="center"/>
        </w:trPr>
        <w:tc>
          <w:tcPr>
            <w:tcW w:w="1544" w:type="dxa"/>
          </w:tcPr>
          <w:p w:rsidR="00553081" w:rsidRDefault="00553081" w:rsidP="005A26F2">
            <w:r>
              <w:t>rok</w:t>
            </w:r>
          </w:p>
        </w:tc>
        <w:tc>
          <w:tcPr>
            <w:tcW w:w="3090" w:type="dxa"/>
          </w:tcPr>
          <w:p w:rsidR="00553081" w:rsidRDefault="00375638" w:rsidP="005A26F2">
            <w:pPr>
              <w:jc w:val="center"/>
            </w:pPr>
            <w:r>
              <w:t>30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120</w:t>
            </w:r>
          </w:p>
        </w:tc>
      </w:tr>
      <w:tr w:rsidR="00553081" w:rsidTr="0092264D">
        <w:trPr>
          <w:trHeight w:val="211"/>
          <w:jc w:val="center"/>
        </w:trPr>
        <w:tc>
          <w:tcPr>
            <w:tcW w:w="1544" w:type="dxa"/>
          </w:tcPr>
          <w:p w:rsidR="00553081" w:rsidRDefault="00553081" w:rsidP="005A26F2">
            <w:r>
              <w:t>päť rokov</w:t>
            </w:r>
          </w:p>
        </w:tc>
        <w:tc>
          <w:tcPr>
            <w:tcW w:w="3090" w:type="dxa"/>
          </w:tcPr>
          <w:p w:rsidR="00553081" w:rsidRDefault="00553081" w:rsidP="005A26F2">
            <w:pPr>
              <w:jc w:val="center"/>
            </w:pPr>
            <w:r>
              <w:t>40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x</w:t>
            </w:r>
          </w:p>
        </w:tc>
      </w:tr>
      <w:tr w:rsidR="00553081" w:rsidTr="00BB1F34">
        <w:trPr>
          <w:trHeight w:val="211"/>
          <w:jc w:val="center"/>
        </w:trPr>
        <w:tc>
          <w:tcPr>
            <w:tcW w:w="1544" w:type="dxa"/>
          </w:tcPr>
          <w:p w:rsidR="00553081" w:rsidRDefault="00553081" w:rsidP="005A26F2">
            <w:r>
              <w:t>desať rokov</w:t>
            </w:r>
          </w:p>
        </w:tc>
        <w:tc>
          <w:tcPr>
            <w:tcW w:w="3090" w:type="dxa"/>
          </w:tcPr>
          <w:p w:rsidR="00553081" w:rsidRDefault="00553081" w:rsidP="005A26F2">
            <w:pPr>
              <w:jc w:val="center"/>
            </w:pPr>
            <w:r>
              <w:t>80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x</w:t>
            </w:r>
          </w:p>
        </w:tc>
      </w:tr>
      <w:tr w:rsidR="00553081" w:rsidTr="001A0F43">
        <w:trPr>
          <w:trHeight w:val="436"/>
          <w:jc w:val="center"/>
        </w:trPr>
        <w:tc>
          <w:tcPr>
            <w:tcW w:w="1544" w:type="dxa"/>
          </w:tcPr>
          <w:p w:rsidR="00553081" w:rsidRDefault="00553081" w:rsidP="005A26F2">
            <w:r>
              <w:t>doba neurčitá</w:t>
            </w:r>
          </w:p>
        </w:tc>
        <w:tc>
          <w:tcPr>
            <w:tcW w:w="3090" w:type="dxa"/>
          </w:tcPr>
          <w:p w:rsidR="00553081" w:rsidRDefault="00553081" w:rsidP="005A26F2">
            <w:pPr>
              <w:jc w:val="center"/>
            </w:pPr>
            <w:r>
              <w:t>100</w:t>
            </w:r>
          </w:p>
        </w:tc>
        <w:tc>
          <w:tcPr>
            <w:tcW w:w="3091" w:type="dxa"/>
          </w:tcPr>
          <w:p w:rsidR="00553081" w:rsidRDefault="00553081" w:rsidP="005A26F2">
            <w:pPr>
              <w:jc w:val="center"/>
            </w:pPr>
            <w:r>
              <w:t>x</w:t>
            </w:r>
          </w:p>
        </w:tc>
      </w:tr>
    </w:tbl>
    <w:p w:rsidR="00730208" w:rsidRDefault="00730208" w:rsidP="000928A3">
      <w:pPr>
        <w:pStyle w:val="adda"/>
        <w:numPr>
          <w:ilvl w:val="0"/>
          <w:numId w:val="0"/>
        </w:numPr>
        <w:spacing w:before="0" w:after="120" w:line="276" w:lineRule="auto"/>
        <w:ind w:left="720"/>
        <w:contextualSpacing/>
      </w:pPr>
    </w:p>
    <w:p w:rsidR="00C4758A" w:rsidRPr="005435EC" w:rsidRDefault="00C4758A" w:rsidP="00C4758A">
      <w:pPr>
        <w:spacing w:after="120" w:line="240" w:lineRule="auto"/>
        <w:rPr>
          <w:b/>
        </w:rPr>
      </w:pPr>
      <w:r>
        <w:rPr>
          <w:b/>
        </w:rPr>
        <w:t>Údaje pre výpočet príjmov za vydávanie PL</w:t>
      </w:r>
      <w:r w:rsidRPr="005435EC">
        <w:rPr>
          <w:b/>
        </w:rPr>
        <w:t>:</w:t>
      </w:r>
    </w:p>
    <w:p w:rsidR="00C4758A" w:rsidRDefault="00C4758A" w:rsidP="00C4758A">
      <w:pPr>
        <w:spacing w:after="120" w:line="240" w:lineRule="auto"/>
      </w:pPr>
      <w:r>
        <w:t>Na Slovensku je okolo 63 tisíc držiteľov PL</w:t>
      </w:r>
    </w:p>
    <w:p w:rsidR="00C4758A" w:rsidRDefault="00C4758A" w:rsidP="00B2071E">
      <w:pPr>
        <w:pStyle w:val="Odsekzoznamu"/>
        <w:widowControl/>
        <w:numPr>
          <w:ilvl w:val="0"/>
          <w:numId w:val="14"/>
        </w:numPr>
        <w:autoSpaceDE/>
        <w:autoSpaceDN/>
        <w:adjustRightInd/>
        <w:spacing w:after="120" w:line="240" w:lineRule="auto"/>
        <w:jc w:val="both"/>
      </w:pPr>
      <w:r>
        <w:lastRenderedPageBreak/>
        <w:t>drvivá väčšina má teraz PL na päť rokov. Pravdepodobne každý z nich prejde na PL na dobu neurčitú (natrvalo). To znamená, že najbližších 5 rokov každý rok 1/5 z nich požiada o vydanie PL na dobu neurčitú (</w:t>
      </w:r>
      <w:r w:rsidRPr="00C4758A">
        <w:rPr>
          <w:u w:val="single"/>
        </w:rPr>
        <w:t>pôvodní držitelia PL</w:t>
      </w:r>
      <w:r>
        <w:t>: (63 000/5)</w:t>
      </w:r>
      <w:r w:rsidR="00725EA5">
        <w:t xml:space="preserve"> </w:t>
      </w:r>
      <w:r w:rsidR="00B2071E">
        <w:t>x</w:t>
      </w:r>
      <w:r w:rsidR="00725EA5">
        <w:t xml:space="preserve"> </w:t>
      </w:r>
      <w:r w:rsidR="00D11B26">
        <w:t>10</w:t>
      </w:r>
      <w:r>
        <w:t xml:space="preserve">0 eur sa predpokladá </w:t>
      </w:r>
      <w:r w:rsidR="00D11B26">
        <w:t>1 260</w:t>
      </w:r>
      <w:r>
        <w:t> 000 eur),</w:t>
      </w:r>
    </w:p>
    <w:p w:rsidR="00C4758A" w:rsidRDefault="00C4758A" w:rsidP="00B2071E">
      <w:pPr>
        <w:pStyle w:val="Odsekzoznamu"/>
        <w:widowControl/>
        <w:numPr>
          <w:ilvl w:val="0"/>
          <w:numId w:val="14"/>
        </w:numPr>
        <w:autoSpaceDE/>
        <w:autoSpaceDN/>
        <w:adjustRightInd/>
        <w:spacing w:after="120" w:line="240" w:lineRule="auto"/>
        <w:jc w:val="both"/>
      </w:pPr>
      <w:r>
        <w:t>ročne môžeme odhadnúť cca tisíc nových držiteľov PL, ktor</w:t>
      </w:r>
      <w:r w:rsidR="00B2071E">
        <w:t>í</w:t>
      </w:r>
      <w:r>
        <w:t xml:space="preserve"> budú </w:t>
      </w:r>
      <w:r w:rsidR="00B2071E">
        <w:t xml:space="preserve">tiež pravdepodobne </w:t>
      </w:r>
      <w:r>
        <w:t>žiadať PL na dobu neurčitú (</w:t>
      </w:r>
      <w:r w:rsidRPr="00C4758A">
        <w:rPr>
          <w:u w:val="single"/>
        </w:rPr>
        <w:t>noví držitelia PL</w:t>
      </w:r>
      <w:r>
        <w:t>: 1</w:t>
      </w:r>
      <w:r w:rsidR="00725EA5">
        <w:t> </w:t>
      </w:r>
      <w:r>
        <w:t>000</w:t>
      </w:r>
      <w:r w:rsidR="00725EA5">
        <w:t xml:space="preserve"> </w:t>
      </w:r>
      <w:r w:rsidR="00B2071E">
        <w:t>x</w:t>
      </w:r>
      <w:r w:rsidR="00725EA5">
        <w:t xml:space="preserve"> </w:t>
      </w:r>
      <w:r w:rsidR="00D11B26">
        <w:t>10</w:t>
      </w:r>
      <w:r>
        <w:t xml:space="preserve">0 eur je </w:t>
      </w:r>
      <w:r w:rsidR="00D11B26">
        <w:t>10</w:t>
      </w:r>
      <w:r>
        <w:t>0 000 eur),</w:t>
      </w:r>
    </w:p>
    <w:p w:rsidR="005442B5" w:rsidRPr="005442B5" w:rsidRDefault="005442B5" w:rsidP="00B2071E">
      <w:pPr>
        <w:pStyle w:val="Odsekzoznamu"/>
        <w:widowControl/>
        <w:numPr>
          <w:ilvl w:val="0"/>
          <w:numId w:val="14"/>
        </w:numPr>
        <w:autoSpaceDE/>
        <w:autoSpaceDN/>
        <w:adjustRightInd/>
        <w:spacing w:after="120" w:line="240" w:lineRule="auto"/>
        <w:jc w:val="both"/>
        <w:rPr>
          <w:u w:val="single"/>
        </w:rPr>
      </w:pPr>
      <w:r>
        <w:t>údaj</w:t>
      </w:r>
      <w:r w:rsidR="009C0D18">
        <w:t>mi k počtu</w:t>
      </w:r>
      <w:r>
        <w:t xml:space="preserve"> cudzinco</w:t>
      </w:r>
      <w:r w:rsidR="009C0D18">
        <w:t>v</w:t>
      </w:r>
      <w:r>
        <w:t xml:space="preserve"> </w:t>
      </w:r>
      <w:r w:rsidR="009C0D18">
        <w:t>disponujeme</w:t>
      </w:r>
      <w:r w:rsidR="00C4758A">
        <w:t xml:space="preserve"> za rok 2014, kedy bolo vydan</w:t>
      </w:r>
      <w:r>
        <w:t xml:space="preserve">ých 2 948 PL </w:t>
      </w:r>
      <w:r w:rsidRPr="005442B5">
        <w:rPr>
          <w:u w:val="single"/>
        </w:rPr>
        <w:t>pre občanov členských štátov EÚ</w:t>
      </w:r>
      <w:r w:rsidR="00182D67">
        <w:rPr>
          <w:u w:val="single"/>
        </w:rPr>
        <w:t xml:space="preserve"> </w:t>
      </w:r>
      <w:r w:rsidR="00182D67" w:rsidRPr="00182D67">
        <w:t>(predpokladáme, že sa im vydajú týždenné PL)</w:t>
      </w:r>
      <w:r w:rsidRPr="00182D67">
        <w:t xml:space="preserve"> </w:t>
      </w:r>
      <w:r w:rsidRPr="005442B5">
        <w:t>(2</w:t>
      </w:r>
      <w:r w:rsidR="00725EA5">
        <w:t> </w:t>
      </w:r>
      <w:r w:rsidRPr="005442B5">
        <w:t>948</w:t>
      </w:r>
      <w:r w:rsidR="00725EA5">
        <w:t xml:space="preserve"> </w:t>
      </w:r>
      <w:r w:rsidR="00B2071E">
        <w:t>x</w:t>
      </w:r>
      <w:r w:rsidR="00725EA5">
        <w:t xml:space="preserve"> </w:t>
      </w:r>
      <w:r w:rsidR="00182D67">
        <w:t>1</w:t>
      </w:r>
      <w:r w:rsidRPr="005442B5">
        <w:t xml:space="preserve">0 eur je </w:t>
      </w:r>
      <w:r w:rsidR="00182D67">
        <w:t>29 480</w:t>
      </w:r>
      <w:r w:rsidRPr="005442B5">
        <w:t xml:space="preserve"> eur),</w:t>
      </w:r>
    </w:p>
    <w:p w:rsidR="00C4758A" w:rsidRPr="005442B5" w:rsidRDefault="005442B5" w:rsidP="00B2071E">
      <w:pPr>
        <w:pStyle w:val="Odsekzoznamu"/>
        <w:widowControl/>
        <w:numPr>
          <w:ilvl w:val="0"/>
          <w:numId w:val="14"/>
        </w:numPr>
        <w:autoSpaceDE/>
        <w:autoSpaceDN/>
        <w:adjustRightInd/>
        <w:spacing w:after="120" w:line="240" w:lineRule="auto"/>
        <w:jc w:val="both"/>
        <w:rPr>
          <w:u w:val="single"/>
        </w:rPr>
      </w:pPr>
      <w:r>
        <w:t xml:space="preserve">pri výpočte výšky poplatkov pre </w:t>
      </w:r>
      <w:r w:rsidRPr="00D51428">
        <w:rPr>
          <w:u w:val="single"/>
        </w:rPr>
        <w:t>cudzincov z tretích krajín</w:t>
      </w:r>
      <w:r>
        <w:t xml:space="preserve"> sme vychádzali z dostupného údaja z</w:t>
      </w:r>
      <w:r w:rsidR="00315A69">
        <w:t> </w:t>
      </w:r>
      <w:r>
        <w:t>roku</w:t>
      </w:r>
      <w:r w:rsidR="00315A69">
        <w:t xml:space="preserve"> </w:t>
      </w:r>
      <w:r>
        <w:t xml:space="preserve">2014, kedy bolo vydaných </w:t>
      </w:r>
      <w:r w:rsidR="00C4758A">
        <w:t xml:space="preserve">68 PL </w:t>
      </w:r>
      <w:r>
        <w:t>cudzincom mimo krajín EÚ</w:t>
      </w:r>
      <w:r w:rsidR="00C4758A">
        <w:t xml:space="preserve"> (</w:t>
      </w:r>
      <w:r>
        <w:t>predpokladáme</w:t>
      </w:r>
      <w:r w:rsidR="00D51428">
        <w:t>, že sa im vydajú týždenné PL:</w:t>
      </w:r>
      <w:r>
        <w:t xml:space="preserve"> cca 68</w:t>
      </w:r>
      <w:r w:rsidR="00725EA5">
        <w:t xml:space="preserve"> </w:t>
      </w:r>
      <w:r w:rsidR="00B2071E">
        <w:t>x</w:t>
      </w:r>
      <w:r w:rsidR="00725EA5">
        <w:t xml:space="preserve"> </w:t>
      </w:r>
      <w:r>
        <w:t>5</w:t>
      </w:r>
      <w:r w:rsidR="00C4758A">
        <w:t xml:space="preserve">0 eur je </w:t>
      </w:r>
      <w:r>
        <w:t>3 400</w:t>
      </w:r>
      <w:r w:rsidR="00C4758A">
        <w:t xml:space="preserve"> eur).</w:t>
      </w:r>
    </w:p>
    <w:p w:rsidR="00C4758A" w:rsidRDefault="0023245E" w:rsidP="00B2071E">
      <w:pPr>
        <w:spacing w:after="120" w:line="240" w:lineRule="auto"/>
        <w:ind w:left="360"/>
        <w:jc w:val="both"/>
      </w:pPr>
      <w:r>
        <w:t xml:space="preserve">Pre rok 2023 sa predpokladá výška príjmov </w:t>
      </w:r>
      <w:r w:rsidRPr="00205395">
        <w:t xml:space="preserve">za vydávanie PL </w:t>
      </w:r>
      <w:r>
        <w:t>v objeme 696 440 eur, pre</w:t>
      </w:r>
      <w:r w:rsidR="005A26F2" w:rsidRPr="00205395">
        <w:t xml:space="preserve"> rok</w:t>
      </w:r>
      <w:r w:rsidR="006941DF" w:rsidRPr="00205395">
        <w:t>y</w:t>
      </w:r>
      <w:r w:rsidR="005A26F2" w:rsidRPr="00205395">
        <w:t xml:space="preserve"> 202</w:t>
      </w:r>
      <w:r>
        <w:t>4</w:t>
      </w:r>
      <w:r w:rsidR="006941DF" w:rsidRPr="00205395">
        <w:t xml:space="preserve"> -</w:t>
      </w:r>
      <w:r w:rsidR="00B66548" w:rsidRPr="00205395">
        <w:t xml:space="preserve"> </w:t>
      </w:r>
      <w:r w:rsidR="006941DF" w:rsidRPr="00205395">
        <w:t>202</w:t>
      </w:r>
      <w:r w:rsidR="00D11B26" w:rsidRPr="00205395">
        <w:t>6</w:t>
      </w:r>
      <w:r w:rsidR="005A26F2" w:rsidRPr="00205395">
        <w:t xml:space="preserve"> v objeme </w:t>
      </w:r>
      <w:r w:rsidR="00D11B26" w:rsidRPr="00205395">
        <w:t>1 392 880</w:t>
      </w:r>
      <w:r w:rsidR="005A26F2" w:rsidRPr="00205395">
        <w:t xml:space="preserve"> eur</w:t>
      </w:r>
      <w:r w:rsidR="006941DF" w:rsidRPr="00205395">
        <w:t xml:space="preserve"> ročne.</w:t>
      </w:r>
      <w:r w:rsidR="00D11B26">
        <w:t xml:space="preserve"> Pre úplnosť dodávame, že takýto príjem možno očakávať v prvých piatich rokoch od účinnosti zákona. Po ich uplynutí očakávame, že drvivá väčšina poľovníkov už bude mať poľovný lístok na dobu neurčitú (natrvalo) – príjem za vydávanie poľovných lístkov preto očakávame vo výške cca 132 880 eur ročne.</w:t>
      </w:r>
    </w:p>
    <w:p w:rsidR="00C4758A" w:rsidRPr="00965CD5" w:rsidRDefault="00C4758A" w:rsidP="00C4758A">
      <w:pPr>
        <w:spacing w:after="120" w:line="240" w:lineRule="auto"/>
        <w:jc w:val="both"/>
        <w:rPr>
          <w:i/>
          <w:iCs/>
        </w:rPr>
      </w:pPr>
      <w:r w:rsidRPr="00965CD5">
        <w:rPr>
          <w:i/>
          <w:iCs/>
        </w:rPr>
        <w:t>Pre informáciu uvádzame údaje zo SPK, kedy za rok 2017</w:t>
      </w:r>
      <w:r w:rsidR="00965CD5">
        <w:rPr>
          <w:i/>
          <w:iCs/>
        </w:rPr>
        <w:t xml:space="preserve"> bol</w:t>
      </w:r>
      <w:r w:rsidRPr="00965CD5">
        <w:rPr>
          <w:i/>
          <w:iCs/>
        </w:rPr>
        <w:t xml:space="preserve"> príjem z vydávania PL a predlžovania ich platnosti 510 570 eur, za 2018</w:t>
      </w:r>
      <w:r w:rsidR="009C0D18" w:rsidRPr="00965CD5">
        <w:rPr>
          <w:i/>
          <w:iCs/>
        </w:rPr>
        <w:t xml:space="preserve"> v objeme</w:t>
      </w:r>
      <w:r w:rsidRPr="00965CD5">
        <w:rPr>
          <w:i/>
          <w:iCs/>
        </w:rPr>
        <w:t xml:space="preserve"> 555 330 eur a za rok 2019 </w:t>
      </w:r>
      <w:r w:rsidR="009C0D18" w:rsidRPr="00965CD5">
        <w:rPr>
          <w:i/>
          <w:iCs/>
        </w:rPr>
        <w:t xml:space="preserve">vo výške </w:t>
      </w:r>
      <w:r w:rsidRPr="00965CD5">
        <w:rPr>
          <w:i/>
          <w:iCs/>
        </w:rPr>
        <w:t>398 850 eur.</w:t>
      </w:r>
    </w:p>
    <w:p w:rsidR="000928A3" w:rsidRDefault="000928A3" w:rsidP="000928A3">
      <w:pPr>
        <w:tabs>
          <w:tab w:val="num" w:pos="1080"/>
        </w:tabs>
        <w:spacing w:line="240" w:lineRule="auto"/>
        <w:jc w:val="both"/>
        <w:rPr>
          <w:b/>
          <w:u w:val="single"/>
        </w:rPr>
      </w:pPr>
    </w:p>
    <w:p w:rsidR="00CE59D7" w:rsidRPr="00CE59D7" w:rsidRDefault="00CE59D7" w:rsidP="009E01D2">
      <w:pPr>
        <w:pStyle w:val="Odsekzoznamu"/>
        <w:numPr>
          <w:ilvl w:val="0"/>
          <w:numId w:val="12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Úbytok príjmov z dôvodu zrušenia poplatkov za vydanie mimoriadneho povolenia lovu zveri:</w:t>
      </w:r>
    </w:p>
    <w:p w:rsidR="00CE59D7" w:rsidRDefault="00CE59D7" w:rsidP="009846C5">
      <w:pPr>
        <w:tabs>
          <w:tab w:val="num" w:pos="1080"/>
        </w:tabs>
        <w:spacing w:after="0" w:line="240" w:lineRule="auto"/>
        <w:jc w:val="both"/>
        <w:rPr>
          <w:b/>
          <w:u w:val="single"/>
        </w:rPr>
      </w:pPr>
    </w:p>
    <w:p w:rsidR="009846C5" w:rsidRDefault="009846C5" w:rsidP="009846C5">
      <w:pPr>
        <w:tabs>
          <w:tab w:val="num" w:pos="1080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Výpočet predpokladaného úbytku príjmu rozpočtu verejnej správy vychádza z priemerného počtu mimoriadnych povolení vydaných okresnými úradmi a Ministerstvom pôdohospodárstva a rozvoja vidieka Slovenskej republiky v rokoch 2018 až 2020: </w:t>
      </w:r>
    </w:p>
    <w:p w:rsidR="009846C5" w:rsidRDefault="009846C5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tbl>
      <w:tblPr>
        <w:tblStyle w:val="Mriekatabuky1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868"/>
        <w:gridCol w:w="15"/>
        <w:gridCol w:w="845"/>
        <w:gridCol w:w="965"/>
        <w:gridCol w:w="21"/>
        <w:gridCol w:w="839"/>
        <w:gridCol w:w="1124"/>
        <w:gridCol w:w="1129"/>
        <w:gridCol w:w="998"/>
      </w:tblGrid>
      <w:tr w:rsidR="009846C5" w:rsidRPr="002E52E5" w:rsidTr="00CC3756">
        <w:trPr>
          <w:trHeight w:val="266"/>
        </w:trPr>
        <w:tc>
          <w:tcPr>
            <w:tcW w:w="1980" w:type="dxa"/>
            <w:vMerge w:val="restart"/>
          </w:tcPr>
          <w:p w:rsidR="009846C5" w:rsidRPr="002E52E5" w:rsidRDefault="009846C5" w:rsidP="005A26F2">
            <w:pPr>
              <w:spacing w:after="160" w:line="259" w:lineRule="auto"/>
              <w:rPr>
                <w:b/>
                <w:bCs/>
              </w:rPr>
            </w:pPr>
            <w:r w:rsidRPr="002E52E5">
              <w:rPr>
                <w:b/>
                <w:bCs/>
              </w:rPr>
              <w:t>Počet mimoriadnych povolení</w:t>
            </w:r>
          </w:p>
        </w:tc>
        <w:tc>
          <w:tcPr>
            <w:tcW w:w="1592" w:type="dxa"/>
            <w:gridSpan w:val="3"/>
          </w:tcPr>
          <w:p w:rsidR="009846C5" w:rsidRPr="002E52E5" w:rsidRDefault="009846C5" w:rsidP="005A26F2">
            <w:pPr>
              <w:spacing w:after="160" w:line="259" w:lineRule="auto"/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2018</w:t>
            </w:r>
          </w:p>
        </w:tc>
        <w:tc>
          <w:tcPr>
            <w:tcW w:w="1831" w:type="dxa"/>
            <w:gridSpan w:val="3"/>
          </w:tcPr>
          <w:p w:rsidR="009846C5" w:rsidRPr="002E52E5" w:rsidRDefault="009846C5" w:rsidP="005A26F2">
            <w:pPr>
              <w:spacing w:after="160" w:line="259" w:lineRule="auto"/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2019</w:t>
            </w:r>
          </w:p>
        </w:tc>
        <w:tc>
          <w:tcPr>
            <w:tcW w:w="1963" w:type="dxa"/>
            <w:gridSpan w:val="2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2020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9846C5" w:rsidRPr="002E52E5" w:rsidRDefault="009846C5" w:rsidP="005A26F2">
            <w:pPr>
              <w:spacing w:after="160" w:line="259" w:lineRule="auto"/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priemer ročne</w:t>
            </w:r>
          </w:p>
        </w:tc>
      </w:tr>
      <w:tr w:rsidR="009846C5" w:rsidRPr="002E52E5" w:rsidTr="00CC3756">
        <w:trPr>
          <w:trHeight w:val="182"/>
        </w:trPr>
        <w:tc>
          <w:tcPr>
            <w:tcW w:w="1980" w:type="dxa"/>
            <w:vMerge/>
          </w:tcPr>
          <w:p w:rsidR="009846C5" w:rsidRPr="002E52E5" w:rsidRDefault="009846C5" w:rsidP="005A26F2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9846C5" w:rsidRPr="002E52E5" w:rsidRDefault="009846C5" w:rsidP="005A26F2">
            <w:pPr>
              <w:spacing w:after="160" w:line="259" w:lineRule="auto"/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O</w:t>
            </w:r>
            <w:r>
              <w:rPr>
                <w:b/>
                <w:bCs/>
              </w:rPr>
              <w:t>Ú</w:t>
            </w: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MPRV</w:t>
            </w:r>
            <w:r>
              <w:rPr>
                <w:b/>
                <w:bCs/>
              </w:rPr>
              <w:t xml:space="preserve"> </w:t>
            </w:r>
            <w:r w:rsidRPr="002E52E5">
              <w:rPr>
                <w:b/>
                <w:bCs/>
              </w:rPr>
              <w:t>SR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spacing w:after="160" w:line="259" w:lineRule="auto"/>
              <w:jc w:val="center"/>
              <w:rPr>
                <w:b/>
                <w:bCs/>
              </w:rPr>
            </w:pPr>
            <w:r w:rsidRPr="00FD3C39">
              <w:rPr>
                <w:b/>
                <w:bCs/>
              </w:rPr>
              <w:t>OÚ</w:t>
            </w: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MPRVSR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FD3C39">
              <w:rPr>
                <w:b/>
                <w:bCs/>
              </w:rPr>
              <w:t>OÚ</w:t>
            </w: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MPRV</w:t>
            </w:r>
            <w:r>
              <w:rPr>
                <w:b/>
                <w:bCs/>
              </w:rPr>
              <w:t xml:space="preserve"> </w:t>
            </w:r>
            <w:r w:rsidRPr="002E52E5">
              <w:rPr>
                <w:b/>
                <w:bCs/>
              </w:rPr>
              <w:t>SR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FD3C39">
              <w:rPr>
                <w:b/>
                <w:bCs/>
              </w:rPr>
              <w:t>OÚ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9846C5" w:rsidRPr="002E52E5" w:rsidRDefault="009846C5" w:rsidP="005A26F2">
            <w:pPr>
              <w:jc w:val="center"/>
              <w:rPr>
                <w:b/>
                <w:bCs/>
              </w:rPr>
            </w:pPr>
            <w:r w:rsidRPr="002E52E5">
              <w:rPr>
                <w:b/>
                <w:bCs/>
              </w:rPr>
              <w:t>MPRV</w:t>
            </w:r>
            <w:r>
              <w:rPr>
                <w:b/>
                <w:bCs/>
              </w:rPr>
              <w:t xml:space="preserve"> </w:t>
            </w:r>
            <w:r w:rsidRPr="002E52E5">
              <w:rPr>
                <w:b/>
                <w:bCs/>
              </w:rPr>
              <w:t>SR</w:t>
            </w: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980" w:type="dxa"/>
          </w:tcPr>
          <w:p w:rsidR="009846C5" w:rsidRPr="002E52E5" w:rsidRDefault="009846C5" w:rsidP="005A26F2">
            <w:r>
              <w:t>c</w:t>
            </w:r>
            <w:r w:rsidRPr="002E52E5">
              <w:t>horá a poranená zver</w:t>
            </w:r>
          </w:p>
        </w:tc>
        <w:tc>
          <w:tcPr>
            <w:tcW w:w="70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50</w:t>
            </w: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 54</w:t>
            </w: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 61</w:t>
            </w: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112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55</w:t>
            </w:r>
          </w:p>
        </w:tc>
        <w:tc>
          <w:tcPr>
            <w:tcW w:w="998" w:type="dxa"/>
          </w:tcPr>
          <w:p w:rsidR="009846C5" w:rsidRPr="002E52E5" w:rsidRDefault="009846C5" w:rsidP="005A26F2">
            <w:pPr>
              <w:jc w:val="right"/>
            </w:pP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980" w:type="dxa"/>
          </w:tcPr>
          <w:p w:rsidR="009846C5" w:rsidRPr="002E52E5" w:rsidRDefault="009846C5" w:rsidP="005A26F2">
            <w:r>
              <w:t>n</w:t>
            </w:r>
            <w:r w:rsidRPr="002E52E5">
              <w:t>epoľovné plochy</w:t>
            </w:r>
          </w:p>
        </w:tc>
        <w:tc>
          <w:tcPr>
            <w:tcW w:w="70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80</w:t>
            </w: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107</w:t>
            </w: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 91</w:t>
            </w: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112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 93</w:t>
            </w:r>
          </w:p>
        </w:tc>
        <w:tc>
          <w:tcPr>
            <w:tcW w:w="998" w:type="dxa"/>
          </w:tcPr>
          <w:p w:rsidR="009846C5" w:rsidRPr="002E52E5" w:rsidRDefault="009846C5" w:rsidP="005A26F2">
            <w:pPr>
              <w:jc w:val="right"/>
            </w:pP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980" w:type="dxa"/>
          </w:tcPr>
          <w:p w:rsidR="009846C5" w:rsidRPr="002E52E5" w:rsidRDefault="009846C5" w:rsidP="005A26F2">
            <w:r>
              <w:t>zníženie stavov zveri</w:t>
            </w:r>
          </w:p>
        </w:tc>
        <w:tc>
          <w:tcPr>
            <w:tcW w:w="70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333</w:t>
            </w: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435</w:t>
            </w: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 450</w:t>
            </w: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1129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406</w:t>
            </w:r>
          </w:p>
        </w:tc>
        <w:tc>
          <w:tcPr>
            <w:tcW w:w="998" w:type="dxa"/>
          </w:tcPr>
          <w:p w:rsidR="009846C5" w:rsidRPr="002E52E5" w:rsidRDefault="009846C5" w:rsidP="005A26F2">
            <w:pPr>
              <w:jc w:val="right"/>
            </w:pP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980" w:type="dxa"/>
          </w:tcPr>
          <w:p w:rsidR="009846C5" w:rsidRPr="002E52E5" w:rsidRDefault="009846C5" w:rsidP="005A26F2">
            <w:r>
              <w:t>l</w:t>
            </w:r>
            <w:r w:rsidRPr="002E52E5">
              <w:t>ov v čase ochrany</w:t>
            </w:r>
          </w:p>
        </w:tc>
        <w:tc>
          <w:tcPr>
            <w:tcW w:w="709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 34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70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40</w:t>
            </w:r>
          </w:p>
        </w:tc>
        <w:tc>
          <w:tcPr>
            <w:tcW w:w="1129" w:type="dxa"/>
          </w:tcPr>
          <w:p w:rsidR="009846C5" w:rsidRPr="002E52E5" w:rsidRDefault="009846C5" w:rsidP="005A26F2">
            <w:pPr>
              <w:jc w:val="right"/>
            </w:pPr>
          </w:p>
        </w:tc>
        <w:tc>
          <w:tcPr>
            <w:tcW w:w="998" w:type="dxa"/>
          </w:tcPr>
          <w:p w:rsidR="009846C5" w:rsidRPr="002E52E5" w:rsidRDefault="009846C5" w:rsidP="005A26F2">
            <w:pPr>
              <w:jc w:val="right"/>
            </w:pPr>
            <w:r w:rsidRPr="002E52E5">
              <w:t xml:space="preserve"> 48</w:t>
            </w:r>
          </w:p>
        </w:tc>
      </w:tr>
      <w:tr w:rsidR="009846C5" w:rsidRPr="002E52E5" w:rsidTr="00D579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980" w:type="dxa"/>
          </w:tcPr>
          <w:p w:rsidR="009846C5" w:rsidRPr="00D57939" w:rsidRDefault="009846C5" w:rsidP="005A26F2">
            <w:pPr>
              <w:rPr>
                <w:b/>
                <w:bCs/>
              </w:rPr>
            </w:pPr>
            <w:r w:rsidRPr="00D57939">
              <w:rPr>
                <w:b/>
                <w:bCs/>
              </w:rPr>
              <w:t>Spolu</w:t>
            </w:r>
          </w:p>
        </w:tc>
        <w:tc>
          <w:tcPr>
            <w:tcW w:w="709" w:type="dxa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 463</w:t>
            </w:r>
          </w:p>
        </w:tc>
        <w:tc>
          <w:tcPr>
            <w:tcW w:w="868" w:type="dxa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 34</w:t>
            </w:r>
          </w:p>
        </w:tc>
        <w:tc>
          <w:tcPr>
            <w:tcW w:w="860" w:type="dxa"/>
            <w:gridSpan w:val="2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  596</w:t>
            </w:r>
          </w:p>
        </w:tc>
        <w:tc>
          <w:tcPr>
            <w:tcW w:w="965" w:type="dxa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70</w:t>
            </w:r>
          </w:p>
        </w:tc>
        <w:tc>
          <w:tcPr>
            <w:tcW w:w="860" w:type="dxa"/>
            <w:gridSpan w:val="2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   602</w:t>
            </w:r>
          </w:p>
        </w:tc>
        <w:tc>
          <w:tcPr>
            <w:tcW w:w="1124" w:type="dxa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40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  554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9846C5" w:rsidRPr="00D57939" w:rsidRDefault="009846C5" w:rsidP="005A26F2">
            <w:pPr>
              <w:jc w:val="right"/>
              <w:rPr>
                <w:b/>
                <w:bCs/>
              </w:rPr>
            </w:pPr>
            <w:r w:rsidRPr="00D57939">
              <w:rPr>
                <w:b/>
                <w:bCs/>
              </w:rPr>
              <w:t xml:space="preserve"> 48</w:t>
            </w: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980" w:type="dxa"/>
          </w:tcPr>
          <w:p w:rsidR="009846C5" w:rsidRPr="002E52E5" w:rsidRDefault="009846C5" w:rsidP="005A26F2">
            <w:r w:rsidRPr="002E52E5">
              <w:t>Správny poplatok</w:t>
            </w:r>
          </w:p>
        </w:tc>
        <w:tc>
          <w:tcPr>
            <w:tcW w:w="7513" w:type="dxa"/>
            <w:gridSpan w:val="10"/>
            <w:vAlign w:val="center"/>
          </w:tcPr>
          <w:p w:rsidR="009846C5" w:rsidRPr="002E52E5" w:rsidRDefault="009846C5" w:rsidP="005A26F2">
            <w:pPr>
              <w:jc w:val="center"/>
            </w:pPr>
            <w:r w:rsidRPr="002E52E5">
              <w:t>20 €</w:t>
            </w:r>
            <w:r>
              <w:t xml:space="preserve"> </w:t>
            </w:r>
            <w:r w:rsidRPr="00FD3C39">
              <w:rPr>
                <w:sz w:val="20"/>
                <w:szCs w:val="20"/>
              </w:rPr>
              <w:t>(pozn</w:t>
            </w:r>
            <w:r>
              <w:rPr>
                <w:sz w:val="20"/>
                <w:szCs w:val="20"/>
              </w:rPr>
              <w:t>.</w:t>
            </w:r>
            <w:r w:rsidRPr="00FD3C39">
              <w:rPr>
                <w:sz w:val="20"/>
                <w:szCs w:val="20"/>
              </w:rPr>
              <w:t>: niektorí žiadatelia boli oslobodení od správneho poplatku)</w:t>
            </w:r>
          </w:p>
        </w:tc>
      </w:tr>
      <w:tr w:rsidR="009846C5" w:rsidRPr="002E52E5" w:rsidTr="00CC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980" w:type="dxa"/>
          </w:tcPr>
          <w:p w:rsidR="009846C5" w:rsidRPr="002E52E5" w:rsidRDefault="009846C5" w:rsidP="005A26F2">
            <w:pPr>
              <w:rPr>
                <w:b/>
              </w:rPr>
            </w:pPr>
            <w:r w:rsidRPr="002E52E5">
              <w:rPr>
                <w:b/>
              </w:rPr>
              <w:t>Úbytok v</w:t>
            </w:r>
            <w:r>
              <w:rPr>
                <w:b/>
              </w:rPr>
              <w:t> </w:t>
            </w:r>
            <w:r w:rsidRPr="002E52E5">
              <w:rPr>
                <w:b/>
              </w:rPr>
              <w:t>eurách</w:t>
            </w:r>
          </w:p>
        </w:tc>
        <w:tc>
          <w:tcPr>
            <w:tcW w:w="709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2E52E5">
              <w:rPr>
                <w:b/>
              </w:rPr>
              <w:t>174</w:t>
            </w:r>
          </w:p>
        </w:tc>
        <w:tc>
          <w:tcPr>
            <w:tcW w:w="868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680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2E52E5">
              <w:rPr>
                <w:b/>
              </w:rPr>
              <w:t>000</w:t>
            </w:r>
          </w:p>
        </w:tc>
        <w:tc>
          <w:tcPr>
            <w:tcW w:w="965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2E52E5">
              <w:rPr>
                <w:b/>
              </w:rPr>
              <w:t>40</w:t>
            </w:r>
            <w:r>
              <w:rPr>
                <w:b/>
              </w:rPr>
              <w:t>0</w:t>
            </w:r>
          </w:p>
        </w:tc>
        <w:tc>
          <w:tcPr>
            <w:tcW w:w="860" w:type="dxa"/>
            <w:gridSpan w:val="2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2E52E5">
              <w:rPr>
                <w:b/>
              </w:rPr>
              <w:t>786</w:t>
            </w:r>
          </w:p>
        </w:tc>
        <w:tc>
          <w:tcPr>
            <w:tcW w:w="1124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680</w:t>
            </w:r>
          </w:p>
        </w:tc>
        <w:tc>
          <w:tcPr>
            <w:tcW w:w="1129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 w:rsidRPr="002E52E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2E52E5">
              <w:rPr>
                <w:b/>
              </w:rPr>
              <w:t>320</w:t>
            </w:r>
          </w:p>
        </w:tc>
        <w:tc>
          <w:tcPr>
            <w:tcW w:w="998" w:type="dxa"/>
          </w:tcPr>
          <w:p w:rsidR="009846C5" w:rsidRPr="002E52E5" w:rsidRDefault="009846C5" w:rsidP="005A26F2">
            <w:pPr>
              <w:jc w:val="right"/>
              <w:rPr>
                <w:b/>
              </w:rPr>
            </w:pPr>
            <w:r>
              <w:rPr>
                <w:b/>
              </w:rPr>
              <w:t>92</w:t>
            </w:r>
            <w:r w:rsidRPr="002E52E5">
              <w:rPr>
                <w:b/>
              </w:rPr>
              <w:t>0</w:t>
            </w:r>
          </w:p>
        </w:tc>
      </w:tr>
    </w:tbl>
    <w:p w:rsidR="009846C5" w:rsidRDefault="009846C5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9846C5" w:rsidRDefault="009846C5" w:rsidP="009846C5">
      <w:pPr>
        <w:tabs>
          <w:tab w:val="num" w:pos="1080"/>
        </w:tabs>
        <w:spacing w:after="0" w:line="240" w:lineRule="auto"/>
        <w:jc w:val="both"/>
        <w:rPr>
          <w:bCs/>
        </w:rPr>
      </w:pPr>
      <w:r>
        <w:rPr>
          <w:bCs/>
        </w:rPr>
        <w:t>Nakoľko vydanie mimoriadneho povolenia lovu je vždy dôsledkom vzniknutej mimoriadnej situácie a počet takýchto mimoriadnych situácií sa vopred nedá určiť a v priebehu rokov sa môže výrazne líšiť, uvedené údaje sú len orientačné.</w:t>
      </w:r>
    </w:p>
    <w:p w:rsidR="009846C5" w:rsidRDefault="009846C5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D57939" w:rsidRPr="00943A02" w:rsidRDefault="00D57939" w:rsidP="009846C5">
      <w:pPr>
        <w:tabs>
          <w:tab w:val="num" w:pos="1080"/>
        </w:tabs>
        <w:spacing w:after="0" w:line="240" w:lineRule="auto"/>
        <w:jc w:val="both"/>
        <w:rPr>
          <w:b/>
        </w:rPr>
      </w:pPr>
      <w:r w:rsidRPr="00D57939">
        <w:rPr>
          <w:b/>
        </w:rPr>
        <w:lastRenderedPageBreak/>
        <w:t>Výpočet pre úbytok príjmov na roky 202</w:t>
      </w:r>
      <w:r w:rsidR="002F4075">
        <w:rPr>
          <w:b/>
        </w:rPr>
        <w:t>3</w:t>
      </w:r>
      <w:r w:rsidRPr="00D57939">
        <w:rPr>
          <w:b/>
        </w:rPr>
        <w:t xml:space="preserve"> – 202</w:t>
      </w:r>
      <w:r w:rsidR="002F4075">
        <w:rPr>
          <w:b/>
        </w:rPr>
        <w:t>6</w:t>
      </w:r>
      <w:r w:rsidR="00970CB6">
        <w:rPr>
          <w:b/>
        </w:rPr>
        <w:t xml:space="preserve"> </w:t>
      </w:r>
      <w:r w:rsidR="00943A02">
        <w:rPr>
          <w:bCs/>
        </w:rPr>
        <w:t>z</w:t>
      </w:r>
      <w:r>
        <w:rPr>
          <w:bCs/>
        </w:rPr>
        <w:t>a kapitolu MV SR:</w:t>
      </w:r>
      <w:r w:rsidR="00F125B8">
        <w:rPr>
          <w:bCs/>
        </w:rPr>
        <w:t xml:space="preserve"> pre rok 2023 sa predpokladá 277 povolení x 20 eur = - 5 540 eur, pre roky 2024 až 2026 sa predpokladá</w:t>
      </w:r>
      <w:r>
        <w:rPr>
          <w:bCs/>
        </w:rPr>
        <w:t xml:space="preserve"> 554 </w:t>
      </w:r>
      <w:r w:rsidR="00943A02">
        <w:rPr>
          <w:bCs/>
        </w:rPr>
        <w:t xml:space="preserve">povolení </w:t>
      </w:r>
      <w:r w:rsidR="00315A69">
        <w:rPr>
          <w:bCs/>
        </w:rPr>
        <w:t xml:space="preserve">x </w:t>
      </w:r>
      <w:r w:rsidR="00943A02">
        <w:rPr>
          <w:bCs/>
        </w:rPr>
        <w:t>20 eur = - 11 080 eur.</w:t>
      </w:r>
    </w:p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B0343F" w:rsidRDefault="00B0343F" w:rsidP="009846C5">
      <w:pPr>
        <w:tabs>
          <w:tab w:val="num" w:pos="1080"/>
        </w:tabs>
        <w:spacing w:after="0" w:line="240" w:lineRule="auto"/>
        <w:jc w:val="both"/>
        <w:rPr>
          <w:b/>
          <w:bCs/>
        </w:rPr>
      </w:pPr>
    </w:p>
    <w:p w:rsidR="00943A02" w:rsidRPr="00943A02" w:rsidRDefault="00943A02" w:rsidP="009846C5">
      <w:pPr>
        <w:tabs>
          <w:tab w:val="num" w:pos="1080"/>
        </w:tabs>
        <w:spacing w:after="0" w:line="240" w:lineRule="auto"/>
        <w:jc w:val="both"/>
        <w:rPr>
          <w:b/>
          <w:bCs/>
        </w:rPr>
      </w:pPr>
      <w:r w:rsidRPr="00943A02">
        <w:rPr>
          <w:b/>
          <w:bCs/>
        </w:rPr>
        <w:t>Celková výška príjmov za kapitolu MV SR:</w:t>
      </w:r>
    </w:p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3397"/>
        <w:gridCol w:w="1418"/>
        <w:gridCol w:w="1559"/>
      </w:tblGrid>
      <w:tr w:rsidR="00943A02" w:rsidTr="001B43E8">
        <w:trPr>
          <w:trHeight w:val="214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:rsidR="00943A02" w:rsidRPr="00943A02" w:rsidRDefault="00943A02" w:rsidP="009846C5">
            <w:pPr>
              <w:tabs>
                <w:tab w:val="num" w:pos="1080"/>
              </w:tabs>
              <w:jc w:val="both"/>
              <w:rPr>
                <w:b/>
                <w:bCs/>
              </w:rPr>
            </w:pPr>
            <w:r w:rsidRPr="00943A02">
              <w:rPr>
                <w:b/>
                <w:bCs/>
              </w:rPr>
              <w:t>Príjmy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3A02" w:rsidRPr="00943A02" w:rsidRDefault="00943A02" w:rsidP="002F4075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943A02">
              <w:rPr>
                <w:b/>
                <w:bCs/>
              </w:rPr>
              <w:t>202</w:t>
            </w:r>
            <w:r w:rsidR="002F4075"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43A02" w:rsidRPr="00943A02" w:rsidRDefault="00943A02" w:rsidP="002F4075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943A02">
              <w:rPr>
                <w:b/>
                <w:bCs/>
              </w:rPr>
              <w:t>202</w:t>
            </w:r>
            <w:r w:rsidR="002F4075">
              <w:rPr>
                <w:b/>
                <w:bCs/>
              </w:rPr>
              <w:t>4</w:t>
            </w:r>
            <w:r w:rsidRPr="00943A02">
              <w:rPr>
                <w:b/>
                <w:bCs/>
              </w:rPr>
              <w:t>-202</w:t>
            </w:r>
            <w:r w:rsidR="002F4075">
              <w:rPr>
                <w:b/>
                <w:bCs/>
              </w:rPr>
              <w:t>6</w:t>
            </w:r>
          </w:p>
        </w:tc>
      </w:tr>
      <w:tr w:rsidR="00943A02" w:rsidTr="001B43E8">
        <w:trPr>
          <w:trHeight w:val="214"/>
          <w:jc w:val="center"/>
        </w:trPr>
        <w:tc>
          <w:tcPr>
            <w:tcW w:w="3397" w:type="dxa"/>
          </w:tcPr>
          <w:p w:rsidR="00943A02" w:rsidRDefault="00943A02" w:rsidP="00943A02">
            <w:pPr>
              <w:tabs>
                <w:tab w:val="num" w:pos="1080"/>
              </w:tabs>
              <w:rPr>
                <w:bCs/>
              </w:rPr>
            </w:pPr>
            <w:r>
              <w:rPr>
                <w:bCs/>
              </w:rPr>
              <w:t>Výpis z registra poľovníckych organizácií</w:t>
            </w:r>
          </w:p>
        </w:tc>
        <w:tc>
          <w:tcPr>
            <w:tcW w:w="1418" w:type="dxa"/>
            <w:vAlign w:val="center"/>
          </w:tcPr>
          <w:p w:rsidR="00943A02" w:rsidRDefault="001623B7" w:rsidP="00970CB6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559" w:type="dxa"/>
            <w:vAlign w:val="center"/>
          </w:tcPr>
          <w:p w:rsidR="00943A02" w:rsidRDefault="00943A02" w:rsidP="00970CB6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</w:tr>
      <w:tr w:rsidR="00943A02" w:rsidTr="001B43E8">
        <w:trPr>
          <w:trHeight w:val="214"/>
          <w:jc w:val="center"/>
        </w:trPr>
        <w:tc>
          <w:tcPr>
            <w:tcW w:w="3397" w:type="dxa"/>
          </w:tcPr>
          <w:p w:rsidR="00943A02" w:rsidRDefault="00943A02" w:rsidP="00943A02">
            <w:pPr>
              <w:tabs>
                <w:tab w:val="num" w:pos="1080"/>
              </w:tabs>
              <w:rPr>
                <w:bCs/>
              </w:rPr>
            </w:pPr>
            <w:r>
              <w:rPr>
                <w:bCs/>
              </w:rPr>
              <w:t>Poplatky za vydávanie poľovných lístkov</w:t>
            </w:r>
          </w:p>
        </w:tc>
        <w:tc>
          <w:tcPr>
            <w:tcW w:w="1418" w:type="dxa"/>
            <w:vAlign w:val="center"/>
          </w:tcPr>
          <w:p w:rsidR="00943A02" w:rsidRDefault="001623B7" w:rsidP="00970CB6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696 440</w:t>
            </w:r>
          </w:p>
        </w:tc>
        <w:tc>
          <w:tcPr>
            <w:tcW w:w="1559" w:type="dxa"/>
            <w:vAlign w:val="center"/>
          </w:tcPr>
          <w:p w:rsidR="00943A02" w:rsidRDefault="002F4075" w:rsidP="00970CB6">
            <w:pPr>
              <w:tabs>
                <w:tab w:val="num" w:pos="1080"/>
              </w:tabs>
              <w:jc w:val="center"/>
              <w:rPr>
                <w:bCs/>
              </w:rPr>
            </w:pPr>
            <w:r w:rsidRPr="002F4075">
              <w:rPr>
                <w:bCs/>
              </w:rPr>
              <w:t>1 392 880</w:t>
            </w:r>
          </w:p>
        </w:tc>
      </w:tr>
      <w:tr w:rsidR="00943A02" w:rsidTr="001B43E8">
        <w:trPr>
          <w:trHeight w:val="214"/>
          <w:jc w:val="center"/>
        </w:trPr>
        <w:tc>
          <w:tcPr>
            <w:tcW w:w="3397" w:type="dxa"/>
            <w:vAlign w:val="center"/>
          </w:tcPr>
          <w:p w:rsidR="00943A02" w:rsidRDefault="00943A02" w:rsidP="008A5DE9">
            <w:pPr>
              <w:tabs>
                <w:tab w:val="num" w:pos="1080"/>
              </w:tabs>
              <w:rPr>
                <w:bCs/>
              </w:rPr>
            </w:pPr>
            <w:r>
              <w:rPr>
                <w:bCs/>
              </w:rPr>
              <w:t xml:space="preserve">Úbytok príjmov za zrušenie poplatkov </w:t>
            </w:r>
            <w:r w:rsidR="00970CB6">
              <w:rPr>
                <w:bCs/>
              </w:rPr>
              <w:t>z</w:t>
            </w:r>
            <w:r>
              <w:rPr>
                <w:bCs/>
              </w:rPr>
              <w:t>a</w:t>
            </w:r>
            <w:r w:rsidR="00970CB6">
              <w:rPr>
                <w:bCs/>
              </w:rPr>
              <w:t xml:space="preserve"> mimoriad</w:t>
            </w:r>
            <w:r w:rsidR="008A5DE9">
              <w:rPr>
                <w:bCs/>
              </w:rPr>
              <w:t xml:space="preserve">ne </w:t>
            </w:r>
            <w:r w:rsidR="00970CB6">
              <w:rPr>
                <w:bCs/>
              </w:rPr>
              <w:t>povolenie na</w:t>
            </w:r>
            <w:r>
              <w:rPr>
                <w:bCs/>
              </w:rPr>
              <w:t xml:space="preserve"> lov zveri</w:t>
            </w:r>
          </w:p>
        </w:tc>
        <w:tc>
          <w:tcPr>
            <w:tcW w:w="1418" w:type="dxa"/>
            <w:vAlign w:val="center"/>
          </w:tcPr>
          <w:p w:rsidR="00943A02" w:rsidRPr="00943A02" w:rsidRDefault="00943A02" w:rsidP="001623B7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  <w:r w:rsidR="001623B7">
              <w:rPr>
                <w:bCs/>
              </w:rPr>
              <w:t>5 540</w:t>
            </w:r>
          </w:p>
        </w:tc>
        <w:tc>
          <w:tcPr>
            <w:tcW w:w="1559" w:type="dxa"/>
            <w:vAlign w:val="center"/>
          </w:tcPr>
          <w:p w:rsidR="00943A02" w:rsidRPr="00943A02" w:rsidRDefault="00943A02" w:rsidP="00970CB6">
            <w:pPr>
              <w:tabs>
                <w:tab w:val="num" w:pos="1080"/>
              </w:tabs>
              <w:jc w:val="center"/>
              <w:rPr>
                <w:bCs/>
              </w:rPr>
            </w:pPr>
            <w:r w:rsidRPr="00943A0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943A02">
              <w:rPr>
                <w:bCs/>
              </w:rPr>
              <w:t>11 080</w:t>
            </w:r>
          </w:p>
        </w:tc>
      </w:tr>
      <w:tr w:rsidR="00943A02" w:rsidTr="001B43E8">
        <w:trPr>
          <w:trHeight w:val="214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:rsidR="00943A02" w:rsidRPr="00943A02" w:rsidRDefault="00943A02" w:rsidP="009846C5">
            <w:pPr>
              <w:tabs>
                <w:tab w:val="num" w:pos="1080"/>
              </w:tabs>
              <w:jc w:val="both"/>
              <w:rPr>
                <w:b/>
                <w:bCs/>
              </w:rPr>
            </w:pPr>
            <w:r w:rsidRPr="00943A02">
              <w:rPr>
                <w:b/>
                <w:bCs/>
              </w:rPr>
              <w:t>spolu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3A02" w:rsidRPr="00943A02" w:rsidRDefault="001623B7" w:rsidP="00943A02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690 990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43A02" w:rsidRPr="002F4075" w:rsidRDefault="002F4075" w:rsidP="002F4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</w:tr>
    </w:tbl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943A02" w:rsidRPr="00943A02" w:rsidRDefault="00943A02" w:rsidP="009E01D2">
      <w:pPr>
        <w:pStyle w:val="Odsekzoznamu"/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Za kapitolu MPRV SR</w:t>
      </w:r>
    </w:p>
    <w:p w:rsidR="00943A02" w:rsidRDefault="00943A0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9E01D2" w:rsidRPr="009E01D2" w:rsidRDefault="009E01D2" w:rsidP="009E01D2">
      <w:pPr>
        <w:pStyle w:val="Odsekzoznamu"/>
        <w:numPr>
          <w:ilvl w:val="0"/>
          <w:numId w:val="19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 w:rsidRPr="009E01D2">
        <w:rPr>
          <w:b/>
          <w:u w:val="single"/>
        </w:rPr>
        <w:t>Výpis z registra poľovníckych organizácií:</w:t>
      </w:r>
    </w:p>
    <w:p w:rsidR="00507B9A" w:rsidRDefault="00507B9A" w:rsidP="009E01D2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</w:p>
    <w:p w:rsidR="00507B9A" w:rsidRDefault="00507B9A" w:rsidP="009E01D2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  <w:r>
        <w:rPr>
          <w:bCs/>
        </w:rPr>
        <w:t>Vzhľad</w:t>
      </w:r>
      <w:r w:rsidR="008A5DE9">
        <w:rPr>
          <w:bCs/>
        </w:rPr>
        <w:t>om na skutočnosť, že kompetencia vydávať výpis</w:t>
      </w:r>
      <w:r>
        <w:rPr>
          <w:bCs/>
        </w:rPr>
        <w:t xml:space="preserve"> sa návrhom zákona presúva na okresné úrady, znížia sa príjmy kapitoly MPRV SR nasledovne (podľa bodu </w:t>
      </w:r>
      <w:proofErr w:type="spellStart"/>
      <w:r>
        <w:rPr>
          <w:bCs/>
        </w:rPr>
        <w:t>I.a</w:t>
      </w:r>
      <w:proofErr w:type="spellEnd"/>
      <w:r>
        <w:rPr>
          <w:bCs/>
        </w:rPr>
        <w:t>):</w:t>
      </w:r>
    </w:p>
    <w:p w:rsidR="001F6649" w:rsidRDefault="009E01D2" w:rsidP="001F6649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  <w:r w:rsidRPr="002C4141">
        <w:rPr>
          <w:bCs/>
        </w:rPr>
        <w:t>(odhad na r. 202</w:t>
      </w:r>
      <w:r w:rsidR="008A5DE9">
        <w:rPr>
          <w:bCs/>
        </w:rPr>
        <w:t>3</w:t>
      </w:r>
      <w:r w:rsidR="00023847">
        <w:rPr>
          <w:bCs/>
        </w:rPr>
        <w:t xml:space="preserve"> – 3</w:t>
      </w:r>
      <w:r w:rsidRPr="002C4141">
        <w:rPr>
          <w:bCs/>
        </w:rPr>
        <w:t xml:space="preserve">0 výpisov, t. j. </w:t>
      </w:r>
      <w:r w:rsidR="008D1CF6">
        <w:rPr>
          <w:bCs/>
        </w:rPr>
        <w:t xml:space="preserve"> - </w:t>
      </w:r>
      <w:r w:rsidR="00023847">
        <w:rPr>
          <w:bCs/>
        </w:rPr>
        <w:t>90</w:t>
      </w:r>
      <w:r w:rsidRPr="002C4141">
        <w:rPr>
          <w:bCs/>
        </w:rPr>
        <w:t xml:space="preserve"> eur, ďalšie roky 202</w:t>
      </w:r>
      <w:r w:rsidR="008A5DE9">
        <w:rPr>
          <w:bCs/>
        </w:rPr>
        <w:t>4</w:t>
      </w:r>
      <w:r w:rsidRPr="002C4141">
        <w:rPr>
          <w:bCs/>
        </w:rPr>
        <w:t xml:space="preserve"> – 202</w:t>
      </w:r>
      <w:r w:rsidR="008A5DE9">
        <w:rPr>
          <w:bCs/>
        </w:rPr>
        <w:t>6</w:t>
      </w:r>
      <w:r w:rsidRPr="002C4141">
        <w:rPr>
          <w:bCs/>
        </w:rPr>
        <w:t xml:space="preserve"> sa predpokladá 40 výpisov, t. j. </w:t>
      </w:r>
      <w:r w:rsidR="008D1CF6">
        <w:rPr>
          <w:bCs/>
        </w:rPr>
        <w:t xml:space="preserve">- </w:t>
      </w:r>
      <w:r w:rsidRPr="002C4141">
        <w:rPr>
          <w:bCs/>
        </w:rPr>
        <w:t>120 eur).</w:t>
      </w:r>
      <w:r w:rsidR="001F6649">
        <w:rPr>
          <w:bCs/>
        </w:rPr>
        <w:t xml:space="preserve"> Uvádzaný počet výpisov z registra a k tomu zodpovedajúca suma poplatkov sú údaje za rok v období rokov 2024 až 2026</w:t>
      </w:r>
      <w:r w:rsidR="001F6649" w:rsidRPr="002C4141">
        <w:rPr>
          <w:bCs/>
        </w:rPr>
        <w:t>.</w:t>
      </w:r>
    </w:p>
    <w:p w:rsidR="009E01D2" w:rsidRDefault="009E01D2" w:rsidP="009E01D2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</w:p>
    <w:p w:rsidR="00CA6F4C" w:rsidRDefault="00CA6F4C" w:rsidP="009E01D2">
      <w:pPr>
        <w:pStyle w:val="Odsekzoznamu"/>
        <w:tabs>
          <w:tab w:val="num" w:pos="1080"/>
        </w:tabs>
        <w:spacing w:line="240" w:lineRule="auto"/>
        <w:jc w:val="both"/>
        <w:rPr>
          <w:bCs/>
        </w:rPr>
      </w:pPr>
    </w:p>
    <w:p w:rsidR="00CA6F4C" w:rsidRDefault="00CA6F4C" w:rsidP="009846C5">
      <w:pPr>
        <w:pStyle w:val="Odsekzoznamu"/>
        <w:numPr>
          <w:ilvl w:val="0"/>
          <w:numId w:val="19"/>
        </w:numPr>
        <w:tabs>
          <w:tab w:val="num" w:pos="1080"/>
        </w:tabs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Úbytok príjmov z dôvodu zrušenia poplatkov za vydanie mimoriadneho povolenia lovu zveri:</w:t>
      </w:r>
    </w:p>
    <w:p w:rsidR="00D57939" w:rsidRPr="00CA6F4C" w:rsidRDefault="00A87E50" w:rsidP="00CA6F4C">
      <w:pPr>
        <w:pStyle w:val="Odsekzoznamu"/>
        <w:tabs>
          <w:tab w:val="num" w:pos="1080"/>
        </w:tabs>
        <w:spacing w:line="240" w:lineRule="auto"/>
        <w:jc w:val="both"/>
        <w:rPr>
          <w:b/>
          <w:u w:val="single"/>
        </w:rPr>
      </w:pPr>
      <w:r>
        <w:t xml:space="preserve">Podľa bodu </w:t>
      </w:r>
      <w:proofErr w:type="spellStart"/>
      <w:r>
        <w:t>I.c</w:t>
      </w:r>
      <w:proofErr w:type="spellEnd"/>
      <w:r>
        <w:t xml:space="preserve"> tabuľky sa p</w:t>
      </w:r>
      <w:r w:rsidR="00CA6F4C" w:rsidRPr="00CA6F4C">
        <w:t>redpokladá priemerný ročný počet mimoriadnych povolení</w:t>
      </w:r>
      <w:r w:rsidR="007C3CF9">
        <w:t xml:space="preserve"> pre rok 2023</w:t>
      </w:r>
      <w:r w:rsidR="00CA6F4C">
        <w:t>:</w:t>
      </w:r>
      <w:r w:rsidR="00CA6F4C" w:rsidRPr="00CA6F4C">
        <w:t xml:space="preserve"> </w:t>
      </w:r>
      <w:r w:rsidR="00713302">
        <w:rPr>
          <w:bCs/>
        </w:rPr>
        <w:t>24</w:t>
      </w:r>
      <w:r w:rsidR="00D57939" w:rsidRPr="00CA6F4C">
        <w:rPr>
          <w:bCs/>
        </w:rPr>
        <w:t xml:space="preserve"> povolení </w:t>
      </w:r>
      <w:r w:rsidR="00231AB2">
        <w:rPr>
          <w:bCs/>
        </w:rPr>
        <w:t>x</w:t>
      </w:r>
      <w:r w:rsidR="002F4075">
        <w:rPr>
          <w:bCs/>
        </w:rPr>
        <w:t xml:space="preserve"> </w:t>
      </w:r>
      <w:r w:rsidR="00713302">
        <w:rPr>
          <w:bCs/>
        </w:rPr>
        <w:t>20 eur = - 480 eur, pre roky 2024 – 2026: 48 povolení x 20 eur = 960 eur.</w:t>
      </w:r>
    </w:p>
    <w:p w:rsidR="00E64D72" w:rsidRDefault="00E64D7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A87E50" w:rsidRDefault="00A87E50" w:rsidP="00CA6F4C">
      <w:pPr>
        <w:tabs>
          <w:tab w:val="num" w:pos="1080"/>
        </w:tabs>
        <w:spacing w:after="0" w:line="240" w:lineRule="auto"/>
        <w:jc w:val="both"/>
        <w:rPr>
          <w:b/>
          <w:bCs/>
        </w:rPr>
      </w:pPr>
    </w:p>
    <w:p w:rsidR="00CA6F4C" w:rsidRPr="00943A02" w:rsidRDefault="00CA6F4C" w:rsidP="00CA6F4C">
      <w:pPr>
        <w:tabs>
          <w:tab w:val="num" w:pos="1080"/>
        </w:tabs>
        <w:spacing w:after="0" w:line="240" w:lineRule="auto"/>
        <w:jc w:val="both"/>
        <w:rPr>
          <w:b/>
          <w:bCs/>
        </w:rPr>
      </w:pPr>
      <w:r w:rsidRPr="00943A02">
        <w:rPr>
          <w:b/>
          <w:bCs/>
        </w:rPr>
        <w:t>Celk</w:t>
      </w:r>
      <w:r>
        <w:rPr>
          <w:b/>
          <w:bCs/>
        </w:rPr>
        <w:t xml:space="preserve">ová </w:t>
      </w:r>
      <w:r w:rsidR="001B43E8">
        <w:rPr>
          <w:b/>
          <w:bCs/>
        </w:rPr>
        <w:t xml:space="preserve">zmena </w:t>
      </w:r>
      <w:r>
        <w:rPr>
          <w:b/>
          <w:bCs/>
        </w:rPr>
        <w:t>výšk</w:t>
      </w:r>
      <w:r w:rsidR="001B43E8">
        <w:rPr>
          <w:b/>
          <w:bCs/>
        </w:rPr>
        <w:t>y</w:t>
      </w:r>
      <w:r>
        <w:rPr>
          <w:b/>
          <w:bCs/>
        </w:rPr>
        <w:t xml:space="preserve"> príjmov za kapitolu MPRV</w:t>
      </w:r>
      <w:r w:rsidRPr="00943A02">
        <w:rPr>
          <w:b/>
          <w:bCs/>
        </w:rPr>
        <w:t xml:space="preserve"> SR:</w:t>
      </w:r>
    </w:p>
    <w:p w:rsidR="00E64D72" w:rsidRDefault="00E64D72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3397"/>
        <w:gridCol w:w="1560"/>
        <w:gridCol w:w="1417"/>
      </w:tblGrid>
      <w:tr w:rsidR="00CA6F4C" w:rsidTr="001B43E8">
        <w:trPr>
          <w:trHeight w:val="214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:rsidR="00CA6F4C" w:rsidRPr="00943A02" w:rsidRDefault="00CA6F4C" w:rsidP="00A87E50">
            <w:pPr>
              <w:tabs>
                <w:tab w:val="num" w:pos="1080"/>
              </w:tabs>
              <w:jc w:val="both"/>
              <w:rPr>
                <w:b/>
                <w:bCs/>
              </w:rPr>
            </w:pPr>
            <w:r w:rsidRPr="00943A02">
              <w:rPr>
                <w:b/>
                <w:bCs/>
              </w:rPr>
              <w:t>Príjmy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A6F4C" w:rsidRPr="00943A02" w:rsidRDefault="00CA6F4C" w:rsidP="008A5DE9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943A02">
              <w:rPr>
                <w:b/>
                <w:bCs/>
              </w:rPr>
              <w:t>202</w:t>
            </w:r>
            <w:r w:rsidR="008A5DE9">
              <w:rPr>
                <w:b/>
                <w:bCs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A6F4C" w:rsidRPr="00943A02" w:rsidRDefault="00CA6F4C" w:rsidP="008A5DE9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 w:rsidRPr="00943A02">
              <w:rPr>
                <w:b/>
                <w:bCs/>
              </w:rPr>
              <w:t>202</w:t>
            </w:r>
            <w:r w:rsidR="008A5DE9">
              <w:rPr>
                <w:b/>
                <w:bCs/>
              </w:rPr>
              <w:t>4</w:t>
            </w:r>
            <w:r w:rsidRPr="00943A02">
              <w:rPr>
                <w:b/>
                <w:bCs/>
              </w:rPr>
              <w:t>-202</w:t>
            </w:r>
            <w:r w:rsidR="008A5DE9">
              <w:rPr>
                <w:b/>
                <w:bCs/>
              </w:rPr>
              <w:t>6</w:t>
            </w:r>
          </w:p>
        </w:tc>
      </w:tr>
      <w:tr w:rsidR="00CA6F4C" w:rsidTr="001B43E8">
        <w:trPr>
          <w:trHeight w:val="214"/>
          <w:jc w:val="center"/>
        </w:trPr>
        <w:tc>
          <w:tcPr>
            <w:tcW w:w="3397" w:type="dxa"/>
          </w:tcPr>
          <w:p w:rsidR="00CA6F4C" w:rsidRDefault="00CA6F4C" w:rsidP="00A87E50">
            <w:pPr>
              <w:tabs>
                <w:tab w:val="num" w:pos="1080"/>
              </w:tabs>
              <w:rPr>
                <w:bCs/>
              </w:rPr>
            </w:pPr>
            <w:r>
              <w:rPr>
                <w:bCs/>
              </w:rPr>
              <w:t>Výpis z registra poľovníckych organizácií</w:t>
            </w:r>
          </w:p>
        </w:tc>
        <w:tc>
          <w:tcPr>
            <w:tcW w:w="1560" w:type="dxa"/>
            <w:vAlign w:val="center"/>
          </w:tcPr>
          <w:p w:rsidR="00CA6F4C" w:rsidRDefault="008D1CF6" w:rsidP="001B43E8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713302">
              <w:rPr>
                <w:bCs/>
              </w:rPr>
              <w:t>90</w:t>
            </w:r>
          </w:p>
        </w:tc>
        <w:tc>
          <w:tcPr>
            <w:tcW w:w="1417" w:type="dxa"/>
            <w:vAlign w:val="center"/>
          </w:tcPr>
          <w:p w:rsidR="00CA6F4C" w:rsidRDefault="008D1CF6" w:rsidP="001B43E8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CA6F4C">
              <w:rPr>
                <w:bCs/>
              </w:rPr>
              <w:t>120</w:t>
            </w:r>
          </w:p>
        </w:tc>
      </w:tr>
      <w:tr w:rsidR="00CA6F4C" w:rsidTr="001B43E8">
        <w:trPr>
          <w:trHeight w:val="214"/>
          <w:jc w:val="center"/>
        </w:trPr>
        <w:tc>
          <w:tcPr>
            <w:tcW w:w="3397" w:type="dxa"/>
          </w:tcPr>
          <w:p w:rsidR="00CA6F4C" w:rsidRDefault="00CA6F4C" w:rsidP="002F4075">
            <w:pPr>
              <w:tabs>
                <w:tab w:val="num" w:pos="1080"/>
              </w:tabs>
              <w:rPr>
                <w:bCs/>
              </w:rPr>
            </w:pPr>
            <w:r>
              <w:rPr>
                <w:bCs/>
              </w:rPr>
              <w:t xml:space="preserve">Úbytok príjmov za zrušenie poplatkov </w:t>
            </w:r>
            <w:r w:rsidR="001B43E8">
              <w:rPr>
                <w:bCs/>
              </w:rPr>
              <w:t>z</w:t>
            </w:r>
            <w:r>
              <w:rPr>
                <w:bCs/>
              </w:rPr>
              <w:t xml:space="preserve">a </w:t>
            </w:r>
            <w:r w:rsidR="001B43E8">
              <w:rPr>
                <w:bCs/>
              </w:rPr>
              <w:t>mimoriad</w:t>
            </w:r>
            <w:r w:rsidR="002F4075">
              <w:rPr>
                <w:bCs/>
              </w:rPr>
              <w:t xml:space="preserve">ne </w:t>
            </w:r>
            <w:r w:rsidR="001B43E8">
              <w:rPr>
                <w:bCs/>
              </w:rPr>
              <w:t xml:space="preserve">povolenie na </w:t>
            </w:r>
            <w:r>
              <w:rPr>
                <w:bCs/>
              </w:rPr>
              <w:t>lov zveri</w:t>
            </w:r>
          </w:p>
        </w:tc>
        <w:tc>
          <w:tcPr>
            <w:tcW w:w="1560" w:type="dxa"/>
            <w:vAlign w:val="center"/>
          </w:tcPr>
          <w:p w:rsidR="00CA6F4C" w:rsidRDefault="00CA6F4C" w:rsidP="00713302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713302">
              <w:rPr>
                <w:bCs/>
              </w:rPr>
              <w:t>480</w:t>
            </w:r>
          </w:p>
        </w:tc>
        <w:tc>
          <w:tcPr>
            <w:tcW w:w="1417" w:type="dxa"/>
            <w:vAlign w:val="center"/>
          </w:tcPr>
          <w:p w:rsidR="00CA6F4C" w:rsidRDefault="00CA6F4C" w:rsidP="001B43E8">
            <w:pPr>
              <w:tabs>
                <w:tab w:val="num" w:pos="1080"/>
              </w:tabs>
              <w:jc w:val="center"/>
              <w:rPr>
                <w:bCs/>
              </w:rPr>
            </w:pPr>
            <w:r>
              <w:rPr>
                <w:bCs/>
              </w:rPr>
              <w:t>-960</w:t>
            </w:r>
          </w:p>
        </w:tc>
      </w:tr>
      <w:tr w:rsidR="00CA6F4C" w:rsidTr="001B43E8">
        <w:trPr>
          <w:trHeight w:val="214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:rsidR="00CA6F4C" w:rsidRPr="00943A02" w:rsidRDefault="00CA6F4C" w:rsidP="00A87E50">
            <w:pPr>
              <w:tabs>
                <w:tab w:val="num" w:pos="1080"/>
              </w:tabs>
              <w:jc w:val="both"/>
              <w:rPr>
                <w:b/>
                <w:bCs/>
              </w:rPr>
            </w:pPr>
            <w:r w:rsidRPr="00943A02">
              <w:rPr>
                <w:b/>
                <w:bCs/>
              </w:rPr>
              <w:t>spolu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A6F4C" w:rsidRPr="00943A02" w:rsidRDefault="00CA6F4C" w:rsidP="00A87E50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13302">
              <w:rPr>
                <w:b/>
                <w:bCs/>
              </w:rPr>
              <w:t>570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A6F4C" w:rsidRPr="00CA6F4C" w:rsidRDefault="00CA6F4C" w:rsidP="00CA6F4C">
            <w:pPr>
              <w:tabs>
                <w:tab w:val="num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8D1CF6">
              <w:rPr>
                <w:b/>
                <w:bCs/>
              </w:rPr>
              <w:t>1 080</w:t>
            </w:r>
          </w:p>
        </w:tc>
      </w:tr>
    </w:tbl>
    <w:p w:rsidR="00CA6F4C" w:rsidRDefault="00CA6F4C" w:rsidP="009846C5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FF758F" w:rsidRDefault="00FF758F" w:rsidP="0000494F">
      <w:pPr>
        <w:tabs>
          <w:tab w:val="num" w:pos="1080"/>
        </w:tabs>
        <w:spacing w:after="0" w:line="240" w:lineRule="auto"/>
        <w:jc w:val="both"/>
        <w:rPr>
          <w:b/>
        </w:rPr>
      </w:pPr>
    </w:p>
    <w:p w:rsidR="00FF758F" w:rsidRDefault="00FF758F" w:rsidP="0000494F">
      <w:pPr>
        <w:tabs>
          <w:tab w:val="num" w:pos="1080"/>
        </w:tabs>
        <w:spacing w:after="0" w:line="240" w:lineRule="auto"/>
        <w:jc w:val="both"/>
        <w:rPr>
          <w:b/>
        </w:rPr>
      </w:pPr>
    </w:p>
    <w:p w:rsidR="00FF758F" w:rsidRDefault="00FF758F" w:rsidP="0000494F">
      <w:pPr>
        <w:tabs>
          <w:tab w:val="num" w:pos="1080"/>
        </w:tabs>
        <w:spacing w:after="0" w:line="240" w:lineRule="auto"/>
        <w:jc w:val="both"/>
        <w:rPr>
          <w:b/>
        </w:rPr>
      </w:pPr>
    </w:p>
    <w:p w:rsidR="0000494F" w:rsidRPr="002E6771" w:rsidRDefault="0000494F" w:rsidP="0000494F">
      <w:pPr>
        <w:tabs>
          <w:tab w:val="num" w:pos="1080"/>
        </w:tabs>
        <w:spacing w:after="0" w:line="240" w:lineRule="auto"/>
        <w:jc w:val="both"/>
        <w:rPr>
          <w:b/>
        </w:rPr>
      </w:pPr>
      <w:r w:rsidRPr="002E6771">
        <w:rPr>
          <w:b/>
        </w:rPr>
        <w:lastRenderedPageBreak/>
        <w:t>VÝDAVKY</w:t>
      </w:r>
      <w:r>
        <w:rPr>
          <w:b/>
        </w:rPr>
        <w:t>:</w:t>
      </w:r>
    </w:p>
    <w:p w:rsidR="0000494F" w:rsidRDefault="0000494F" w:rsidP="0000494F">
      <w:pPr>
        <w:tabs>
          <w:tab w:val="num" w:pos="1080"/>
        </w:tabs>
        <w:spacing w:after="0" w:line="240" w:lineRule="auto"/>
        <w:jc w:val="both"/>
        <w:rPr>
          <w:bCs/>
        </w:rPr>
      </w:pPr>
    </w:p>
    <w:p w:rsidR="0000494F" w:rsidRDefault="0000494F" w:rsidP="0000494F">
      <w:pPr>
        <w:keepNext/>
        <w:spacing w:before="120" w:after="120" w:line="240" w:lineRule="auto"/>
        <w:ind w:firstLine="708"/>
        <w:jc w:val="both"/>
      </w:pPr>
      <w:r w:rsidRPr="0082623D">
        <w:t xml:space="preserve">Pri výpočte výdavkov súvisiacich s dobudovaním, resp. úpravou existujúceho informačného systému poľovníctva sa vychádzalo z toho, že väčšinu registrov a údajov, ktoré majú byť v registroch zapísané, je už obsiahnutých v informačnom systéme poľovníctva. Potrebné je dobudovať tieto registre (rozsah údajov, ktoré sú v jednotlivých registroch zapísané) podľa požiadaviek navrhovaného zákona a vytvoriť verejný prístup k týmto údajom v rozsahu stanovenom návrhom zákona. Výšku výdavkov odhadujeme na </w:t>
      </w:r>
      <w:r w:rsidRPr="00205395">
        <w:t>6 006 eur v prvom roku</w:t>
      </w:r>
      <w:r w:rsidRPr="0082623D">
        <w:t xml:space="preserve"> účinnosti zákona. Správcom informačného systému poľovníctva je Národné lesnícke centrum </w:t>
      </w:r>
      <w:r w:rsidRPr="00260E83">
        <w:t>(ďalej len „NLC“)</w:t>
      </w:r>
      <w:r>
        <w:t xml:space="preserve"> </w:t>
      </w:r>
      <w:r w:rsidRPr="0082623D">
        <w:t>a potrebné finančné prostriedky budú hradené z rozpočtu kapitoly MPRV SR.</w:t>
      </w:r>
    </w:p>
    <w:p w:rsidR="0000494F" w:rsidRDefault="0000494F" w:rsidP="0000494F">
      <w:pPr>
        <w:keepNext/>
        <w:spacing w:before="120" w:after="120" w:line="240" w:lineRule="auto"/>
        <w:ind w:firstLine="708"/>
        <w:jc w:val="both"/>
      </w:pPr>
      <w:r>
        <w:t>N</w:t>
      </w:r>
      <w:r w:rsidRPr="00260E83">
        <w:t xml:space="preserve">ávrh zákona </w:t>
      </w:r>
      <w:r>
        <w:t xml:space="preserve">zavádza, že v </w:t>
      </w:r>
      <w:r w:rsidRPr="00260E83">
        <w:t>konania</w:t>
      </w:r>
      <w:r>
        <w:t>ch</w:t>
      </w:r>
      <w:r w:rsidRPr="00260E83">
        <w:t xml:space="preserve"> veden</w:t>
      </w:r>
      <w:r>
        <w:t>ých</w:t>
      </w:r>
      <w:r w:rsidRPr="00260E83">
        <w:t xml:space="preserve"> na okresných úradoch </w:t>
      </w:r>
      <w:r>
        <w:t>budú</w:t>
      </w:r>
      <w:r w:rsidRPr="00260E83">
        <w:t xml:space="preserve"> ako zásadný prvok figurova</w:t>
      </w:r>
      <w:r>
        <w:t>ť</w:t>
      </w:r>
      <w:r w:rsidRPr="00260E83">
        <w:t xml:space="preserve"> odborné stanoviská N</w:t>
      </w:r>
      <w:r>
        <w:t>LC, ktoré budú pre okresný úrad záväzné</w:t>
      </w:r>
      <w:r w:rsidRPr="00260E83">
        <w:t>. Týka sa to konaní</w:t>
      </w:r>
      <w:r>
        <w:t xml:space="preserve">, na ktoré zákon vyžaduje rozhodnutie zhromaždenia vlastníkov poľovných pozemkov v poľovnom revíri (ide o konania </w:t>
      </w:r>
      <w:r w:rsidRPr="00260E83">
        <w:t>o uznaní alebo zmene hranice poľovného revíru a</w:t>
      </w:r>
      <w:r>
        <w:t xml:space="preserve"> rozhodovanie</w:t>
      </w:r>
      <w:r w:rsidRPr="00260E83">
        <w:t xml:space="preserve"> o budúcom užívaní poľovného revíru</w:t>
      </w:r>
      <w:r>
        <w:t>).</w:t>
      </w:r>
    </w:p>
    <w:p w:rsidR="0000494F" w:rsidRPr="00260E83" w:rsidRDefault="0000494F" w:rsidP="0000494F">
      <w:pPr>
        <w:keepNext/>
        <w:spacing w:before="120" w:after="120" w:line="240" w:lineRule="auto"/>
        <w:ind w:firstLine="708"/>
        <w:jc w:val="both"/>
      </w:pPr>
      <w:r w:rsidRPr="00260E83">
        <w:t xml:space="preserve">NLC </w:t>
      </w:r>
      <w:r>
        <w:t>v rámci tejto novej kompetencie bude</w:t>
      </w:r>
      <w:r w:rsidRPr="00260E83">
        <w:t xml:space="preserve"> zisťovať aktuálnu vlastnícku štruktúru poľovných </w:t>
      </w:r>
      <w:r>
        <w:t>pozemkov</w:t>
      </w:r>
      <w:r w:rsidRPr="00260E83">
        <w:t xml:space="preserve"> a aktuálnu výmeru poľovného revíru a na základe nej overovať, či bola dosiahnutá </w:t>
      </w:r>
      <w:r>
        <w:t xml:space="preserve">zákonom vyžadovaná </w:t>
      </w:r>
      <w:r w:rsidRPr="00260E83">
        <w:t xml:space="preserve">nadpolovičná väčšina pri rozhodovaní zhromaždenia vlastníkov poľovných pozemkov. </w:t>
      </w:r>
    </w:p>
    <w:p w:rsidR="0000494F" w:rsidRDefault="0000494F" w:rsidP="0000494F">
      <w:pPr>
        <w:keepNext/>
        <w:spacing w:before="120" w:after="120" w:line="240" w:lineRule="auto"/>
        <w:ind w:firstLine="709"/>
        <w:jc w:val="both"/>
      </w:pPr>
      <w:r>
        <w:t>B</w:t>
      </w:r>
      <w:r w:rsidRPr="00260E83">
        <w:t xml:space="preserve">oli identifikované podmienky, ktoré bude potrebné </w:t>
      </w:r>
      <w:r>
        <w:t>najskôr zrealizovať. Bude potrebné</w:t>
      </w:r>
      <w:r w:rsidRPr="009C0630">
        <w:t xml:space="preserve"> vyprac</w:t>
      </w:r>
      <w:r>
        <w:t>ovať metodiku</w:t>
      </w:r>
      <w:r w:rsidRPr="009C0630">
        <w:t xml:space="preserve"> spracovania vlastníckej štruktúry (výstupy, autorizácia, zverejňovanie – zadefinovať, ktoré údaje sú verejné, ochrana osobných údajov), popis procesu, spôsob aktualizácie a zápisu hraníc </w:t>
      </w:r>
      <w:r>
        <w:t>poľovných revírov</w:t>
      </w:r>
      <w:r w:rsidRPr="009C0630">
        <w:t xml:space="preserve"> a nepoľovných plôch – odhad</w:t>
      </w:r>
      <w:r>
        <w:t>ovaná potreba</w:t>
      </w:r>
      <w:r w:rsidRPr="009C0630">
        <w:t xml:space="preserve"> 15 000 eur.</w:t>
      </w:r>
      <w:r>
        <w:t xml:space="preserve"> Bude potrebné </w:t>
      </w:r>
      <w:r w:rsidRPr="00D604E3">
        <w:t xml:space="preserve">vytvoriť register nepoľovných plôch, </w:t>
      </w:r>
      <w:r>
        <w:t>čo</w:t>
      </w:r>
      <w:r w:rsidRPr="00D604E3">
        <w:t xml:space="preserve"> bude vyžadovať finančné zdroje </w:t>
      </w:r>
      <w:r>
        <w:t>cca</w:t>
      </w:r>
      <w:r w:rsidRPr="00D604E3">
        <w:t xml:space="preserve"> 15 000 eur.</w:t>
      </w:r>
      <w:r>
        <w:t xml:space="preserve"> Vstupné náklady by teda predstavovali </w:t>
      </w:r>
      <w:r w:rsidR="00636082">
        <w:t xml:space="preserve">36 006 </w:t>
      </w:r>
      <w:r w:rsidRPr="00205395">
        <w:t>eur v prvom roku</w:t>
      </w:r>
      <w:r>
        <w:t xml:space="preserve"> platnosti. Na samotné vyhotovenie analýzy vlastníckych vzťahov v poľovnom revíri a overenie dosiahnutia potrebnej nadpolovičnej väčšiny pri rozhodovaní vlastníko</w:t>
      </w:r>
      <w:r w:rsidR="00E208BC">
        <w:t>v NLC odhaduje potrebu cca 750</w:t>
      </w:r>
      <w:r>
        <w:t xml:space="preserve"> eur na 1 poľovný revír. </w:t>
      </w:r>
    </w:p>
    <w:p w:rsidR="0000494F" w:rsidRDefault="0000494F" w:rsidP="0000494F">
      <w:pPr>
        <w:keepNext/>
        <w:spacing w:before="120" w:after="120" w:line="240" w:lineRule="auto"/>
        <w:ind w:firstLine="709"/>
        <w:jc w:val="both"/>
      </w:pPr>
      <w:r>
        <w:t xml:space="preserve">Najčastejšie pôjde o konania súvisiace s rozhodovaním o užívaní poľovného revíru. Na Slovensku je podľa posledného údaja </w:t>
      </w:r>
      <w:r w:rsidRPr="00D604E3">
        <w:t xml:space="preserve">1882 </w:t>
      </w:r>
      <w:r>
        <w:t>poľovných revírov</w:t>
      </w:r>
      <w:r w:rsidRPr="00D604E3">
        <w:t xml:space="preserve">. </w:t>
      </w:r>
      <w:r>
        <w:t>V poľových revírov v </w:t>
      </w:r>
      <w:r w:rsidRPr="00D604E3">
        <w:t>jeleních</w:t>
      </w:r>
      <w:r>
        <w:t xml:space="preserve"> poľovných </w:t>
      </w:r>
      <w:r w:rsidRPr="00D604E3">
        <w:t>oblastiach</w:t>
      </w:r>
      <w:r>
        <w:t xml:space="preserve"> je</w:t>
      </w:r>
      <w:r w:rsidRPr="00D604E3">
        <w:t xml:space="preserve"> zmluva </w:t>
      </w:r>
      <w:r>
        <w:t xml:space="preserve">o užívaní poľovného revíru </w:t>
      </w:r>
      <w:r w:rsidRPr="00D604E3">
        <w:t>uzatvorená na 15 rokov</w:t>
      </w:r>
      <w:r>
        <w:t>. V poľovných revírov v srnčích poľovných oblastiach a poľovných oblastiach s chovom malej zveri je zmluva uzatvorené na 10 rokov. Priemerne by sa teda ročne po skončení platnosti existujúcich zmlúv rozhodovalo o budúcom užívaní v 157 poľovných revírov. Počet poľovných revírov však v jednotlivých rokoch výrazne kolíše – najmenej zmlúv o užívaní poľovných revírov bude končiť v roku 2027 (87 poľovných revírov) a najviac v roku 2029 (266 poľovných revírov).</w:t>
      </w:r>
    </w:p>
    <w:p w:rsidR="0000494F" w:rsidRDefault="0000494F" w:rsidP="0000494F">
      <w:pPr>
        <w:keepNext/>
        <w:spacing w:before="120" w:after="120" w:line="240" w:lineRule="auto"/>
        <w:ind w:firstLine="709"/>
        <w:jc w:val="both"/>
      </w:pPr>
      <w:r w:rsidRPr="00D604E3">
        <w:t xml:space="preserve">Pri </w:t>
      </w:r>
      <w:r>
        <w:t xml:space="preserve">odhadovanej minimálnej cene </w:t>
      </w:r>
      <w:r w:rsidRPr="00D604E3">
        <w:t xml:space="preserve">(750 eur na 1 </w:t>
      </w:r>
      <w:r>
        <w:t>poľovný revír</w:t>
      </w:r>
      <w:r w:rsidRPr="00D604E3">
        <w:t>) by suma, ktorú by malo MPRV SR každoročne poskytovať NLC</w:t>
      </w:r>
      <w:r>
        <w:t>,</w:t>
      </w:r>
      <w:r w:rsidRPr="00D604E3">
        <w:t xml:space="preserve"> </w:t>
      </w:r>
      <w:r>
        <w:t>bola</w:t>
      </w:r>
      <w:r w:rsidRPr="00D604E3">
        <w:t xml:space="preserve"> priemerne vo výške 117 750 eur</w:t>
      </w:r>
      <w:r>
        <w:t xml:space="preserve"> a pohybovala </w:t>
      </w:r>
      <w:r>
        <w:lastRenderedPageBreak/>
        <w:t>by sa od 65 250 eur (min. rok 2027) do 199 500 eur</w:t>
      </w:r>
      <w:r w:rsidRPr="00D604E3">
        <w:t>.</w:t>
      </w:r>
      <w:r w:rsidR="00E963C2" w:rsidRPr="00E963C2">
        <w:t xml:space="preserve"> </w:t>
      </w:r>
      <w:r w:rsidR="00E963C2" w:rsidRPr="00592F81">
        <w:t>Uvedené finančné prostriedky budú použité na osobné výdavky pre zamestnancov NLC.</w:t>
      </w:r>
    </w:p>
    <w:p w:rsidR="0000494F" w:rsidRDefault="0000494F" w:rsidP="0000494F">
      <w:pPr>
        <w:keepNext/>
        <w:spacing w:before="120" w:after="120" w:line="240" w:lineRule="auto"/>
        <w:ind w:firstLine="709"/>
        <w:jc w:val="both"/>
      </w:pPr>
    </w:p>
    <w:p w:rsidR="0000494F" w:rsidRDefault="0000494F" w:rsidP="0000494F">
      <w:pPr>
        <w:keepNext/>
        <w:spacing w:before="120" w:after="120" w:line="240" w:lineRule="auto"/>
        <w:ind w:firstLine="709"/>
        <w:jc w:val="both"/>
      </w:pPr>
      <w:r>
        <w:t>Prehľad o počte poľovných revíroch, ktorým končí zmluva o ich užívaní v rokoch 202</w:t>
      </w:r>
      <w:r w:rsidR="00B0343F">
        <w:t>3</w:t>
      </w:r>
      <w:r>
        <w:t xml:space="preserve"> – 202</w:t>
      </w:r>
      <w:r w:rsidR="00B0343F">
        <w:t>6</w:t>
      </w:r>
      <w:r>
        <w:t xml:space="preserve"> a potrebná suma pri cene 750 eur na 1 poľovný revír:</w:t>
      </w:r>
    </w:p>
    <w:tbl>
      <w:tblPr>
        <w:tblStyle w:val="Mriekatabuky"/>
        <w:tblW w:w="7503" w:type="dxa"/>
        <w:jc w:val="center"/>
        <w:tblLook w:val="04A0" w:firstRow="1" w:lastRow="0" w:firstColumn="1" w:lastColumn="0" w:noHBand="0" w:noVBand="1"/>
      </w:tblPr>
      <w:tblGrid>
        <w:gridCol w:w="3159"/>
        <w:gridCol w:w="996"/>
        <w:gridCol w:w="1116"/>
        <w:gridCol w:w="1116"/>
        <w:gridCol w:w="1116"/>
      </w:tblGrid>
      <w:tr w:rsidR="00B0343F" w:rsidTr="00866251">
        <w:trPr>
          <w:jc w:val="center"/>
        </w:trPr>
        <w:tc>
          <w:tcPr>
            <w:tcW w:w="3159" w:type="dxa"/>
          </w:tcPr>
          <w:p w:rsidR="00B0343F" w:rsidRPr="00F33C6C" w:rsidRDefault="00B0343F" w:rsidP="00B0343F">
            <w:pPr>
              <w:keepNext/>
              <w:jc w:val="both"/>
            </w:pPr>
            <w:r w:rsidRPr="00F33C6C">
              <w:t>Rok</w:t>
            </w:r>
          </w:p>
        </w:tc>
        <w:tc>
          <w:tcPr>
            <w:tcW w:w="996" w:type="dxa"/>
            <w:vAlign w:val="center"/>
          </w:tcPr>
          <w:p w:rsidR="00B0343F" w:rsidRDefault="00B0343F" w:rsidP="00B0343F">
            <w:pPr>
              <w:keepNext/>
              <w:jc w:val="center"/>
            </w:pPr>
            <w:r>
              <w:rPr>
                <w:b/>
                <w:bCs/>
              </w:rPr>
              <w:t>2023</w:t>
            </w:r>
          </w:p>
        </w:tc>
        <w:tc>
          <w:tcPr>
            <w:tcW w:w="1116" w:type="dxa"/>
            <w:vAlign w:val="center"/>
          </w:tcPr>
          <w:p w:rsidR="00B0343F" w:rsidRDefault="00B0343F" w:rsidP="00B0343F">
            <w:pPr>
              <w:keepNext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116" w:type="dxa"/>
            <w:vAlign w:val="center"/>
          </w:tcPr>
          <w:p w:rsidR="00B0343F" w:rsidRDefault="00B0343F" w:rsidP="00B0343F">
            <w:pPr>
              <w:keepNext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116" w:type="dxa"/>
            <w:vAlign w:val="center"/>
          </w:tcPr>
          <w:p w:rsidR="00B0343F" w:rsidRPr="00B0343F" w:rsidRDefault="00B0343F" w:rsidP="00B0343F">
            <w:pPr>
              <w:keepNext/>
              <w:jc w:val="center"/>
              <w:rPr>
                <w:b/>
              </w:rPr>
            </w:pPr>
            <w:r w:rsidRPr="00B0343F">
              <w:rPr>
                <w:b/>
              </w:rPr>
              <w:t>2026</w:t>
            </w:r>
          </w:p>
        </w:tc>
      </w:tr>
      <w:tr w:rsidR="00B0343F" w:rsidTr="00866251">
        <w:trPr>
          <w:jc w:val="center"/>
        </w:trPr>
        <w:tc>
          <w:tcPr>
            <w:tcW w:w="3159" w:type="dxa"/>
          </w:tcPr>
          <w:p w:rsidR="00B0343F" w:rsidRPr="00F33C6C" w:rsidRDefault="00B0343F" w:rsidP="00B0343F">
            <w:pPr>
              <w:keepNext/>
              <w:jc w:val="both"/>
            </w:pPr>
            <w:r w:rsidRPr="00F33C6C">
              <w:rPr>
                <w:bCs/>
              </w:rPr>
              <w:t>Počet PR, ktorým končí zmluva v roku:</w:t>
            </w:r>
          </w:p>
        </w:tc>
        <w:tc>
          <w:tcPr>
            <w:tcW w:w="996" w:type="dxa"/>
          </w:tcPr>
          <w:p w:rsidR="00B0343F" w:rsidRDefault="00F70951" w:rsidP="00B0343F">
            <w:pPr>
              <w:keepNext/>
              <w:jc w:val="right"/>
            </w:pPr>
            <w:r>
              <w:t>67,</w:t>
            </w:r>
            <w:r w:rsidR="00B0343F">
              <w:t>5</w:t>
            </w:r>
          </w:p>
        </w:tc>
        <w:tc>
          <w:tcPr>
            <w:tcW w:w="1116" w:type="dxa"/>
          </w:tcPr>
          <w:p w:rsidR="00B0343F" w:rsidRDefault="00B0343F" w:rsidP="00B0343F">
            <w:pPr>
              <w:keepNext/>
              <w:jc w:val="right"/>
            </w:pPr>
            <w:r>
              <w:t>152</w:t>
            </w:r>
          </w:p>
        </w:tc>
        <w:tc>
          <w:tcPr>
            <w:tcW w:w="1116" w:type="dxa"/>
          </w:tcPr>
          <w:p w:rsidR="00B0343F" w:rsidRDefault="00B0343F" w:rsidP="00B0343F">
            <w:pPr>
              <w:keepNext/>
              <w:jc w:val="right"/>
            </w:pPr>
            <w:r>
              <w:t>199</w:t>
            </w:r>
          </w:p>
        </w:tc>
        <w:tc>
          <w:tcPr>
            <w:tcW w:w="1116" w:type="dxa"/>
          </w:tcPr>
          <w:p w:rsidR="00B0343F" w:rsidRDefault="00B0343F" w:rsidP="00B0343F">
            <w:pPr>
              <w:keepNext/>
              <w:jc w:val="right"/>
            </w:pPr>
            <w:r>
              <w:t>129</w:t>
            </w:r>
          </w:p>
        </w:tc>
      </w:tr>
      <w:tr w:rsidR="00B0343F" w:rsidTr="00866251">
        <w:trPr>
          <w:jc w:val="center"/>
        </w:trPr>
        <w:tc>
          <w:tcPr>
            <w:tcW w:w="3159" w:type="dxa"/>
          </w:tcPr>
          <w:p w:rsidR="00B0343F" w:rsidRPr="00F33C6C" w:rsidRDefault="00B0343F" w:rsidP="00B0343F">
            <w:pPr>
              <w:keepNext/>
              <w:jc w:val="both"/>
              <w:rPr>
                <w:bCs/>
              </w:rPr>
            </w:pPr>
            <w:r w:rsidRPr="00F33C6C">
              <w:rPr>
                <w:bCs/>
              </w:rPr>
              <w:t>Suma pri cene 750 eur na 1 PR</w:t>
            </w:r>
          </w:p>
        </w:tc>
        <w:tc>
          <w:tcPr>
            <w:tcW w:w="996" w:type="dxa"/>
          </w:tcPr>
          <w:p w:rsidR="00B0343F" w:rsidRPr="00E963C2" w:rsidRDefault="00F70951" w:rsidP="00B0343F">
            <w:pPr>
              <w:keepNext/>
              <w:jc w:val="right"/>
            </w:pPr>
            <w:r>
              <w:t>50 625</w:t>
            </w:r>
          </w:p>
        </w:tc>
        <w:tc>
          <w:tcPr>
            <w:tcW w:w="1116" w:type="dxa"/>
          </w:tcPr>
          <w:p w:rsidR="00B0343F" w:rsidRPr="00E963C2" w:rsidRDefault="005B3F97" w:rsidP="00B0343F">
            <w:pPr>
              <w:keepNext/>
              <w:jc w:val="right"/>
            </w:pPr>
            <w:r w:rsidRPr="00E963C2">
              <w:t>114 000</w:t>
            </w:r>
          </w:p>
        </w:tc>
        <w:tc>
          <w:tcPr>
            <w:tcW w:w="1116" w:type="dxa"/>
          </w:tcPr>
          <w:p w:rsidR="00B0343F" w:rsidRPr="00E963C2" w:rsidRDefault="00B0343F" w:rsidP="005B3F97">
            <w:pPr>
              <w:keepNext/>
              <w:jc w:val="right"/>
            </w:pPr>
            <w:r w:rsidRPr="00E963C2">
              <w:t>14</w:t>
            </w:r>
            <w:r w:rsidR="005B3F97" w:rsidRPr="00E963C2">
              <w:t>9</w:t>
            </w:r>
            <w:r w:rsidRPr="00E963C2">
              <w:t xml:space="preserve"> </w:t>
            </w:r>
            <w:r w:rsidR="005B3F97" w:rsidRPr="00E963C2">
              <w:t>250</w:t>
            </w:r>
          </w:p>
        </w:tc>
        <w:tc>
          <w:tcPr>
            <w:tcW w:w="1116" w:type="dxa"/>
          </w:tcPr>
          <w:p w:rsidR="00B0343F" w:rsidRPr="00E963C2" w:rsidRDefault="00B0343F" w:rsidP="00B0343F">
            <w:pPr>
              <w:keepNext/>
              <w:jc w:val="right"/>
            </w:pPr>
            <w:r w:rsidRPr="00E963C2">
              <w:t>96 750</w:t>
            </w:r>
          </w:p>
        </w:tc>
      </w:tr>
    </w:tbl>
    <w:p w:rsidR="00515D75" w:rsidRDefault="0000494F" w:rsidP="008B5DA2">
      <w:pPr>
        <w:tabs>
          <w:tab w:val="left" w:pos="720"/>
        </w:tabs>
        <w:rPr>
          <w:rFonts w:ascii="Calibri" w:hAnsi="Calibri" w:cs="Calibri"/>
          <w:color w:val="212121"/>
          <w:shd w:val="clear" w:color="auto" w:fill="FFFFFF"/>
        </w:rPr>
        <w:sectPr w:rsidR="00515D75" w:rsidSect="00B14D5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pgNumType w:start="10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Spec="center" w:tblpY="2197"/>
        <w:tblW w:w="12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1417"/>
        <w:gridCol w:w="1560"/>
        <w:gridCol w:w="1559"/>
        <w:gridCol w:w="1837"/>
      </w:tblGrid>
      <w:tr w:rsidR="00727C34" w:rsidRPr="008D1ACD" w:rsidTr="00B741DC">
        <w:trPr>
          <w:cantSplit/>
          <w:trHeight w:val="203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34" w:rsidRPr="008D1ACD" w:rsidRDefault="00727C34" w:rsidP="00866251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Príjmy (v eurách)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34" w:rsidRPr="008D1ACD" w:rsidRDefault="00727C34" w:rsidP="00866251">
            <w:pPr>
              <w:tabs>
                <w:tab w:val="num" w:pos="1080"/>
              </w:tabs>
              <w:spacing w:after="0" w:line="240" w:lineRule="auto"/>
              <w:ind w:right="-578"/>
              <w:jc w:val="center"/>
              <w:rPr>
                <w:b/>
                <w:bCs/>
              </w:rPr>
            </w:pPr>
            <w:r w:rsidRPr="008D1ACD">
              <w:rPr>
                <w:b/>
                <w:bCs/>
              </w:rPr>
              <w:t>Vplyv na rozpočet verejnej správy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27C34" w:rsidRPr="008D1ACD" w:rsidRDefault="00727C34" w:rsidP="00866251">
            <w:pPr>
              <w:tabs>
                <w:tab w:val="num" w:pos="1080"/>
              </w:tabs>
              <w:spacing w:after="0" w:line="240" w:lineRule="auto"/>
              <w:ind w:right="-578"/>
              <w:jc w:val="center"/>
              <w:rPr>
                <w:b/>
                <w:bCs/>
              </w:rPr>
            </w:pPr>
            <w:r w:rsidRPr="008D1ACD">
              <w:rPr>
                <w:b/>
                <w:bCs/>
              </w:rPr>
              <w:t>poznámka</w:t>
            </w:r>
          </w:p>
        </w:tc>
      </w:tr>
      <w:tr w:rsidR="005C0129" w:rsidRPr="008D1ACD" w:rsidTr="00C00514">
        <w:trPr>
          <w:cantSplit/>
          <w:trHeight w:val="203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  <w:vertAlign w:val="superscript"/>
              </w:rPr>
            </w:pPr>
            <w:r w:rsidRPr="008D1ACD">
              <w:rPr>
                <w:b/>
                <w:bCs/>
              </w:rPr>
              <w:t>Daňové príjmy (100)</w:t>
            </w:r>
            <w:r w:rsidRPr="008D1ACD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Nedaňové príjmy (200)</w:t>
            </w:r>
            <w:r w:rsidRPr="008D1ACD">
              <w:rPr>
                <w:b/>
                <w:bCs/>
                <w:vertAlign w:val="superscript"/>
              </w:rPr>
              <w:t>1</w:t>
            </w:r>
            <w:r w:rsidRPr="008D1ACD">
              <w:rPr>
                <w:b/>
                <w:bCs/>
              </w:rPr>
              <w:t xml:space="preserve"> v tom: Administratívne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poplatky (221004)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954C2D" w:rsidRDefault="00E20417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690 990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Granty a transfery (300)</w:t>
            </w:r>
            <w:r w:rsidRPr="008D1ACD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 xml:space="preserve">Príjmy z transakcií s finančnými aktívami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a finančnými pasívami (400)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 xml:space="preserve">Prijaté úvery, pôžičky a návratné finančné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výpomoci (500)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1278DB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Dopad na 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954C2D" w:rsidRDefault="00E20417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690 990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954C2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1 381 920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</w:tbl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Spec="center" w:tblpY="6763"/>
        <w:tblW w:w="12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1417"/>
        <w:gridCol w:w="1560"/>
        <w:gridCol w:w="1559"/>
        <w:gridCol w:w="1837"/>
      </w:tblGrid>
      <w:tr w:rsidR="00727C34" w:rsidRPr="008D1ACD" w:rsidTr="00B741DC">
        <w:trPr>
          <w:cantSplit/>
          <w:trHeight w:val="203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34" w:rsidRPr="008D1ACD" w:rsidRDefault="00727C34" w:rsidP="00866251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Príjmy (v eurách)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7C34" w:rsidRPr="008D1ACD" w:rsidRDefault="00727C34" w:rsidP="00866251">
            <w:pPr>
              <w:tabs>
                <w:tab w:val="num" w:pos="1080"/>
              </w:tabs>
              <w:spacing w:after="0" w:line="240" w:lineRule="auto"/>
              <w:ind w:right="-578"/>
              <w:jc w:val="center"/>
              <w:rPr>
                <w:b/>
                <w:bCs/>
              </w:rPr>
            </w:pPr>
            <w:r w:rsidRPr="008D1ACD">
              <w:rPr>
                <w:b/>
                <w:bCs/>
              </w:rPr>
              <w:t>Vplyv na rozpočet verejnej správy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27C34" w:rsidRPr="008D1ACD" w:rsidRDefault="00727C34" w:rsidP="00727C34">
            <w:pPr>
              <w:tabs>
                <w:tab w:val="num" w:pos="1080"/>
              </w:tabs>
              <w:spacing w:after="0" w:line="240" w:lineRule="auto"/>
              <w:ind w:right="-578"/>
              <w:jc w:val="center"/>
              <w:rPr>
                <w:b/>
                <w:bCs/>
              </w:rPr>
            </w:pPr>
            <w:r w:rsidRPr="008D1ACD">
              <w:rPr>
                <w:b/>
                <w:bCs/>
              </w:rPr>
              <w:t>poznámka</w:t>
            </w:r>
          </w:p>
        </w:tc>
      </w:tr>
      <w:tr w:rsidR="005C0129" w:rsidRPr="008D1ACD" w:rsidTr="00B741DC">
        <w:trPr>
          <w:cantSplit/>
          <w:trHeight w:val="203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  <w:vertAlign w:val="superscript"/>
              </w:rPr>
            </w:pPr>
            <w:r w:rsidRPr="008D1ACD">
              <w:rPr>
                <w:b/>
                <w:bCs/>
              </w:rPr>
              <w:t>Daňové príjmy (100)</w:t>
            </w:r>
            <w:r w:rsidRPr="008D1ACD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Nedaňové príjmy (200)</w:t>
            </w:r>
            <w:r w:rsidRPr="008D1ACD">
              <w:rPr>
                <w:b/>
                <w:bCs/>
                <w:vertAlign w:val="superscript"/>
              </w:rPr>
              <w:t>1</w:t>
            </w:r>
            <w:r w:rsidRPr="008D1ACD">
              <w:rPr>
                <w:b/>
                <w:bCs/>
              </w:rPr>
              <w:t xml:space="preserve"> v tom: Administratívne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poplatky (221004)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0337D7" w:rsidRDefault="00476EB5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-1 080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- 1 080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- 1 080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Granty a transfery (300)</w:t>
            </w:r>
            <w:r w:rsidRPr="008D1ACD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 xml:space="preserve">Príjmy z transakcií s finančnými aktívami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a finančnými pasívami (400)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29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 xml:space="preserve">Prijaté úvery, pôžičky a návratné finančné </w:t>
            </w:r>
          </w:p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výpomoci (500)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  <w:tr w:rsidR="005C0129" w:rsidRPr="008D1ACD" w:rsidTr="00B741DC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Dopad na 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0337D7" w:rsidRDefault="005C0129" w:rsidP="00476EB5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76EB5">
              <w:rPr>
                <w:b/>
                <w:bCs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-1 080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- 1 080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129" w:rsidRPr="000337D7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>
              <w:rPr>
                <w:b/>
                <w:bCs/>
              </w:rPr>
              <w:t>- 1 080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C0129" w:rsidRPr="008D1ACD" w:rsidRDefault="005C0129" w:rsidP="005C0129">
            <w:pPr>
              <w:tabs>
                <w:tab w:val="num" w:pos="1080"/>
              </w:tabs>
              <w:spacing w:after="0" w:line="240" w:lineRule="auto"/>
              <w:ind w:right="-578"/>
              <w:rPr>
                <w:b/>
                <w:bCs/>
              </w:rPr>
            </w:pPr>
            <w:r w:rsidRPr="008D1ACD">
              <w:rPr>
                <w:b/>
                <w:bCs/>
              </w:rPr>
              <w:t> </w:t>
            </w:r>
          </w:p>
        </w:tc>
      </w:tr>
    </w:tbl>
    <w:p w:rsidR="001B1D76" w:rsidRDefault="001B1D76" w:rsidP="001B1D76">
      <w:pPr>
        <w:tabs>
          <w:tab w:val="num" w:pos="1080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</w:t>
      </w:r>
      <w:r w:rsidRPr="004171DF">
        <w:rPr>
          <w:b/>
          <w:bCs/>
          <w:sz w:val="20"/>
          <w:szCs w:val="20"/>
        </w:rPr>
        <w:t>apitola M</w:t>
      </w:r>
      <w:r>
        <w:rPr>
          <w:b/>
          <w:bCs/>
          <w:sz w:val="20"/>
          <w:szCs w:val="20"/>
        </w:rPr>
        <w:t>V SR</w:t>
      </w:r>
    </w:p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Pr="005B3F97" w:rsidRDefault="008B5DA2" w:rsidP="008B5DA2">
      <w:pPr>
        <w:rPr>
          <w:color w:val="FF0000"/>
          <w:szCs w:val="20"/>
        </w:rPr>
      </w:pPr>
    </w:p>
    <w:p w:rsidR="00B741DC" w:rsidRPr="00B54572" w:rsidRDefault="00B741DC" w:rsidP="00B741DC">
      <w:pPr>
        <w:tabs>
          <w:tab w:val="num" w:pos="1080"/>
        </w:tabs>
        <w:spacing w:after="0" w:line="240" w:lineRule="auto"/>
        <w:jc w:val="both"/>
        <w:rPr>
          <w:b/>
          <w:bCs/>
          <w:color w:val="FF0000"/>
          <w:sz w:val="20"/>
          <w:szCs w:val="20"/>
        </w:rPr>
      </w:pPr>
      <w:r w:rsidRPr="004171DF">
        <w:rPr>
          <w:b/>
          <w:bCs/>
          <w:sz w:val="20"/>
          <w:szCs w:val="20"/>
        </w:rPr>
        <w:t>kapitola MPRV SR</w:t>
      </w:r>
      <w:r>
        <w:rPr>
          <w:b/>
          <w:bCs/>
          <w:sz w:val="20"/>
          <w:szCs w:val="20"/>
        </w:rPr>
        <w:t xml:space="preserve"> </w:t>
      </w:r>
    </w:p>
    <w:p w:rsidR="008B5DA2" w:rsidRPr="002D4A00" w:rsidRDefault="008B5DA2" w:rsidP="008B5DA2">
      <w:pPr>
        <w:rPr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</w:p>
    <w:p w:rsidR="008B5DA2" w:rsidRPr="002D4A00" w:rsidRDefault="008B5DA2" w:rsidP="008B5DA2">
      <w:pPr>
        <w:tabs>
          <w:tab w:val="num" w:pos="1080"/>
        </w:tabs>
        <w:spacing w:after="0" w:line="240" w:lineRule="auto"/>
        <w:ind w:right="-32"/>
        <w:jc w:val="right"/>
        <w:rPr>
          <w:bCs/>
        </w:rPr>
      </w:pPr>
      <w:r w:rsidRPr="007D5748">
        <w:rPr>
          <w:bCs/>
        </w:rPr>
        <w:lastRenderedPageBreak/>
        <w:t xml:space="preserve">Tabuľka č. 4 </w:t>
      </w: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8B5DA2" w:rsidRDefault="008B5DA2" w:rsidP="008B5DA2">
      <w:pPr>
        <w:tabs>
          <w:tab w:val="num" w:pos="1080"/>
        </w:tabs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kapitola MPRV SR</w:t>
      </w:r>
    </w:p>
    <w:p w:rsidR="008B5DA2" w:rsidRPr="002D4A00" w:rsidRDefault="008B5DA2" w:rsidP="008B5DA2">
      <w:pPr>
        <w:rPr>
          <w:szCs w:val="20"/>
        </w:rPr>
      </w:pPr>
    </w:p>
    <w:tbl>
      <w:tblPr>
        <w:tblpPr w:leftFromText="141" w:rightFromText="141" w:vertAnchor="text" w:horzAnchor="margin" w:tblpXSpec="center" w:tblpY="24"/>
        <w:tblW w:w="13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1418"/>
        <w:gridCol w:w="1418"/>
        <w:gridCol w:w="1485"/>
        <w:gridCol w:w="1559"/>
        <w:gridCol w:w="2086"/>
      </w:tblGrid>
      <w:tr w:rsidR="008B5DA2" w:rsidRPr="007D5748" w:rsidTr="00B741DC">
        <w:trPr>
          <w:cantSplit/>
          <w:trHeight w:val="421"/>
        </w:trPr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DA2" w:rsidRPr="007D5748" w:rsidRDefault="008B5DA2" w:rsidP="008662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5748">
              <w:rPr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5DA2" w:rsidRPr="006C171C" w:rsidRDefault="008B5DA2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6C171C">
              <w:rPr>
                <w:b/>
                <w:bCs/>
              </w:rPr>
              <w:t>Vplyv na rozpočet verejnej správy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B5DA2" w:rsidRPr="007D5748" w:rsidRDefault="008B5DA2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poznámka</w:t>
            </w:r>
          </w:p>
        </w:tc>
      </w:tr>
      <w:tr w:rsidR="006921DE" w:rsidRPr="007D5748" w:rsidTr="00B741DC">
        <w:trPr>
          <w:cantSplit/>
          <w:trHeight w:val="187"/>
        </w:trPr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21DE" w:rsidRPr="007D5748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21DE" w:rsidRPr="004763A1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4763A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21DE" w:rsidRPr="004763A1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4763A1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21DE" w:rsidRPr="004763A1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4763A1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6921DE" w:rsidRPr="007D5748" w:rsidTr="00B741DC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5748">
              <w:rPr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114 000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149 250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96 750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</w:rPr>
            </w:pPr>
            <w:r w:rsidRPr="007D5748">
              <w:rPr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D5748">
              <w:rPr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B741DC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D5748">
              <w:rPr>
                <w:sz w:val="20"/>
                <w:szCs w:val="20"/>
              </w:rPr>
              <w:t xml:space="preserve">  Tovary a služby (630)</w:t>
            </w:r>
            <w:r w:rsidRPr="007D574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A80B8B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45251C" w:rsidRDefault="006921DE" w:rsidP="006921DE">
            <w:pPr>
              <w:spacing w:after="0" w:line="240" w:lineRule="auto"/>
              <w:rPr>
                <w:sz w:val="20"/>
                <w:szCs w:val="20"/>
              </w:rPr>
            </w:pPr>
            <w:r w:rsidRPr="007D5748">
              <w:rPr>
                <w:sz w:val="20"/>
                <w:szCs w:val="20"/>
              </w:rPr>
              <w:t xml:space="preserve">  Bežné transfery (640)</w:t>
            </w:r>
            <w:r w:rsidRPr="007D574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FE0586">
              <w:rPr>
                <w:sz w:val="18"/>
                <w:szCs w:val="18"/>
              </w:rPr>
              <w:t>v tom: transfery príspevkovej organizácií (641001)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114 000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149 250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96 750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</w:rPr>
            </w:pPr>
            <w:r w:rsidRPr="007D5748">
              <w:rPr>
                <w:sz w:val="20"/>
                <w:szCs w:val="20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sz w:val="20"/>
                <w:szCs w:val="20"/>
              </w:rPr>
              <w:t>úverom, pôžičkou, návratnou finančnou výpomocou a finančným prenájmom</w:t>
            </w:r>
            <w:r w:rsidRPr="007D5748">
              <w:rPr>
                <w:sz w:val="20"/>
                <w:szCs w:val="20"/>
              </w:rPr>
              <w:t xml:space="preserve"> (650)</w:t>
            </w:r>
            <w:r w:rsidRPr="007D574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5748">
              <w:rPr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D593B" w:rsidRDefault="006921DE" w:rsidP="006921DE">
            <w:pPr>
              <w:spacing w:after="0" w:line="240" w:lineRule="auto"/>
              <w:jc w:val="center"/>
              <w:rPr>
                <w:b/>
              </w:rPr>
            </w:pPr>
            <w:r w:rsidRPr="00DD593B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D593B" w:rsidRDefault="006921DE" w:rsidP="006921DE">
            <w:pPr>
              <w:spacing w:after="0" w:line="240" w:lineRule="auto"/>
              <w:jc w:val="center"/>
              <w:rPr>
                <w:b/>
              </w:rPr>
            </w:pPr>
            <w:r w:rsidRPr="00DD593B">
              <w:rPr>
                <w:b/>
              </w:rPr>
              <w:t>0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</w:rPr>
            </w:pPr>
            <w:r w:rsidRPr="007D5748">
              <w:rPr>
                <w:sz w:val="20"/>
                <w:szCs w:val="20"/>
              </w:rPr>
              <w:t xml:space="preserve">  Obstarávanie kapitálových aktív (710)</w:t>
            </w:r>
            <w:r w:rsidRPr="007D574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sz w:val="20"/>
                <w:szCs w:val="20"/>
              </w:rPr>
            </w:pPr>
            <w:r w:rsidRPr="007D5748">
              <w:rPr>
                <w:sz w:val="20"/>
                <w:szCs w:val="20"/>
              </w:rPr>
              <w:t xml:space="preserve">  Kapitálové transfery (720)</w:t>
            </w:r>
            <w:r w:rsidRPr="007D574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16396E">
        <w:trPr>
          <w:trHeight w:val="187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5748">
              <w:rPr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921DE" w:rsidRPr="00D40BE9" w:rsidRDefault="006921DE" w:rsidP="006921DE">
            <w:pPr>
              <w:spacing w:after="0" w:line="240" w:lineRule="auto"/>
              <w:jc w:val="center"/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  <w:tr w:rsidR="006921DE" w:rsidRPr="007D5748" w:rsidTr="0028701A">
        <w:trPr>
          <w:trHeight w:val="187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21DE" w:rsidRPr="007D5748" w:rsidRDefault="006921DE" w:rsidP="006921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D5748">
              <w:rPr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114 000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 w:rsidRPr="00D40BE9">
              <w:rPr>
                <w:b/>
                <w:bCs/>
              </w:rPr>
              <w:t>149 250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1DE" w:rsidRPr="00D40BE9" w:rsidRDefault="006921DE" w:rsidP="006921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96 750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1DE" w:rsidRPr="007D5748" w:rsidRDefault="006921DE" w:rsidP="006921DE">
            <w:pPr>
              <w:spacing w:after="0" w:line="240" w:lineRule="auto"/>
            </w:pPr>
            <w:r w:rsidRPr="007D5748">
              <w:t> </w:t>
            </w:r>
          </w:p>
        </w:tc>
      </w:tr>
    </w:tbl>
    <w:p w:rsidR="008B5DA2" w:rsidRPr="002D4A00" w:rsidRDefault="008B5DA2" w:rsidP="008B5DA2">
      <w:pPr>
        <w:rPr>
          <w:szCs w:val="20"/>
        </w:rPr>
      </w:pPr>
    </w:p>
    <w:p w:rsidR="008B5DA2" w:rsidRPr="002D4A00" w:rsidRDefault="008B5DA2" w:rsidP="008B5DA2">
      <w:pPr>
        <w:tabs>
          <w:tab w:val="left" w:pos="864"/>
        </w:tabs>
        <w:rPr>
          <w:szCs w:val="20"/>
        </w:rPr>
        <w:sectPr w:rsidR="008B5DA2" w:rsidRPr="002D4A00" w:rsidSect="00601366">
          <w:pgSz w:w="16838" w:h="11906" w:orient="landscape"/>
          <w:pgMar w:top="851" w:right="1276" w:bottom="1418" w:left="1418" w:header="708" w:footer="708" w:gutter="0"/>
          <w:cols w:space="708"/>
          <w:docGrid w:linePitch="360"/>
        </w:sectPr>
      </w:pPr>
    </w:p>
    <w:p w:rsidR="008B5DA2" w:rsidRPr="007D5748" w:rsidRDefault="008B5DA2" w:rsidP="008B5DA2">
      <w:pPr>
        <w:tabs>
          <w:tab w:val="num" w:pos="1080"/>
        </w:tabs>
        <w:spacing w:after="0" w:line="240" w:lineRule="auto"/>
        <w:jc w:val="right"/>
        <w:rPr>
          <w:bCs/>
        </w:rPr>
      </w:pPr>
      <w:r w:rsidRPr="007D5748">
        <w:rPr>
          <w:bCs/>
        </w:rPr>
        <w:lastRenderedPageBreak/>
        <w:t xml:space="preserve">                 Tabuľka č. 5 </w:t>
      </w:r>
    </w:p>
    <w:p w:rsidR="008B5DA2" w:rsidRDefault="008B5DA2" w:rsidP="008B5DA2">
      <w:pPr>
        <w:tabs>
          <w:tab w:val="num" w:pos="1080"/>
        </w:tabs>
        <w:spacing w:after="0" w:line="240" w:lineRule="auto"/>
        <w:ind w:left="-900"/>
        <w:jc w:val="both"/>
        <w:rPr>
          <w:b/>
          <w:bCs/>
          <w:szCs w:val="20"/>
        </w:rPr>
      </w:pPr>
    </w:p>
    <w:p w:rsidR="008B5DA2" w:rsidRPr="007D5748" w:rsidRDefault="008B5DA2" w:rsidP="008B5DA2">
      <w:pPr>
        <w:tabs>
          <w:tab w:val="num" w:pos="1080"/>
        </w:tabs>
        <w:spacing w:after="0" w:line="240" w:lineRule="auto"/>
        <w:jc w:val="both"/>
        <w:rPr>
          <w:bCs/>
          <w:sz w:val="20"/>
          <w:szCs w:val="20"/>
        </w:rPr>
      </w:pPr>
    </w:p>
    <w:p w:rsidR="008B5DA2" w:rsidRPr="007D5748" w:rsidRDefault="008B5DA2" w:rsidP="008B5DA2">
      <w:pPr>
        <w:tabs>
          <w:tab w:val="num" w:pos="1080"/>
        </w:tabs>
        <w:spacing w:after="0" w:line="240" w:lineRule="auto"/>
        <w:ind w:left="-900"/>
        <w:jc w:val="both"/>
        <w:rPr>
          <w:bCs/>
          <w:sz w:val="20"/>
          <w:szCs w:val="20"/>
        </w:rPr>
      </w:pPr>
    </w:p>
    <w:p w:rsidR="008B5DA2" w:rsidRPr="007D5748" w:rsidRDefault="008B5DA2" w:rsidP="008B5DA2">
      <w:pPr>
        <w:tabs>
          <w:tab w:val="num" w:pos="1080"/>
        </w:tabs>
        <w:spacing w:after="0" w:line="240" w:lineRule="auto"/>
        <w:jc w:val="both"/>
        <w:rPr>
          <w:bCs/>
          <w:szCs w:val="20"/>
        </w:rPr>
      </w:pPr>
    </w:p>
    <w:tbl>
      <w:tblPr>
        <w:tblW w:w="14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964"/>
        <w:gridCol w:w="1379"/>
        <w:gridCol w:w="1379"/>
        <w:gridCol w:w="1379"/>
        <w:gridCol w:w="1349"/>
        <w:gridCol w:w="1567"/>
      </w:tblGrid>
      <w:tr w:rsidR="000E5874" w:rsidRPr="00E24E6B" w:rsidTr="00B741DC">
        <w:trPr>
          <w:cantSplit/>
          <w:trHeight w:val="459"/>
          <w:jc w:val="center"/>
        </w:trPr>
        <w:tc>
          <w:tcPr>
            <w:tcW w:w="6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Zamestnanosť</w:t>
            </w:r>
          </w:p>
        </w:tc>
        <w:tc>
          <w:tcPr>
            <w:tcW w:w="54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Vplyv na rozpočet verejnej správy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poznámka</w:t>
            </w:r>
          </w:p>
        </w:tc>
      </w:tr>
      <w:tr w:rsidR="000E5874" w:rsidRPr="00E24E6B" w:rsidTr="00B741DC">
        <w:trPr>
          <w:cantSplit/>
          <w:trHeight w:val="409"/>
          <w:jc w:val="center"/>
        </w:trPr>
        <w:tc>
          <w:tcPr>
            <w:tcW w:w="6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202</w:t>
            </w:r>
            <w:r w:rsidR="00074929">
              <w:rPr>
                <w:b/>
                <w:bCs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202</w:t>
            </w:r>
            <w:r w:rsidR="00074929">
              <w:rPr>
                <w:b/>
                <w:bCs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202</w:t>
            </w:r>
            <w:r w:rsidR="00074929">
              <w:rPr>
                <w:b/>
                <w:bCs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202</w:t>
            </w:r>
            <w:r w:rsidR="00074929">
              <w:rPr>
                <w:b/>
                <w:bCs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Počet zamestnancov celkom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 xml:space="preserve">   z toho vplyv na ŠR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Priemerný mzdový výdavok (v eurách)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rPr>
                <w:b/>
                <w:bCs/>
              </w:rPr>
              <w:t xml:space="preserve">   z toho vplyv na ŠR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  <w:r w:rsidRPr="00E24E6B"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Osobné výdavky celkom (v eurách)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E24E6B">
              <w:rPr>
                <w:b/>
                <w:bCs/>
              </w:rPr>
              <w:t>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05711D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05711D">
              <w:rPr>
                <w:b/>
                <w:bCs/>
              </w:rPr>
              <w:t>0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05711D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05711D">
              <w:rPr>
                <w:b/>
                <w:bCs/>
              </w:rPr>
              <w:t>0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5874" w:rsidRPr="0005711D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  <w:r w:rsidRPr="0005711D">
              <w:rPr>
                <w:b/>
                <w:bCs/>
              </w:rPr>
              <w:t>0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Mzdy, platy, služobné príjmy a ostatné osobné vyrovnania (610)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rPr>
                <w:b/>
                <w:bCs/>
              </w:rPr>
              <w:t xml:space="preserve">   z toho vplyv na ŠR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Poistné a príspevok do poisťovní (620)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  <w:rPr>
                <w:b/>
                <w:bCs/>
              </w:rPr>
            </w:pPr>
            <w:r w:rsidRPr="00E24E6B">
              <w:rPr>
                <w:b/>
                <w:bCs/>
              </w:rPr>
              <w:t> </w:t>
            </w:r>
          </w:p>
        </w:tc>
      </w:tr>
      <w:tr w:rsidR="000E5874" w:rsidRPr="00E24E6B" w:rsidTr="00B741DC">
        <w:trPr>
          <w:trHeight w:val="241"/>
          <w:jc w:val="center"/>
        </w:trPr>
        <w:tc>
          <w:tcPr>
            <w:tcW w:w="6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rPr>
                <w:b/>
                <w:bCs/>
              </w:rPr>
              <w:t xml:space="preserve">   z toho vplyv na ŠR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74" w:rsidRPr="00E24E6B" w:rsidRDefault="000E5874" w:rsidP="0086625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5874" w:rsidRPr="00E24E6B" w:rsidRDefault="000E5874" w:rsidP="00866251">
            <w:pPr>
              <w:spacing w:after="0" w:line="240" w:lineRule="auto"/>
            </w:pPr>
            <w:r w:rsidRPr="00E24E6B">
              <w:t> </w:t>
            </w:r>
          </w:p>
        </w:tc>
      </w:tr>
    </w:tbl>
    <w:p w:rsidR="008B5DA2" w:rsidRDefault="008B5DA2" w:rsidP="008B5DA2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p w:rsidR="00C101F4" w:rsidRDefault="00C101F4" w:rsidP="002F4075">
      <w:pPr>
        <w:tabs>
          <w:tab w:val="num" w:pos="1080"/>
        </w:tabs>
        <w:spacing w:after="0" w:line="240" w:lineRule="auto"/>
        <w:ind w:right="-578"/>
        <w:rPr>
          <w:b/>
          <w:bCs/>
          <w:sz w:val="20"/>
          <w:szCs w:val="20"/>
        </w:rPr>
      </w:pPr>
    </w:p>
    <w:sectPr w:rsidR="00C101F4" w:rsidSect="00515D75">
      <w:footerReference w:type="default" r:id="rId13"/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F2" w:rsidRDefault="004A5AF2">
      <w:pPr>
        <w:spacing w:after="0" w:line="240" w:lineRule="auto"/>
      </w:pPr>
      <w:r>
        <w:separator/>
      </w:r>
    </w:p>
  </w:endnote>
  <w:endnote w:type="continuationSeparator" w:id="0">
    <w:p w:rsidR="004A5AF2" w:rsidRDefault="004A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1" w:rsidRDefault="0069606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6625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66251">
      <w:rPr>
        <w:rStyle w:val="slostrany"/>
        <w:noProof/>
      </w:rPr>
      <w:t>10</w:t>
    </w:r>
    <w:r>
      <w:rPr>
        <w:rStyle w:val="slostrany"/>
      </w:rPr>
      <w:fldChar w:fldCharType="end"/>
    </w:r>
  </w:p>
  <w:p w:rsidR="00866251" w:rsidRDefault="0086625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963717"/>
      <w:docPartObj>
        <w:docPartGallery w:val="Page Numbers (Bottom of Page)"/>
        <w:docPartUnique/>
      </w:docPartObj>
    </w:sdtPr>
    <w:sdtEndPr/>
    <w:sdtContent>
      <w:p w:rsidR="00866251" w:rsidRPr="00EE29A8" w:rsidRDefault="00EE29A8" w:rsidP="006013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5B">
          <w:rPr>
            <w:noProof/>
          </w:rPr>
          <w:t>10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1" w:rsidRDefault="00696068">
    <w:pPr>
      <w:pStyle w:val="Pta"/>
      <w:jc w:val="right"/>
    </w:pPr>
    <w:r>
      <w:fldChar w:fldCharType="begin"/>
    </w:r>
    <w:r w:rsidR="00866251">
      <w:instrText>PAGE   \* MERGEFORMAT</w:instrText>
    </w:r>
    <w:r>
      <w:fldChar w:fldCharType="separate"/>
    </w:r>
    <w:r w:rsidR="00866251">
      <w:rPr>
        <w:noProof/>
      </w:rPr>
      <w:t>0</w:t>
    </w:r>
    <w:r>
      <w:fldChar w:fldCharType="end"/>
    </w:r>
  </w:p>
  <w:p w:rsidR="00866251" w:rsidRDefault="00866251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675722"/>
      <w:docPartObj>
        <w:docPartGallery w:val="Page Numbers (Bottom of Page)"/>
        <w:docPartUnique/>
      </w:docPartObj>
    </w:sdtPr>
    <w:sdtEndPr/>
    <w:sdtContent>
      <w:p w:rsidR="00866251" w:rsidRPr="00601366" w:rsidRDefault="00601366" w:rsidP="006013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5B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F2" w:rsidRDefault="004A5AF2">
      <w:pPr>
        <w:spacing w:after="0" w:line="240" w:lineRule="auto"/>
      </w:pPr>
      <w:r>
        <w:separator/>
      </w:r>
    </w:p>
  </w:footnote>
  <w:footnote w:type="continuationSeparator" w:id="0">
    <w:p w:rsidR="004A5AF2" w:rsidRDefault="004A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1" w:rsidRDefault="00866251" w:rsidP="00DE5E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66251" w:rsidRPr="00EB59C8" w:rsidRDefault="00866251" w:rsidP="00DE5EF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1" w:rsidRPr="000A15AE" w:rsidRDefault="00866251" w:rsidP="00DE5E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3A608A"/>
    <w:lvl w:ilvl="0">
      <w:start w:val="1"/>
      <w:numFmt w:val="bullet"/>
      <w:pStyle w:val="odrk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4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8141C95"/>
    <w:multiLevelType w:val="hybridMultilevel"/>
    <w:tmpl w:val="C274897A"/>
    <w:lvl w:ilvl="0" w:tplc="D3064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243B6"/>
    <w:multiLevelType w:val="hybridMultilevel"/>
    <w:tmpl w:val="2DBAC576"/>
    <w:lvl w:ilvl="0" w:tplc="CBECA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5595"/>
    <w:multiLevelType w:val="hybridMultilevel"/>
    <w:tmpl w:val="42BA439E"/>
    <w:lvl w:ilvl="0" w:tplc="FFFFFFFF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A32DEE"/>
    <w:multiLevelType w:val="hybridMultilevel"/>
    <w:tmpl w:val="95488D26"/>
    <w:lvl w:ilvl="0" w:tplc="FA18EF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01104"/>
    <w:multiLevelType w:val="hybridMultilevel"/>
    <w:tmpl w:val="03784B64"/>
    <w:lvl w:ilvl="0" w:tplc="FFFFFFFF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F24F7"/>
    <w:multiLevelType w:val="hybridMultilevel"/>
    <w:tmpl w:val="C0B0AF42"/>
    <w:lvl w:ilvl="0" w:tplc="FA18E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2" w15:restartNumberingAfterBreak="0">
    <w:nsid w:val="306E15F8"/>
    <w:multiLevelType w:val="hybridMultilevel"/>
    <w:tmpl w:val="60086CBE"/>
    <w:lvl w:ilvl="0" w:tplc="8A8ECA7A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7C7E"/>
    <w:multiLevelType w:val="hybridMultilevel"/>
    <w:tmpl w:val="B7A48F5E"/>
    <w:lvl w:ilvl="0" w:tplc="FFFFFFFF">
      <w:start w:val="1"/>
      <w:numFmt w:val="bullet"/>
      <w:pStyle w:val="Zoznamsodrkami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320F2124"/>
    <w:multiLevelType w:val="hybridMultilevel"/>
    <w:tmpl w:val="1AF0B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B4E1D"/>
    <w:multiLevelType w:val="hybridMultilevel"/>
    <w:tmpl w:val="BAD879C0"/>
    <w:lvl w:ilvl="0" w:tplc="FFFFFFFF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51D8"/>
    <w:multiLevelType w:val="hybridMultilevel"/>
    <w:tmpl w:val="6A5A5900"/>
    <w:lvl w:ilvl="0" w:tplc="FFFFFFFF">
      <w:start w:val="1"/>
      <w:numFmt w:val="decimal"/>
      <w:pStyle w:val="Odrka2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50BDE"/>
    <w:multiLevelType w:val="singleLevel"/>
    <w:tmpl w:val="13983652"/>
    <w:lvl w:ilvl="0">
      <w:start w:val="1"/>
      <w:numFmt w:val="bullet"/>
      <w:pStyle w:val="Odrka4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8" w15:restartNumberingAfterBreak="0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19" w15:restartNumberingAfterBreak="0">
    <w:nsid w:val="50701EFA"/>
    <w:multiLevelType w:val="hybridMultilevel"/>
    <w:tmpl w:val="60086CBE"/>
    <w:lvl w:ilvl="0" w:tplc="8A8ECA7A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7756"/>
    <w:multiLevelType w:val="hybridMultilevel"/>
    <w:tmpl w:val="6E7E7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 w15:restartNumberingAfterBreak="0">
    <w:nsid w:val="69855FA0"/>
    <w:multiLevelType w:val="hybridMultilevel"/>
    <w:tmpl w:val="98740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7"/>
  </w:num>
  <w:num w:numId="7">
    <w:abstractNumId w:val="9"/>
  </w:num>
  <w:num w:numId="8">
    <w:abstractNumId w:val="15"/>
  </w:num>
  <w:num w:numId="9">
    <w:abstractNumId w:val="21"/>
  </w:num>
  <w:num w:numId="10">
    <w:abstractNumId w:val="23"/>
  </w:num>
  <w:num w:numId="11">
    <w:abstractNumId w:val="4"/>
  </w:num>
  <w:num w:numId="12">
    <w:abstractNumId w:val="14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  <w:num w:numId="17">
    <w:abstractNumId w:val="12"/>
  </w:num>
  <w:num w:numId="18">
    <w:abstractNumId w:val="22"/>
  </w:num>
  <w:num w:numId="19">
    <w:abstractNumId w:val="20"/>
  </w:num>
  <w:num w:numId="20">
    <w:abstractNumId w:val="19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85"/>
    <w:rsid w:val="0000494F"/>
    <w:rsid w:val="00013B7B"/>
    <w:rsid w:val="00014855"/>
    <w:rsid w:val="000168E4"/>
    <w:rsid w:val="00020590"/>
    <w:rsid w:val="00023520"/>
    <w:rsid w:val="00023847"/>
    <w:rsid w:val="00025735"/>
    <w:rsid w:val="00027B67"/>
    <w:rsid w:val="00033622"/>
    <w:rsid w:val="000337D7"/>
    <w:rsid w:val="00055E27"/>
    <w:rsid w:val="0005711D"/>
    <w:rsid w:val="0005732F"/>
    <w:rsid w:val="000638B9"/>
    <w:rsid w:val="00071BF2"/>
    <w:rsid w:val="000724F6"/>
    <w:rsid w:val="00074929"/>
    <w:rsid w:val="00077769"/>
    <w:rsid w:val="0009241A"/>
    <w:rsid w:val="000928A3"/>
    <w:rsid w:val="000C04BC"/>
    <w:rsid w:val="000C065C"/>
    <w:rsid w:val="000D6AB9"/>
    <w:rsid w:val="000E5874"/>
    <w:rsid w:val="000F109D"/>
    <w:rsid w:val="000F6F78"/>
    <w:rsid w:val="001057D5"/>
    <w:rsid w:val="00110821"/>
    <w:rsid w:val="0011657D"/>
    <w:rsid w:val="0012282B"/>
    <w:rsid w:val="00125291"/>
    <w:rsid w:val="0013366C"/>
    <w:rsid w:val="0015139B"/>
    <w:rsid w:val="00160AFA"/>
    <w:rsid w:val="001623B7"/>
    <w:rsid w:val="001731F7"/>
    <w:rsid w:val="0017341C"/>
    <w:rsid w:val="001763B8"/>
    <w:rsid w:val="00177588"/>
    <w:rsid w:val="00182D67"/>
    <w:rsid w:val="001847FF"/>
    <w:rsid w:val="001951A1"/>
    <w:rsid w:val="001A1E5D"/>
    <w:rsid w:val="001A735E"/>
    <w:rsid w:val="001B1B17"/>
    <w:rsid w:val="001B1D76"/>
    <w:rsid w:val="001B43E8"/>
    <w:rsid w:val="001C43C9"/>
    <w:rsid w:val="001C60A0"/>
    <w:rsid w:val="001D1956"/>
    <w:rsid w:val="001D48EB"/>
    <w:rsid w:val="001E0E1B"/>
    <w:rsid w:val="001F14E5"/>
    <w:rsid w:val="001F6649"/>
    <w:rsid w:val="001F7412"/>
    <w:rsid w:val="002018C2"/>
    <w:rsid w:val="00205395"/>
    <w:rsid w:val="002172B4"/>
    <w:rsid w:val="00217967"/>
    <w:rsid w:val="00222A15"/>
    <w:rsid w:val="00224965"/>
    <w:rsid w:val="002254E6"/>
    <w:rsid w:val="00231AB2"/>
    <w:rsid w:val="0023245E"/>
    <w:rsid w:val="00236EB9"/>
    <w:rsid w:val="0024493B"/>
    <w:rsid w:val="002512FB"/>
    <w:rsid w:val="0026275D"/>
    <w:rsid w:val="0027588B"/>
    <w:rsid w:val="00282DE6"/>
    <w:rsid w:val="00291EAF"/>
    <w:rsid w:val="00294C25"/>
    <w:rsid w:val="002953C0"/>
    <w:rsid w:val="00296D85"/>
    <w:rsid w:val="002A2EE3"/>
    <w:rsid w:val="002B18A0"/>
    <w:rsid w:val="002C4141"/>
    <w:rsid w:val="002C726D"/>
    <w:rsid w:val="002E0816"/>
    <w:rsid w:val="002E52E5"/>
    <w:rsid w:val="002E6771"/>
    <w:rsid w:val="002E7A7B"/>
    <w:rsid w:val="002F36A0"/>
    <w:rsid w:val="002F4075"/>
    <w:rsid w:val="003049DD"/>
    <w:rsid w:val="00307FCB"/>
    <w:rsid w:val="00315A69"/>
    <w:rsid w:val="003163A9"/>
    <w:rsid w:val="003325A6"/>
    <w:rsid w:val="00333471"/>
    <w:rsid w:val="00342C7C"/>
    <w:rsid w:val="00344660"/>
    <w:rsid w:val="0035710F"/>
    <w:rsid w:val="00375638"/>
    <w:rsid w:val="00381C1E"/>
    <w:rsid w:val="00390F22"/>
    <w:rsid w:val="003921F6"/>
    <w:rsid w:val="00393363"/>
    <w:rsid w:val="003A0AA1"/>
    <w:rsid w:val="003A245A"/>
    <w:rsid w:val="003D5D7A"/>
    <w:rsid w:val="003F6F55"/>
    <w:rsid w:val="0040392C"/>
    <w:rsid w:val="004040C8"/>
    <w:rsid w:val="004115AE"/>
    <w:rsid w:val="004223A2"/>
    <w:rsid w:val="004313C5"/>
    <w:rsid w:val="00440337"/>
    <w:rsid w:val="00445342"/>
    <w:rsid w:val="0045295D"/>
    <w:rsid w:val="00467B6E"/>
    <w:rsid w:val="004730A1"/>
    <w:rsid w:val="00473C8D"/>
    <w:rsid w:val="004763A1"/>
    <w:rsid w:val="00476EB5"/>
    <w:rsid w:val="00480235"/>
    <w:rsid w:val="004A5AF2"/>
    <w:rsid w:val="004B2F71"/>
    <w:rsid w:val="004B3BDF"/>
    <w:rsid w:val="004B4000"/>
    <w:rsid w:val="004C0644"/>
    <w:rsid w:val="004C3E10"/>
    <w:rsid w:val="004C7640"/>
    <w:rsid w:val="004D0DA1"/>
    <w:rsid w:val="004D30D1"/>
    <w:rsid w:val="004E21DC"/>
    <w:rsid w:val="004F57E4"/>
    <w:rsid w:val="004F6FAA"/>
    <w:rsid w:val="00507B9A"/>
    <w:rsid w:val="00515D75"/>
    <w:rsid w:val="00517ABC"/>
    <w:rsid w:val="00520FF2"/>
    <w:rsid w:val="0053016B"/>
    <w:rsid w:val="005442B5"/>
    <w:rsid w:val="00553081"/>
    <w:rsid w:val="005676A2"/>
    <w:rsid w:val="005875C1"/>
    <w:rsid w:val="005941AB"/>
    <w:rsid w:val="00594FDE"/>
    <w:rsid w:val="005A26F2"/>
    <w:rsid w:val="005B298D"/>
    <w:rsid w:val="005B3F97"/>
    <w:rsid w:val="005C0129"/>
    <w:rsid w:val="005D7F24"/>
    <w:rsid w:val="005E19EB"/>
    <w:rsid w:val="005F7F9F"/>
    <w:rsid w:val="00601366"/>
    <w:rsid w:val="006068D5"/>
    <w:rsid w:val="006325C8"/>
    <w:rsid w:val="00636082"/>
    <w:rsid w:val="006445FD"/>
    <w:rsid w:val="00650787"/>
    <w:rsid w:val="00652432"/>
    <w:rsid w:val="006540CD"/>
    <w:rsid w:val="006542C7"/>
    <w:rsid w:val="006921DE"/>
    <w:rsid w:val="006941DF"/>
    <w:rsid w:val="00696068"/>
    <w:rsid w:val="006B24F3"/>
    <w:rsid w:val="006C3DEA"/>
    <w:rsid w:val="006D1EC1"/>
    <w:rsid w:val="006D2E97"/>
    <w:rsid w:val="0070012C"/>
    <w:rsid w:val="00713302"/>
    <w:rsid w:val="007138A0"/>
    <w:rsid w:val="00717221"/>
    <w:rsid w:val="00725347"/>
    <w:rsid w:val="00725EA5"/>
    <w:rsid w:val="0072630F"/>
    <w:rsid w:val="00727C34"/>
    <w:rsid w:val="00730208"/>
    <w:rsid w:val="00745FD3"/>
    <w:rsid w:val="00755E31"/>
    <w:rsid w:val="0075796E"/>
    <w:rsid w:val="00764AE6"/>
    <w:rsid w:val="00774068"/>
    <w:rsid w:val="00792F50"/>
    <w:rsid w:val="007B5160"/>
    <w:rsid w:val="007B7DB8"/>
    <w:rsid w:val="007C31D5"/>
    <w:rsid w:val="007C3CF9"/>
    <w:rsid w:val="007C5F7F"/>
    <w:rsid w:val="007C72F8"/>
    <w:rsid w:val="007D01BB"/>
    <w:rsid w:val="007F2B22"/>
    <w:rsid w:val="00830711"/>
    <w:rsid w:val="0083360C"/>
    <w:rsid w:val="00833FBE"/>
    <w:rsid w:val="00854CA9"/>
    <w:rsid w:val="0085522B"/>
    <w:rsid w:val="00866251"/>
    <w:rsid w:val="008712E6"/>
    <w:rsid w:val="00875566"/>
    <w:rsid w:val="00884AAF"/>
    <w:rsid w:val="00891AA7"/>
    <w:rsid w:val="00895C8B"/>
    <w:rsid w:val="008A0B45"/>
    <w:rsid w:val="008A2ABA"/>
    <w:rsid w:val="008A5DE9"/>
    <w:rsid w:val="008A6100"/>
    <w:rsid w:val="008A7A3B"/>
    <w:rsid w:val="008B1709"/>
    <w:rsid w:val="008B1935"/>
    <w:rsid w:val="008B2E00"/>
    <w:rsid w:val="008B4183"/>
    <w:rsid w:val="008B5DA2"/>
    <w:rsid w:val="008C3673"/>
    <w:rsid w:val="008D1ACD"/>
    <w:rsid w:val="008D1CF6"/>
    <w:rsid w:val="008E0C65"/>
    <w:rsid w:val="008F0FD8"/>
    <w:rsid w:val="008F5C7C"/>
    <w:rsid w:val="008F6A1E"/>
    <w:rsid w:val="0090482D"/>
    <w:rsid w:val="009061C8"/>
    <w:rsid w:val="00916271"/>
    <w:rsid w:val="00935E32"/>
    <w:rsid w:val="00943A02"/>
    <w:rsid w:val="009514A9"/>
    <w:rsid w:val="00951CF4"/>
    <w:rsid w:val="009574B6"/>
    <w:rsid w:val="0096151A"/>
    <w:rsid w:val="00962C33"/>
    <w:rsid w:val="00965CD5"/>
    <w:rsid w:val="00970CB6"/>
    <w:rsid w:val="009712DF"/>
    <w:rsid w:val="0097661B"/>
    <w:rsid w:val="009846C5"/>
    <w:rsid w:val="009879FD"/>
    <w:rsid w:val="00997B5A"/>
    <w:rsid w:val="009A5B64"/>
    <w:rsid w:val="009B3ECA"/>
    <w:rsid w:val="009B59C9"/>
    <w:rsid w:val="009B6D73"/>
    <w:rsid w:val="009C0D18"/>
    <w:rsid w:val="009C1DD7"/>
    <w:rsid w:val="009C20A5"/>
    <w:rsid w:val="009C7EF8"/>
    <w:rsid w:val="009D4366"/>
    <w:rsid w:val="009E01D2"/>
    <w:rsid w:val="009F4715"/>
    <w:rsid w:val="00A01984"/>
    <w:rsid w:val="00A04E1B"/>
    <w:rsid w:val="00A059CB"/>
    <w:rsid w:val="00A24699"/>
    <w:rsid w:val="00A5116E"/>
    <w:rsid w:val="00A55290"/>
    <w:rsid w:val="00A65C43"/>
    <w:rsid w:val="00A711BB"/>
    <w:rsid w:val="00A723E8"/>
    <w:rsid w:val="00A744D7"/>
    <w:rsid w:val="00A80B8B"/>
    <w:rsid w:val="00A86041"/>
    <w:rsid w:val="00A8680B"/>
    <w:rsid w:val="00A87E50"/>
    <w:rsid w:val="00A9684F"/>
    <w:rsid w:val="00A97469"/>
    <w:rsid w:val="00AB221E"/>
    <w:rsid w:val="00AB2E7E"/>
    <w:rsid w:val="00AD64D9"/>
    <w:rsid w:val="00B0062D"/>
    <w:rsid w:val="00B01DCD"/>
    <w:rsid w:val="00B0343F"/>
    <w:rsid w:val="00B14D5B"/>
    <w:rsid w:val="00B1736A"/>
    <w:rsid w:val="00B2071E"/>
    <w:rsid w:val="00B2494B"/>
    <w:rsid w:val="00B25F29"/>
    <w:rsid w:val="00B6134D"/>
    <w:rsid w:val="00B639AB"/>
    <w:rsid w:val="00B65C7A"/>
    <w:rsid w:val="00B66548"/>
    <w:rsid w:val="00B67834"/>
    <w:rsid w:val="00B67B75"/>
    <w:rsid w:val="00B72E83"/>
    <w:rsid w:val="00B7372F"/>
    <w:rsid w:val="00B741DC"/>
    <w:rsid w:val="00B8054F"/>
    <w:rsid w:val="00B836C4"/>
    <w:rsid w:val="00B9439E"/>
    <w:rsid w:val="00B94ECB"/>
    <w:rsid w:val="00B96289"/>
    <w:rsid w:val="00BC7D02"/>
    <w:rsid w:val="00BE2125"/>
    <w:rsid w:val="00C101F4"/>
    <w:rsid w:val="00C11E75"/>
    <w:rsid w:val="00C1376A"/>
    <w:rsid w:val="00C13ADC"/>
    <w:rsid w:val="00C1543A"/>
    <w:rsid w:val="00C24BFA"/>
    <w:rsid w:val="00C3421C"/>
    <w:rsid w:val="00C3423D"/>
    <w:rsid w:val="00C4758A"/>
    <w:rsid w:val="00C57F35"/>
    <w:rsid w:val="00C601A0"/>
    <w:rsid w:val="00C70F23"/>
    <w:rsid w:val="00C85F6D"/>
    <w:rsid w:val="00C91550"/>
    <w:rsid w:val="00C947D7"/>
    <w:rsid w:val="00C94C74"/>
    <w:rsid w:val="00CA3522"/>
    <w:rsid w:val="00CA4FDD"/>
    <w:rsid w:val="00CA6F4C"/>
    <w:rsid w:val="00CB00CD"/>
    <w:rsid w:val="00CC3756"/>
    <w:rsid w:val="00CD1B56"/>
    <w:rsid w:val="00CE59D7"/>
    <w:rsid w:val="00CF3335"/>
    <w:rsid w:val="00CF5138"/>
    <w:rsid w:val="00D0260D"/>
    <w:rsid w:val="00D11B26"/>
    <w:rsid w:val="00D360B9"/>
    <w:rsid w:val="00D40748"/>
    <w:rsid w:val="00D408FE"/>
    <w:rsid w:val="00D40BE9"/>
    <w:rsid w:val="00D41D8B"/>
    <w:rsid w:val="00D51428"/>
    <w:rsid w:val="00D57939"/>
    <w:rsid w:val="00D779B5"/>
    <w:rsid w:val="00D80643"/>
    <w:rsid w:val="00D81852"/>
    <w:rsid w:val="00D940E1"/>
    <w:rsid w:val="00DA1074"/>
    <w:rsid w:val="00DA24FA"/>
    <w:rsid w:val="00DB7CE2"/>
    <w:rsid w:val="00DC4239"/>
    <w:rsid w:val="00DD593B"/>
    <w:rsid w:val="00DE5EF6"/>
    <w:rsid w:val="00E0612A"/>
    <w:rsid w:val="00E20417"/>
    <w:rsid w:val="00E2056D"/>
    <w:rsid w:val="00E208BC"/>
    <w:rsid w:val="00E24E6B"/>
    <w:rsid w:val="00E30ACB"/>
    <w:rsid w:val="00E3556B"/>
    <w:rsid w:val="00E35FC0"/>
    <w:rsid w:val="00E42E87"/>
    <w:rsid w:val="00E5799E"/>
    <w:rsid w:val="00E61881"/>
    <w:rsid w:val="00E64D72"/>
    <w:rsid w:val="00E7529D"/>
    <w:rsid w:val="00E76B26"/>
    <w:rsid w:val="00E963C2"/>
    <w:rsid w:val="00EB1942"/>
    <w:rsid w:val="00EB5E09"/>
    <w:rsid w:val="00ED3E2E"/>
    <w:rsid w:val="00ED5EA9"/>
    <w:rsid w:val="00EE29A8"/>
    <w:rsid w:val="00EE5BD1"/>
    <w:rsid w:val="00EF0055"/>
    <w:rsid w:val="00EF78EC"/>
    <w:rsid w:val="00F125B8"/>
    <w:rsid w:val="00F14490"/>
    <w:rsid w:val="00F20482"/>
    <w:rsid w:val="00F447A0"/>
    <w:rsid w:val="00F46557"/>
    <w:rsid w:val="00F47304"/>
    <w:rsid w:val="00F50300"/>
    <w:rsid w:val="00F70951"/>
    <w:rsid w:val="00F8071A"/>
    <w:rsid w:val="00F96F00"/>
    <w:rsid w:val="00FB3EE8"/>
    <w:rsid w:val="00FB4672"/>
    <w:rsid w:val="00FB4743"/>
    <w:rsid w:val="00FC2209"/>
    <w:rsid w:val="00FC402D"/>
    <w:rsid w:val="00FD1B4D"/>
    <w:rsid w:val="00FD3C39"/>
    <w:rsid w:val="00FE4306"/>
    <w:rsid w:val="00FE6528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8A35-4141-49DE-A293-139DFFB7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41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335"/>
    <w:pPr>
      <w:spacing w:before="240" w:after="120"/>
      <w:jc w:val="center"/>
      <w:outlineLvl w:val="0"/>
    </w:pPr>
    <w:rPr>
      <w:rFonts w:cs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C1DD7"/>
    <w:pPr>
      <w:keepLines/>
      <w:tabs>
        <w:tab w:val="left" w:pos="576"/>
      </w:tabs>
      <w:spacing w:before="360" w:after="240" w:line="320" w:lineRule="atLeast"/>
      <w:outlineLvl w:val="1"/>
    </w:pPr>
    <w:rPr>
      <w:rFonts w:ascii="Arial Narrow" w:hAnsi="Arial Narrow"/>
      <w:b/>
      <w:i/>
      <w:caps/>
      <w:spacing w:val="30"/>
      <w:kern w:val="28"/>
      <w:sz w:val="3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F3335"/>
    <w:pPr>
      <w:spacing w:before="120"/>
      <w:outlineLvl w:val="2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rsid w:val="009C1DD7"/>
    <w:pPr>
      <w:tabs>
        <w:tab w:val="left" w:pos="993"/>
      </w:tabs>
      <w:spacing w:before="240" w:line="320" w:lineRule="atLeast"/>
      <w:ind w:left="993" w:hanging="993"/>
      <w:outlineLvl w:val="3"/>
    </w:pPr>
    <w:rPr>
      <w:rFonts w:ascii="Arial Narrow" w:hAnsi="Arial Narrow"/>
      <w:b/>
      <w:i/>
      <w:smallCaps/>
      <w:spacing w:val="30"/>
      <w:kern w:val="28"/>
      <w:sz w:val="3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1DD7"/>
    <w:pPr>
      <w:keepLines/>
      <w:tabs>
        <w:tab w:val="left" w:pos="993"/>
      </w:tabs>
      <w:spacing w:before="360" w:after="120" w:line="320" w:lineRule="atLeast"/>
      <w:ind w:left="993" w:hanging="993"/>
      <w:outlineLvl w:val="4"/>
    </w:pPr>
    <w:rPr>
      <w:rFonts w:ascii="Arial Narrow" w:hAnsi="Arial Narrow"/>
      <w:b/>
      <w:i/>
      <w:smallCaps/>
      <w:spacing w:val="28"/>
      <w:kern w:val="28"/>
      <w:sz w:val="28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1DD7"/>
    <w:pPr>
      <w:keepLines/>
      <w:tabs>
        <w:tab w:val="left" w:pos="709"/>
      </w:tabs>
      <w:spacing w:before="240" w:after="0" w:line="320" w:lineRule="atLeast"/>
      <w:ind w:left="709" w:hanging="709"/>
      <w:outlineLvl w:val="5"/>
    </w:pPr>
    <w:rPr>
      <w:rFonts w:ascii="Arial Narrow" w:hAnsi="Arial Narrow"/>
      <w:b/>
      <w:i/>
      <w:spacing w:val="28"/>
      <w:kern w:val="28"/>
      <w:sz w:val="26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9C1DD7"/>
    <w:pPr>
      <w:keepLines/>
      <w:tabs>
        <w:tab w:val="left" w:pos="851"/>
      </w:tabs>
      <w:spacing w:before="240" w:after="120" w:line="320" w:lineRule="atLeast"/>
      <w:ind w:left="851" w:hanging="851"/>
      <w:outlineLvl w:val="6"/>
    </w:pPr>
    <w:rPr>
      <w:rFonts w:ascii="Arial Narrow" w:hAnsi="Arial Narrow"/>
      <w:b/>
      <w:i/>
      <w:spacing w:val="24"/>
      <w:kern w:val="28"/>
      <w:sz w:val="25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9C1DD7"/>
    <w:pPr>
      <w:keepLines/>
      <w:tabs>
        <w:tab w:val="left" w:pos="1985"/>
      </w:tabs>
      <w:spacing w:before="240" w:after="120" w:line="320" w:lineRule="atLeast"/>
      <w:outlineLvl w:val="7"/>
    </w:pPr>
    <w:rPr>
      <w:rFonts w:ascii="Arial Narrow" w:hAnsi="Arial Narrow"/>
      <w:b/>
      <w:i/>
      <w:spacing w:val="24"/>
      <w:kern w:val="28"/>
      <w:sz w:val="26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C1DD7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335"/>
    <w:rPr>
      <w:rFonts w:ascii="Times New Roman" w:eastAsia="Times New Roman" w:hAnsi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F3335"/>
    <w:rPr>
      <w:rFonts w:ascii="Times New Roman" w:eastAsia="Times New Roman" w:hAnsi="Times New Roman" w:cs="Arial"/>
      <w:b/>
      <w:bCs/>
      <w:sz w:val="24"/>
      <w:szCs w:val="24"/>
      <w:lang w:eastAsia="sk-SK"/>
    </w:rPr>
  </w:style>
  <w:style w:type="paragraph" w:customStyle="1" w:styleId="odsek">
    <w:name w:val="odsek"/>
    <w:basedOn w:val="Normlny"/>
    <w:rsid w:val="00CF3335"/>
    <w:pPr>
      <w:spacing w:before="120" w:after="120"/>
      <w:ind w:firstLine="709"/>
    </w:pPr>
  </w:style>
  <w:style w:type="paragraph" w:styleId="Pta">
    <w:name w:val="footer"/>
    <w:basedOn w:val="Normlny"/>
    <w:link w:val="PtaChar"/>
    <w:uiPriority w:val="99"/>
    <w:unhideWhenUsed/>
    <w:rsid w:val="00CF333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C1DD7"/>
    <w:pPr>
      <w:widowControl w:val="0"/>
      <w:autoSpaceDE w:val="0"/>
      <w:autoSpaceDN w:val="0"/>
      <w:adjustRightInd w:val="0"/>
      <w:spacing w:after="0"/>
      <w:ind w:left="720"/>
      <w:contextualSpacing/>
    </w:pPr>
  </w:style>
  <w:style w:type="table" w:styleId="Mriekatabuky">
    <w:name w:val="Table Grid"/>
    <w:basedOn w:val="Normlnatabuka"/>
    <w:uiPriority w:val="39"/>
    <w:unhideWhenUsed/>
    <w:rsid w:val="009C1DD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1">
    <w:name w:val="ppp-input-value1"/>
    <w:basedOn w:val="Predvolenpsmoodseku"/>
    <w:rsid w:val="009C1DD7"/>
    <w:rPr>
      <w:rFonts w:ascii="Tahoma" w:hAnsi="Tahoma" w:cs="Tahoma" w:hint="default"/>
      <w:color w:val="837A73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C1DD7"/>
    <w:rPr>
      <w:i/>
      <w:iCs/>
    </w:rPr>
  </w:style>
  <w:style w:type="character" w:styleId="Siln">
    <w:name w:val="Strong"/>
    <w:basedOn w:val="Predvolenpsmoodseku"/>
    <w:uiPriority w:val="22"/>
    <w:qFormat/>
    <w:rsid w:val="009C1DD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1DD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9C1D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C1D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1DD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9C1D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C1DD7"/>
    <w:rPr>
      <w:rFonts w:cs="Times New Roman"/>
    </w:rPr>
  </w:style>
  <w:style w:type="character" w:customStyle="1" w:styleId="Nadpis9Char">
    <w:name w:val="Nadpis 9 Char"/>
    <w:basedOn w:val="Predvolenpsmoodseku"/>
    <w:link w:val="Nadpis9"/>
    <w:uiPriority w:val="9"/>
    <w:rsid w:val="009C1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DD7"/>
    <w:rPr>
      <w:rFonts w:ascii="Arial Narrow" w:eastAsia="Times New Roman" w:hAnsi="Arial Narrow" w:cs="Times New Roman"/>
      <w:b/>
      <w:i/>
      <w:caps/>
      <w:spacing w:val="30"/>
      <w:kern w:val="28"/>
      <w:sz w:val="3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C1DD7"/>
    <w:rPr>
      <w:rFonts w:ascii="Arial Narrow" w:eastAsia="Times New Roman" w:hAnsi="Arial Narrow" w:cs="Times New Roman"/>
      <w:b/>
      <w:i/>
      <w:smallCaps/>
      <w:spacing w:val="30"/>
      <w:kern w:val="28"/>
      <w:sz w:val="3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9C1DD7"/>
    <w:rPr>
      <w:rFonts w:ascii="Arial Narrow" w:eastAsia="Times New Roman" w:hAnsi="Arial Narrow" w:cs="Times New Roman"/>
      <w:b/>
      <w:i/>
      <w:smallCaps/>
      <w:spacing w:val="28"/>
      <w:kern w:val="28"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9C1DD7"/>
    <w:rPr>
      <w:rFonts w:ascii="Arial Narrow" w:eastAsia="Times New Roman" w:hAnsi="Arial Narrow" w:cs="Times New Roman"/>
      <w:b/>
      <w:i/>
      <w:spacing w:val="28"/>
      <w:kern w:val="28"/>
      <w:sz w:val="26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5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6"/>
      <w:szCs w:val="20"/>
      <w:lang w:eastAsia="cs-CZ"/>
    </w:rPr>
  </w:style>
  <w:style w:type="paragraph" w:customStyle="1" w:styleId="1odrka">
    <w:name w:val="1. odrážka"/>
    <w:basedOn w:val="Normlny"/>
    <w:rsid w:val="009C1DD7"/>
    <w:pPr>
      <w:numPr>
        <w:numId w:val="2"/>
      </w:numPr>
      <w:tabs>
        <w:tab w:val="left" w:pos="426"/>
      </w:tabs>
      <w:spacing w:before="120" w:after="0" w:line="320" w:lineRule="atLeast"/>
    </w:pPr>
    <w:rPr>
      <w:sz w:val="26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rsid w:val="009C1DD7"/>
    <w:pPr>
      <w:tabs>
        <w:tab w:val="right" w:leader="dot" w:pos="9072"/>
      </w:tabs>
      <w:spacing w:before="120" w:after="0" w:line="320" w:lineRule="atLeast"/>
      <w:ind w:right="1701"/>
    </w:pPr>
    <w:rPr>
      <w:sz w:val="26"/>
      <w:szCs w:val="20"/>
      <w:lang w:eastAsia="cs-CZ"/>
    </w:rPr>
  </w:style>
  <w:style w:type="paragraph" w:styleId="Obsah2">
    <w:name w:val="toc 2"/>
    <w:basedOn w:val="Normlny"/>
    <w:autoRedefine/>
    <w:uiPriority w:val="39"/>
    <w:semiHidden/>
    <w:rsid w:val="009C1DD7"/>
    <w:pPr>
      <w:widowControl w:val="0"/>
      <w:tabs>
        <w:tab w:val="left" w:pos="1134"/>
        <w:tab w:val="right" w:leader="dot" w:pos="9072"/>
      </w:tabs>
      <w:spacing w:after="0"/>
      <w:ind w:left="1134" w:right="1701" w:hanging="708"/>
    </w:pPr>
    <w:rPr>
      <w:sz w:val="26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rsid w:val="009C1DD7"/>
    <w:pPr>
      <w:tabs>
        <w:tab w:val="left" w:pos="1843"/>
      </w:tabs>
      <w:spacing w:before="120" w:after="0" w:line="320" w:lineRule="atLeast"/>
      <w:ind w:left="1843" w:hanging="756"/>
    </w:pPr>
    <w:rPr>
      <w:sz w:val="26"/>
      <w:szCs w:val="20"/>
      <w:lang w:eastAsia="cs-CZ"/>
    </w:rPr>
  </w:style>
  <w:style w:type="paragraph" w:styleId="Obsah4">
    <w:name w:val="toc 4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780" w:firstLine="567"/>
    </w:pPr>
    <w:rPr>
      <w:sz w:val="26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040" w:firstLine="567"/>
    </w:pPr>
    <w:rPr>
      <w:sz w:val="26"/>
      <w:szCs w:val="20"/>
      <w:lang w:eastAsia="cs-CZ"/>
    </w:rPr>
  </w:style>
  <w:style w:type="paragraph" w:styleId="Obsah6">
    <w:name w:val="toc 6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300" w:firstLine="567"/>
    </w:pPr>
    <w:rPr>
      <w:sz w:val="26"/>
      <w:szCs w:val="20"/>
      <w:lang w:eastAsia="cs-CZ"/>
    </w:rPr>
  </w:style>
  <w:style w:type="paragraph" w:styleId="Obsah7">
    <w:name w:val="toc 7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560" w:firstLine="567"/>
    </w:pPr>
    <w:rPr>
      <w:sz w:val="26"/>
      <w:szCs w:val="20"/>
      <w:lang w:eastAsia="cs-CZ"/>
    </w:rPr>
  </w:style>
  <w:style w:type="paragraph" w:styleId="Obsah8">
    <w:name w:val="toc 8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820" w:firstLine="567"/>
    </w:pPr>
    <w:rPr>
      <w:sz w:val="26"/>
      <w:szCs w:val="20"/>
      <w:lang w:eastAsia="cs-CZ"/>
    </w:rPr>
  </w:style>
  <w:style w:type="paragraph" w:styleId="Obsah9">
    <w:name w:val="toc 9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2080" w:firstLine="567"/>
    </w:pPr>
    <w:rPr>
      <w:sz w:val="26"/>
      <w:szCs w:val="20"/>
      <w:lang w:eastAsia="cs-CZ"/>
    </w:rPr>
  </w:style>
  <w:style w:type="paragraph" w:customStyle="1" w:styleId="odrka10">
    <w:name w:val="odrážka 1"/>
    <w:basedOn w:val="Normlny"/>
    <w:rsid w:val="009C1DD7"/>
    <w:pPr>
      <w:tabs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357" w:hanging="357"/>
      <w:textAlignment w:val="baseline"/>
    </w:pPr>
    <w:rPr>
      <w:sz w:val="26"/>
      <w:szCs w:val="20"/>
      <w:lang w:eastAsia="cs-CZ"/>
    </w:rPr>
  </w:style>
  <w:style w:type="paragraph" w:customStyle="1" w:styleId="Odrka1">
    <w:name w:val="Odrážka 1"/>
    <w:basedOn w:val="Normlny"/>
    <w:rsid w:val="009C1DD7"/>
    <w:pPr>
      <w:numPr>
        <w:numId w:val="7"/>
      </w:num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customStyle="1" w:styleId="Styl1">
    <w:name w:val="Styl1"/>
    <w:basedOn w:val="Normlny"/>
    <w:rsid w:val="009C1DD7"/>
    <w:pPr>
      <w:numPr>
        <w:numId w:val="5"/>
      </w:numPr>
      <w:tabs>
        <w:tab w:val="left" w:pos="993"/>
      </w:tabs>
      <w:spacing w:before="120" w:after="0" w:line="320" w:lineRule="atLeast"/>
    </w:pPr>
    <w:rPr>
      <w:sz w:val="26"/>
      <w:szCs w:val="20"/>
      <w:lang w:eastAsia="cs-CZ"/>
    </w:rPr>
  </w:style>
  <w:style w:type="paragraph" w:customStyle="1" w:styleId="Odrka3">
    <w:name w:val="Odrážka 3"/>
    <w:basedOn w:val="Styl1"/>
    <w:rsid w:val="009C1DD7"/>
    <w:pPr>
      <w:numPr>
        <w:numId w:val="8"/>
      </w:numPr>
      <w:tabs>
        <w:tab w:val="num" w:pos="851"/>
      </w:tabs>
      <w:ind w:hanging="851"/>
    </w:pPr>
  </w:style>
  <w:style w:type="paragraph" w:customStyle="1" w:styleId="odrkaa">
    <w:name w:val="odrážka a"/>
    <w:basedOn w:val="Normlny"/>
    <w:rsid w:val="009C1DD7"/>
    <w:pPr>
      <w:numPr>
        <w:numId w:val="1"/>
      </w:numPr>
      <w:tabs>
        <w:tab w:val="clear" w:pos="360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C1DD7"/>
    <w:pPr>
      <w:shd w:val="clear" w:color="auto" w:fill="000080"/>
      <w:spacing w:before="120" w:after="0" w:line="320" w:lineRule="atLeast"/>
      <w:ind w:firstLine="567"/>
    </w:pPr>
    <w:rPr>
      <w:rFonts w:ascii="Tahoma" w:hAnsi="Tahoma" w:cs="Tahoma"/>
      <w:sz w:val="26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C1DD7"/>
    <w:rPr>
      <w:rFonts w:ascii="Tahoma" w:eastAsia="Times New Roman" w:hAnsi="Tahoma" w:cs="Tahoma"/>
      <w:sz w:val="26"/>
      <w:szCs w:val="20"/>
      <w:shd w:val="clear" w:color="auto" w:fill="000080"/>
      <w:lang w:eastAsia="cs-CZ"/>
    </w:rPr>
  </w:style>
  <w:style w:type="paragraph" w:styleId="Zoznamsodrkami">
    <w:name w:val="List Bullet"/>
    <w:basedOn w:val="Normlny"/>
    <w:autoRedefine/>
    <w:uiPriority w:val="99"/>
    <w:rsid w:val="009C1DD7"/>
    <w:pPr>
      <w:numPr>
        <w:numId w:val="4"/>
      </w:numPr>
      <w:tabs>
        <w:tab w:val="num" w:pos="851"/>
        <w:tab w:val="num" w:pos="1352"/>
      </w:tabs>
      <w:spacing w:before="120" w:after="0" w:line="320" w:lineRule="atLeast"/>
      <w:ind w:left="360" w:hanging="360"/>
      <w:outlineLvl w:val="3"/>
    </w:pPr>
    <w:rPr>
      <w:sz w:val="26"/>
      <w:szCs w:val="20"/>
      <w:lang w:eastAsia="cs-CZ"/>
    </w:rPr>
  </w:style>
  <w:style w:type="paragraph" w:customStyle="1" w:styleId="tabnazov">
    <w:name w:val="tab.nazov"/>
    <w:basedOn w:val="Normlny"/>
    <w:next w:val="Normlny"/>
    <w:rsid w:val="009C1DD7"/>
    <w:pPr>
      <w:tabs>
        <w:tab w:val="left" w:pos="7088"/>
      </w:tabs>
      <w:spacing w:before="120" w:after="120" w:line="320" w:lineRule="atLeast"/>
    </w:pPr>
    <w:rPr>
      <w:rFonts w:ascii="Arial Narrow" w:hAnsi="Arial Narrow"/>
      <w:b/>
      <w:sz w:val="26"/>
      <w:szCs w:val="20"/>
      <w:lang w:eastAsia="cs-CZ"/>
    </w:rPr>
  </w:style>
  <w:style w:type="paragraph" w:customStyle="1" w:styleId="tabtext">
    <w:name w:val="tab.text"/>
    <w:basedOn w:val="Normlny"/>
    <w:rsid w:val="009C1DD7"/>
    <w:pPr>
      <w:keepLines/>
      <w:spacing w:before="20" w:after="20" w:line="240" w:lineRule="atLeast"/>
      <w:ind w:left="113"/>
    </w:pPr>
    <w:rPr>
      <w:rFonts w:ascii="Arial Narrow" w:hAnsi="Arial Narrow"/>
      <w:sz w:val="22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DD7"/>
    <w:pPr>
      <w:spacing w:after="0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1D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9C1DD7"/>
    <w:pPr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sz w:val="22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C1DD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C1DD7"/>
    <w:pPr>
      <w:widowControl w:val="0"/>
      <w:suppressAutoHyphens/>
      <w:spacing w:before="120" w:after="0" w:line="320" w:lineRule="auto"/>
      <w:ind w:firstLine="567"/>
      <w:outlineLvl w:val="3"/>
    </w:pPr>
    <w:rPr>
      <w:sz w:val="26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C1DD7"/>
    <w:pPr>
      <w:spacing w:after="0"/>
    </w:pPr>
    <w:rPr>
      <w:sz w:val="26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9C1DD7"/>
    <w:pPr>
      <w:spacing w:before="120" w:after="0" w:line="320" w:lineRule="atLeast"/>
      <w:ind w:firstLine="426"/>
    </w:pPr>
    <w:rPr>
      <w:sz w:val="26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Odrka2">
    <w:name w:val="Odrážka 2"/>
    <w:basedOn w:val="Normlny"/>
    <w:rsid w:val="009C1DD7"/>
    <w:pPr>
      <w:numPr>
        <w:numId w:val="3"/>
      </w:numPr>
      <w:tabs>
        <w:tab w:val="clear" w:pos="360"/>
        <w:tab w:val="left" w:pos="709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993"/>
      <w:textAlignment w:val="baseline"/>
    </w:pPr>
    <w:rPr>
      <w:sz w:val="26"/>
      <w:szCs w:val="20"/>
      <w:lang w:eastAsia="cs-CZ"/>
    </w:rPr>
  </w:style>
  <w:style w:type="paragraph" w:customStyle="1" w:styleId="Odrka4">
    <w:name w:val="Odrážka 4"/>
    <w:basedOn w:val="Normlny"/>
    <w:rsid w:val="009C1DD7"/>
    <w:pPr>
      <w:numPr>
        <w:numId w:val="6"/>
      </w:numPr>
      <w:tabs>
        <w:tab w:val="clear" w:pos="360"/>
        <w:tab w:val="num" w:pos="851"/>
        <w:tab w:val="left" w:pos="1276"/>
        <w:tab w:val="num" w:pos="1440"/>
        <w:tab w:val="num" w:pos="1792"/>
        <w:tab w:val="num" w:pos="2149"/>
      </w:tabs>
      <w:suppressAutoHyphens/>
      <w:overflowPunct w:val="0"/>
      <w:autoSpaceDE w:val="0"/>
      <w:autoSpaceDN w:val="0"/>
      <w:adjustRightInd w:val="0"/>
      <w:spacing w:after="0" w:line="320" w:lineRule="atLeast"/>
      <w:ind w:left="2073"/>
      <w:textAlignment w:val="baseline"/>
    </w:pPr>
    <w:rPr>
      <w:sz w:val="26"/>
      <w:szCs w:val="20"/>
      <w:lang w:eastAsia="cs-CZ"/>
    </w:rPr>
  </w:style>
  <w:style w:type="paragraph" w:customStyle="1" w:styleId="paragraf">
    <w:name w:val="paragraf"/>
    <w:basedOn w:val="Normlny"/>
    <w:rsid w:val="009C1DD7"/>
    <w:pPr>
      <w:widowControl w:val="0"/>
      <w:spacing w:before="480" w:after="120"/>
      <w:jc w:val="center"/>
    </w:pPr>
    <w:rPr>
      <w:rFonts w:ascii="Arial" w:hAnsi="Arial"/>
      <w:b/>
      <w:szCs w:val="20"/>
      <w:lang w:eastAsia="cs-CZ"/>
    </w:rPr>
  </w:style>
  <w:style w:type="paragraph" w:customStyle="1" w:styleId="Odrkya">
    <w:name w:val="Odrážky a)"/>
    <w:basedOn w:val="Normlny"/>
    <w:rsid w:val="009C1DD7"/>
    <w:pPr>
      <w:numPr>
        <w:numId w:val="9"/>
      </w:numPr>
      <w:tabs>
        <w:tab w:val="left" w:pos="284"/>
      </w:tabs>
      <w:spacing w:after="0" w:line="320" w:lineRule="exact"/>
    </w:pPr>
    <w:rPr>
      <w:rFonts w:ascii="Arial" w:hAnsi="Arial"/>
      <w:szCs w:val="20"/>
      <w:lang w:eastAsia="cs-CZ"/>
    </w:rPr>
  </w:style>
  <w:style w:type="paragraph" w:customStyle="1" w:styleId="oddiel">
    <w:name w:val="oddiel"/>
    <w:basedOn w:val="Normlny"/>
    <w:rsid w:val="009C1DD7"/>
    <w:pPr>
      <w:widowControl w:val="0"/>
      <w:spacing w:before="600" w:after="120" w:line="320" w:lineRule="atLeast"/>
      <w:jc w:val="center"/>
    </w:pPr>
    <w:rPr>
      <w:rFonts w:ascii="Arial" w:hAnsi="Arial"/>
      <w:b/>
      <w:sz w:val="28"/>
      <w:szCs w:val="20"/>
      <w:lang w:eastAsia="cs-CZ"/>
    </w:rPr>
  </w:style>
  <w:style w:type="paragraph" w:customStyle="1" w:styleId="textpar">
    <w:name w:val="text par"/>
    <w:rsid w:val="009C1DD7"/>
    <w:pPr>
      <w:numPr>
        <w:numId w:val="10"/>
      </w:numPr>
      <w:tabs>
        <w:tab w:val="left" w:pos="993"/>
      </w:tabs>
      <w:spacing w:before="120"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9C1DD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9C1DD7"/>
    <w:pPr>
      <w:spacing w:before="120" w:after="0" w:line="320" w:lineRule="atLeast"/>
      <w:ind w:firstLine="567"/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9C1D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zstupnhosymbolu1">
    <w:name w:val="Text zástupného symbolu1"/>
    <w:uiPriority w:val="99"/>
    <w:semiHidden/>
    <w:rsid w:val="009C1DD7"/>
    <w:rPr>
      <w:rFonts w:ascii="Times New Roman" w:hAnsi="Times New Roman" w:cs="Times New Roman"/>
      <w:color w:val="808080"/>
    </w:rPr>
  </w:style>
  <w:style w:type="paragraph" w:customStyle="1" w:styleId="odsek1">
    <w:name w:val="odsek1"/>
    <w:basedOn w:val="Normlny"/>
    <w:rsid w:val="009C1DD7"/>
    <w:pPr>
      <w:numPr>
        <w:numId w:val="11"/>
      </w:numPr>
      <w:suppressAutoHyphens/>
      <w:spacing w:before="120" w:after="120"/>
      <w:ind w:left="0" w:firstLine="709"/>
    </w:pPr>
    <w:rPr>
      <w:lang w:eastAsia="ar-SA"/>
    </w:rPr>
  </w:style>
  <w:style w:type="character" w:styleId="Odkaznakomentr">
    <w:name w:val="annotation reference"/>
    <w:basedOn w:val="Predvolenpsmoodseku"/>
    <w:rsid w:val="009C1D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1DD7"/>
    <w:pPr>
      <w:widowControl w:val="0"/>
      <w:spacing w:before="120" w:after="0"/>
      <w:outlineLvl w:val="3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9C1D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C1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C1D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2E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a">
    <w:name w:val="adda"/>
    <w:basedOn w:val="Normlny"/>
    <w:rsid w:val="000928A3"/>
    <w:pPr>
      <w:numPr>
        <w:numId w:val="13"/>
      </w:numPr>
      <w:spacing w:before="60" w:after="60" w:line="240" w:lineRule="auto"/>
      <w:jc w:val="both"/>
    </w:pPr>
    <w:rPr>
      <w:rFonts w:eastAsia="Calibri"/>
      <w:spacing w:val="-3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764AE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na-rozpočet"/>
    <f:field ref="objsubject" par="" edit="true" text=""/>
    <f:field ref="objcreatedby" par="" text="Nemec, Roman, Mgr."/>
    <f:field ref="objcreatedat" par="" text="25.4.2022 14:18:35"/>
    <f:field ref="objchangedby" par="" text="Administrator, System"/>
    <f:field ref="objmodifiedat" par="" text="25.4.2022 14:18:3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https://ovdmasv601/sites/DMS/_layouts/15/DocIdRedir.aspx?ID=WKX3UHSAJ2R6-2-1197169</Url>
      <Description>WKX3UHSAJ2R6-2-1197169</Description>
    </_dlc_DocIdUrl>
    <_dlc_DocId xmlns="e60a29af-d413-48d4-bd90-fe9d2a897e4b">WKX3UHSAJ2R6-2-1197169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D1D591-44C0-4E20-999B-30E482899DD2}"/>
</file>

<file path=customXml/itemProps3.xml><?xml version="1.0" encoding="utf-8"?>
<ds:datastoreItem xmlns:ds="http://schemas.openxmlformats.org/officeDocument/2006/customXml" ds:itemID="{E4496083-709C-4600-977D-1C1925693B84}"/>
</file>

<file path=customXml/itemProps4.xml><?xml version="1.0" encoding="utf-8"?>
<ds:datastoreItem xmlns:ds="http://schemas.openxmlformats.org/officeDocument/2006/customXml" ds:itemID="{13553FF9-01DB-4A30-8DBA-9CCF45A63649}"/>
</file>

<file path=customXml/itemProps5.xml><?xml version="1.0" encoding="utf-8"?>
<ds:datastoreItem xmlns:ds="http://schemas.openxmlformats.org/officeDocument/2006/customXml" ds:itemID="{99FA9D0B-9967-416B-BD6D-5E8A9286C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2424</Words>
  <Characters>13818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Benová Tímea</cp:lastModifiedBy>
  <cp:revision>3</cp:revision>
  <cp:lastPrinted>2022-12-29T12:52:00Z</cp:lastPrinted>
  <dcterms:created xsi:type="dcterms:W3CDTF">2023-02-01T09:55:00Z</dcterms:created>
  <dcterms:modified xsi:type="dcterms:W3CDTF">2023-02-01T12:36:00Z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COO.2145.1000.3.4926990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92ea6b86-48c0-4677-bf12-c1dbae906f58</vt:lpwstr>
  </property>
</Properties>
</file>