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802AC0">
            <w:pPr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392E6E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F3080" w:rsidP="00802AC0">
            <w:pPr>
              <w:rPr>
                <w:i/>
              </w:rPr>
            </w:pPr>
            <w:r w:rsidRPr="001D5432">
              <w:rPr>
                <w:sz w:val="24"/>
                <w:szCs w:val="24"/>
              </w:rPr>
              <w:t>RKN Global Europe s.r.o., so sídlom Na Troskách 26, 974 01 Banská Bystrica, Slovenská republika</w:t>
            </w:r>
            <w:r w:rsidR="00802AC0">
              <w:rPr>
                <w:sz w:val="24"/>
                <w:szCs w:val="24"/>
              </w:rPr>
              <w:t>.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0D2622" w:rsidRDefault="009F2DFA" w:rsidP="003B7AEB">
            <w:pPr>
              <w:jc w:val="both"/>
              <w:rPr>
                <w:i/>
              </w:rPr>
            </w:pP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>
      <w:pPr>
        <w:rPr>
          <w:b/>
          <w:sz w:val="24"/>
        </w:rPr>
      </w:pPr>
    </w:p>
    <w:sectPr w:rsidR="009F2D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B8" w:rsidRDefault="006B3DB8" w:rsidP="009F2DFA">
      <w:r>
        <w:separator/>
      </w:r>
    </w:p>
  </w:endnote>
  <w:endnote w:type="continuationSeparator" w:id="0">
    <w:p w:rsidR="006B3DB8" w:rsidRDefault="006B3DB8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19">
          <w:rPr>
            <w:noProof/>
          </w:rPr>
          <w:t>1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B8" w:rsidRDefault="006B3DB8" w:rsidP="009F2DFA">
      <w:r>
        <w:separator/>
      </w:r>
    </w:p>
  </w:footnote>
  <w:footnote w:type="continuationSeparator" w:id="0">
    <w:p w:rsidR="006B3DB8" w:rsidRDefault="006B3DB8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63D9E"/>
    <w:rsid w:val="00125CAD"/>
    <w:rsid w:val="00154881"/>
    <w:rsid w:val="00167619"/>
    <w:rsid w:val="002167F1"/>
    <w:rsid w:val="00230A65"/>
    <w:rsid w:val="00290621"/>
    <w:rsid w:val="002B1108"/>
    <w:rsid w:val="002F3080"/>
    <w:rsid w:val="00392E6E"/>
    <w:rsid w:val="003B7AEB"/>
    <w:rsid w:val="004A265A"/>
    <w:rsid w:val="0052297F"/>
    <w:rsid w:val="00570C75"/>
    <w:rsid w:val="006B3DB8"/>
    <w:rsid w:val="00780BA6"/>
    <w:rsid w:val="00802AC0"/>
    <w:rsid w:val="00837639"/>
    <w:rsid w:val="008A1252"/>
    <w:rsid w:val="00904C9B"/>
    <w:rsid w:val="009F2DFA"/>
    <w:rsid w:val="009F3394"/>
    <w:rsid w:val="00A717FC"/>
    <w:rsid w:val="00B31A8E"/>
    <w:rsid w:val="00BA073A"/>
    <w:rsid w:val="00BB65AB"/>
    <w:rsid w:val="00CB3623"/>
    <w:rsid w:val="00D84892"/>
    <w:rsid w:val="00E86AD1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WKX3UHSAJ2R6-2-437024</_dlc_DocId>
    <_dlc_DocIdUrl xmlns="e60a29af-d413-48d4-bd90-fe9d2a897e4b">
      <Url>https://ovdmasv601/sites/DMS/_layouts/15/DocIdRedir.aspx?ID=WKX3UHSAJ2R6-2-437024</Url>
      <Description>WKX3UHSAJ2R6-2-437024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B703E-7C3A-4B7E-9D34-80E275073026}"/>
</file>

<file path=customXml/itemProps2.xml><?xml version="1.0" encoding="utf-8"?>
<ds:datastoreItem xmlns:ds="http://schemas.openxmlformats.org/officeDocument/2006/customXml" ds:itemID="{C2DD3417-88D9-4E2E-A864-A6CFB4EA1D36}"/>
</file>

<file path=customXml/itemProps3.xml><?xml version="1.0" encoding="utf-8"?>
<ds:datastoreItem xmlns:ds="http://schemas.openxmlformats.org/officeDocument/2006/customXml" ds:itemID="{D1AB39D6-52F9-43A5-85BB-AA484F977E65}"/>
</file>

<file path=customXml/itemProps4.xml><?xml version="1.0" encoding="utf-8"?>
<ds:datastoreItem xmlns:ds="http://schemas.openxmlformats.org/officeDocument/2006/customXml" ds:itemID="{83CAAE5F-C272-4484-B4F4-967B10089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2</cp:revision>
  <dcterms:created xsi:type="dcterms:W3CDTF">2016-02-22T17:09:00Z</dcterms:created>
  <dcterms:modified xsi:type="dcterms:W3CDTF">2016-02-22T17:09:00Z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c0b27b06-68b2-40c9-ad69-9ec16efda323</vt:lpwstr>
  </property>
</Properties>
</file>