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622" w:rsidRPr="00483982" w:rsidRDefault="0078532E" w:rsidP="00DB2917">
      <w:pPr>
        <w:spacing w:line="276" w:lineRule="auto"/>
        <w:jc w:val="center"/>
        <w:rPr>
          <w:rFonts w:ascii="Times New Roman" w:eastAsia="Times New Roman" w:hAnsi="Times New Roman" w:cs="Times New Roman"/>
          <w:bCs/>
          <w:sz w:val="24"/>
          <w:szCs w:val="24"/>
        </w:rPr>
      </w:pPr>
      <w:bookmarkStart w:id="0" w:name="_GoBack"/>
      <w:bookmarkEnd w:id="0"/>
      <w:r w:rsidRPr="00483982">
        <w:rPr>
          <w:rFonts w:ascii="Times New Roman" w:eastAsia="Times New Roman" w:hAnsi="Times New Roman" w:cs="Times New Roman"/>
          <w:b/>
          <w:sz w:val="28"/>
          <w:lang w:val="en-US"/>
        </w:rPr>
        <w:t>VZNESENÉ PRIPOMIENKY V RÁMCI PRIPOMIENKOVÉHO KONANIA</w:t>
      </w:r>
      <w:r w:rsidRPr="00483982">
        <w:rPr>
          <w:rFonts w:ascii="Times New Roman" w:eastAsia="Times New Roman" w:hAnsi="Times New Roman" w:cs="Times New Roman"/>
          <w:b/>
          <w:sz w:val="28"/>
        </w:rPr>
        <w:br/>
      </w:r>
      <w:proofErr w:type="spellStart"/>
      <w:r w:rsidR="009D32B4" w:rsidRPr="00483982">
        <w:rPr>
          <w:rFonts w:ascii="Times New Roman" w:eastAsia="Times New Roman" w:hAnsi="Times New Roman" w:cs="Times New Roman"/>
          <w:b/>
          <w:sz w:val="24"/>
          <w:szCs w:val="20"/>
          <w:lang w:val="en-US"/>
        </w:rPr>
        <w:t>Návrh</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poslancov</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Národnej</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rady</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Slovenskej</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republiky</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Pauly</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Puškárovej</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Ľubice</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Laššákovej</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Aleny</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Novákovej</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Jozefa</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Cecha</w:t>
      </w:r>
      <w:proofErr w:type="spellEnd"/>
      <w:r w:rsidR="009D32B4" w:rsidRPr="00483982">
        <w:rPr>
          <w:rFonts w:ascii="Times New Roman" w:eastAsia="Times New Roman" w:hAnsi="Times New Roman" w:cs="Times New Roman"/>
          <w:b/>
          <w:sz w:val="24"/>
          <w:szCs w:val="20"/>
          <w:lang w:val="en-US"/>
        </w:rPr>
        <w:t xml:space="preserve"> a </w:t>
      </w:r>
      <w:proofErr w:type="spellStart"/>
      <w:r w:rsidR="009D32B4" w:rsidRPr="00483982">
        <w:rPr>
          <w:rFonts w:ascii="Times New Roman" w:eastAsia="Times New Roman" w:hAnsi="Times New Roman" w:cs="Times New Roman"/>
          <w:b/>
          <w:sz w:val="24"/>
          <w:szCs w:val="20"/>
          <w:lang w:val="en-US"/>
        </w:rPr>
        <w:t>Zdenky</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Mačicovej</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na</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vydanie</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zákona</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ktorým</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sa</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mení</w:t>
      </w:r>
      <w:proofErr w:type="spellEnd"/>
      <w:r w:rsidR="009D32B4" w:rsidRPr="00483982">
        <w:rPr>
          <w:rFonts w:ascii="Times New Roman" w:eastAsia="Times New Roman" w:hAnsi="Times New Roman" w:cs="Times New Roman"/>
          <w:b/>
          <w:sz w:val="24"/>
          <w:szCs w:val="20"/>
          <w:lang w:val="en-US"/>
        </w:rPr>
        <w:t xml:space="preserve"> a </w:t>
      </w:r>
      <w:proofErr w:type="spellStart"/>
      <w:r w:rsidR="009D32B4" w:rsidRPr="00483982">
        <w:rPr>
          <w:rFonts w:ascii="Times New Roman" w:eastAsia="Times New Roman" w:hAnsi="Times New Roman" w:cs="Times New Roman"/>
          <w:b/>
          <w:sz w:val="24"/>
          <w:szCs w:val="20"/>
          <w:lang w:val="en-US"/>
        </w:rPr>
        <w:t>dopĺňa</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zákon</w:t>
      </w:r>
      <w:proofErr w:type="spellEnd"/>
      <w:r w:rsidR="009D32B4" w:rsidRPr="00483982">
        <w:rPr>
          <w:rFonts w:ascii="Times New Roman" w:eastAsia="Times New Roman" w:hAnsi="Times New Roman" w:cs="Times New Roman"/>
          <w:b/>
          <w:sz w:val="24"/>
          <w:szCs w:val="20"/>
          <w:lang w:val="en-US"/>
        </w:rPr>
        <w:t xml:space="preserve"> č. 36/2005 Z. z. o </w:t>
      </w:r>
      <w:proofErr w:type="spellStart"/>
      <w:r w:rsidR="009D32B4" w:rsidRPr="00483982">
        <w:rPr>
          <w:rFonts w:ascii="Times New Roman" w:eastAsia="Times New Roman" w:hAnsi="Times New Roman" w:cs="Times New Roman"/>
          <w:b/>
          <w:sz w:val="24"/>
          <w:szCs w:val="20"/>
          <w:lang w:val="en-US"/>
        </w:rPr>
        <w:t>rodine</w:t>
      </w:r>
      <w:proofErr w:type="spellEnd"/>
      <w:r w:rsidR="009D32B4" w:rsidRPr="00483982">
        <w:rPr>
          <w:rFonts w:ascii="Times New Roman" w:eastAsia="Times New Roman" w:hAnsi="Times New Roman" w:cs="Times New Roman"/>
          <w:b/>
          <w:sz w:val="24"/>
          <w:szCs w:val="20"/>
          <w:lang w:val="en-US"/>
        </w:rPr>
        <w:t xml:space="preserve"> a o </w:t>
      </w:r>
      <w:proofErr w:type="spellStart"/>
      <w:r w:rsidR="009D32B4" w:rsidRPr="00483982">
        <w:rPr>
          <w:rFonts w:ascii="Times New Roman" w:eastAsia="Times New Roman" w:hAnsi="Times New Roman" w:cs="Times New Roman"/>
          <w:b/>
          <w:sz w:val="24"/>
          <w:szCs w:val="20"/>
          <w:lang w:val="en-US"/>
        </w:rPr>
        <w:t>zmene</w:t>
      </w:r>
      <w:proofErr w:type="spellEnd"/>
      <w:r w:rsidR="009D32B4" w:rsidRPr="00483982">
        <w:rPr>
          <w:rFonts w:ascii="Times New Roman" w:eastAsia="Times New Roman" w:hAnsi="Times New Roman" w:cs="Times New Roman"/>
          <w:b/>
          <w:sz w:val="24"/>
          <w:szCs w:val="20"/>
          <w:lang w:val="en-US"/>
        </w:rPr>
        <w:t xml:space="preserve"> a </w:t>
      </w:r>
      <w:proofErr w:type="spellStart"/>
      <w:r w:rsidR="009D32B4" w:rsidRPr="00483982">
        <w:rPr>
          <w:rFonts w:ascii="Times New Roman" w:eastAsia="Times New Roman" w:hAnsi="Times New Roman" w:cs="Times New Roman"/>
          <w:b/>
          <w:sz w:val="24"/>
          <w:szCs w:val="20"/>
          <w:lang w:val="en-US"/>
        </w:rPr>
        <w:t>doplnení</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niektorých</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zákonov</w:t>
      </w:r>
      <w:proofErr w:type="spellEnd"/>
      <w:r w:rsidR="009D32B4" w:rsidRPr="00483982">
        <w:rPr>
          <w:rFonts w:ascii="Times New Roman" w:eastAsia="Times New Roman" w:hAnsi="Times New Roman" w:cs="Times New Roman"/>
          <w:b/>
          <w:sz w:val="24"/>
          <w:szCs w:val="20"/>
          <w:lang w:val="en-US"/>
        </w:rPr>
        <w:t xml:space="preserve"> v </w:t>
      </w:r>
      <w:proofErr w:type="spellStart"/>
      <w:r w:rsidR="009D32B4" w:rsidRPr="00483982">
        <w:rPr>
          <w:rFonts w:ascii="Times New Roman" w:eastAsia="Times New Roman" w:hAnsi="Times New Roman" w:cs="Times New Roman"/>
          <w:b/>
          <w:sz w:val="24"/>
          <w:szCs w:val="20"/>
          <w:lang w:val="en-US"/>
        </w:rPr>
        <w:t>znení</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neskorších</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predpisov</w:t>
      </w:r>
      <w:proofErr w:type="spellEnd"/>
      <w:r w:rsidR="009D32B4" w:rsidRPr="00483982">
        <w:rPr>
          <w:rFonts w:ascii="Times New Roman" w:eastAsia="Times New Roman" w:hAnsi="Times New Roman" w:cs="Times New Roman"/>
          <w:b/>
          <w:sz w:val="24"/>
          <w:szCs w:val="20"/>
          <w:lang w:val="en-US"/>
        </w:rPr>
        <w:t xml:space="preserve"> (</w:t>
      </w:r>
      <w:proofErr w:type="spellStart"/>
      <w:r w:rsidR="009D32B4" w:rsidRPr="00483982">
        <w:rPr>
          <w:rFonts w:ascii="Times New Roman" w:eastAsia="Times New Roman" w:hAnsi="Times New Roman" w:cs="Times New Roman"/>
          <w:b/>
          <w:sz w:val="24"/>
          <w:szCs w:val="20"/>
          <w:lang w:val="en-US"/>
        </w:rPr>
        <w:t>tlač</w:t>
      </w:r>
      <w:proofErr w:type="spellEnd"/>
      <w:r w:rsidR="009D32B4" w:rsidRPr="00483982">
        <w:rPr>
          <w:rFonts w:ascii="Times New Roman" w:eastAsia="Times New Roman" w:hAnsi="Times New Roman" w:cs="Times New Roman"/>
          <w:b/>
          <w:sz w:val="24"/>
          <w:szCs w:val="20"/>
          <w:lang w:val="en-US"/>
        </w:rPr>
        <w:t xml:space="preserve"> 1252)</w:t>
      </w:r>
      <w:r w:rsidR="00917A99" w:rsidRPr="00483982">
        <w:rPr>
          <w:rFonts w:ascii="Times New Roman" w:eastAsia="Times New Roman" w:hAnsi="Times New Roman" w:cs="Times New Roman"/>
          <w:b/>
          <w:sz w:val="28"/>
        </w:rPr>
        <w:br/>
      </w:r>
      <w:r w:rsidR="003F1216" w:rsidRPr="00483982">
        <w:rPr>
          <w:rFonts w:ascii="Times New Roman" w:eastAsia="Times New Roman" w:hAnsi="Times New Roman" w:cs="Times New Roman"/>
          <w:bCs/>
          <w:sz w:val="24"/>
          <w:szCs w:val="24"/>
        </w:rPr>
        <w:t>LP/2026/261</w:t>
      </w:r>
    </w:p>
    <w:p w:rsidR="00DB2917" w:rsidRPr="00483982" w:rsidRDefault="00AE71E4" w:rsidP="00DB2917">
      <w:pPr>
        <w:spacing w:line="276" w:lineRule="auto"/>
        <w:rPr>
          <w:sz w:val="24"/>
          <w:szCs w:val="24"/>
        </w:rPr>
      </w:pPr>
      <w:r w:rsidRPr="00483982">
        <w:rPr>
          <w:rFonts w:ascii="Times New Roman" w:eastAsia="Times New Roman" w:hAnsi="Times New Roman" w:cs="Times New Roman"/>
          <w:sz w:val="24"/>
          <w:szCs w:val="24"/>
        </w:rPr>
        <w:t>Vysvetlivky k použitým skratkám v tabuľke:</w:t>
      </w:r>
      <w:r w:rsidRPr="00483982">
        <w:rPr>
          <w:rFonts w:ascii="Times New Roman" w:eastAsia="Times New Roman" w:hAnsi="Times New Roman" w:cs="Times New Roman"/>
          <w:sz w:val="24"/>
          <w:szCs w:val="24"/>
        </w:rPr>
        <w:br/>
        <w:t>O – obyčajná</w:t>
      </w:r>
      <w:r w:rsidRPr="00483982">
        <w:rPr>
          <w:rFonts w:ascii="Times New Roman" w:eastAsia="Times New Roman" w:hAnsi="Times New Roman" w:cs="Times New Roman"/>
          <w:sz w:val="24"/>
          <w:szCs w:val="24"/>
        </w:rPr>
        <w:br/>
        <w:t>Z – zásadná</w:t>
      </w:r>
    </w:p>
    <w:p w:rsidR="00F0653F" w:rsidRPr="00483982" w:rsidRDefault="00AE71E4" w:rsidP="00DB2917">
      <w:pPr>
        <w:spacing w:line="276" w:lineRule="auto"/>
        <w:rPr>
          <w:sz w:val="24"/>
          <w:szCs w:val="24"/>
        </w:rPr>
      </w:pPr>
      <w:r w:rsidRPr="00483982">
        <w:rPr>
          <w:rFonts w:ascii="Times New Roman" w:eastAsia="Times New Roman" w:hAnsi="Times New Roman" w:cs="Times New Roman"/>
          <w:sz w:val="24"/>
          <w:szCs w:val="24"/>
        </w:rPr>
        <w:t>Po</w:t>
      </w:r>
      <w:r w:rsidR="001F777F" w:rsidRPr="00483982">
        <w:rPr>
          <w:rFonts w:ascii="Times New Roman" w:eastAsia="Times New Roman" w:hAnsi="Times New Roman" w:cs="Times New Roman"/>
          <w:sz w:val="24"/>
          <w:szCs w:val="24"/>
          <w:lang w:val="en-US"/>
        </w:rPr>
        <w:t>č</w:t>
      </w:r>
      <w:r w:rsidRPr="00483982">
        <w:rPr>
          <w:rFonts w:ascii="Times New Roman" w:eastAsia="Times New Roman" w:hAnsi="Times New Roman" w:cs="Times New Roman"/>
          <w:sz w:val="24"/>
          <w:szCs w:val="24"/>
        </w:rPr>
        <w:t xml:space="preserve">et vznesených pripomienok, z toho zásadných: </w:t>
      </w:r>
      <w:r w:rsidRPr="00483982">
        <w:rPr>
          <w:rFonts w:ascii="Times New Roman" w:eastAsia="Times New Roman" w:hAnsi="Times New Roman" w:cs="Times New Roman"/>
          <w:sz w:val="18"/>
          <w:szCs w:val="18"/>
        </w:rPr>
        <w:tab/>
      </w:r>
      <w:r w:rsidR="00A36692" w:rsidRPr="00483982">
        <w:rPr>
          <w:rFonts w:ascii="Times New Roman" w:eastAsia="Times New Roman" w:hAnsi="Times New Roman" w:cs="Times New Roman"/>
          <w:sz w:val="24"/>
          <w:szCs w:val="24"/>
          <w:lang w:val="en-US"/>
        </w:rPr>
        <w:t>21</w:t>
      </w:r>
      <w:r w:rsidR="002E3CEC" w:rsidRPr="00483982">
        <w:rPr>
          <w:rFonts w:ascii="Times New Roman" w:eastAsia="Times New Roman" w:hAnsi="Times New Roman" w:cs="Times New Roman"/>
          <w:sz w:val="24"/>
          <w:szCs w:val="24"/>
          <w:lang w:val="en-US"/>
        </w:rPr>
        <w:t>/1</w:t>
      </w:r>
    </w:p>
    <w:p w:rsidR="00E66622" w:rsidRPr="00483982" w:rsidRDefault="00AE71E4" w:rsidP="00DB2917">
      <w:pPr>
        <w:spacing w:line="276" w:lineRule="auto"/>
        <w:rPr>
          <w:sz w:val="24"/>
          <w:szCs w:val="24"/>
        </w:rPr>
      </w:pPr>
      <w:r w:rsidRPr="00483982">
        <w:rPr>
          <w:rFonts w:ascii="Times New Roman" w:eastAsia="Times New Roman" w:hAnsi="Times New Roman" w:cs="Times New Roman"/>
          <w:sz w:val="24"/>
          <w:szCs w:val="24"/>
        </w:rPr>
        <w:t>Po</w:t>
      </w:r>
      <w:r w:rsidR="001F777F" w:rsidRPr="00483982">
        <w:rPr>
          <w:rFonts w:ascii="Times New Roman" w:eastAsia="Times New Roman" w:hAnsi="Times New Roman" w:cs="Times New Roman"/>
          <w:sz w:val="24"/>
          <w:szCs w:val="24"/>
        </w:rPr>
        <w:t>č</w:t>
      </w:r>
      <w:r w:rsidRPr="00483982">
        <w:rPr>
          <w:rFonts w:ascii="Times New Roman" w:eastAsia="Times New Roman" w:hAnsi="Times New Roman" w:cs="Times New Roman"/>
          <w:sz w:val="24"/>
          <w:szCs w:val="24"/>
        </w:rPr>
        <w:t xml:space="preserve">et vznesených hromadných pripomienok: </w:t>
      </w:r>
      <w:r w:rsidRPr="00483982">
        <w:rPr>
          <w:rFonts w:ascii="Times New Roman" w:eastAsia="Times New Roman" w:hAnsi="Times New Roman" w:cs="Times New Roman"/>
          <w:sz w:val="24"/>
          <w:szCs w:val="24"/>
        </w:rPr>
        <w:tab/>
      </w:r>
      <w:r w:rsidR="00335FFB" w:rsidRPr="00483982">
        <w:rPr>
          <w:rFonts w:ascii="Times New Roman" w:eastAsia="Times New Roman" w:hAnsi="Times New Roman" w:cs="Times New Roman"/>
          <w:sz w:val="24"/>
          <w:szCs w:val="24"/>
        </w:rPr>
        <w:t>0</w:t>
      </w:r>
    </w:p>
    <w:p w:rsidR="007C1A93" w:rsidRPr="00483982" w:rsidRDefault="00E66622">
      <w:pPr>
        <w:rPr>
          <w:rFonts w:ascii="Times New Roman" w:eastAsia="Times New Roman" w:hAnsi="Times New Roman" w:cs="Times New Roman"/>
          <w:sz w:val="20"/>
        </w:rPr>
      </w:pPr>
      <w:r w:rsidRPr="00483982">
        <w:rPr>
          <w:rFonts w:ascii="Times New Roman" w:eastAsia="Times New Roman" w:hAnsi="Times New Roman" w:cs="Times New Roman"/>
          <w:sz w:val="20"/>
        </w:rPr>
        <w:br/>
      </w:r>
      <w:r w:rsidRPr="00483982">
        <w:rPr>
          <w:rFonts w:ascii="Times New Roman" w:eastAsia="Times New Roman" w:hAnsi="Times New Roman" w:cs="Times New Roman"/>
          <w:sz w:val="24"/>
          <w:szCs w:val="24"/>
        </w:rPr>
        <w:t>Vznesené pripomienky</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87"/>
        <w:gridCol w:w="1394"/>
        <w:gridCol w:w="8779"/>
      </w:tblGrid>
      <w:tr w:rsidR="00E11D16" w:rsidRPr="00483982" w:rsidTr="00CD5259">
        <w:trPr>
          <w:trHeight w:val="648"/>
        </w:trPr>
        <w:tc>
          <w:tcPr>
            <w:tcW w:w="1000" w:type="pct"/>
            <w:vAlign w:val="center"/>
          </w:tcPr>
          <w:p w:rsidR="00E11D16" w:rsidRPr="00483982" w:rsidRDefault="00E11D16" w:rsidP="00CB600D">
            <w:pPr>
              <w:spacing w:after="0" w:line="240" w:lineRule="auto"/>
              <w:jc w:val="center"/>
              <w:rPr>
                <w:rFonts w:ascii="Times New Roman" w:hAnsi="Times New Roman" w:cs="Times New Roman"/>
                <w:b/>
                <w:bCs/>
                <w:sz w:val="24"/>
                <w:szCs w:val="24"/>
              </w:rPr>
            </w:pPr>
            <w:r w:rsidRPr="00483982">
              <w:rPr>
                <w:rFonts w:ascii="Times New Roman" w:hAnsi="Times New Roman" w:cs="Times New Roman"/>
                <w:b/>
                <w:bCs/>
                <w:sz w:val="24"/>
                <w:szCs w:val="24"/>
              </w:rPr>
              <w:t>Subjekt</w:t>
            </w:r>
          </w:p>
        </w:tc>
        <w:tc>
          <w:tcPr>
            <w:tcW w:w="500" w:type="pct"/>
            <w:vAlign w:val="center"/>
          </w:tcPr>
          <w:p w:rsidR="00E11D16" w:rsidRPr="00483982" w:rsidRDefault="00E11D16" w:rsidP="00CB600D">
            <w:pPr>
              <w:spacing w:after="0" w:line="240" w:lineRule="auto"/>
              <w:jc w:val="center"/>
              <w:rPr>
                <w:rFonts w:ascii="Times New Roman" w:hAnsi="Times New Roman" w:cs="Times New Roman"/>
                <w:b/>
                <w:bCs/>
                <w:sz w:val="24"/>
                <w:szCs w:val="24"/>
              </w:rPr>
            </w:pPr>
            <w:r w:rsidRPr="00483982">
              <w:rPr>
                <w:rFonts w:ascii="Times New Roman" w:hAnsi="Times New Roman" w:cs="Times New Roman"/>
                <w:b/>
                <w:bCs/>
                <w:sz w:val="24"/>
                <w:szCs w:val="24"/>
              </w:rPr>
              <w:t>Typ</w:t>
            </w:r>
          </w:p>
        </w:tc>
        <w:tc>
          <w:tcPr>
            <w:tcW w:w="3150" w:type="pct"/>
            <w:vAlign w:val="center"/>
          </w:tcPr>
          <w:p w:rsidR="00E11D16" w:rsidRPr="00483982" w:rsidRDefault="00E11D16" w:rsidP="00CB600D">
            <w:pPr>
              <w:spacing w:after="0" w:line="240" w:lineRule="auto"/>
              <w:jc w:val="center"/>
              <w:rPr>
                <w:rFonts w:ascii="Times New Roman" w:hAnsi="Times New Roman" w:cs="Times New Roman"/>
                <w:b/>
                <w:bCs/>
                <w:sz w:val="24"/>
                <w:szCs w:val="24"/>
              </w:rPr>
            </w:pPr>
            <w:r w:rsidRPr="00483982">
              <w:rPr>
                <w:rFonts w:ascii="Times New Roman" w:hAnsi="Times New Roman" w:cs="Times New Roman"/>
                <w:b/>
                <w:bCs/>
                <w:sz w:val="24"/>
                <w:szCs w:val="24"/>
              </w:rPr>
              <w:t>Pripomienka</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GPSR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Generálna prokuratúra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K návrhu zákona všeobecne – O:</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Súhlasíme s cieľom navrhovanej legislatívnej zmeny, t. j. posilniť ekonomickú ochranu maloletých detí a zvýšiť zodpovednosť rodičov za výživu detí, ktorý z vecného a právneho hľadiska považujeme za legitímny a racionálny.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Čo sa týka spôsobu dosiahnutia cieľa navrhovanou zmenou vrátane legislatívneho riešenia, stotožňujeme sa so stanoviskom Ministerstva spravodlivosti Slovenskej republiky k predloženému návrhu zákona.</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KBS</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Konferencia biskupov Slovenska</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Zásadná pripomienka: Návrh zákona, ktorým sa mení a dopĺňa zákon č. 36/2005 Z. z. o rodine a o zmene a doplnení niektorých zákonov v znení neskorších predpisov navrhujeme vypustiť a stiahnuť z legislatívneho procesu.</w:t>
            </w:r>
            <w:r w:rsidRPr="00483982">
              <w:rPr>
                <w:rFonts w:ascii="Times New Roman" w:eastAsia="Times New Roman" w:hAnsi="Times New Roman" w:cs="Times New Roman"/>
                <w:color w:val="000000"/>
                <w:sz w:val="24"/>
              </w:rPr>
              <w:br/>
              <w:t xml:space="preserve">Odôvodnenie: Stotožňujeme sa so snahou zabezpečiť, aby výživné predstavovalo reálny </w:t>
            </w:r>
            <w:r w:rsidRPr="00483982">
              <w:rPr>
                <w:rFonts w:ascii="Times New Roman" w:eastAsia="Times New Roman" w:hAnsi="Times New Roman" w:cs="Times New Roman"/>
                <w:color w:val="000000"/>
                <w:sz w:val="24"/>
              </w:rPr>
              <w:lastRenderedPageBreak/>
              <w:t>príspevok rodiča na jeho výživu a nemalo len symbolický charakter. Zvýšenie minimálneho výživného podľa navrhovanej úpravy na 100% životného minima na nezaopatrené dieťa však môže ohroziť nízkopríjmové rodiny, zvýšiť negatívny sociálny dopad na povinného rodiča (spadnutie príjmu pod hranicu chudoby, zadlžovanie, vznik exekúcií, riziko trestného konania pre neplnenie vyživovacej povinnosti), v neposlednom rade bude mať aj negatívny dopad na štátny rozpočet.</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KOZP</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Komisárka pre osoby so zdravotným postihnutím</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 62 ods. 3</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Zásadná pripomienka:</w:t>
            </w:r>
            <w:r w:rsidRPr="00483982">
              <w:rPr>
                <w:rFonts w:ascii="Times New Roman" w:eastAsia="Times New Roman" w:hAnsi="Times New Roman" w:cs="Times New Roman"/>
                <w:color w:val="000000"/>
                <w:sz w:val="24"/>
              </w:rPr>
              <w:br/>
              <w:t>Ako komisárka pre osoby so zdravotným postihnutím uplatňujem k legislatívnemu návrhu, ktorým sa zvyšuje minimálne výživné na dieťa z 30 % sumy životného minima na 100 % sumy životného minima, ako zásadnú pripomienku.</w:t>
            </w:r>
            <w:r w:rsidRPr="00483982">
              <w:rPr>
                <w:rFonts w:ascii="Times New Roman" w:eastAsia="Times New Roman" w:hAnsi="Times New Roman" w:cs="Times New Roman"/>
                <w:color w:val="000000"/>
                <w:sz w:val="24"/>
              </w:rPr>
              <w:br/>
              <w:t>Žiadam návrh v tejto podobe prehodnotiť a doplniť o ochranný mechanizmus, ktorý umožní súdom v odôvodnených prípadoch individuálne posúdiť finančné možnosti rodiča so zdravotným postihnutím. Zároveň žiadam o doplnenie analýzy sociálnych vplyvov s osobitným zreteľom na nízkopríjmové rodiny a rodičov odkázaných na sociálne a kompenzačné dávky.</w:t>
            </w:r>
            <w:r w:rsidRPr="00483982">
              <w:rPr>
                <w:rFonts w:ascii="Times New Roman" w:eastAsia="Times New Roman" w:hAnsi="Times New Roman" w:cs="Times New Roman"/>
                <w:color w:val="000000"/>
                <w:sz w:val="24"/>
              </w:rPr>
              <w:br/>
              <w:t>Odôvodnenie:</w:t>
            </w:r>
            <w:r w:rsidRPr="00483982">
              <w:rPr>
                <w:rFonts w:ascii="Times New Roman" w:eastAsia="Times New Roman" w:hAnsi="Times New Roman" w:cs="Times New Roman"/>
                <w:color w:val="000000"/>
                <w:sz w:val="24"/>
              </w:rPr>
              <w:br/>
              <w:t>Uvedomujem si a plne podporujem legitímny zámer predkladateľa posilniť ekonomickú stabilitu detí a zabezpečiť ich krytie potrieb v čase rastúcich životných nákladov. Súčasne je však potrebné poukázať na špecifickú situáciu rodičov s vážnym zdravotným postihnutím, na ktorých môže mať takéto plošné opatrenie neprimerane tvrdý dopad.</w:t>
            </w:r>
            <w:r w:rsidRPr="00483982">
              <w:rPr>
                <w:rFonts w:ascii="Times New Roman" w:eastAsia="Times New Roman" w:hAnsi="Times New Roman" w:cs="Times New Roman"/>
                <w:color w:val="000000"/>
                <w:sz w:val="24"/>
              </w:rPr>
              <w:br/>
              <w:t>Minimálne výživné je pevne stanovená hranica, pri ktorej súd neskúma reálnu finančnú situáciu povinného rodiča. Skokové zvýšenie tejto sumy na 100 % životného minima však môže pre rodičov so ZP, ktorí sú dlhodobo mimo trhu práce a ich jediným príjmom je dávka v hmotnej núdzi, ktorá nedosahuje ani sumu životného minima, minimálny invalidný dôchodok či príspevok na opatrovanie, predstavovať neriešiteľnú finančnú záťaž. Títo rodičia často sami nedosahujú príjem na úrovni životného minima, objektívne nemajú možnosť situáciu zmeniť, a ich finančné prostriedky sú prioritne určené na kompenzáciu dôsledkov zdravotného stavu.</w:t>
            </w:r>
            <w:r w:rsidRPr="00483982">
              <w:rPr>
                <w:rFonts w:ascii="Times New Roman" w:eastAsia="Times New Roman" w:hAnsi="Times New Roman" w:cs="Times New Roman"/>
                <w:color w:val="000000"/>
                <w:sz w:val="24"/>
              </w:rPr>
              <w:br/>
              <w:t xml:space="preserve">Navrhovaná úprava tak vytvára riziko, že rodičia so ZP budú vystavení exekučným konaniam a prepadu do materiálnej núdze nie z dôvodu neochoty plniť si povinnosti, ale </w:t>
            </w:r>
            <w:r w:rsidRPr="00483982">
              <w:rPr>
                <w:rFonts w:ascii="Times New Roman" w:eastAsia="Times New Roman" w:hAnsi="Times New Roman" w:cs="Times New Roman"/>
                <w:color w:val="000000"/>
                <w:sz w:val="24"/>
              </w:rPr>
              <w:lastRenderedPageBreak/>
              <w:t>pre objektívnu ekonomickú nemožnosť tak urobiť. To by mohlo viesť k nežiaducej tenzii medzi právami dieťaťa a právom rodiča so ZP na dôstojný život a ochranu rodinného života podľa Dohovoru OSN o právach osôb so zdravotným postihnutím (CRPD).</w:t>
            </w:r>
            <w:r w:rsidRPr="00483982">
              <w:rPr>
                <w:rFonts w:ascii="Times New Roman" w:eastAsia="Times New Roman" w:hAnsi="Times New Roman" w:cs="Times New Roman"/>
                <w:color w:val="000000"/>
                <w:sz w:val="24"/>
              </w:rPr>
              <w:br/>
              <w:t>Hlavné odporúčania komisárky na úpravu:</w:t>
            </w:r>
            <w:r w:rsidRPr="00483982">
              <w:rPr>
                <w:rFonts w:ascii="Times New Roman" w:eastAsia="Times New Roman" w:hAnsi="Times New Roman" w:cs="Times New Roman"/>
                <w:color w:val="000000"/>
                <w:sz w:val="24"/>
              </w:rPr>
              <w:br/>
              <w:t>• Zavedenie individuálneho posúdenia: Navrhujem, aby zákon umožnil súdu určiť výživné pod hranicou 100 % životného minima, ak sa preukáže, že povinný rodič má pre ťažké zdravotné postihnutie sám príjem pod touto hranicou a nemá objektívnu možnosť si ho zvýšiť.</w:t>
            </w:r>
            <w:r w:rsidRPr="00483982">
              <w:rPr>
                <w:rFonts w:ascii="Times New Roman" w:eastAsia="Times New Roman" w:hAnsi="Times New Roman" w:cs="Times New Roman"/>
                <w:color w:val="000000"/>
                <w:sz w:val="24"/>
              </w:rPr>
              <w:br/>
              <w:t>• Doplnenie analýzy dopadov: Keďže predložený materiál neobsahuje vyhodnotenie dopadov na občanov so ZP, žiadam o dodatočné posúdenie sociálnych vplyvov tejto zmeny.</w:t>
            </w:r>
            <w:r w:rsidRPr="00483982">
              <w:rPr>
                <w:rFonts w:ascii="Times New Roman" w:eastAsia="Times New Roman" w:hAnsi="Times New Roman" w:cs="Times New Roman"/>
                <w:color w:val="000000"/>
                <w:sz w:val="24"/>
              </w:rPr>
              <w:br/>
              <w:t>• Súčinnosť s náhradným výživným: Prípadný výpadok v príjme dieťaťa, spôsobený objektívnou chudobou rodiča so ZP, by mal flexibilnejšie kompenzovať štát prostredníctvom inštitútu náhradného výživného tak, aby zároveň nebola ohrozená ani jedna zo zraniteľných strán.</w:t>
            </w:r>
            <w:r w:rsidRPr="00483982">
              <w:rPr>
                <w:rFonts w:ascii="Times New Roman" w:eastAsia="Times New Roman" w:hAnsi="Times New Roman" w:cs="Times New Roman"/>
                <w:color w:val="000000"/>
                <w:sz w:val="24"/>
              </w:rPr>
              <w:br/>
              <w:t>Verím, že cieľom legislatívy má byť spravodlivé vyváženie oboch chránených záujmov – ako najlepšieho záujmu dieťaťa, tak aj práva na dôstojnú existenciu rodiča so zdravotným postihnutím.</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MFSR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financií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b/>
                <w:color w:val="FF0000"/>
                <w:sz w:val="24"/>
              </w:rPr>
              <w:t>Z</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Navrhuje sa zvýšiť minimálne výživné z aktuálnej výšky 30 % sumy životného minima na nezaopatrené dieťa na 50 % sumy životného minima na nezaopatrené dieťa. V tejto súvislosti žiadame v súlade s § 33 zákona č. 523/2004 Z. z. o rozpočtových pravidlách verejnej správy a o zmene a doplnení niektorých zákonov v predkladacej správe kvantifikovať uvedený vplyv na rozpočet verejnej správy, a to nielen na bežný rok, ale aj na tri nasledujúce rozpočtové roky.</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MOSR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obrany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K článku I návrhu zákona</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 xml:space="preserve">V úvodnej vete článku I návrhu zákona navrhujeme za slová „zákona č. 408/2022 Z. z.“ vložiť čiarku a vypustiť spojku „a“, a za slová „zákona č. 157/2025 Z. z.“ navrhujeme vložiť slová „ a zákona č. 70/2026 Z. z.“. </w:t>
            </w:r>
            <w:r w:rsidRPr="00483982">
              <w:rPr>
                <w:rFonts w:ascii="Times New Roman" w:eastAsia="Times New Roman" w:hAnsi="Times New Roman" w:cs="Times New Roman"/>
                <w:color w:val="000000"/>
                <w:sz w:val="24"/>
              </w:rPr>
              <w:br/>
              <w:t xml:space="preserve">Odôvodnenie </w:t>
            </w:r>
            <w:r w:rsidRPr="00483982">
              <w:rPr>
                <w:rFonts w:ascii="Times New Roman" w:eastAsia="Times New Roman" w:hAnsi="Times New Roman" w:cs="Times New Roman"/>
                <w:color w:val="000000"/>
                <w:sz w:val="24"/>
              </w:rPr>
              <w:br/>
            </w:r>
            <w:proofErr w:type="spellStart"/>
            <w:r w:rsidRPr="00483982">
              <w:rPr>
                <w:rFonts w:ascii="Times New Roman" w:eastAsia="Times New Roman" w:hAnsi="Times New Roman" w:cs="Times New Roman"/>
                <w:color w:val="000000"/>
                <w:sz w:val="24"/>
              </w:rPr>
              <w:t>Legislatívno</w:t>
            </w:r>
            <w:proofErr w:type="spellEnd"/>
            <w:r w:rsidRPr="00483982">
              <w:rPr>
                <w:rFonts w:ascii="Times New Roman" w:eastAsia="Times New Roman" w:hAnsi="Times New Roman" w:cs="Times New Roman"/>
                <w:color w:val="000000"/>
                <w:sz w:val="24"/>
              </w:rPr>
              <w:t xml:space="preserve"> – technická pripomienka.</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MPSVRSR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práce, sociálnych vecí a rodiny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K predkladacej správe</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Odporúčame doplniť do predkladacej správy odporúčaciu pripomienku Ministerstva práce, sociálnych vecí a rodiny Slovenskej republiky v tomto znení:</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Ministerstvo práce, sociálnych vecí a rodiny Slovenskej republiky upozorňuje, že navrhovaná zmena výšky minimálneho výživného bude mať negatívny vplyv na rozpočet kapitoly Ministerstva práce, sociálnych vecí a rodiny Slovenskej republiky, pričom predpokladané finančné dopady sa odhadujú na 15 851 130 eur v roku 2027, 11 726 265 eur v roku 2028 a 12 058 466 eur v roku 2029. Uvedené finančné prostriedky nie sú zabezpečené v rozpočte kapitoly Ministerstva práce, sociálnych vecí a rodiny Slovenskej republiky.“.</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NBÚ</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Národný bezpečnostný úrad</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PMÚSR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Protimonopolný úrad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Verejnosť</w:t>
            </w:r>
            <w:r w:rsidRPr="00483982">
              <w:rPr>
                <w:rFonts w:ascii="Times New Roman" w:eastAsia="Times New Roman" w:hAnsi="Times New Roman" w:cs="Times New Roman"/>
                <w:b/>
                <w:color w:val="000000"/>
                <w:sz w:val="24"/>
              </w:rPr>
              <w:br/>
            </w:r>
            <w:proofErr w:type="spellStart"/>
            <w:r w:rsidRPr="00483982">
              <w:rPr>
                <w:rFonts w:ascii="Times New Roman" w:eastAsia="Times New Roman" w:hAnsi="Times New Roman" w:cs="Times New Roman"/>
                <w:color w:val="000000"/>
                <w:sz w:val="24"/>
              </w:rPr>
              <w:t>Verejnosť</w:t>
            </w:r>
            <w:proofErr w:type="spellEnd"/>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Čl. I. § 62 ods. 3</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Zásadná pripomienka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Text pripomienky: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Navrhujeme vypustiť celý odsek § 62 ods. 3.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V prípade, ak povinný rodič naozaj vzhľadom na svoje majetkové pomery a vzhľadom na schopnosti nie je schopný plniť vyživovaciu povinnosť ani v rozsahu minimálneho výživného, máme za to, že nie je dôvodné ho zaťažovať touto povinnosťou, ktorá navyše v prípade, ak naozaj nie je v jeho schopnostiach túto povinnosť plniť, môže viesť následne k začatiu trestného konania.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Naopak, v týchto situáciách by mal prevziať zodpovednosť štát a poskytnúť dieťaťu </w:t>
            </w:r>
            <w:r w:rsidRPr="00483982">
              <w:rPr>
                <w:rFonts w:ascii="Times New Roman" w:eastAsia="Times New Roman" w:hAnsi="Times New Roman" w:cs="Times New Roman"/>
                <w:color w:val="000000"/>
                <w:sz w:val="24"/>
              </w:rPr>
              <w:lastRenderedPageBreak/>
              <w:t xml:space="preserve">potrebnú sociálnu pomoc.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Osobitne poukazujeme na to, že situácia, kedy povinný rodič nemá príjem na plnenie ani minimálnej vyživovacej povinnosti z dôvodov, ktoré sú na jeho strane, nemá byť riešená prostredníctvom inštitútu minimálneho výživného (ako sa to v praxi niekedy stáva), ale aplikovaním postupu s poukazom na posúdenie tzv. </w:t>
            </w:r>
            <w:proofErr w:type="spellStart"/>
            <w:r w:rsidRPr="00483982">
              <w:rPr>
                <w:rFonts w:ascii="Times New Roman" w:eastAsia="Times New Roman" w:hAnsi="Times New Roman" w:cs="Times New Roman"/>
                <w:color w:val="000000"/>
                <w:sz w:val="24"/>
              </w:rPr>
              <w:t>potencionality</w:t>
            </w:r>
            <w:proofErr w:type="spellEnd"/>
            <w:r w:rsidRPr="00483982">
              <w:rPr>
                <w:rFonts w:ascii="Times New Roman" w:eastAsia="Times New Roman" w:hAnsi="Times New Roman" w:cs="Times New Roman"/>
                <w:color w:val="000000"/>
                <w:sz w:val="24"/>
              </w:rPr>
              <w:t xml:space="preserve"> príjmu povinného rodiča.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Máme za to, že inštitút minimálneho výživného je prekonaný.</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Verejnosť</w:t>
            </w:r>
            <w:r w:rsidRPr="00483982">
              <w:rPr>
                <w:rFonts w:ascii="Times New Roman" w:eastAsia="Times New Roman" w:hAnsi="Times New Roman" w:cs="Times New Roman"/>
                <w:b/>
                <w:color w:val="000000"/>
                <w:sz w:val="24"/>
              </w:rPr>
              <w:br/>
            </w:r>
            <w:proofErr w:type="spellStart"/>
            <w:r w:rsidRPr="00483982">
              <w:rPr>
                <w:rFonts w:ascii="Times New Roman" w:eastAsia="Times New Roman" w:hAnsi="Times New Roman" w:cs="Times New Roman"/>
                <w:color w:val="000000"/>
                <w:sz w:val="24"/>
              </w:rPr>
              <w:t>Verejnosť</w:t>
            </w:r>
            <w:proofErr w:type="spellEnd"/>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Čl. I. § 62 ods. 3</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Druh pripomienky: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Zásadná</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Návrh na úpravu: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Navrhujeme preformulovať znenie § 62 ods. 3 nasledovne: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62 Právo dieťaťa na výživu rodičov</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(1) Dieťa má právo na výživu od oboch rodičov ako na zákonný nárok. Vyživovacia povinnosť každého rodiča trvá až do okamihu, keď dieťa nadobudne schopnosť samé sa živiť, bez ohľadu na to, ktorému z rodičov bolo dieťa zverené do osobnej starostlivosti. Za okamih, keď dieťa nadobudne schopnosť samé sa živiť, sa považuje deň, keď dieťa ukončilo sústavnú prípravu na povolanie alebo preukázateľne nadobudlo trvalý príjem umožňujúci samostatné zabezpečenie jeho potrieb. Škola alebo iné zariadenie poskytujúce vzdelávanie sú povinné bezodkladne doručiť oznámenie o ukončení štúdia aj rodičovi, ktorý plní vyživovaciu povinnosť, alebo príslušnému súdu.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(2) Dieťa má právo na rovnakú životnú úroveň ako jeho rodičia; toto právo sa zabezpečuje primeraným podielom každého rodiča podľa jeho schopností, možností a </w:t>
            </w:r>
            <w:r w:rsidRPr="00483982">
              <w:rPr>
                <w:rFonts w:ascii="Times New Roman" w:eastAsia="Times New Roman" w:hAnsi="Times New Roman" w:cs="Times New Roman"/>
                <w:color w:val="000000"/>
                <w:sz w:val="24"/>
              </w:rPr>
              <w:lastRenderedPageBreak/>
              <w:t>majetkových pomerov. Rodič, ktorému bolo dieťa zverené do osobnej starostlivosti, je povinný tiež prispievať na výživu dieťaťa finančne, ak to jeho príjmové, majetkové alebo osobné pomery umožňujú.</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(3) Každý z rodičov je povinný podieľať sa na výžive dieťaťa podľa svojich schopností, možností a majetkových pomerov tak, aby dieťa malo rovnakú životnú úroveň u oboch rodičov, a to aj v prípade, ak rodičia spolu nežijú alebo ak bolo dieťa zverené do osobnej starostlivosti len jednému z nich. Minimálna výška výživného sa neustanovuje, ak by jej uplatnenie odporovalo zásade proporcionality alebo by bolo v rozpore so schopnosťami a možnosťami povinného rodiča. Ak sa minimálna výška ponechá, nesmie presiahnuť 20 % zo sumy životného minima na nezaopatrené neplnoleté dieťa podľa zákona č. 601/2003 Z. z. o životnom minime, ak to neodporuje zásade proporcionality alebo ak povinný rodič preukáže vážne sociálne alebo zdravotné dôvody, ktoré mu bránia v plnení tejto povinnosti. Zároveň sa ustanovuje, že výživné nemôže presiahnuť 2,5-násobok sumy životného minima, ak osobitné okolnosti prípadu (napr. zdravotné postihnutie dieťaťa, mimoriadne potreby spojené so vzdelávaním alebo liečbou) neodôvodňujú vyššie výživné. Takto ustanovené hranice majú zabezpečiť primeranosť, predvídateľnosť a vyváženosť práv a povinností oboch rodičov. Vyššie výživné môže súd priznať len vtedy, ak to nevedie k zjavnej neprimeranosti vo vzťahu k možnostiam povinného rodiča a nevylučuje jeho schopnosť zabezpečovať vlastné životné potreby.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(4) Pri určovaní výživného súd prihliada na odôvodnené potreby dieťaťa, reálne životné náklady a vyvážený prístup k povinnostiam oboch rodičov tak, aby výživné nebolo likvidačné pre jedného z nich a zároveň zabezpečovalo dôstojné životné podmienky dieťaťa.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Odôvodnenie návrhu: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1. Odstraňuje obsolentný koncept minimálneho výživného – buď sa úplne zruší, alebo sa zníži na 20 % životného minima, aby nedochádzalo k ekonomickej likvidácii povinných rodičov.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br/>
              <w:t>Neprimeranosť a neodôvodnenosť navrhovanej minimálnej hranice 100 %</w:t>
            </w:r>
            <w:r w:rsidRPr="00483982">
              <w:rPr>
                <w:rFonts w:ascii="Times New Roman" w:eastAsia="Times New Roman" w:hAnsi="Times New Roman" w:cs="Times New Roman"/>
                <w:color w:val="000000"/>
                <w:sz w:val="24"/>
              </w:rPr>
              <w:br/>
              <w:t>Navrhovaná výška minimálneho výživného vo výške 100 % zo životného minima je neprimeraná a ekonomicky nereálna, najmä pre rodičov s nízkymi príjmami, nezamestnaných, osôb s invaliditou, alebo tých, ktorí majú viac vyživovacích povinností. Takáto úprava by viedla k nárastu exekučných konaní, trestných stíhaní a sociálnej nestability, a mohla by byť v praxi likvidačná. Súčasná hranica 30 % bola už dostatočne motivujúca, no pri súčasnom raste cien a výdavkov je vhodné ju upraviť na 20 %, aby sa zachovala primeranosť vo vzťahu k reálnym životným podmienkam.</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2. Odstraňuje diskrimináciu jedného rodiča, vyživovacia povinnosť sa výslovne vzťahuje na oboch rodičov, nielen na rodiča, ktorému dieťa nebolo zverené. Nerovnosť rodičov v praxi a obchádzanie povinnosti rodiča, ktorému je dieťa zverené</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V praxi sa dlhodobo obchádza povinnosť prispievať na výživu dieťaťa aj u rodiča, ktorému je dieťa zverené do osobnej starostlivosti.</w:t>
            </w:r>
            <w:r w:rsidRPr="00483982">
              <w:rPr>
                <w:rFonts w:ascii="Times New Roman" w:eastAsia="Times New Roman" w:hAnsi="Times New Roman" w:cs="Times New Roman"/>
                <w:color w:val="000000"/>
                <w:sz w:val="24"/>
              </w:rPr>
              <w:br/>
              <w:t>Takéto riešenie je v rozpore s princípom rovnosti rodičovských práv a povinností, ktorý vyplýva z čl. 41 ods. 4 Ústavy SR. Navrhujeme preto výslovne doplniť, že aj rodič, ktorý má dieťa v osobnej starostlivosti, je povinný finančne prispievať podľa svojich možností.</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3. Zavádza právnu istotu a jasne vymedzuje moment zániku vyživovacej povinnosti a zamedzuje špekuláciám so zatajovaním ukončenia štúdia.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Potrebné legislatívne vymedzenie okamihu zániku vyživovacej povinnosti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V súčasnosti absentuje jasná definícia okamihu, kedy dieťa nadobúda schopnosť samé sa živiť, čo vedie k špekulatívnemu predlžovaniu štúdia alebo k zatajovaniu jeho ukončenia. Zavádza povinnosť informovania – školy musia bezodkladne oznámiť ukončenie štúdia povinnému rodičovi alebo súdu. Navrhujeme preto doplniť povinnosť školy oznamovať ukončenie štúdia priamo rodičovi povinnému prispievať na výživu </w:t>
            </w:r>
            <w:r w:rsidRPr="00483982">
              <w:rPr>
                <w:rFonts w:ascii="Times New Roman" w:eastAsia="Times New Roman" w:hAnsi="Times New Roman" w:cs="Times New Roman"/>
                <w:color w:val="000000"/>
                <w:sz w:val="24"/>
              </w:rPr>
              <w:lastRenderedPageBreak/>
              <w:t>dieťaťa, resp. súdu.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4. Zavádza vyváženosť a proporcionalitu – výživné má byť primerané reálnym možnostiam rodičov a potrebám dieťaťa, nie nástrojom represie.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Zavedenie maximálnej hranice výživného</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Dnes v slovenskej legislatíve úplne chýba maximálna hranica, čo vytvára priestor pre neprimerané a nejednotné súdne rozhodnutia, vedúce k ekonomickej likvidácii povinných rodičov. Preto je z hľadiska právnej istoty aj proporcionality vhodné túto hranicu zákonne upraviť. Navrhujeme preto zaviesť maximálnu hranicu 2,5-násobku životného minima, s možnosťou jej výnimočného prekročenia pri osobitných potrebách dieťaťa. Tým sa zachová proporcionalita, predvídateľnosť a ochrana pred svojvoľnými rozhodnutiami.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5. Zabezpečuje rovnakú životnú úroveň dieťaťa u oboch rodičov, bez ohľadu na zverenie do starostlivosti.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Súlad s princípom proporcionality a najlepšieho záujmu dieťaťa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Návrh rešpektuje čl. 3 Dohovoru o právach dieťaťa, podľa ktorého sa najlepší záujem dieťaťa musí posudzovať v kontexte spravodlivého rozdelenia povinností medzi oboch rodičov, nie jednostranne.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Zároveň sa posilní aj právna istota povinného rodiča a zníži sa riziko jeho exekučnej alebo trestnej likvidácie.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I. Zavedenie minimálnej aj maximálnej hranice výživného zvyšuje predvídateľnosť a právnu istotu pri rozhodovaní súdov.</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II. Minimálna hranica 20 % zo životného minima reflektuje reálnu schopnosť rodičov s </w:t>
            </w:r>
            <w:r w:rsidRPr="00483982">
              <w:rPr>
                <w:rFonts w:ascii="Times New Roman" w:eastAsia="Times New Roman" w:hAnsi="Times New Roman" w:cs="Times New Roman"/>
                <w:color w:val="000000"/>
                <w:sz w:val="24"/>
              </w:rPr>
              <w:lastRenderedPageBreak/>
              <w:t>nízkymi príjmami plniť vyživovaciu povinnosť bez vzniku exekučných dlhov a bez sociálneho pádu.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III. Maximálna hranica 2,5-násobku životného minima predstavuje primeraný limit, ktorý zodpovedá princípu proporcionality, bráni neodôvodneným excesom (napr. výživné presahujúce 1 000 € mesačne pri bežných príjmoch) a súčasne umožňuje výnimočne vyššie výživné v osobitných prípadoch.</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IV. Takto definovaný rámec by zjednotil rozhodovaciu prax súdov a zamedzil tzv. súdnemu </w:t>
            </w:r>
            <w:proofErr w:type="spellStart"/>
            <w:r w:rsidRPr="00483982">
              <w:rPr>
                <w:rFonts w:ascii="Times New Roman" w:eastAsia="Times New Roman" w:hAnsi="Times New Roman" w:cs="Times New Roman"/>
                <w:color w:val="000000"/>
                <w:sz w:val="24"/>
              </w:rPr>
              <w:t>aktivizmu</w:t>
            </w:r>
            <w:proofErr w:type="spellEnd"/>
            <w:r w:rsidRPr="00483982">
              <w:rPr>
                <w:rFonts w:ascii="Times New Roman" w:eastAsia="Times New Roman" w:hAnsi="Times New Roman" w:cs="Times New Roman"/>
                <w:color w:val="000000"/>
                <w:sz w:val="24"/>
              </w:rPr>
              <w:t xml:space="preserve"> pri stanovovaní výživného bez objektívnych hraníc.</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Záver:</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Navrhuje sa: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I. znížiť minimálne výživné zo 100 % na 20 % zo životného minima,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II. doplniť hornú hranicu výživného (2,5-násobok životného minima),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III. výslovne ustanoviť povinnosť finančného príspevku aj rodiča, ktorému je dieťa zverené do osobnej starostlivosti,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IV. a definovať okamih, kedy dieťa nadobudne schopnosť samé sa živiť, spolu s informačnou povinnosťou školy alebo inštitúcie.</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Verejnosť</w:t>
            </w:r>
            <w:r w:rsidRPr="00483982">
              <w:rPr>
                <w:rFonts w:ascii="Times New Roman" w:eastAsia="Times New Roman" w:hAnsi="Times New Roman" w:cs="Times New Roman"/>
                <w:b/>
                <w:color w:val="000000"/>
                <w:sz w:val="24"/>
              </w:rPr>
              <w:br/>
            </w:r>
            <w:proofErr w:type="spellStart"/>
            <w:r w:rsidRPr="00483982">
              <w:rPr>
                <w:rFonts w:ascii="Times New Roman" w:eastAsia="Times New Roman" w:hAnsi="Times New Roman" w:cs="Times New Roman"/>
                <w:color w:val="000000"/>
                <w:sz w:val="24"/>
              </w:rPr>
              <w:t>Verejnosť</w:t>
            </w:r>
            <w:proofErr w:type="spellEnd"/>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Dôvodová správa</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Dôvodová správa. K § 62 ods. 3</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Navrhujeme rozšíriť a prepracovať osobitnú časť dôvodovej správy k § 62 ods. 3 nasledovne: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K § 62</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br/>
              <w:t>Navrhuje sa zrušiť zachovanie súčasnej koncepcie obmedzenia práva dieťaťa na výživu od rodiča, ktorému bolo dieťa zverené do osobnej starostlivosti, a to aj po dosiahnutí plnoletosti dieťaťa.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Zákonná vyživovacia povinnosť sa musí vzťahovať na oboch rodičov, bez ohľadu na to, ktorému z nich bolo dieťa zverené do osobnej starostlivosti, až do momentu, keď dieťa nadobudne schopnosť samé sa živiť, nie do momentu zverenia do osobnej starostlivosti.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Legislatíva musí výslovne definovať okamih nadobudnutia schopnosti dieťaťa samé sa živiť a zabrániť špekulatívnym praktikám, ktoré dnes vznikajú z nezverejnenia ukončenia štúdia dieťaťa.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Navrhujeme doplniť ustanovenie, že školy majú povinnosť doručiť rozhodnutie o ukončení štúdia dieťaťa povinnému rodičovi alebo súdu, aby sa predišlo dlhodobému neoprávnenému uplatňovaniu nároku na výživné.</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Zároveň sa navrhuje zrušiť alebo znížiť tzv. minimálne výživné, ktoré sa dnes odvodzuje od výšky životného minima a má mať po novom výšku 100 %.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Takéto zvýšenie je ekonomicky neudržateľné a v rozpore so zásadou proporcionality a rovnosti účastníkov.</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Minimálne výživné je potrebné buď úplne odstrániť, alebo znížiť na 20 % zo sumy životného minima na nezaopatrené neplnoleté dieťa podľa zákona č. 601/2003 Z. z. o životnom minime.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Zároveň sa navrhuje maximálne výživné, ktoré sa odvodzuje od výšky životného minima a má mať výšku 250 %.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Odôvodnenie návrhu: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br/>
              <w:t>Nerovnosť medzi rodičmi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Súčasná koncepcia právne zvýhodňuje rodiča, ktorému bolo dieťa zverené do osobnej starostlivosti, pretože tento rodič často nemá reálnu povinnosť prispievať na výživu dieťaťa, hoci má vyšší príjem a menej vyživovacích povinností ako druhý rodič.</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V praxi dochádza k situáciám, keď rodič s nižším príjmom a väčším počtom vyživovacích povinností musí platiť výživné, zatiaľ čo rodič, ktorý má dieťa v osobnej starostlivosti, neprispieva vôbec.</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Reálne potreby dieťaťa a spravodlivosť</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Dieťa má právo na rovnakú životnú úroveň u oboch rodičov, čo dnes nie je zabezpečené. Súdna prax navyše ignoruje prípad, keď dieťa fakticky žije striedavo u oboch rodičov, ale výživné sa určuje len jednostranne.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Neurčený moment nadobudnutia schopnosti dieťaťa samé sa živiť</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Chýba zákonná definícia, ktorá by jasne určila okamih, kedy vyživovacia povinnosť rodiča zaniká. Povinní rodičia často nemajú možnosť zistiť ukončenie štúdia dieťaťa, čo vedie k neoprávnenému pokračovaniu platenia výživného, exekúciám a trestným postihom.</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Preto je potrebné legislatívne upraviť povinnosť škôl informovať povinného rodiča alebo súd o ukončení štúdia.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Ekonomická realita a disproporcia minimálneho výživného</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Zvýšenie tzv. minimálneho výživného na 100 % zo životného minima je neprimerané vzhľadom na to, že štát nedokáže garantovať ani minimálne príjmy rodičov vo výkone </w:t>
            </w:r>
            <w:r w:rsidRPr="00483982">
              <w:rPr>
                <w:rFonts w:ascii="Times New Roman" w:eastAsia="Times New Roman" w:hAnsi="Times New Roman" w:cs="Times New Roman"/>
                <w:color w:val="000000"/>
                <w:sz w:val="24"/>
              </w:rPr>
              <w:lastRenderedPageBreak/>
              <w:t>trestu, väzbe alebo v núdzi.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Súčasný systém vytvára exekučnú, trestnú a </w:t>
            </w:r>
            <w:proofErr w:type="spellStart"/>
            <w:r w:rsidRPr="00483982">
              <w:rPr>
                <w:rFonts w:ascii="Times New Roman" w:eastAsia="Times New Roman" w:hAnsi="Times New Roman" w:cs="Times New Roman"/>
                <w:color w:val="000000"/>
                <w:sz w:val="24"/>
              </w:rPr>
              <w:t>suicidiálnu</w:t>
            </w:r>
            <w:proofErr w:type="spellEnd"/>
            <w:r w:rsidRPr="00483982">
              <w:rPr>
                <w:rFonts w:ascii="Times New Roman" w:eastAsia="Times New Roman" w:hAnsi="Times New Roman" w:cs="Times New Roman"/>
                <w:color w:val="000000"/>
                <w:sz w:val="24"/>
              </w:rPr>
              <w:t xml:space="preserve"> špirálu a likviduje ekonomicky slabších rodičov, čo v konečnom dôsledku neprospieva ani deťom.</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Preto sa navrhuje zníženie minimálneho výživného na 20 % zo sumy životného minima.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Potreba rovnováhy medzi ochranou dieťaťa a rodiča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Zachovanie súčasnej koncepcie odporuje zásade proporcionality, rovnosti účastníkov a zásade najlepšieho záujmu dieťaťa podľa čl. 3 Dohovoru o právach dieťaťa.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Reforma musí zohľadniť aj práva povinného rodiča a zabezpečiť rovnováhu vyživovacej povinnosti oboch rodičov, nie jej jednostranné prenesenie.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Odstraňuje diskrimináciu jedného rodiča, lebo vyživovacia povinnosť sa výslovne vzťahuje na oboch rodičov, nielen na rodiča, ktorému dieťa nebolo zverené.</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Zavádza právnu istotu a jasne vymedzuje moment zániku vyživovacej povinnosti a zamedzuje špekuláciám so zatajovaním ukončenia štúdia.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Zavádza povinnosť informovania, školy musia bezodkladne oznámiť ukončenie štúdia povinnému rodičovi alebo súdu.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Zabezpečuje rovnakú životnú úroveň dieťaťa u oboch rodičov, bez ohľadu na zverenie do starostlivosti.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Odstraňuje obsolentný koncept minimálneho výživného, buď sa úplne zruší, alebo sa zníži na 20 % životného minima, aby nedochádzalo k ekonomickej likvidácii povinných rodičov.</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t>Zavádza vyváženosť a proporcionalitu, lebo výživné má byť primerané reálnym možnostiam rodičov a potrebám dieťaťa, nie nástrojom represie.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Otázka maximálnej výšky výživného je dnes v slovenskej legislatíve úplne chýbajúca, čo vytvára priestor pre neprimerané a nejednotné súdne rozhodnutia, vedúce k ekonomickej likvidácii povinných rodičov.</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Preto je z hľadiska právnej istoty aj proporcionality vhodné túto hranicu zákonne upraviť.</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Zavedenie aj maximálnej hranice výživného zvyšuje predvídateľnosť a právnu istotu pri rozhodovaní súdov.</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Maximálna hranica 2,5-násobku životného minima predstavuje primeraný limit, ktorý zodpovedá princípu proporcionality, bráni neodôvodneným excesom (napr. výživné presahujúce 1 000 € mesačne pri bežných príjmoch) a súčasne umožňuje výnimočne vyššie výživné v osobitných prípadoch.</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Takto definovaný rámec by zjednotil rozhodovaciu prax súdov a zamedzil tzv. súdnemu </w:t>
            </w:r>
            <w:proofErr w:type="spellStart"/>
            <w:r w:rsidRPr="00483982">
              <w:rPr>
                <w:rFonts w:ascii="Times New Roman" w:eastAsia="Times New Roman" w:hAnsi="Times New Roman" w:cs="Times New Roman"/>
                <w:color w:val="000000"/>
                <w:sz w:val="24"/>
              </w:rPr>
              <w:t>aktivizmu</w:t>
            </w:r>
            <w:proofErr w:type="spellEnd"/>
            <w:r w:rsidRPr="00483982">
              <w:rPr>
                <w:rFonts w:ascii="Times New Roman" w:eastAsia="Times New Roman" w:hAnsi="Times New Roman" w:cs="Times New Roman"/>
                <w:color w:val="000000"/>
                <w:sz w:val="24"/>
              </w:rPr>
              <w:t xml:space="preserve"> pri stanovovaní výživného bez objektívnych hraníc.</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Verejnosť</w:t>
            </w:r>
            <w:r w:rsidRPr="00483982">
              <w:rPr>
                <w:rFonts w:ascii="Times New Roman" w:eastAsia="Times New Roman" w:hAnsi="Times New Roman" w:cs="Times New Roman"/>
                <w:b/>
                <w:color w:val="000000"/>
                <w:sz w:val="24"/>
              </w:rPr>
              <w:br/>
            </w:r>
            <w:proofErr w:type="spellStart"/>
            <w:r w:rsidRPr="00483982">
              <w:rPr>
                <w:rFonts w:ascii="Times New Roman" w:eastAsia="Times New Roman" w:hAnsi="Times New Roman" w:cs="Times New Roman"/>
                <w:color w:val="000000"/>
                <w:sz w:val="24"/>
              </w:rPr>
              <w:t>Verejnosť</w:t>
            </w:r>
            <w:proofErr w:type="spellEnd"/>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Čl. I. § 62 ods. 3</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Treba zvážiť reálne sociálne a ekonomické dôsledky návrhu zákona PT 1252, ktorým sa zvyšuje minimálne výživné zo súčasných 30 % životného minima na 100 % životného minima.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Návrh môže mať závažné dopady najmä na rodičov v hmotnej núdzi, invalidných rodičov, nízkopríjmové domácnosti a rodičov s viacerými deťmi. V mnohých prípadoch môže viesť k nárastu nevymožiteľných dlhov, exekúcií a trestných konaní bez reálneho zlepšenia situácie detí.</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Žiadame preto, aby bol návrh dopracovaný s prihliadnutím na: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br/>
              <w:t>individuálne možnosti a schopnosti povinného rodiča,</w:t>
            </w:r>
            <w:r w:rsidRPr="00483982">
              <w:rPr>
                <w:rFonts w:ascii="Times New Roman" w:eastAsia="Times New Roman" w:hAnsi="Times New Roman" w:cs="Times New Roman"/>
                <w:color w:val="000000"/>
                <w:sz w:val="24"/>
              </w:rPr>
              <w:br/>
              <w:t>sociálnu situáciu domácností,</w:t>
            </w:r>
            <w:r w:rsidRPr="00483982">
              <w:rPr>
                <w:rFonts w:ascii="Times New Roman" w:eastAsia="Times New Roman" w:hAnsi="Times New Roman" w:cs="Times New Roman"/>
                <w:color w:val="000000"/>
                <w:sz w:val="24"/>
              </w:rPr>
              <w:br/>
              <w:t>reálne dopady na štátne výdavky,</w:t>
            </w:r>
            <w:r w:rsidRPr="00483982">
              <w:rPr>
                <w:rFonts w:ascii="Times New Roman" w:eastAsia="Times New Roman" w:hAnsi="Times New Roman" w:cs="Times New Roman"/>
                <w:color w:val="000000"/>
                <w:sz w:val="24"/>
              </w:rPr>
              <w:br/>
              <w:t>princíp primeranosti a vykonateľnosti práva.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K návrhu zákona zároveň pripájame aj právny argument vyplývajúci z medzinárodného práva.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Problematika určovania výšky výživného je upravená aj v čl. 14 Haagskeho protokolu o rozhodnom práve pre vyživovaciu povinnosť, ktorý bol v mene Európskej únie uzavretý rozhodnutím Rady 2009/941/ES.</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Podľa čl. 14 protokolu: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„Aj vtedy, keď rozhodné právo ustanovuje inak, zohľadnia sa pri určovaní výšky výživného potreby oprávneného a možnosti povinného.“</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Haagsky protokol teda výslovne vyžaduje individuálne posudzovanie možností a schopností povinného rodiča. Návrh zákona, ktorý by bez ohľadu na príjem, majetkové pomery alebo sociálnu situáciu povinného rodiča automaticky zvýšil minimálne výživné zo súčasných 30 % životného minima na 100 % životného minima, môže byť podľa nášho názoru v rozpore s princípom proporcionality a individuálneho posudzovania vyžadovaného medzinárodným právom.</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Upozorňujeme zároveň, že takáto právna úprava môže viesť:</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k nárastu nevymožiteľných dlhov,</w:t>
            </w:r>
            <w:r w:rsidRPr="00483982">
              <w:rPr>
                <w:rFonts w:ascii="Times New Roman" w:eastAsia="Times New Roman" w:hAnsi="Times New Roman" w:cs="Times New Roman"/>
                <w:color w:val="000000"/>
                <w:sz w:val="24"/>
              </w:rPr>
              <w:br/>
              <w:t>k zvýšeniu počtu exekúcií,</w:t>
            </w:r>
            <w:r w:rsidRPr="00483982">
              <w:rPr>
                <w:rFonts w:ascii="Times New Roman" w:eastAsia="Times New Roman" w:hAnsi="Times New Roman" w:cs="Times New Roman"/>
                <w:color w:val="000000"/>
                <w:sz w:val="24"/>
              </w:rPr>
              <w:br/>
              <w:t>k nárastu trestných konaní pre zanedbanie povinnej výživy,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t>k zvýšeniu výdavkov štátu na náhradné výživné,</w:t>
            </w:r>
            <w:r w:rsidRPr="00483982">
              <w:rPr>
                <w:rFonts w:ascii="Times New Roman" w:eastAsia="Times New Roman" w:hAnsi="Times New Roman" w:cs="Times New Roman"/>
                <w:color w:val="000000"/>
                <w:sz w:val="24"/>
              </w:rPr>
              <w:br/>
              <w:t>k ďalšiemu sociálnemu prepadu nízkopríjmových rodičov a ich rodín.</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Verejnosť</w:t>
            </w:r>
            <w:r w:rsidRPr="00483982">
              <w:rPr>
                <w:rFonts w:ascii="Times New Roman" w:eastAsia="Times New Roman" w:hAnsi="Times New Roman" w:cs="Times New Roman"/>
                <w:b/>
                <w:color w:val="000000"/>
                <w:sz w:val="24"/>
              </w:rPr>
              <w:br/>
            </w:r>
            <w:proofErr w:type="spellStart"/>
            <w:r w:rsidRPr="00483982">
              <w:rPr>
                <w:rFonts w:ascii="Times New Roman" w:eastAsia="Times New Roman" w:hAnsi="Times New Roman" w:cs="Times New Roman"/>
                <w:color w:val="000000"/>
                <w:sz w:val="24"/>
              </w:rPr>
              <w:t>Verejnosť</w:t>
            </w:r>
            <w:proofErr w:type="spellEnd"/>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Čl. I § 62 ods. 3</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Ústavnoprávne, systémové a aplikačné aspekty: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1. Rozpor s princípom proporcionality a individualizácie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Kľúčový problém návrhu spočíva vo formulácii, že rodič má platiť minimálne výživné „bez ohľadu na svoje schopnosti, možnosti a majetkové pomery“.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Takáto úprava je v priamom rozpore s dlhodobo ustálenou judikatúrou Ústavný súd Slovenskej republiky, podľa ktorej:</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vyživovacia povinnosť musí byť individualizovaná,</w:t>
            </w:r>
            <w:r w:rsidRPr="00483982">
              <w:rPr>
                <w:rFonts w:ascii="Times New Roman" w:eastAsia="Times New Roman" w:hAnsi="Times New Roman" w:cs="Times New Roman"/>
                <w:color w:val="000000"/>
                <w:sz w:val="24"/>
              </w:rPr>
              <w:br/>
              <w:t>musí reflektovať reálne ekonomické možnosti povinného rodiča,</w:t>
            </w:r>
            <w:r w:rsidRPr="00483982">
              <w:rPr>
                <w:rFonts w:ascii="Times New Roman" w:eastAsia="Times New Roman" w:hAnsi="Times New Roman" w:cs="Times New Roman"/>
                <w:color w:val="000000"/>
                <w:sz w:val="24"/>
              </w:rPr>
              <w:br/>
              <w:t>a nesmie mať likvidačný charakter.</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Absolútne stanovené minimum (100 % životného minima) bez možnosti korekcie: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popiera princíp spravodlivosti,</w:t>
            </w:r>
            <w:r w:rsidRPr="00483982">
              <w:rPr>
                <w:rFonts w:ascii="Times New Roman" w:eastAsia="Times New Roman" w:hAnsi="Times New Roman" w:cs="Times New Roman"/>
                <w:color w:val="000000"/>
                <w:sz w:val="24"/>
              </w:rPr>
              <w:br/>
              <w:t>a môže byť v rozpore s čl. 20 a čl. 35 Ústava Slovenskej republiky (ochrana majetku a právo na primerané hmotné zabezpečenie).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2. Potenciálna protiústavnosť v extrémnych prípadoch</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Návrh nerieši situácie, keď rodič objektívne: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nemá príjem (nezamestnanosť, invalidita),</w:t>
            </w:r>
            <w:r w:rsidRPr="00483982">
              <w:rPr>
                <w:rFonts w:ascii="Times New Roman" w:eastAsia="Times New Roman" w:hAnsi="Times New Roman" w:cs="Times New Roman"/>
                <w:color w:val="000000"/>
                <w:sz w:val="24"/>
              </w:rPr>
              <w:br/>
              <w:t>má minimálny príjem na úrovni alebo pod životným minimom,</w:t>
            </w:r>
            <w:r w:rsidRPr="00483982">
              <w:rPr>
                <w:rFonts w:ascii="Times New Roman" w:eastAsia="Times New Roman" w:hAnsi="Times New Roman" w:cs="Times New Roman"/>
                <w:color w:val="000000"/>
                <w:sz w:val="24"/>
              </w:rPr>
              <w:br/>
              <w:t>alebo je v sociálnej núdzi.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t>V takých prípadoch:</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zákonná povinnosť platiť 100 % životného minima môže byť fakticky nesplniteľná,</w:t>
            </w:r>
            <w:r w:rsidRPr="00483982">
              <w:rPr>
                <w:rFonts w:ascii="Times New Roman" w:eastAsia="Times New Roman" w:hAnsi="Times New Roman" w:cs="Times New Roman"/>
                <w:color w:val="000000"/>
                <w:sz w:val="24"/>
              </w:rPr>
              <w:br/>
              <w:t>čím sa vytvára priestor pre:</w:t>
            </w:r>
            <w:r w:rsidRPr="00483982">
              <w:rPr>
                <w:rFonts w:ascii="Times New Roman" w:eastAsia="Times New Roman" w:hAnsi="Times New Roman" w:cs="Times New Roman"/>
                <w:color w:val="000000"/>
                <w:sz w:val="24"/>
              </w:rPr>
              <w:br/>
              <w:t>exekučné konania,</w:t>
            </w:r>
            <w:r w:rsidRPr="00483982">
              <w:rPr>
                <w:rFonts w:ascii="Times New Roman" w:eastAsia="Times New Roman" w:hAnsi="Times New Roman" w:cs="Times New Roman"/>
                <w:color w:val="000000"/>
                <w:sz w:val="24"/>
              </w:rPr>
              <w:br/>
              <w:t>zadlžovanie,</w:t>
            </w:r>
            <w:r w:rsidRPr="00483982">
              <w:rPr>
                <w:rFonts w:ascii="Times New Roman" w:eastAsia="Times New Roman" w:hAnsi="Times New Roman" w:cs="Times New Roman"/>
                <w:color w:val="000000"/>
                <w:sz w:val="24"/>
              </w:rPr>
              <w:br/>
              <w:t>a sekundárne sociálne vylúčenie.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Takýto efekt je v rozpore s princípom právneho štátu (čl. 1 Ústavy), keďže právo nemá ukladať objektívne nesplniteľné povinnosti.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3. Nesprávna interpretácia čl. 27 Dohovoru o právach dieťaťa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Návrh sa opiera o Dohovor o právach dieťaťa, konkrétne čl. 27.</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Avšak:</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tento článok síce zdôrazňuje primárnu zodpovednosť rodičov,</w:t>
            </w:r>
            <w:r w:rsidRPr="00483982">
              <w:rPr>
                <w:rFonts w:ascii="Times New Roman" w:eastAsia="Times New Roman" w:hAnsi="Times New Roman" w:cs="Times New Roman"/>
                <w:color w:val="000000"/>
                <w:sz w:val="24"/>
              </w:rPr>
              <w:br/>
              <w:t>ale zároveň výslovne uvádza, že štáty majú:</w:t>
            </w:r>
            <w:r w:rsidRPr="00483982">
              <w:rPr>
                <w:rFonts w:ascii="Times New Roman" w:eastAsia="Times New Roman" w:hAnsi="Times New Roman" w:cs="Times New Roman"/>
                <w:color w:val="000000"/>
                <w:sz w:val="24"/>
              </w:rPr>
              <w:br/>
              <w:t>poskytovať primeranú pomoc rodičom,</w:t>
            </w:r>
            <w:r w:rsidRPr="00483982">
              <w:rPr>
                <w:rFonts w:ascii="Times New Roman" w:eastAsia="Times New Roman" w:hAnsi="Times New Roman" w:cs="Times New Roman"/>
                <w:color w:val="000000"/>
                <w:sz w:val="24"/>
              </w:rPr>
              <w:br/>
              <w:t>a zabezpečiť systémy podpory.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Návrh jednostranne: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posilňuje povinnosť rodiča,</w:t>
            </w:r>
            <w:r w:rsidRPr="00483982">
              <w:rPr>
                <w:rFonts w:ascii="Times New Roman" w:eastAsia="Times New Roman" w:hAnsi="Times New Roman" w:cs="Times New Roman"/>
                <w:color w:val="000000"/>
                <w:sz w:val="24"/>
              </w:rPr>
              <w:br/>
              <w:t>ale ignoruje komplementárnu povinnosť štátu.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Ide teda o selektívnu interpretáciu medzinárodného záväzku.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4. Riziko kontraproduktívnych sociálnych dopadov</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t>Deklarovaný cieľ – zvýšenie zodpovednosti rodičov – je legitímny. Navrhovaný nástroj však môže mať opačný efekt:</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zvýšenie počtu neplatičov (reálna </w:t>
            </w:r>
            <w:proofErr w:type="spellStart"/>
            <w:r w:rsidRPr="00483982">
              <w:rPr>
                <w:rFonts w:ascii="Times New Roman" w:eastAsia="Times New Roman" w:hAnsi="Times New Roman" w:cs="Times New Roman"/>
                <w:color w:val="000000"/>
                <w:sz w:val="24"/>
              </w:rPr>
              <w:t>nevymahatelnosť</w:t>
            </w:r>
            <w:proofErr w:type="spellEnd"/>
            <w:r w:rsidRPr="00483982">
              <w:rPr>
                <w:rFonts w:ascii="Times New Roman" w:eastAsia="Times New Roman" w:hAnsi="Times New Roman" w:cs="Times New Roman"/>
                <w:color w:val="000000"/>
                <w:sz w:val="24"/>
              </w:rPr>
              <w:t>),</w:t>
            </w:r>
            <w:r w:rsidRPr="00483982">
              <w:rPr>
                <w:rFonts w:ascii="Times New Roman" w:eastAsia="Times New Roman" w:hAnsi="Times New Roman" w:cs="Times New Roman"/>
                <w:color w:val="000000"/>
                <w:sz w:val="24"/>
              </w:rPr>
              <w:br/>
              <w:t>nárast exekúcií a šedej ekonomiky,</w:t>
            </w:r>
            <w:r w:rsidRPr="00483982">
              <w:rPr>
                <w:rFonts w:ascii="Times New Roman" w:eastAsia="Times New Roman" w:hAnsi="Times New Roman" w:cs="Times New Roman"/>
                <w:color w:val="000000"/>
                <w:sz w:val="24"/>
              </w:rPr>
              <w:br/>
            </w:r>
            <w:proofErr w:type="spellStart"/>
            <w:r w:rsidRPr="00483982">
              <w:rPr>
                <w:rFonts w:ascii="Times New Roman" w:eastAsia="Times New Roman" w:hAnsi="Times New Roman" w:cs="Times New Roman"/>
                <w:color w:val="000000"/>
                <w:sz w:val="24"/>
              </w:rPr>
              <w:t>demotivácia</w:t>
            </w:r>
            <w:proofErr w:type="spellEnd"/>
            <w:r w:rsidRPr="00483982">
              <w:rPr>
                <w:rFonts w:ascii="Times New Roman" w:eastAsia="Times New Roman" w:hAnsi="Times New Roman" w:cs="Times New Roman"/>
                <w:color w:val="000000"/>
                <w:sz w:val="24"/>
              </w:rPr>
              <w:t xml:space="preserve"> legálneho zamestnania (únik pred zrážkami zo mzdy),</w:t>
            </w:r>
            <w:r w:rsidRPr="00483982">
              <w:rPr>
                <w:rFonts w:ascii="Times New Roman" w:eastAsia="Times New Roman" w:hAnsi="Times New Roman" w:cs="Times New Roman"/>
                <w:color w:val="000000"/>
                <w:sz w:val="24"/>
              </w:rPr>
              <w:br/>
              <w:t>prehlbovanie konfliktov medzi rodičmi.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Empiricky v mnohých jurisdikciách platí, že: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príliš vysoké fixné minimum → nižšia reálna vymožiteľnosť.</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5. Ignorovanie existujúcich mechanizmov ochrany dieťaťa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Súčasná právna úprava už umožňuje: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súdom určiť výživné podľa potrieb dieťaťa,</w:t>
            </w:r>
            <w:r w:rsidRPr="00483982">
              <w:rPr>
                <w:rFonts w:ascii="Times New Roman" w:eastAsia="Times New Roman" w:hAnsi="Times New Roman" w:cs="Times New Roman"/>
                <w:color w:val="000000"/>
                <w:sz w:val="24"/>
              </w:rPr>
              <w:br/>
              <w:t>prihliadať na potenciálne (nie len aktuálne) príjmy rodiča,</w:t>
            </w:r>
            <w:r w:rsidRPr="00483982">
              <w:rPr>
                <w:rFonts w:ascii="Times New Roman" w:eastAsia="Times New Roman" w:hAnsi="Times New Roman" w:cs="Times New Roman"/>
                <w:color w:val="000000"/>
                <w:sz w:val="24"/>
              </w:rPr>
              <w:br/>
              <w:t>sankcionovať úmyselné znižovanie príjmu.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Návrh:</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nepreukazuje, prečo tieto nástroje zlyhávajú,</w:t>
            </w:r>
            <w:r w:rsidRPr="00483982">
              <w:rPr>
                <w:rFonts w:ascii="Times New Roman" w:eastAsia="Times New Roman" w:hAnsi="Times New Roman" w:cs="Times New Roman"/>
                <w:color w:val="000000"/>
                <w:sz w:val="24"/>
              </w:rPr>
              <w:br/>
              <w:t>ani neponúka analýzu ich nedostatočnosti.</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Chýba teda </w:t>
            </w:r>
            <w:proofErr w:type="spellStart"/>
            <w:r w:rsidRPr="00483982">
              <w:rPr>
                <w:rFonts w:ascii="Times New Roman" w:eastAsia="Times New Roman" w:hAnsi="Times New Roman" w:cs="Times New Roman"/>
                <w:color w:val="000000"/>
                <w:sz w:val="24"/>
              </w:rPr>
              <w:t>evidence-based</w:t>
            </w:r>
            <w:proofErr w:type="spellEnd"/>
            <w:r w:rsidRPr="00483982">
              <w:rPr>
                <w:rFonts w:ascii="Times New Roman" w:eastAsia="Times New Roman" w:hAnsi="Times New Roman" w:cs="Times New Roman"/>
                <w:color w:val="000000"/>
                <w:sz w:val="24"/>
              </w:rPr>
              <w:t xml:space="preserve"> legislatíva.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6. Problematické tvrdenie o vplyvoch</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Dôvodová správa uvádza, že návrh:</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t>„nemá vplyv na služby verejnej správy“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To je sporné, pretože: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možno očakávať nárast:</w:t>
            </w:r>
            <w:r w:rsidRPr="00483982">
              <w:rPr>
                <w:rFonts w:ascii="Times New Roman" w:eastAsia="Times New Roman" w:hAnsi="Times New Roman" w:cs="Times New Roman"/>
                <w:color w:val="000000"/>
                <w:sz w:val="24"/>
              </w:rPr>
              <w:br/>
              <w:t>súdnych sporov,</w:t>
            </w:r>
            <w:r w:rsidRPr="00483982">
              <w:rPr>
                <w:rFonts w:ascii="Times New Roman" w:eastAsia="Times New Roman" w:hAnsi="Times New Roman" w:cs="Times New Roman"/>
                <w:color w:val="000000"/>
                <w:sz w:val="24"/>
              </w:rPr>
              <w:br/>
              <w:t>exekučných konaní,</w:t>
            </w:r>
            <w:r w:rsidRPr="00483982">
              <w:rPr>
                <w:rFonts w:ascii="Times New Roman" w:eastAsia="Times New Roman" w:hAnsi="Times New Roman" w:cs="Times New Roman"/>
                <w:color w:val="000000"/>
                <w:sz w:val="24"/>
              </w:rPr>
              <w:br/>
              <w:t>agendy orgánov sociálnoprávnej ochrany detí.</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Rovnako absentuje kvantifikácia dopadu na: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náhradné výživné,</w:t>
            </w:r>
            <w:r w:rsidRPr="00483982">
              <w:rPr>
                <w:rFonts w:ascii="Times New Roman" w:eastAsia="Times New Roman" w:hAnsi="Times New Roman" w:cs="Times New Roman"/>
                <w:color w:val="000000"/>
                <w:sz w:val="24"/>
              </w:rPr>
              <w:br/>
              <w:t>sociálne dávky,</w:t>
            </w:r>
            <w:r w:rsidRPr="00483982">
              <w:rPr>
                <w:rFonts w:ascii="Times New Roman" w:eastAsia="Times New Roman" w:hAnsi="Times New Roman" w:cs="Times New Roman"/>
                <w:color w:val="000000"/>
                <w:sz w:val="24"/>
              </w:rPr>
              <w:br/>
              <w:t>administratívne náklady štátu.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7. Systémová </w:t>
            </w:r>
            <w:proofErr w:type="spellStart"/>
            <w:r w:rsidRPr="00483982">
              <w:rPr>
                <w:rFonts w:ascii="Times New Roman" w:eastAsia="Times New Roman" w:hAnsi="Times New Roman" w:cs="Times New Roman"/>
                <w:color w:val="000000"/>
                <w:sz w:val="24"/>
              </w:rPr>
              <w:t>nesúladnosť</w:t>
            </w:r>
            <w:proofErr w:type="spellEnd"/>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Životné minimum je: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koncipované ako sociálny ukazovateľ minima pre prežitie,</w:t>
            </w:r>
            <w:r w:rsidRPr="00483982">
              <w:rPr>
                <w:rFonts w:ascii="Times New Roman" w:eastAsia="Times New Roman" w:hAnsi="Times New Roman" w:cs="Times New Roman"/>
                <w:color w:val="000000"/>
                <w:sz w:val="24"/>
              </w:rPr>
              <w:br/>
              <w:t>nie ako univerzálny základ pre vyživovaciu povinnosť.</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Naviazaním minimálneho výživného na 100 % tejto sumy:</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dochádza k mechanickému a systémovo neodôvodnenému prepojeniu dvoch odlišných inštitútov,</w:t>
            </w:r>
            <w:r w:rsidRPr="00483982">
              <w:rPr>
                <w:rFonts w:ascii="Times New Roman" w:eastAsia="Times New Roman" w:hAnsi="Times New Roman" w:cs="Times New Roman"/>
                <w:color w:val="000000"/>
                <w:sz w:val="24"/>
              </w:rPr>
              <w:br/>
              <w:t>bez zohľadnenia:</w:t>
            </w:r>
            <w:r w:rsidRPr="00483982">
              <w:rPr>
                <w:rFonts w:ascii="Times New Roman" w:eastAsia="Times New Roman" w:hAnsi="Times New Roman" w:cs="Times New Roman"/>
                <w:color w:val="000000"/>
                <w:sz w:val="24"/>
              </w:rPr>
              <w:br/>
              <w:t>regionálnych rozdielov,</w:t>
            </w:r>
            <w:r w:rsidRPr="00483982">
              <w:rPr>
                <w:rFonts w:ascii="Times New Roman" w:eastAsia="Times New Roman" w:hAnsi="Times New Roman" w:cs="Times New Roman"/>
                <w:color w:val="000000"/>
                <w:sz w:val="24"/>
              </w:rPr>
              <w:br/>
              <w:t>veku dieťaťa,</w:t>
            </w:r>
            <w:r w:rsidRPr="00483982">
              <w:rPr>
                <w:rFonts w:ascii="Times New Roman" w:eastAsia="Times New Roman" w:hAnsi="Times New Roman" w:cs="Times New Roman"/>
                <w:color w:val="000000"/>
                <w:sz w:val="24"/>
              </w:rPr>
              <w:br/>
              <w:t>špecifických potrieb.</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lastRenderedPageBreak/>
              <w:t>8. Alternatívne riešenia (odporúčania)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 odborného hľadiska by boli vhodnejšie menej rigidné nástroje: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zvýšenie minima, ale nie absolútne (napr. 50–70 %),</w:t>
            </w:r>
            <w:r w:rsidRPr="00483982">
              <w:rPr>
                <w:rFonts w:ascii="Times New Roman" w:eastAsia="Times New Roman" w:hAnsi="Times New Roman" w:cs="Times New Roman"/>
                <w:color w:val="000000"/>
                <w:sz w:val="24"/>
              </w:rPr>
              <w:br/>
              <w:t>zavedenie výnimiek pre objektívnu neschopnosť plniť,</w:t>
            </w:r>
            <w:r w:rsidRPr="00483982">
              <w:rPr>
                <w:rFonts w:ascii="Times New Roman" w:eastAsia="Times New Roman" w:hAnsi="Times New Roman" w:cs="Times New Roman"/>
                <w:color w:val="000000"/>
                <w:sz w:val="24"/>
              </w:rPr>
              <w:br/>
              <w:t>posilnenie:</w:t>
            </w:r>
            <w:r w:rsidRPr="00483982">
              <w:rPr>
                <w:rFonts w:ascii="Times New Roman" w:eastAsia="Times New Roman" w:hAnsi="Times New Roman" w:cs="Times New Roman"/>
                <w:color w:val="000000"/>
                <w:sz w:val="24"/>
              </w:rPr>
              <w:br/>
              <w:t>kontrolných mechanizmov (skryté príjmy),</w:t>
            </w:r>
            <w:r w:rsidRPr="00483982">
              <w:rPr>
                <w:rFonts w:ascii="Times New Roman" w:eastAsia="Times New Roman" w:hAnsi="Times New Roman" w:cs="Times New Roman"/>
                <w:color w:val="000000"/>
                <w:sz w:val="24"/>
              </w:rPr>
              <w:br/>
              <w:t>mediácie medzi rodičmi,</w:t>
            </w:r>
            <w:r w:rsidRPr="00483982">
              <w:rPr>
                <w:rFonts w:ascii="Times New Roman" w:eastAsia="Times New Roman" w:hAnsi="Times New Roman" w:cs="Times New Roman"/>
                <w:color w:val="000000"/>
                <w:sz w:val="24"/>
              </w:rPr>
              <w:br/>
              <w:t>efektívnejší systém náhradného výživného zo strany štátu,</w:t>
            </w:r>
            <w:r w:rsidRPr="00483982">
              <w:rPr>
                <w:rFonts w:ascii="Times New Roman" w:eastAsia="Times New Roman" w:hAnsi="Times New Roman" w:cs="Times New Roman"/>
                <w:color w:val="000000"/>
                <w:sz w:val="24"/>
              </w:rPr>
              <w:br/>
              <w:t>metodické usmernenia pre súdy namiesto fixného minima.</w:t>
            </w:r>
            <w:r w:rsidRPr="00483982">
              <w:rPr>
                <w:rFonts w:ascii="Times New Roman" w:eastAsia="Times New Roman" w:hAnsi="Times New Roman" w:cs="Times New Roman"/>
                <w:color w:val="000000"/>
                <w:sz w:val="24"/>
              </w:rPr>
              <w:br/>
              <w:t>Záver</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Návrh sleduje legitímny cieľ – posilnenie ochrany dieťaťa. Zvolený legislatívny nástroj je však:</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neprimerane rigidný,</w:t>
            </w:r>
            <w:r w:rsidRPr="00483982">
              <w:rPr>
                <w:rFonts w:ascii="Times New Roman" w:eastAsia="Times New Roman" w:hAnsi="Times New Roman" w:cs="Times New Roman"/>
                <w:color w:val="000000"/>
                <w:sz w:val="24"/>
              </w:rPr>
              <w:br/>
              <w:t>potenciálne protiústavný,</w:t>
            </w:r>
            <w:r w:rsidRPr="00483982">
              <w:rPr>
                <w:rFonts w:ascii="Times New Roman" w:eastAsia="Times New Roman" w:hAnsi="Times New Roman" w:cs="Times New Roman"/>
                <w:color w:val="000000"/>
                <w:sz w:val="24"/>
              </w:rPr>
              <w:br/>
              <w:t>a môže viesť k horším reálnym výsledkom, než aké deklaruje.</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Najväčším problémom je opustenie princípu: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„schopnosti, možnosti a majetkové pomery rodiča“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ktorý je základným pilierom rodinného práva.</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Verejnosť</w:t>
            </w:r>
            <w:r w:rsidRPr="00483982">
              <w:rPr>
                <w:rFonts w:ascii="Times New Roman" w:eastAsia="Times New Roman" w:hAnsi="Times New Roman" w:cs="Times New Roman"/>
                <w:b/>
                <w:color w:val="000000"/>
                <w:sz w:val="24"/>
              </w:rPr>
              <w:br/>
            </w:r>
            <w:proofErr w:type="spellStart"/>
            <w:r w:rsidRPr="00483982">
              <w:rPr>
                <w:rFonts w:ascii="Times New Roman" w:eastAsia="Times New Roman" w:hAnsi="Times New Roman" w:cs="Times New Roman"/>
                <w:color w:val="000000"/>
                <w:sz w:val="24"/>
              </w:rPr>
              <w:t>Verejnosť</w:t>
            </w:r>
            <w:proofErr w:type="spellEnd"/>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Čl. I § 62 ods. 3</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 xml:space="preserve">Návrhu tzv. 430 eurového zákona o zvýšení minimálneho výživného. Diskusia v pléne ukázala, že otázka rodičov, ktorí plnia vyživovaciu povinnosť voči deťom je jednou z najcitlivejších sociálnych tém na Slovensku. Napriek rozdielnym politickým postojom zaznela zo strany viacerých poslankýň a poslancov zhoda v tom, že ak ich vlastný príjem je na hranici životného minima, prípadne sú v hmotnej núdzi, deti nesmú niesť dôsledky </w:t>
            </w:r>
            <w:r w:rsidRPr="00483982">
              <w:rPr>
                <w:rFonts w:ascii="Times New Roman" w:eastAsia="Times New Roman" w:hAnsi="Times New Roman" w:cs="Times New Roman"/>
                <w:color w:val="000000"/>
                <w:sz w:val="24"/>
              </w:rPr>
              <w:lastRenderedPageBreak/>
              <w:t>ekonomickej neistoty ich rodičov ani nedostatočnej ochrany zo strany štátu. Zároveň však považujeme za potrebné zdôrazniť, že rozprava sa v mnohých momentoch vzdialila od samotnej podstaty návrhu zákona a odbornej diskusie o hrozbe nárastu dlhov, exekučných konaní a zo strany štátu k zvýšeným finančným nákladom z dôvodu uplatnenia inštitútu náhradného výživného i podmienkach rodín v núdzi. Takýto spôsob vedenia parlamentnej diskusie neprispieva k dôvere verejnosti v politiku ani k hľadaniu riešení, ktoré súdené rodiny na Slovensku reálne potrebujú.</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Minimálne výživné a životné minimum nie sú ideologické témy. Sú to otázky základnej spravodlivosti a ochrany rodiny dieťaťa. Každá rodina dieťaťa má právo na dôstojné životné podmienky. Zvyšovanie životných nákladov, cien bývania, energií, potravín a zdravotnej starostlivosti vytvára čoraz väčší tlak najmä na súdené rodiny, ktoré patria medzi najohrozenejšie skupiny obyvateľstva.</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Preto očakávame, že hlasovanie o 430 eurovom výživnom na každé dieťa bude vedené predovšetkým vecne, odborne a s dôrazom na najlepší záujem súdenej rodiny dieťaťa a parlament bude pri hlasovaní vychádzať z reálnych dát o chudobe súdených rodín s deťmi, zadlženosti domácností a ekonomickej situácii rodičov, ktorí plnia vyživovaciu povinnosť voči viacerým deťom. Tento návrh 430 eurového zákona týkajúci sa súdených rodín detí bude posudzovaný podľa jeho reálneho dopadu na kvalitu života rodín s deťmi, nie podľa politickej príslušnosti hlasujúcich.</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Osobitne chceme upozorniť na to, že chudoba súdených rodín s deťmi na Slovensku zostáva vážnym problémom. Mnohé súdené rodiny dnes zápasia s tým, aby zabezpečili základné potreby, bývanie, stravu, školské pomôcky, zdravotnú starostlivosť či mimoškolské aktivity. V takejto situácii je minimálne výživné vo výške 135 € a celkové mesačné zabezpečenie dieťaťa vo výške 430 eur (135 € od otca, 135 € od matky, 60 € prídavok na dieťa a 100 € daňový bonus) pre mnohé domácnosti existenčnou otázkou.</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Oceňujeme všetky vystúpenia, ktoré sa snažili upozorniť na reálne životné podmienky súdených rodín s deťmi a rodičov, ktorí plnia vyživovaciu povinnosť voči viacerým </w:t>
            </w:r>
            <w:r w:rsidRPr="00483982">
              <w:rPr>
                <w:rFonts w:ascii="Times New Roman" w:eastAsia="Times New Roman" w:hAnsi="Times New Roman" w:cs="Times New Roman"/>
                <w:color w:val="000000"/>
                <w:sz w:val="24"/>
              </w:rPr>
              <w:lastRenderedPageBreak/>
              <w:t>deťom. Zároveň vyzývame všetkých poslancov a poslankyne, aby pri hlasovaní o tomto 430 eurovom zákone uprednostnili kultivovanosť pred politickou "vraždou" mnohých osôb, ktorých nárast dlhov, exekučných konaní a prísnych trestov zo strany štátu nevyhnutne spôsobí následný zvýšený počet samovrážd z dôvodu ich bezvýchodiskovej situácie. Parlament má byť miestom, kde sa hľadajú riešenia v prospech občanov. Pri témach, ktoré sa týkajú rodičov, ktorí plnia vyživovaciu povinnosť voči deťom, by to malo platiť dvojnásobne.</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ÚGKKSR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Úrad geodézie, kartografie a katastra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K 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ÚJDSR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Úrad jadrového dozoru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ÚNMSSR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Úrad pre normalizáciu,  metrológiu a skúšobníctvo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ÚPVSR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Úrad priemyselného vlastníctva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ÚVO</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Úrad pre verejné obstarávanie</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ÚVSR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Úrad vlády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 62 ods. 3</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Znenie pripomienky:</w:t>
            </w:r>
            <w:r w:rsidRPr="00483982">
              <w:rPr>
                <w:rFonts w:ascii="Times New Roman" w:eastAsia="Times New Roman" w:hAnsi="Times New Roman" w:cs="Times New Roman"/>
                <w:color w:val="000000"/>
                <w:sz w:val="24"/>
              </w:rPr>
              <w:br/>
              <w:t xml:space="preserve">V § 62 ods. 3 sa číslo „30“ nahrádza číslom „50“.  </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Odôvodnenie:</w:t>
            </w:r>
            <w:r w:rsidRPr="00483982">
              <w:rPr>
                <w:rFonts w:ascii="Times New Roman" w:eastAsia="Times New Roman" w:hAnsi="Times New Roman" w:cs="Times New Roman"/>
                <w:color w:val="000000"/>
                <w:sz w:val="24"/>
              </w:rPr>
              <w:br/>
              <w:t xml:space="preserve">Navrhované zvýšenie minimálneho výživného z 30 % na 100 % sumy životného minima </w:t>
            </w:r>
            <w:r w:rsidRPr="00483982">
              <w:rPr>
                <w:rFonts w:ascii="Times New Roman" w:eastAsia="Times New Roman" w:hAnsi="Times New Roman" w:cs="Times New Roman"/>
                <w:color w:val="000000"/>
                <w:sz w:val="24"/>
              </w:rPr>
              <w:lastRenderedPageBreak/>
              <w:t>sleduje legitímny cieľ posilnenia ekonomickej ochrany detí. Takto nastavené zvýšenie však predstavuje výrazný skok, ktorý môže byť pri nízkopríjmových povinných rodičoch reálne ťažko splniteľný. To môže viesť k vyššej miere neplatenia výživného, zadlžovaniu, exekúciám, trestným konaniam pre zanedbanie povinnej výživy a k zvýšenému tlaku na systém náhradného výživného.</w:t>
            </w:r>
            <w:r w:rsidRPr="00483982">
              <w:rPr>
                <w:rFonts w:ascii="Times New Roman" w:eastAsia="Times New Roman" w:hAnsi="Times New Roman" w:cs="Times New Roman"/>
                <w:color w:val="000000"/>
                <w:sz w:val="24"/>
              </w:rPr>
              <w:br/>
            </w:r>
            <w:r w:rsidRPr="00483982">
              <w:rPr>
                <w:rFonts w:ascii="Times New Roman" w:eastAsia="Times New Roman" w:hAnsi="Times New Roman" w:cs="Times New Roman"/>
                <w:color w:val="000000"/>
                <w:sz w:val="24"/>
              </w:rPr>
              <w:br/>
              <w:t xml:space="preserve">Za primeranejšie riešenie by sme považovali zvýšenie minimálneho výživného na 50 % sumy životného minima. Takéto riešenie posilňuje ochranu dieťaťa, ale zároveň lepšie rešpektuje princíp reálnej splniteľnosti vyživovacej povinnosti, </w:t>
            </w:r>
            <w:proofErr w:type="spellStart"/>
            <w:r w:rsidRPr="00483982">
              <w:rPr>
                <w:rFonts w:ascii="Times New Roman" w:eastAsia="Times New Roman" w:hAnsi="Times New Roman" w:cs="Times New Roman"/>
                <w:color w:val="000000"/>
                <w:sz w:val="24"/>
              </w:rPr>
              <w:t>t.j</w:t>
            </w:r>
            <w:proofErr w:type="spellEnd"/>
            <w:r w:rsidRPr="00483982">
              <w:rPr>
                <w:rFonts w:ascii="Times New Roman" w:eastAsia="Times New Roman" w:hAnsi="Times New Roman" w:cs="Times New Roman"/>
                <w:color w:val="000000"/>
                <w:sz w:val="24"/>
              </w:rPr>
              <w:t>. ide o kompromis pri skoku z 30 % na 100 %. Toto zodpovedá aj stanovisku Ministerstva spravodlivosti, ktoré výslovne odporúča nahradiť 100 % hranicu hranicou 50 % a po zapracovaní pripomienok odporúča vláde vysloviť s návrhom súhlas.</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ŠÚSR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Štatistický úrad Slovenskej republiky</w:t>
            </w:r>
          </w:p>
        </w:tc>
        <w:tc>
          <w:tcPr>
            <w:tcW w:w="0" w:type="auto"/>
            <w:vAlign w:val="center"/>
          </w:tcPr>
          <w:p w:rsidR="00BE6916" w:rsidRPr="00483982" w:rsidRDefault="00AE71E4">
            <w:pPr>
              <w:spacing w:after="0"/>
              <w:jc w:val="center"/>
            </w:pPr>
            <w:r w:rsidRPr="00483982">
              <w:rPr>
                <w:rFonts w:ascii="Times New Roman" w:eastAsia="Times New Roman" w:hAnsi="Times New Roman" w:cs="Times New Roman"/>
                <w:color w:val="000000"/>
                <w:sz w:val="24"/>
              </w:rPr>
              <w:t>O</w:t>
            </w:r>
          </w:p>
        </w:tc>
        <w:tc>
          <w:tcPr>
            <w:tcW w:w="0" w:type="auto"/>
          </w:tcPr>
          <w:p w:rsidR="00BE6916" w:rsidRPr="00483982" w:rsidRDefault="00AE71E4">
            <w:pPr>
              <w:spacing w:after="0"/>
            </w:pPr>
            <w:r w:rsidRPr="00483982">
              <w:rPr>
                <w:rFonts w:ascii="Times New Roman" w:eastAsia="Times New Roman" w:hAnsi="Times New Roman" w:cs="Times New Roman"/>
                <w:b/>
                <w:color w:val="000000"/>
                <w:sz w:val="24"/>
              </w:rPr>
              <w:t>Celému materiálu</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MHSR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hospodárstva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MINCRS</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cestovného ruchu a športu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MIRRI 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investícií, regionálneho rozvoja a informatizácie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MKSR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kultúry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lastRenderedPageBreak/>
              <w:t>MPRVSR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pôdohospodárstva a rozvoja vidieka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MVSR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vnútra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MZSR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zdravotníctva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MZVEZ 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zahraničných vecí a európskych záležitostí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r w:rsidR="00BE6916" w:rsidRPr="00483982">
        <w:trPr>
          <w:trHeight w:val="648"/>
        </w:trPr>
        <w:tc>
          <w:tcPr>
            <w:tcW w:w="0" w:type="auto"/>
          </w:tcPr>
          <w:p w:rsidR="00BE6916" w:rsidRPr="00483982" w:rsidRDefault="00AE71E4">
            <w:pPr>
              <w:spacing w:after="0"/>
              <w:jc w:val="center"/>
            </w:pPr>
            <w:proofErr w:type="spellStart"/>
            <w:r w:rsidRPr="00483982">
              <w:rPr>
                <w:rFonts w:ascii="Times New Roman" w:eastAsia="Times New Roman" w:hAnsi="Times New Roman" w:cs="Times New Roman"/>
                <w:b/>
                <w:color w:val="000000"/>
                <w:sz w:val="24"/>
              </w:rPr>
              <w:t>MŠVVaMSR</w:t>
            </w:r>
            <w:proofErr w:type="spellEnd"/>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 xml:space="preserve">Ministerstvo </w:t>
            </w:r>
            <w:proofErr w:type="spellStart"/>
            <w:r w:rsidRPr="00483982">
              <w:rPr>
                <w:rFonts w:ascii="Times New Roman" w:eastAsia="Times New Roman" w:hAnsi="Times New Roman" w:cs="Times New Roman"/>
                <w:color w:val="000000"/>
                <w:sz w:val="24"/>
              </w:rPr>
              <w:t>školstva,výskumu,vývoja</w:t>
            </w:r>
            <w:proofErr w:type="spellEnd"/>
            <w:r w:rsidRPr="00483982">
              <w:rPr>
                <w:rFonts w:ascii="Times New Roman" w:eastAsia="Times New Roman" w:hAnsi="Times New Roman" w:cs="Times New Roman"/>
                <w:color w:val="000000"/>
                <w:sz w:val="24"/>
              </w:rPr>
              <w:t xml:space="preserve"> a mládeže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r w:rsidR="00BE6916" w:rsidRPr="00483982">
        <w:trPr>
          <w:trHeight w:val="648"/>
        </w:trPr>
        <w:tc>
          <w:tcPr>
            <w:tcW w:w="0" w:type="auto"/>
          </w:tcPr>
          <w:p w:rsidR="00BE6916" w:rsidRPr="00483982" w:rsidRDefault="00AE71E4">
            <w:pPr>
              <w:spacing w:after="0"/>
              <w:jc w:val="center"/>
            </w:pPr>
            <w:r w:rsidRPr="00483982">
              <w:rPr>
                <w:rFonts w:ascii="Times New Roman" w:eastAsia="Times New Roman" w:hAnsi="Times New Roman" w:cs="Times New Roman"/>
                <w:b/>
                <w:color w:val="000000"/>
                <w:sz w:val="24"/>
              </w:rPr>
              <w:t>MŽPSR</w:t>
            </w:r>
            <w:r w:rsidRPr="00483982">
              <w:rPr>
                <w:rFonts w:ascii="Times New Roman" w:eastAsia="Times New Roman" w:hAnsi="Times New Roman" w:cs="Times New Roman"/>
                <w:b/>
                <w:color w:val="000000"/>
                <w:sz w:val="24"/>
              </w:rPr>
              <w:br/>
            </w:r>
            <w:r w:rsidRPr="00483982">
              <w:rPr>
                <w:rFonts w:ascii="Times New Roman" w:eastAsia="Times New Roman" w:hAnsi="Times New Roman" w:cs="Times New Roman"/>
                <w:color w:val="000000"/>
                <w:sz w:val="24"/>
              </w:rPr>
              <w:t>Ministerstvo životného prostredia Slovenskej republiky</w:t>
            </w:r>
          </w:p>
        </w:tc>
        <w:tc>
          <w:tcPr>
            <w:tcW w:w="0" w:type="auto"/>
            <w:vAlign w:val="center"/>
          </w:tcPr>
          <w:p w:rsidR="00BE6916" w:rsidRPr="00483982" w:rsidRDefault="00BE6916">
            <w:pPr>
              <w:spacing w:after="0"/>
              <w:jc w:val="center"/>
            </w:pPr>
          </w:p>
        </w:tc>
        <w:tc>
          <w:tcPr>
            <w:tcW w:w="0" w:type="auto"/>
          </w:tcPr>
          <w:p w:rsidR="00BE6916" w:rsidRPr="00483982" w:rsidRDefault="00AE71E4">
            <w:pPr>
              <w:spacing w:after="0"/>
            </w:pPr>
            <w:r w:rsidRPr="00483982">
              <w:rPr>
                <w:rFonts w:ascii="Times New Roman" w:eastAsia="Times New Roman" w:hAnsi="Times New Roman" w:cs="Times New Roman"/>
                <w:color w:val="000000"/>
                <w:sz w:val="24"/>
              </w:rPr>
              <w:t>Odoslané bez pripomienok</w:t>
            </w:r>
          </w:p>
        </w:tc>
      </w:tr>
    </w:tbl>
    <w:p w:rsidR="00DB2917" w:rsidRPr="00483982" w:rsidRDefault="00DB2917">
      <w:pPr>
        <w:rPr>
          <w:rFonts w:ascii="Times New Roman" w:eastAsia="Times New Roman" w:hAnsi="Times New Roman" w:cs="Times New Roman"/>
          <w:sz w:val="24"/>
          <w:szCs w:val="24"/>
        </w:rPr>
      </w:pPr>
    </w:p>
    <w:p w:rsidR="00E66622" w:rsidRPr="00483982" w:rsidRDefault="00E66622" w:rsidP="00B325C1">
      <w:pPr>
        <w:keepLines/>
        <w:rPr>
          <w:rFonts w:ascii="Times New Roman" w:hAnsi="Times New Roman" w:cs="Times New Roman"/>
        </w:rPr>
      </w:pPr>
      <w:r w:rsidRPr="00483982">
        <w:rPr>
          <w:rFonts w:ascii="Times New Roman" w:eastAsia="Times New Roman" w:hAnsi="Times New Roman" w:cs="Times New Roman"/>
          <w:sz w:val="24"/>
          <w:szCs w:val="24"/>
        </w:rPr>
        <w:t xml:space="preserve">Vznesené </w:t>
      </w:r>
      <w:proofErr w:type="spellStart"/>
      <w:r w:rsidRPr="00483982">
        <w:rPr>
          <w:rFonts w:ascii="Times New Roman" w:eastAsia="Times New Roman" w:hAnsi="Times New Roman" w:cs="Times New Roman"/>
          <w:sz w:val="24"/>
          <w:szCs w:val="24"/>
        </w:rPr>
        <w:t>hromadn</w:t>
      </w:r>
      <w:proofErr w:type="spellEnd"/>
      <w:r w:rsidRPr="00483982">
        <w:rPr>
          <w:rFonts w:ascii="Times New Roman" w:eastAsia="Times New Roman" w:hAnsi="Times New Roman" w:cs="Times New Roman"/>
          <w:sz w:val="24"/>
          <w:szCs w:val="24"/>
          <w:lang w:val="en-US"/>
        </w:rPr>
        <w:t>é</w:t>
      </w:r>
      <w:r w:rsidRPr="00483982">
        <w:rPr>
          <w:rFonts w:ascii="Times New Roman" w:eastAsia="Times New Roman" w:hAnsi="Times New Roman" w:cs="Times New Roman"/>
          <w:sz w:val="24"/>
          <w:szCs w:val="24"/>
        </w:rPr>
        <w:t xml:space="preserve"> pripomienky</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87"/>
        <w:gridCol w:w="1394"/>
        <w:gridCol w:w="8779"/>
      </w:tblGrid>
      <w:tr w:rsidR="00E11D16" w:rsidRPr="00483982" w:rsidTr="00CD5259">
        <w:trPr>
          <w:trHeight w:val="648"/>
          <w:jc w:val="center"/>
        </w:trPr>
        <w:tc>
          <w:tcPr>
            <w:tcW w:w="1000" w:type="pct"/>
            <w:vAlign w:val="center"/>
          </w:tcPr>
          <w:p w:rsidR="00E11D16" w:rsidRPr="00483982" w:rsidRDefault="00E11D16" w:rsidP="00B325C1">
            <w:pPr>
              <w:keepLines/>
              <w:spacing w:after="0" w:line="240" w:lineRule="auto"/>
              <w:jc w:val="center"/>
              <w:rPr>
                <w:rFonts w:ascii="Times New Roman" w:hAnsi="Times New Roman" w:cs="Times New Roman"/>
                <w:b/>
                <w:bCs/>
                <w:sz w:val="24"/>
                <w:szCs w:val="24"/>
              </w:rPr>
            </w:pPr>
            <w:r w:rsidRPr="00483982">
              <w:rPr>
                <w:rFonts w:ascii="Times New Roman" w:hAnsi="Times New Roman" w:cs="Times New Roman"/>
                <w:b/>
                <w:bCs/>
                <w:sz w:val="24"/>
                <w:szCs w:val="24"/>
              </w:rPr>
              <w:t>Subjekt</w:t>
            </w:r>
          </w:p>
        </w:tc>
        <w:tc>
          <w:tcPr>
            <w:tcW w:w="500" w:type="pct"/>
            <w:vAlign w:val="center"/>
          </w:tcPr>
          <w:p w:rsidR="00E11D16" w:rsidRPr="00483982" w:rsidRDefault="00E11D16" w:rsidP="00B325C1">
            <w:pPr>
              <w:keepLines/>
              <w:spacing w:after="0" w:line="240" w:lineRule="auto"/>
              <w:jc w:val="center"/>
              <w:rPr>
                <w:rFonts w:ascii="Times New Roman" w:hAnsi="Times New Roman" w:cs="Times New Roman"/>
                <w:b/>
                <w:bCs/>
                <w:sz w:val="24"/>
                <w:szCs w:val="24"/>
              </w:rPr>
            </w:pPr>
            <w:proofErr w:type="spellStart"/>
            <w:r w:rsidRPr="00483982">
              <w:rPr>
                <w:rFonts w:ascii="Times New Roman" w:hAnsi="Times New Roman" w:cs="Times New Roman"/>
                <w:b/>
                <w:bCs/>
                <w:sz w:val="24"/>
                <w:szCs w:val="24"/>
              </w:rPr>
              <w:t>Podporo</w:t>
            </w:r>
            <w:proofErr w:type="spellEnd"/>
            <w:r w:rsidR="000A158B" w:rsidRPr="00483982">
              <w:rPr>
                <w:rFonts w:ascii="Times New Roman" w:hAnsi="Times New Roman" w:cs="Times New Roman"/>
                <w:sz w:val="24"/>
                <w:szCs w:val="24"/>
              </w:rPr>
              <w:t>-</w:t>
            </w:r>
            <w:r w:rsidR="000A158B" w:rsidRPr="00483982">
              <w:rPr>
                <w:rFonts w:ascii="Times New Roman" w:hAnsi="Times New Roman" w:cs="Times New Roman"/>
                <w:b/>
                <w:bCs/>
                <w:sz w:val="24"/>
                <w:szCs w:val="24"/>
              </w:rPr>
              <w:br/>
            </w:r>
            <w:proofErr w:type="spellStart"/>
            <w:r w:rsidRPr="00483982">
              <w:rPr>
                <w:rFonts w:ascii="Times New Roman" w:hAnsi="Times New Roman" w:cs="Times New Roman"/>
                <w:b/>
                <w:bCs/>
                <w:sz w:val="24"/>
                <w:szCs w:val="24"/>
              </w:rPr>
              <w:t>vatelia</w:t>
            </w:r>
            <w:proofErr w:type="spellEnd"/>
          </w:p>
        </w:tc>
        <w:tc>
          <w:tcPr>
            <w:tcW w:w="3150" w:type="pct"/>
            <w:vAlign w:val="center"/>
          </w:tcPr>
          <w:p w:rsidR="00E11D16" w:rsidRPr="00483982" w:rsidRDefault="00E11D16" w:rsidP="00B325C1">
            <w:pPr>
              <w:keepLines/>
              <w:spacing w:after="0" w:line="240" w:lineRule="auto"/>
              <w:jc w:val="center"/>
              <w:rPr>
                <w:rFonts w:ascii="Times New Roman" w:hAnsi="Times New Roman" w:cs="Times New Roman"/>
                <w:b/>
                <w:bCs/>
                <w:sz w:val="24"/>
                <w:szCs w:val="24"/>
              </w:rPr>
            </w:pPr>
            <w:r w:rsidRPr="00483982">
              <w:rPr>
                <w:rFonts w:ascii="Times New Roman" w:hAnsi="Times New Roman" w:cs="Times New Roman"/>
                <w:b/>
                <w:bCs/>
                <w:sz w:val="24"/>
                <w:szCs w:val="24"/>
              </w:rPr>
              <w:t>Pripomienka</w:t>
            </w:r>
          </w:p>
        </w:tc>
      </w:tr>
      <w:tr w:rsidR="0012092E" w:rsidTr="0012092E">
        <w:trPr>
          <w:trHeight w:val="648"/>
          <w:jc w:val="center"/>
        </w:trPr>
        <w:tc>
          <w:tcPr>
            <w:tcW w:w="0" w:type="auto"/>
            <w:gridSpan w:val="3"/>
            <w:vAlign w:val="center"/>
          </w:tcPr>
          <w:p w:rsidR="00BE6916" w:rsidRDefault="00AE71E4">
            <w:pPr>
              <w:spacing w:after="0"/>
              <w:jc w:val="center"/>
            </w:pPr>
            <w:r w:rsidRPr="00483982">
              <w:rPr>
                <w:rFonts w:ascii="Times New Roman" w:eastAsia="Times New Roman" w:hAnsi="Times New Roman" w:cs="Times New Roman"/>
                <w:color w:val="000000"/>
                <w:sz w:val="24"/>
              </w:rPr>
              <w:lastRenderedPageBreak/>
              <w:t>K materiálu neboli pridané hromadné pripomienky.</w:t>
            </w:r>
          </w:p>
        </w:tc>
      </w:tr>
    </w:tbl>
    <w:p w:rsidR="00E66622" w:rsidRPr="00E66622" w:rsidRDefault="00E66622">
      <w:pPr>
        <w:rPr>
          <w:rFonts w:ascii="Times New Roman" w:hAnsi="Times New Roman" w:cs="Times New Roman"/>
        </w:rPr>
      </w:pPr>
    </w:p>
    <w:sectPr w:rsidR="00E66622" w:rsidRPr="00E66622" w:rsidSect="00E327C3">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0F1" w:rsidRPr="00E66622" w:rsidRDefault="00A220F1" w:rsidP="00E66622">
      <w:pPr>
        <w:spacing w:after="0" w:line="240" w:lineRule="auto"/>
      </w:pPr>
      <w:r w:rsidRPr="00E66622">
        <w:separator/>
      </w:r>
    </w:p>
  </w:endnote>
  <w:endnote w:type="continuationSeparator" w:id="0">
    <w:p w:rsidR="00A220F1" w:rsidRPr="00E66622" w:rsidRDefault="00A220F1" w:rsidP="00E66622">
      <w:pPr>
        <w:spacing w:after="0" w:line="240" w:lineRule="auto"/>
      </w:pPr>
      <w:r w:rsidRPr="00E66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7C3" w:rsidRDefault="00E327C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051462"/>
      <w:docPartObj>
        <w:docPartGallery w:val="Page Numbers (Bottom of Page)"/>
        <w:docPartUnique/>
      </w:docPartObj>
    </w:sdtPr>
    <w:sdtEndPr>
      <w:rPr>
        <w:rFonts w:ascii="Times New Roman" w:hAnsi="Times New Roman"/>
        <w:noProof/>
      </w:rPr>
    </w:sdtEndPr>
    <w:sdtContent>
      <w:p w:rsidR="00E66622" w:rsidRPr="00A02DB7" w:rsidRDefault="00E66622">
        <w:pPr>
          <w:pStyle w:val="Pta"/>
          <w:jc w:val="center"/>
          <w:rPr>
            <w:rFonts w:ascii="Times New Roman" w:hAnsi="Times New Roman"/>
          </w:rPr>
        </w:pPr>
        <w:r w:rsidRPr="00A02DB7">
          <w:rPr>
            <w:rFonts w:ascii="Times New Roman" w:hAnsi="Times New Roman"/>
          </w:rPr>
          <w:fldChar w:fldCharType="begin"/>
        </w:r>
        <w:r w:rsidRPr="00A02DB7">
          <w:rPr>
            <w:rFonts w:ascii="Times New Roman" w:hAnsi="Times New Roman"/>
          </w:rPr>
          <w:instrText xml:space="preserve"> PAGE   \* MERGEFORMAT </w:instrText>
        </w:r>
        <w:r w:rsidRPr="00A02DB7">
          <w:rPr>
            <w:rFonts w:ascii="Times New Roman" w:hAnsi="Times New Roman"/>
          </w:rPr>
          <w:fldChar w:fldCharType="separate"/>
        </w:r>
        <w:r w:rsidR="00602382">
          <w:rPr>
            <w:rFonts w:ascii="Times New Roman" w:hAnsi="Times New Roman"/>
            <w:noProof/>
          </w:rPr>
          <w:t>21</w:t>
        </w:r>
        <w:r w:rsidRPr="00A02DB7">
          <w:rPr>
            <w:rFonts w:ascii="Times New Roman" w:hAnsi="Times New Roman"/>
            <w:noProof/>
          </w:rPr>
          <w:fldChar w:fldCharType="end"/>
        </w:r>
      </w:p>
    </w:sdtContent>
  </w:sdt>
  <w:p w:rsidR="00E66622" w:rsidRDefault="00E66622">
    <w:pPr>
      <w:pStyle w:val="Pt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7C3" w:rsidRDefault="00E327C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0F1" w:rsidRPr="00E66622" w:rsidRDefault="00A220F1" w:rsidP="00E66622">
      <w:pPr>
        <w:spacing w:after="0" w:line="240" w:lineRule="auto"/>
      </w:pPr>
      <w:r w:rsidRPr="00E66622">
        <w:separator/>
      </w:r>
    </w:p>
  </w:footnote>
  <w:footnote w:type="continuationSeparator" w:id="0">
    <w:p w:rsidR="00A220F1" w:rsidRPr="00E66622" w:rsidRDefault="00A220F1" w:rsidP="00E66622">
      <w:pPr>
        <w:spacing w:after="0" w:line="240" w:lineRule="auto"/>
      </w:pPr>
      <w:r w:rsidRPr="00E666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7C3" w:rsidRDefault="00E327C3">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7C3" w:rsidRDefault="00E327C3">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7C3" w:rsidRDefault="00E327C3">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47E84"/>
    <w:rsid w:val="00050137"/>
    <w:rsid w:val="00050C83"/>
    <w:rsid w:val="00076DCD"/>
    <w:rsid w:val="0008718D"/>
    <w:rsid w:val="000A158B"/>
    <w:rsid w:val="000B2D78"/>
    <w:rsid w:val="000C172E"/>
    <w:rsid w:val="000D3CA3"/>
    <w:rsid w:val="0012092E"/>
    <w:rsid w:val="001228AD"/>
    <w:rsid w:val="00131490"/>
    <w:rsid w:val="00131742"/>
    <w:rsid w:val="001433FA"/>
    <w:rsid w:val="00146A7D"/>
    <w:rsid w:val="001D4771"/>
    <w:rsid w:val="001E50FA"/>
    <w:rsid w:val="001E5996"/>
    <w:rsid w:val="001F777F"/>
    <w:rsid w:val="00231554"/>
    <w:rsid w:val="00237490"/>
    <w:rsid w:val="00245F36"/>
    <w:rsid w:val="0026614F"/>
    <w:rsid w:val="002715E0"/>
    <w:rsid w:val="0029170C"/>
    <w:rsid w:val="00295E6A"/>
    <w:rsid w:val="002A4482"/>
    <w:rsid w:val="002C0EB1"/>
    <w:rsid w:val="002C684B"/>
    <w:rsid w:val="002D3B5E"/>
    <w:rsid w:val="002D4B4A"/>
    <w:rsid w:val="002E3CEC"/>
    <w:rsid w:val="002F5089"/>
    <w:rsid w:val="00310F92"/>
    <w:rsid w:val="00312884"/>
    <w:rsid w:val="00335FFB"/>
    <w:rsid w:val="00350421"/>
    <w:rsid w:val="003A5C5F"/>
    <w:rsid w:val="003C31D4"/>
    <w:rsid w:val="003E641E"/>
    <w:rsid w:val="003F1216"/>
    <w:rsid w:val="003F37C1"/>
    <w:rsid w:val="003F501E"/>
    <w:rsid w:val="004029A2"/>
    <w:rsid w:val="004050CF"/>
    <w:rsid w:val="00405348"/>
    <w:rsid w:val="00431C3A"/>
    <w:rsid w:val="00434080"/>
    <w:rsid w:val="00461AE1"/>
    <w:rsid w:val="00483982"/>
    <w:rsid w:val="00491D61"/>
    <w:rsid w:val="004A62B8"/>
    <w:rsid w:val="004B4188"/>
    <w:rsid w:val="004C4683"/>
    <w:rsid w:val="004E0BF7"/>
    <w:rsid w:val="004F4092"/>
    <w:rsid w:val="00513767"/>
    <w:rsid w:val="005146CA"/>
    <w:rsid w:val="0053699B"/>
    <w:rsid w:val="00543901"/>
    <w:rsid w:val="00583F11"/>
    <w:rsid w:val="005B618C"/>
    <w:rsid w:val="005E5B0E"/>
    <w:rsid w:val="005F3E6F"/>
    <w:rsid w:val="00602231"/>
    <w:rsid w:val="00602382"/>
    <w:rsid w:val="006371D1"/>
    <w:rsid w:val="00641DD8"/>
    <w:rsid w:val="00664F3B"/>
    <w:rsid w:val="00695857"/>
    <w:rsid w:val="006C2D6E"/>
    <w:rsid w:val="006C5E2E"/>
    <w:rsid w:val="0070694E"/>
    <w:rsid w:val="00707B3A"/>
    <w:rsid w:val="00735F5E"/>
    <w:rsid w:val="00774ED8"/>
    <w:rsid w:val="00784062"/>
    <w:rsid w:val="0078532E"/>
    <w:rsid w:val="007C1A93"/>
    <w:rsid w:val="007F482B"/>
    <w:rsid w:val="00805BCF"/>
    <w:rsid w:val="00847145"/>
    <w:rsid w:val="008741FE"/>
    <w:rsid w:val="00885A42"/>
    <w:rsid w:val="00887B34"/>
    <w:rsid w:val="008C2612"/>
    <w:rsid w:val="008D299D"/>
    <w:rsid w:val="00913D14"/>
    <w:rsid w:val="00917A99"/>
    <w:rsid w:val="00932936"/>
    <w:rsid w:val="00947810"/>
    <w:rsid w:val="009647D6"/>
    <w:rsid w:val="00980D7A"/>
    <w:rsid w:val="009912BF"/>
    <w:rsid w:val="009B1491"/>
    <w:rsid w:val="009D152C"/>
    <w:rsid w:val="009D32B4"/>
    <w:rsid w:val="009E0711"/>
    <w:rsid w:val="009F35D2"/>
    <w:rsid w:val="00A02DB7"/>
    <w:rsid w:val="00A070EB"/>
    <w:rsid w:val="00A220F1"/>
    <w:rsid w:val="00A36692"/>
    <w:rsid w:val="00A81039"/>
    <w:rsid w:val="00A950A9"/>
    <w:rsid w:val="00AD0FB4"/>
    <w:rsid w:val="00AE71E4"/>
    <w:rsid w:val="00B02EF2"/>
    <w:rsid w:val="00B0310C"/>
    <w:rsid w:val="00B11932"/>
    <w:rsid w:val="00B13231"/>
    <w:rsid w:val="00B13C0C"/>
    <w:rsid w:val="00B325C1"/>
    <w:rsid w:val="00B8742A"/>
    <w:rsid w:val="00B946A0"/>
    <w:rsid w:val="00BB3CF4"/>
    <w:rsid w:val="00BC339E"/>
    <w:rsid w:val="00BC7790"/>
    <w:rsid w:val="00BD7F55"/>
    <w:rsid w:val="00BE323C"/>
    <w:rsid w:val="00BE6916"/>
    <w:rsid w:val="00BF207A"/>
    <w:rsid w:val="00C06F1F"/>
    <w:rsid w:val="00C13765"/>
    <w:rsid w:val="00C34659"/>
    <w:rsid w:val="00C43D79"/>
    <w:rsid w:val="00C529CC"/>
    <w:rsid w:val="00C84A5B"/>
    <w:rsid w:val="00C904D1"/>
    <w:rsid w:val="00CB600D"/>
    <w:rsid w:val="00CC742E"/>
    <w:rsid w:val="00CD5259"/>
    <w:rsid w:val="00CD7313"/>
    <w:rsid w:val="00CF1D5F"/>
    <w:rsid w:val="00D01FAC"/>
    <w:rsid w:val="00D0302E"/>
    <w:rsid w:val="00D2596D"/>
    <w:rsid w:val="00D44E47"/>
    <w:rsid w:val="00D466F6"/>
    <w:rsid w:val="00D610D0"/>
    <w:rsid w:val="00D91683"/>
    <w:rsid w:val="00DA267A"/>
    <w:rsid w:val="00DB2917"/>
    <w:rsid w:val="00DB4797"/>
    <w:rsid w:val="00DD2850"/>
    <w:rsid w:val="00DD302E"/>
    <w:rsid w:val="00DD7CB5"/>
    <w:rsid w:val="00DF139C"/>
    <w:rsid w:val="00E07639"/>
    <w:rsid w:val="00E078E8"/>
    <w:rsid w:val="00E113C2"/>
    <w:rsid w:val="00E11D16"/>
    <w:rsid w:val="00E327C3"/>
    <w:rsid w:val="00E37A37"/>
    <w:rsid w:val="00E41A2D"/>
    <w:rsid w:val="00E66622"/>
    <w:rsid w:val="00E92A50"/>
    <w:rsid w:val="00EA3B3C"/>
    <w:rsid w:val="00EE00C6"/>
    <w:rsid w:val="00EE3DCD"/>
    <w:rsid w:val="00F0653F"/>
    <w:rsid w:val="00F17D8C"/>
    <w:rsid w:val="00F456DC"/>
    <w:rsid w:val="00F66A1B"/>
    <w:rsid w:val="00F8431B"/>
    <w:rsid w:val="00F85AB8"/>
    <w:rsid w:val="00F907A2"/>
    <w:rsid w:val="00FA016F"/>
    <w:rsid w:val="00FA40AE"/>
    <w:rsid w:val="00FD1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11D16"/>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character" w:styleId="Odkaznakomentr">
    <w:name w:val="annotation reference"/>
    <w:basedOn w:val="Predvolenpsmoodseku"/>
    <w:uiPriority w:val="99"/>
    <w:semiHidden/>
    <w:unhideWhenUsed/>
    <w:rsid w:val="00CD5259"/>
    <w:rPr>
      <w:sz w:val="16"/>
      <w:szCs w:val="16"/>
    </w:rPr>
  </w:style>
  <w:style w:type="paragraph" w:styleId="Textkomentra">
    <w:name w:val="annotation text"/>
    <w:basedOn w:val="Normlny"/>
    <w:link w:val="TextkomentraChar"/>
    <w:uiPriority w:val="99"/>
    <w:semiHidden/>
    <w:unhideWhenUsed/>
    <w:rsid w:val="00CD5259"/>
    <w:pPr>
      <w:spacing w:line="240" w:lineRule="auto"/>
    </w:pPr>
    <w:rPr>
      <w:sz w:val="20"/>
      <w:szCs w:val="20"/>
    </w:rPr>
  </w:style>
  <w:style w:type="character" w:customStyle="1" w:styleId="TextkomentraChar">
    <w:name w:val="Text komentára Char"/>
    <w:basedOn w:val="Predvolenpsmoodseku"/>
    <w:link w:val="Textkomentra"/>
    <w:uiPriority w:val="99"/>
    <w:semiHidden/>
    <w:rsid w:val="00CD5259"/>
    <w:rPr>
      <w:sz w:val="20"/>
      <w:szCs w:val="20"/>
      <w:lang w:val="sk-SK"/>
    </w:rPr>
  </w:style>
  <w:style w:type="paragraph" w:styleId="Predmetkomentra">
    <w:name w:val="annotation subject"/>
    <w:basedOn w:val="Textkomentra"/>
    <w:next w:val="Textkomentra"/>
    <w:link w:val="PredmetkomentraChar"/>
    <w:uiPriority w:val="99"/>
    <w:semiHidden/>
    <w:unhideWhenUsed/>
    <w:rsid w:val="00CD5259"/>
    <w:rPr>
      <w:b/>
      <w:bCs/>
    </w:rPr>
  </w:style>
  <w:style w:type="character" w:customStyle="1" w:styleId="PredmetkomentraChar">
    <w:name w:val="Predmet komentára Char"/>
    <w:basedOn w:val="TextkomentraChar"/>
    <w:link w:val="Predmetkomentra"/>
    <w:uiPriority w:val="99"/>
    <w:semiHidden/>
    <w:rsid w:val="00CD5259"/>
    <w:rPr>
      <w:b/>
      <w:bCs/>
      <w:sz w:val="20"/>
      <w:szCs w:val="20"/>
      <w:lang w:val="sk-SK"/>
    </w:rPr>
  </w:style>
  <w:style w:type="paragraph" w:styleId="Textbubliny">
    <w:name w:val="Balloon Text"/>
    <w:basedOn w:val="Normlny"/>
    <w:link w:val="TextbublinyChar"/>
    <w:uiPriority w:val="99"/>
    <w:semiHidden/>
    <w:unhideWhenUsed/>
    <w:rsid w:val="0008718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8718D"/>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4756</Words>
  <Characters>27111</Characters>
  <Application>Microsoft Office Word</Application>
  <DocSecurity>0</DocSecurity>
  <Lines>225</Lines>
  <Paragraphs>63</Paragraphs>
  <ScaleCrop>false</ScaleCrop>
  <Company/>
  <LinksUpToDate>false</LinksUpToDate>
  <CharactersWithSpaces>31804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2026-06-09T08:51:00Z</dcterms:created>
  <dcterms:modified xsi:type="dcterms:W3CDTF">2026-06-09T08:51:00Z</dcterms:modified>
</cp:coreProperties>
</file>