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p>
    <w:p w14:paraId="77F96BF6"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p>
    <w:p w14:paraId="36AFBB5F" w14:textId="5001D57A" w:rsidR="00054C41" w:rsidRPr="001F1B43" w:rsidRDefault="00BC0AA8" w:rsidP="00054C4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Ministerstvo dopravy a výstavby Slovenskej republiky</w:t>
      </w: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5C25A32D"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1E46DE7B" w14:textId="594A983F" w:rsidR="00837E89" w:rsidRDefault="00837E89" w:rsidP="00054C41">
      <w:pPr>
        <w:jc w:val="both"/>
      </w:pPr>
      <w:r>
        <w:fldChar w:fldCharType="begin"/>
      </w:r>
      <w:r>
        <w:instrText xml:space="preserve"> LINK </w:instrText>
      </w:r>
      <w:r w:rsidR="00443D3E">
        <w:instrText xml:space="preserve">Excel.Sheet.12 "C:\\Users\\advorakova\\Desktop\\novely september 2022\\novela zákonov + doložky + analýzy\\po PPK\\13b_kalkulačka.xlsx" "Krok 2- Tabuľky na skopírovanie!R5C2:R16C6" </w:instrText>
      </w:r>
      <w:r>
        <w:instrText xml:space="preserve">\a \f 4 \h </w:instrText>
      </w:r>
      <w:r>
        <w:fldChar w:fldCharType="separate"/>
      </w:r>
    </w:p>
    <w:p w14:paraId="2A8E57DB" w14:textId="77777777" w:rsidR="00EE652A" w:rsidRPr="00D8247C" w:rsidRDefault="00837E89" w:rsidP="00054C41">
      <w:pPr>
        <w:jc w:val="both"/>
        <w:rPr>
          <w:rFonts w:ascii="Times New Roman" w:eastAsia="Calibri" w:hAnsi="Times New Roman" w:cs="Times New Roman"/>
          <w:i/>
          <w:sz w:val="24"/>
          <w:szCs w:val="24"/>
        </w:rPr>
      </w:pPr>
      <w:r>
        <w:rPr>
          <w:rFonts w:ascii="Times New Roman" w:eastAsia="Calibri" w:hAnsi="Times New Roman" w:cs="Times New Roman"/>
          <w:i/>
          <w:sz w:val="24"/>
          <w:szCs w:val="24"/>
        </w:rPr>
        <w:fldChar w:fldCharType="end"/>
      </w: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EE652A" w:rsidRPr="00EE652A" w14:paraId="79EBA49F" w14:textId="77777777" w:rsidTr="00EE652A">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CD2C2D" w14:textId="77777777" w:rsidR="00EE652A" w:rsidRPr="00EE652A" w:rsidRDefault="00EE652A" w:rsidP="00EE652A">
            <w:pPr>
              <w:spacing w:after="0" w:line="240" w:lineRule="auto"/>
              <w:jc w:val="center"/>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272475FE"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3CCF5B3A"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Zníženie nákladov v € na PP</w:t>
            </w:r>
          </w:p>
        </w:tc>
      </w:tr>
      <w:tr w:rsidR="00EE652A" w:rsidRPr="00EE652A" w14:paraId="20586C94" w14:textId="77777777" w:rsidTr="00EE652A">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60175ED2"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B9D9040"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6B3F204"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0</w:t>
            </w:r>
          </w:p>
        </w:tc>
      </w:tr>
      <w:tr w:rsidR="00EE652A" w:rsidRPr="00EE652A" w14:paraId="35102513" w14:textId="77777777" w:rsidTr="00EE652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B4A3D88"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6A278D74"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133 129</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0A6A8F82"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720</w:t>
            </w:r>
          </w:p>
        </w:tc>
      </w:tr>
      <w:tr w:rsidR="00EE652A" w:rsidRPr="00EE652A" w14:paraId="0AD51A56" w14:textId="77777777" w:rsidTr="00EE652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476B223E"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40D8447"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247 500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45989D3E"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1 773 815</w:t>
            </w:r>
          </w:p>
        </w:tc>
      </w:tr>
      <w:tr w:rsidR="00EE652A" w:rsidRPr="00EE652A" w14:paraId="3C29130D" w14:textId="77777777" w:rsidTr="00EE652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2C5FFB4F"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938C3A9"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4</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11B732EB"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2 450</w:t>
            </w:r>
          </w:p>
        </w:tc>
      </w:tr>
      <w:tr w:rsidR="00EE652A" w:rsidRPr="00EE652A" w14:paraId="05CD7202" w14:textId="77777777" w:rsidTr="00EE652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0ECC9D9C"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5AC732E0"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380 633</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26F7A6F9"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1 776 985</w:t>
            </w:r>
          </w:p>
        </w:tc>
      </w:tr>
      <w:tr w:rsidR="00EE652A" w:rsidRPr="00EE652A" w14:paraId="2B336DC0" w14:textId="77777777" w:rsidTr="00EE652A">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59B5825"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3915DBB"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1AC5A40E"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 </w:t>
            </w:r>
          </w:p>
        </w:tc>
      </w:tr>
      <w:tr w:rsidR="00EE652A" w:rsidRPr="00EE652A" w14:paraId="79B70512" w14:textId="77777777" w:rsidTr="00EE652A">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6F062F38"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5B4E7AB1"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CC5C22C"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0</w:t>
            </w:r>
          </w:p>
        </w:tc>
      </w:tr>
      <w:tr w:rsidR="00EE652A" w:rsidRPr="00EE652A" w14:paraId="6B718812" w14:textId="77777777" w:rsidTr="00EE652A">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7D4A83BD" w14:textId="77777777" w:rsidR="00EE652A" w:rsidRPr="00EE652A" w:rsidRDefault="00EE652A" w:rsidP="00EE652A">
            <w:pPr>
              <w:spacing w:after="0" w:line="240" w:lineRule="auto"/>
              <w:rPr>
                <w:rFonts w:ascii="Times New Roman" w:eastAsia="Times New Roman" w:hAnsi="Times New Roman" w:cs="Times New Roman"/>
                <w:b/>
                <w:bCs/>
                <w:i/>
                <w:iCs/>
                <w:color w:val="000000"/>
                <w:sz w:val="20"/>
                <w:szCs w:val="20"/>
                <w:lang w:eastAsia="sk-SK"/>
              </w:rPr>
            </w:pPr>
            <w:r w:rsidRPr="00EE652A">
              <w:rPr>
                <w:rFonts w:ascii="Times New Roman" w:eastAsia="Times New Roman" w:hAnsi="Times New Roman" w:cs="Times New Roman"/>
                <w:b/>
                <w:bCs/>
                <w:i/>
                <w:iCs/>
                <w:color w:val="000000"/>
                <w:sz w:val="20"/>
                <w:szCs w:val="20"/>
                <w:lang w:eastAsia="sk-SK"/>
              </w:rPr>
              <w:t>F. Úplná harmonizácia práva EÚ</w:t>
            </w:r>
            <w:r w:rsidRPr="00EE652A">
              <w:rPr>
                <w:rFonts w:ascii="Times New Roman" w:eastAsia="Times New Roman" w:hAnsi="Times New Roman" w:cs="Times New Roman"/>
                <w:b/>
                <w:bCs/>
                <w:i/>
                <w:iCs/>
                <w:color w:val="000000"/>
                <w:sz w:val="20"/>
                <w:szCs w:val="20"/>
                <w:lang w:eastAsia="sk-SK"/>
              </w:rPr>
              <w:br/>
            </w:r>
            <w:r w:rsidRPr="00EE652A">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2EACE1C6"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50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395E2300"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0</w:t>
            </w:r>
          </w:p>
        </w:tc>
      </w:tr>
      <w:tr w:rsidR="00EE652A" w:rsidRPr="00EE652A" w14:paraId="4CBD32BE" w14:textId="77777777" w:rsidTr="00EE652A">
        <w:trPr>
          <w:trHeight w:val="270"/>
        </w:trPr>
        <w:tc>
          <w:tcPr>
            <w:tcW w:w="3780" w:type="dxa"/>
            <w:tcBorders>
              <w:top w:val="nil"/>
              <w:left w:val="nil"/>
              <w:bottom w:val="nil"/>
              <w:right w:val="nil"/>
            </w:tcBorders>
            <w:shd w:val="clear" w:color="auto" w:fill="auto"/>
            <w:noWrap/>
            <w:vAlign w:val="bottom"/>
            <w:hideMark/>
          </w:tcPr>
          <w:p w14:paraId="7D7E08E8"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14:paraId="67289B8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p>
        </w:tc>
        <w:tc>
          <w:tcPr>
            <w:tcW w:w="1060" w:type="dxa"/>
            <w:tcBorders>
              <w:top w:val="nil"/>
              <w:left w:val="nil"/>
              <w:bottom w:val="nil"/>
              <w:right w:val="nil"/>
            </w:tcBorders>
            <w:shd w:val="clear" w:color="auto" w:fill="auto"/>
            <w:vAlign w:val="center"/>
            <w:hideMark/>
          </w:tcPr>
          <w:p w14:paraId="1BE4400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p>
        </w:tc>
        <w:tc>
          <w:tcPr>
            <w:tcW w:w="1360" w:type="dxa"/>
            <w:tcBorders>
              <w:top w:val="nil"/>
              <w:left w:val="nil"/>
              <w:bottom w:val="nil"/>
              <w:right w:val="nil"/>
            </w:tcBorders>
            <w:shd w:val="clear" w:color="auto" w:fill="auto"/>
            <w:vAlign w:val="center"/>
            <w:hideMark/>
          </w:tcPr>
          <w:p w14:paraId="1E78EAD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vAlign w:val="center"/>
            <w:hideMark/>
          </w:tcPr>
          <w:p w14:paraId="1FD5161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p>
        </w:tc>
      </w:tr>
      <w:tr w:rsidR="00EE652A" w:rsidRPr="00EE652A" w14:paraId="6450AD05" w14:textId="77777777" w:rsidTr="00EE652A">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507A51" w14:textId="77777777" w:rsidR="00EE652A" w:rsidRPr="00EE652A" w:rsidRDefault="00EE652A" w:rsidP="00EE652A">
            <w:pPr>
              <w:spacing w:after="0" w:line="240" w:lineRule="auto"/>
              <w:rPr>
                <w:rFonts w:ascii="Times New Roman" w:eastAsia="Times New Roman" w:hAnsi="Times New Roman" w:cs="Times New Roman"/>
                <w:i/>
                <w:iCs/>
                <w:color w:val="000000"/>
                <w:sz w:val="20"/>
                <w:szCs w:val="20"/>
                <w:lang w:eastAsia="sk-SK"/>
              </w:rPr>
            </w:pPr>
            <w:r w:rsidRPr="00EE652A">
              <w:rPr>
                <w:rFonts w:ascii="Times New Roman" w:eastAsia="Times New Roman" w:hAnsi="Times New Roman" w:cs="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5771405A" w14:textId="77777777" w:rsidR="00EE652A" w:rsidRPr="00EE652A" w:rsidRDefault="00EE652A" w:rsidP="00EE652A">
            <w:pPr>
              <w:spacing w:after="0" w:line="240" w:lineRule="auto"/>
              <w:jc w:val="center"/>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2EBEAF1D" w14:textId="77777777" w:rsidR="00EE652A" w:rsidRPr="00EE652A" w:rsidRDefault="00EE652A" w:rsidP="00EE652A">
            <w:pPr>
              <w:spacing w:after="0" w:line="240" w:lineRule="auto"/>
              <w:jc w:val="center"/>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OUT</w:t>
            </w:r>
          </w:p>
        </w:tc>
      </w:tr>
      <w:tr w:rsidR="00EE652A" w:rsidRPr="00EE652A" w14:paraId="777DA725" w14:textId="77777777" w:rsidTr="00EE652A">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060A8F95" w14:textId="77777777" w:rsidR="00EE652A" w:rsidRPr="00EE652A" w:rsidRDefault="00EE652A" w:rsidP="00EE652A">
            <w:pPr>
              <w:spacing w:after="0" w:line="240" w:lineRule="auto"/>
              <w:rPr>
                <w:rFonts w:ascii="Times New Roman" w:eastAsia="Times New Roman" w:hAnsi="Times New Roman" w:cs="Times New Roman"/>
                <w:i/>
                <w:iCs/>
                <w:color w:val="000000"/>
                <w:sz w:val="20"/>
                <w:szCs w:val="20"/>
                <w:lang w:eastAsia="sk-SK"/>
              </w:rPr>
            </w:pPr>
            <w:r w:rsidRPr="00EE652A">
              <w:rPr>
                <w:rFonts w:ascii="Times New Roman" w:eastAsia="Times New Roman" w:hAnsi="Times New Roman" w:cs="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5E32F6C8"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380 583</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64324493" w14:textId="77777777" w:rsidR="00EE652A" w:rsidRPr="00EE652A" w:rsidRDefault="00EE652A" w:rsidP="00EE652A">
            <w:pPr>
              <w:spacing w:after="0" w:line="240" w:lineRule="auto"/>
              <w:jc w:val="center"/>
              <w:rPr>
                <w:rFonts w:ascii="Times New Roman" w:eastAsia="Times New Roman" w:hAnsi="Times New Roman" w:cs="Times New Roman"/>
                <w:b/>
                <w:bCs/>
                <w:color w:val="000000"/>
                <w:sz w:val="20"/>
                <w:szCs w:val="20"/>
                <w:lang w:eastAsia="sk-SK"/>
              </w:rPr>
            </w:pPr>
            <w:r w:rsidRPr="00EE652A">
              <w:rPr>
                <w:rFonts w:ascii="Times New Roman" w:eastAsia="Times New Roman" w:hAnsi="Times New Roman" w:cs="Times New Roman"/>
                <w:b/>
                <w:bCs/>
                <w:color w:val="000000"/>
                <w:sz w:val="20"/>
                <w:szCs w:val="20"/>
                <w:lang w:eastAsia="sk-SK"/>
              </w:rPr>
              <w:t>1 776 985</w:t>
            </w:r>
          </w:p>
        </w:tc>
      </w:tr>
    </w:tbl>
    <w:p w14:paraId="1F872C75" w14:textId="70954BEB" w:rsidR="005A7C6B" w:rsidRPr="00D8247C" w:rsidRDefault="005A7C6B" w:rsidP="00054C41">
      <w:pPr>
        <w:jc w:val="both"/>
        <w:rPr>
          <w:rFonts w:ascii="Times New Roman" w:eastAsia="Calibri" w:hAnsi="Times New Roman" w:cs="Times New Roman"/>
          <w:i/>
          <w:sz w:val="24"/>
          <w:szCs w:val="24"/>
        </w:rPr>
      </w:pPr>
    </w:p>
    <w:p w14:paraId="69080520" w14:textId="77777777" w:rsidR="00403C12" w:rsidRDefault="00403C12" w:rsidP="00054C41">
      <w:pPr>
        <w:jc w:val="both"/>
      </w:pPr>
      <w:r>
        <w:fldChar w:fldCharType="begin"/>
      </w:r>
      <w:r>
        <w:instrText xml:space="preserve"> LINK Excel.Sheet.12 "C:\\Users\\advorakova\\Desktop\\novely september 2022\\novela zákonov + doložky + analýzy\\po MPK\\nové\\nové\\08b_kalkulačka..xlsx" "Krok 2- Tabuľky na skopírovanie!R5C2:R16C6" \a \f 4 \h </w:instrText>
      </w:r>
      <w:r>
        <w:fldChar w:fldCharType="separate"/>
      </w:r>
    </w:p>
    <w:p w14:paraId="5FFEF6D8" w14:textId="0EE52756" w:rsidR="00887FF2" w:rsidRPr="00D8247C" w:rsidRDefault="00403C12" w:rsidP="00054C41">
      <w:pPr>
        <w:jc w:val="both"/>
        <w:rPr>
          <w:rFonts w:ascii="Times New Roman" w:eastAsia="Calibri" w:hAnsi="Times New Roman" w:cs="Times New Roman"/>
          <w:i/>
          <w:sz w:val="24"/>
          <w:szCs w:val="24"/>
        </w:rPr>
      </w:pPr>
      <w:r>
        <w:rPr>
          <w:rFonts w:ascii="Times New Roman" w:eastAsia="Calibri" w:hAnsi="Times New Roman" w:cs="Times New Roman"/>
          <w:i/>
          <w:sz w:val="24"/>
          <w:szCs w:val="24"/>
        </w:rPr>
        <w:fldChar w:fldCharType="end"/>
      </w:r>
    </w:p>
    <w:p w14:paraId="332752F1" w14:textId="02B8CBDE" w:rsidR="00054C41" w:rsidRDefault="00054C41" w:rsidP="00054C41">
      <w:pPr>
        <w:spacing w:after="0"/>
        <w:rPr>
          <w:rFonts w:ascii="Times New Roman" w:eastAsia="Calibri" w:hAnsi="Times New Roman" w:cs="Times New Roman"/>
          <w:i/>
        </w:rPr>
      </w:pPr>
    </w:p>
    <w:p w14:paraId="0671AF43" w14:textId="77777777" w:rsidR="00B5385F" w:rsidRPr="00895898" w:rsidRDefault="00B5385F" w:rsidP="00054C41">
      <w:pPr>
        <w:spacing w:after="0"/>
        <w:rPr>
          <w:rFonts w:ascii="Times New Roman" w:eastAsia="Calibri" w:hAnsi="Times New Roman" w:cs="Times New Roman"/>
          <w:i/>
        </w:rPr>
      </w:pPr>
    </w:p>
    <w:p w14:paraId="533B49DD" w14:textId="77777777" w:rsidR="00054C41" w:rsidRPr="00895898" w:rsidRDefault="00054C41" w:rsidP="00054C41">
      <w:pPr>
        <w:spacing w:after="0"/>
        <w:rPr>
          <w:rFonts w:ascii="Times New Roman" w:eastAsia="Calibri" w:hAnsi="Times New Roman" w:cs="Times New Roman"/>
          <w:i/>
        </w:rPr>
      </w:pPr>
    </w:p>
    <w:p w14:paraId="248D945B" w14:textId="77777777" w:rsidR="00054C41" w:rsidRPr="00895898" w:rsidRDefault="00054C41" w:rsidP="00054C41">
      <w:pPr>
        <w:rPr>
          <w:rFonts w:ascii="Times New Roman" w:eastAsia="Calibri" w:hAnsi="Times New Roman" w:cs="Times New Roman"/>
          <w:b/>
          <w:sz w:val="24"/>
          <w:szCs w:val="24"/>
        </w:rPr>
      </w:pPr>
    </w:p>
    <w:p w14:paraId="66811E34" w14:textId="77777777" w:rsidR="00054C41" w:rsidRPr="00895898" w:rsidRDefault="00054C41" w:rsidP="00054C41">
      <w:pPr>
        <w:rPr>
          <w:rFonts w:ascii="Times New Roman" w:eastAsia="Calibri" w:hAnsi="Times New Roman" w:cs="Times New Roman"/>
          <w:b/>
          <w:sz w:val="24"/>
          <w:szCs w:val="24"/>
        </w:rPr>
        <w:sectPr w:rsidR="00054C41" w:rsidRPr="00895898" w:rsidSect="00142154">
          <w:footerReference w:type="default" r:id="rId10"/>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5"/>
        <w:gridCol w:w="3005"/>
        <w:gridCol w:w="996"/>
        <w:gridCol w:w="1129"/>
        <w:gridCol w:w="1275"/>
        <w:gridCol w:w="934"/>
        <w:gridCol w:w="2077"/>
        <w:gridCol w:w="974"/>
        <w:gridCol w:w="974"/>
        <w:gridCol w:w="982"/>
        <w:gridCol w:w="992"/>
        <w:gridCol w:w="1038"/>
      </w:tblGrid>
      <w:tr w:rsidR="00054C41" w:rsidRPr="00895898" w14:paraId="10CEFB11" w14:textId="77777777" w:rsidTr="00887FF2">
        <w:trPr>
          <w:trHeight w:val="1885"/>
          <w:jc w:val="center"/>
        </w:trPr>
        <w:tc>
          <w:tcPr>
            <w:tcW w:w="485"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P.č.</w:t>
            </w:r>
          </w:p>
        </w:tc>
        <w:tc>
          <w:tcPr>
            <w:tcW w:w="3005"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996" w:type="dxa"/>
            <w:shd w:val="clear" w:color="auto" w:fill="BFBFBF"/>
            <w:vAlign w:val="center"/>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275"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SK/EÚ úplná harm./EÚ harm.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2077"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Kategória dotk. subjektov</w:t>
            </w:r>
          </w:p>
        </w:tc>
        <w:tc>
          <w:tcPr>
            <w:tcW w:w="974"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v dotk. kategórii </w:t>
            </w:r>
          </w:p>
        </w:tc>
        <w:tc>
          <w:tcPr>
            <w:tcW w:w="974"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MSP v dotk.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kategóriu dotk. subjektov v €</w:t>
            </w:r>
          </w:p>
        </w:tc>
        <w:tc>
          <w:tcPr>
            <w:tcW w:w="1038"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EE652A" w:rsidRPr="00EE652A" w14:paraId="4086D789"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78DB42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246201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Schválenie typu električkovlaku, jeho podstatnej zmeny typu alebo technickej spôsobilosti na prevádzku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749712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87203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22 ods. 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EAB9A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17BA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7D50DDA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332F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2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81B7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2218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25 000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D49E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50 000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939FC0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370B5F7D"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10077CC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A49FE1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Uvádzanie vozidla turisticko - hospodárskej dráhy, historického vozidla špeciálnej dráhy, historickej električky a historického trolejbusu do prevádzky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3A5632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D92B0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22 ods. 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557CC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1673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50273C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0E40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8E2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E65C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42CD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1 469</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D38CC8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5B612E16"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4A5B0F6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226AF02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Povoľovanie typu železničného vozidla na miestne, historické alebo turistické účely a železničného vozidla pre vlečky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B8D080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79BCE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22a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1958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3511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CAB87E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A402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55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CD73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91CC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259F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7 344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C2E1E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4042E585"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A31F3C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296322A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Preukaz rušňovodiča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B35C51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514/2009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8D82FA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26 ods.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A8B0A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E874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8E7C17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6184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FCB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BBD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8E62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96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B52BDA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566FEC17"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616BF31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5596FA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Spôsobilosť na vedenie dráhového vozidla - nakoľajené mobilné zariadenie na výstavbu a údržbu ŽI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31E342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C2F8F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25 ods. 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D5AB7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FD39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A0610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 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C1ED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8CAB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5C4C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8 745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B726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393 516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C04DA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1BBBD868"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1EC101E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6</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D72C2B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Preukazovanie splnenia podmienok na vedenie dráhového vozidla - požaduje sa predkladanie iba kópií dokladov</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6A4275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85239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25 ods. 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B4526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9B90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3DCCB85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 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9615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7F7C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8AD5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D95C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422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2E6CFB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3E3EBB4B"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1069CC5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lastRenderedPageBreak/>
              <w:t>7</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5D13F8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Preukazovanie splnenia podmienok na vedenie dráhového vozidla - nepredkladanie niektorých dokladov</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77E3B8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BDEFE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25 ods. 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A9263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B054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A759E8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 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5E7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3D90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9185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789B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96</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649F4B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3E5C7F64"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7A414C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8</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CBDB25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Skúšobný komisár</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46EA4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B1F1C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26 ods. 2 písm. b)</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9504F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CF90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1D1A9EA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 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DC2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B18A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CEA9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0D11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45 000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F3138C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3D0B24B3"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D8FE94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9</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14F553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Odborná spôsobilosť, zdravotná spôsobilosť a psychická spôsobilosť - zníženie počtu povinných školení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2993DF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513/2009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EB063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32 ods. 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59815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46E2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0C1BB4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B9EF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12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D43D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0631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6A7A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480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6B64E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4712EE1B"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6F8BA9A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BF7BE6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Povinnosť poskytovať regulačnému orgánu informácie a údaje potrebné na preskúmanie trvania podmienok vydaného povolenia na prevádzkovanie dráhy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A50A71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26511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 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01498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F858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D628E0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01B7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A1AB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FB5B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A57F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BFE551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50C3903E"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C456CB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E69237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Povolenie modernizácie alebo obnovy typu  železničného vozidla s vlastným pohonom pre železničnú dráhu alebo osobného vozňa pre rýchlosť nad 160 km/h</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2835F4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EB241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70 písm. b)</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D3BB5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74C6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CCBDE9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8384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2DBF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DA86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3A78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26ED3E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A39BF6A"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981801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81D312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Povolenie modernizácie alebo obnovy typu ťahaného železničného vozidla pre železničnú dráhu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2F383C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14393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70 písm. d)</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E3185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8BD8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DFAF52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B933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C5C3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B31C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274B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80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A556CB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17E6E7D4"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1471322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59DEAB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Schválenie typu dráhového vozidla pre špeciálne dráhy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641710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9AD70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377F6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E9EA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07B9548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42B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83C7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5C20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27ED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494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4B892D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0C9F494B"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105864B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2A1BA86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Schválenie podstatnej zmeny dráhového vozidla pre špeciálne dráhy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2174F0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40A04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52B07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8DE2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27F9A6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2E3D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A9B9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F174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D574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114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72975F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0C196195"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55CB7D8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15</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A9AFE6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duplikátu dokladu o schválení typu, o povolení typu alebo o povolení modernizácie alebo obnovy typu podľa písmen a) až j)</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71F94C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9AA56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70 písm. j)</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C737F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B657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752F431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D401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101F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5E08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3C64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989875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A76D85F"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44C1503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lastRenderedPageBreak/>
              <w:t>16</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72F4BE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poverenia na vzdelávanie a overovanie odbornej spôsobilosti zamestnancov prevádzkovateľov lanových dráh a dráhových podnikov poskytujúcich dopravné služby na lanových dráhach</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80F69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823A0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FA148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1AEF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06D14D2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poverené PO</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9F02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F660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A148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24DC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1AF3AF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DB0A0E6"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6C57940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17</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6D75A8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poverenia na posudzovanie technickej dokumentácie a schvaľovanie spôsobilosti určených technických zariadení</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EB9336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F4E29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A55FE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BBD8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B8219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poverené PO</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542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536E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714C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400B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73D173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153787C0"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C19849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18</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9FFE05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Vydanie poverenia na overovanie splnenia požiadaviek na vykonávanie určených </w:t>
            </w:r>
            <w:r w:rsidRPr="00EE652A">
              <w:rPr>
                <w:rFonts w:ascii="Times New Roman" w:eastAsia="Times New Roman" w:hAnsi="Times New Roman" w:cs="Times New Roman"/>
                <w:sz w:val="20"/>
                <w:szCs w:val="20"/>
                <w:lang w:eastAsia="sk-SK"/>
              </w:rPr>
              <w:br/>
              <w:t>činností</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84DEA2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1BD85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467D9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C950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2FDBD2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poverené PO</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D6C7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5C92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3779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F0D0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2B3C27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CA36024"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E5F9FA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19</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57C876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poverenia na posudzovanie rizík</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563946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40CAF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B6811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39E7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1062CA7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poverené PO</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261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46C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14E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9251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500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990373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3777AE56"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2AC4E8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74C3D1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Vykonanie zmeny vo vydanom poverení podľa písmena t) až z)</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2CFBAB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3A32B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B8F14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CCCE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191D251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poverené PO</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4C12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351F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CEF5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6985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2FE791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60C9BE2"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567EA5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E94ED6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Vykonanie skúšky o odbornej spôsobilosti na výkon činnosti bezpečnostného poradcu pre prepravu nebezpečného tovaru po železnici</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265842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8BBB4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9CC7A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4D78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DEDC2F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D64E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4F6C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B98E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62F7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A269AC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0D6B29B"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CC513E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F9966D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technického preukazu dráhového vozidla pre železničnú dráhu, električkovú dráhu, trolejbusovú dráhu alebo pre špeciálnu dráhu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B0B7C2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A7D98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a)</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513B0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268B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B8800E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7A89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56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C4AD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F7EE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4669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310A6A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42B1A53"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78EBF0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2A4407E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Pridelenie značky držiteľa železničného vozidla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EF0DD6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6A64C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e)</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A8EE2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5091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9F97BC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F9B9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12FE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752F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1 734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5867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78 030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82590A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78DA99E"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49DE32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24</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28212D7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Zmena registrovaných údajov subjektov železničného vozidla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D9C1D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BEF056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f)</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AE997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1E5F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0F1FDAB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6A23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98B2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CC82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6C68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60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D8BCEE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47E66879"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40B0FE9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lastRenderedPageBreak/>
              <w:t>25</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123F22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Zmena alebo zrušenie značky držiteľa železničného vozidla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B0D68F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81427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g)</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DFD4E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77D8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F98900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ADF9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FBB4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96F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E455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11 130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C47C1E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043143C1"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6D42D49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26</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7E21DD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Povolenie na uvedenie železničného vozidla na trh alebo do prevádzky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89E8BB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625BB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h)</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6682D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5F42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7B636C2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9100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899C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90A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E179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160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C5BAE0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1E337B2"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100EF7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27</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BEFBCD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Zmena alebo zrušenie povolenia na uvedenie železničného vozidla na trh alebo do prevádzky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72B58E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FE212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i)</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4ADED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29EE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7A655B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2180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FBAC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C302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0A1F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9 345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4231B8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1F684513"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4DC8FF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28</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C8BCA9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Pridelenie evidenčného čísla železničnému vozidlu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9E74D0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84024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j)</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8574E3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1066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D3E5BA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EFA2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F4D8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E506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FF5F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4 060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D9A9C3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148FEB36"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E2EB8E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29</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177547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Zmena alebo zrušenie evidenčného čísla železničného  vozidla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9EF88F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66F0C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k)</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FFC3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B1EA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70486C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32F0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0C66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7947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669D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5 750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106950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2B8C676E"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03F3CE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5102BE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Zaregistrovanie železničného vozidla do národného registra železničných vozidiel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872245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E950D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71 písm. l)</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CEE7C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F770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6A5C29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vlastník/držiteľ vozidla</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741D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6DD2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220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BC3E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50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6F8381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E0EF075"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4468ACB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EB6ECC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oprávnenia podnikateľovi podľa osobitných predpisov na výkon určených činností v oblasti určených technických zariadení na dráhach za každú činnosť alebo činnosť zvárania alebo nedeštruktívneho skúšania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AA76C2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 + 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EC315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203 písm. a) + čl. 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2D9A0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B5DC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26C8931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F113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3AE6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7E18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3754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9D6BC9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9F5627C"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1E2BAA6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C34C22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Poskytnutie informácií na základe žiadosti o predbežné zapojenie podľa osobitného predpisu 21c)</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F0832D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94686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763DF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EÚ úplná harmonizácia</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4F57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01B8C46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prevádzkovateľ dráhy, 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42AF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032E0"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C854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0EC3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50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FF2355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59E2E9A5"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5D0100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1A02D1D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preukazu  na  vedenie  dráhového vozidla na všetkých dráhach</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93969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99834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75 písm. a)</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4ED12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A972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1450EF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C70E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56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5015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1979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130A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7C55F3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164A68E3"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12A33E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34</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B164AB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Vykonanie  zmeny  v  preukaze  na  vedenie dráhového vozidla a na riadenie chodu lanovej dráhy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13DE71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D71A4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75 písm. b)</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17BCC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1235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30A5716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B9FF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30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44E4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CA0B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E3D8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4AC6FD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4E698BC3"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FA69C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35</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5D6E08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bezpečnostného osvedčenia  pre železničný podnik</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F71C41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7D513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75 písm. c)</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4A2A70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E291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1AAE24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8450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30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C884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45C1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690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CB70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20 712</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656E3B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EDBB046"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422393D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lastRenderedPageBreak/>
              <w:t>36</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9EBEE2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bezpečnostného povolenia pre manažéra infraštruktúry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1B635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BE19E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75 písm. d)</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F3A57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F2F61"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506966B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prevádzkovateľa dráhy</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6697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83AF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BF06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34A6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800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D6961D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67781321"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D06639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37</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92782E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Zmena alebo zrušenie bezpečnostného osvedčenia podľa písmena c), alebo bezpečnostného povolenia podľa písmena d)</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BD6ADA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D13E6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75 písm. e)</w:t>
            </w:r>
            <w:r w:rsidRPr="00EE652A">
              <w:rPr>
                <w:rFonts w:ascii="Times New Roman" w:eastAsia="Times New Roman" w:hAnsi="Times New Roman" w:cs="Times New Roman"/>
                <w:sz w:val="20"/>
                <w:szCs w:val="20"/>
                <w:lang w:eastAsia="sk-SK"/>
              </w:rPr>
              <w:br/>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54DC8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DD7E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7B717CA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91A6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46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65FD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7C26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AAB3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675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157FC5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9552408"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0482D96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38</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2ADB9E1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vyhlásenia o uznaní skúšajúcich rušňovodičov</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64C7F0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FB1B22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0CDCC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CC3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40CB0E3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F7F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F060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78DC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673D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50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5C6DE9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5B0A21A1"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5254526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39</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7EADB7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výnimky zo stavebno – technických požiadaviek na projektovanie, výstavbu a prevádzku dráhy</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7F2431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04A18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B649A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7F8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1B6A971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vlastník/prevádzkovateľ dráhy</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4266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2025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114B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52233"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10DD752"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16F7A9C0"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EB90A3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40</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BC9829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Vydanie licencie na zachádzanie na železničnú infraštruktúru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CA3FE4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 + 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5EA35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89 písm. b) bod 1 + Čl. 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AD074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C7A3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1BE8966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D9BE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3654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2407E"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115D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459F9A8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33C52E1F"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3637DE8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1860A83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Obnovenie platnosti pozastavenej licencie na poskytovanie dopravných služieb na dráhe na žiadosť držiteľa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F2281F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 + 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E1238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položka 89 písm. b) bod 1 + Čl. 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1D6F8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C546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744EBC6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E6BE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E1E1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603E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12FD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33</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C95A41A"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0F563F10"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E87295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1249AC6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Vykonanie skúšky o odbornej spôsobilosti na vykonávanie: obsluhy určeného technického zariadenia a na prácu s určeným technickým </w:t>
            </w:r>
            <w:r w:rsidRPr="00EE652A">
              <w:rPr>
                <w:rFonts w:ascii="Times New Roman" w:eastAsia="Times New Roman" w:hAnsi="Times New Roman" w:cs="Times New Roman"/>
                <w:sz w:val="20"/>
                <w:szCs w:val="20"/>
                <w:lang w:eastAsia="sk-SK"/>
              </w:rPr>
              <w:br/>
              <w:t>zariadením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F687F7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145/1995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EE654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položka 203 písm. e) bod 2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B009F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C2DC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64F47F8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D819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22B84"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C4BB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22A9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17</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22D98F2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7ED4F096"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7ABE058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43</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6E604A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Udeľovanie licencií - poistenie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14D259B"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514/2009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A861D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11 ods. 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BEF16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F5336"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3967F5D8"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F24E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8808C"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85CA4"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5 500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6DAFE"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247 500</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38C0CD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In (zvyšuje náklady)</w:t>
            </w:r>
          </w:p>
        </w:tc>
      </w:tr>
      <w:tr w:rsidR="00EE652A" w:rsidRPr="00EE652A" w14:paraId="2961EBD7"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4A1EA6F3"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44</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14F786E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Licencia na zachádzanie na železničnú infraštruktúru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6FE2DF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návrh zákona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3660D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Čl.III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2D87D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159B7"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069B78B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26636"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7F0C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C968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8 741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76E2A"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393 324</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7CAA393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394889C7"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CA1707F"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45</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865865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Udeľovanie licencií, výpis z registra trestov</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9E0698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514/2009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3D9F1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11 ods. 2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0DD635"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F6B5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332602B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3B220"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54892"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DE5C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5BE5F"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217</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454EE5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r w:rsidR="00EE652A" w:rsidRPr="00EE652A" w14:paraId="2C6C6AC0" w14:textId="77777777" w:rsidTr="00EE652A">
        <w:trPr>
          <w:trHeight w:val="612"/>
          <w:jc w:val="center"/>
        </w:trPr>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14:paraId="2EDA5FA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lastRenderedPageBreak/>
              <w:t>46</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A953529"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Udeľovanie licencií - zodpovedný zástupca</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9251A0C"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514/2009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65020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11 ods. 4 + § 12 ods. 2 písm. 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0B547B"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4C448"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01.06.23</w:t>
            </w:r>
          </w:p>
        </w:tc>
        <w:tc>
          <w:tcPr>
            <w:tcW w:w="2077" w:type="dxa"/>
            <w:tcBorders>
              <w:top w:val="single" w:sz="4" w:space="0" w:color="auto"/>
              <w:left w:val="single" w:sz="4" w:space="0" w:color="auto"/>
              <w:bottom w:val="single" w:sz="4" w:space="0" w:color="auto"/>
              <w:right w:val="single" w:sz="4" w:space="0" w:color="auto"/>
            </w:tcBorders>
            <w:shd w:val="clear" w:color="auto" w:fill="auto"/>
            <w:vAlign w:val="center"/>
          </w:tcPr>
          <w:p w14:paraId="13DAD095"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dráhový podnik</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0901D"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 xml:space="preserve">                 45 </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573E9"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 xml:space="preserve"> N </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CA781"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19 647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2F56D" w14:textId="77777777" w:rsidR="00EE652A" w:rsidRPr="00EE652A" w:rsidRDefault="00EE652A" w:rsidP="00EE652A">
            <w:pPr>
              <w:spacing w:after="0" w:line="240" w:lineRule="auto"/>
              <w:rPr>
                <w:rFonts w:ascii="Times New Roman" w:eastAsia="Times New Roman" w:hAnsi="Times New Roman" w:cs="Times New Roman"/>
                <w:color w:val="000000"/>
                <w:sz w:val="20"/>
                <w:szCs w:val="20"/>
                <w:lang w:eastAsia="sk-SK"/>
              </w:rPr>
            </w:pPr>
            <w:r w:rsidRPr="00EE652A">
              <w:rPr>
                <w:rFonts w:ascii="Times New Roman" w:eastAsia="Times New Roman" w:hAnsi="Times New Roman" w:cs="Times New Roman"/>
                <w:color w:val="000000"/>
                <w:sz w:val="20"/>
                <w:szCs w:val="20"/>
                <w:lang w:eastAsia="sk-SK"/>
              </w:rPr>
              <w:t>884 115</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045E3037" w14:textId="77777777" w:rsidR="00EE652A" w:rsidRPr="00EE652A" w:rsidRDefault="00EE652A" w:rsidP="00EE652A">
            <w:pPr>
              <w:spacing w:after="0" w:line="240" w:lineRule="auto"/>
              <w:rPr>
                <w:rFonts w:ascii="Times New Roman" w:eastAsia="Times New Roman" w:hAnsi="Times New Roman" w:cs="Times New Roman"/>
                <w:sz w:val="20"/>
                <w:szCs w:val="20"/>
                <w:lang w:eastAsia="sk-SK"/>
              </w:rPr>
            </w:pPr>
            <w:r w:rsidRPr="00EE652A">
              <w:rPr>
                <w:rFonts w:ascii="Times New Roman" w:eastAsia="Times New Roman" w:hAnsi="Times New Roman" w:cs="Times New Roman"/>
                <w:sz w:val="20"/>
                <w:szCs w:val="20"/>
                <w:lang w:eastAsia="sk-SK"/>
              </w:rPr>
              <w:t>Out (znižuje náklady)</w:t>
            </w:r>
          </w:p>
        </w:tc>
      </w:tr>
    </w:tbl>
    <w:p w14:paraId="6E2FC1D4" w14:textId="77777777" w:rsidR="00054C41" w:rsidRPr="00895898" w:rsidRDefault="00054C41" w:rsidP="00054C41">
      <w:pPr>
        <w:jc w:val="both"/>
        <w:rPr>
          <w:rFonts w:ascii="Times New Roman" w:eastAsia="Calibri" w:hAnsi="Times New Roman" w:cs="Times New Roman"/>
          <w:i/>
        </w:rPr>
      </w:pPr>
    </w:p>
    <w:p w14:paraId="0BD1BB69" w14:textId="20B9D5EB" w:rsidR="00B57772" w:rsidRDefault="00B57772" w:rsidP="00054C41">
      <w:pPr>
        <w:jc w:val="both"/>
        <w:rPr>
          <w:rFonts w:ascii="Times New Roman" w:eastAsia="Calibri" w:hAnsi="Times New Roman" w:cs="Times New Roman"/>
          <w:b/>
          <w:bCs/>
          <w:i/>
          <w:sz w:val="24"/>
          <w:szCs w:val="24"/>
        </w:rPr>
      </w:pPr>
    </w:p>
    <w:p w14:paraId="145051D8" w14:textId="77777777" w:rsidR="00B57772" w:rsidRPr="00B57772" w:rsidRDefault="00B57772" w:rsidP="00054C41">
      <w:pPr>
        <w:jc w:val="both"/>
        <w:rPr>
          <w:rFonts w:ascii="Times New Roman" w:eastAsia="Calibri" w:hAnsi="Times New Roman" w:cs="Times New Roman"/>
          <w:bCs/>
          <w:sz w:val="24"/>
          <w:szCs w:val="24"/>
        </w:rPr>
        <w:sectPr w:rsidR="00B57772" w:rsidRPr="00B57772" w:rsidSect="00142154">
          <w:pgSz w:w="16838" w:h="11906" w:orient="landscape"/>
          <w:pgMar w:top="1417" w:right="1417" w:bottom="1417" w:left="1417" w:header="708" w:footer="708" w:gutter="0"/>
          <w:cols w:space="708"/>
          <w:docGrid w:linePitch="360"/>
        </w:sectPr>
      </w:pPr>
    </w:p>
    <w:p w14:paraId="62FCD6D0" w14:textId="77777777" w:rsidR="00054C41" w:rsidRPr="001F1B43"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14:paraId="4ABFE1DF" w14:textId="77777777" w:rsidR="00EE33E8" w:rsidRDefault="00EE33E8" w:rsidP="00EE33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 niektorým položkám uvedeným v tabuľke uvádzame</w:t>
      </w:r>
    </w:p>
    <w:p w14:paraId="3DDE54DF" w14:textId="77777777" w:rsidR="008E6BBC" w:rsidRPr="008E6BBC" w:rsidRDefault="008E6BBC" w:rsidP="008E6BBC">
      <w:pPr>
        <w:pStyle w:val="Odsekzoznamu"/>
        <w:ind w:left="1440"/>
        <w:jc w:val="both"/>
        <w:rPr>
          <w:rFonts w:ascii="Times New Roman" w:eastAsia="Calibri" w:hAnsi="Times New Roman" w:cs="Times New Roman"/>
          <w:sz w:val="24"/>
          <w:szCs w:val="24"/>
        </w:rPr>
      </w:pPr>
    </w:p>
    <w:p w14:paraId="44691DD5" w14:textId="15D3107B" w:rsidR="00C21FA4" w:rsidRDefault="00EE1669" w:rsidP="00C21FA4">
      <w:pPr>
        <w:pStyle w:val="Odsekzoznamu"/>
        <w:numPr>
          <w:ilvl w:val="0"/>
          <w:numId w:val="13"/>
        </w:numPr>
        <w:jc w:val="both"/>
        <w:rPr>
          <w:rFonts w:ascii="Times New Roman" w:eastAsia="Calibri" w:hAnsi="Times New Roman" w:cs="Times New Roman"/>
          <w:sz w:val="24"/>
          <w:szCs w:val="24"/>
        </w:rPr>
      </w:pPr>
      <w:r>
        <w:rPr>
          <w:rFonts w:ascii="Times New Roman" w:eastAsia="Calibri" w:hAnsi="Times New Roman" w:cs="Times New Roman"/>
          <w:sz w:val="24"/>
          <w:szCs w:val="24"/>
        </w:rPr>
        <w:t>položka 1</w:t>
      </w:r>
      <w:r w:rsidR="007D75CB">
        <w:rPr>
          <w:rFonts w:ascii="Times New Roman" w:eastAsia="Calibri" w:hAnsi="Times New Roman" w:cs="Times New Roman"/>
          <w:sz w:val="24"/>
          <w:szCs w:val="24"/>
        </w:rPr>
        <w:t xml:space="preserve"> - </w:t>
      </w:r>
      <w:r w:rsidR="00C21FA4" w:rsidRPr="00C21FA4">
        <w:rPr>
          <w:rFonts w:ascii="Times New Roman" w:eastAsia="Calibri" w:hAnsi="Times New Roman" w:cs="Times New Roman"/>
          <w:sz w:val="24"/>
          <w:szCs w:val="24"/>
        </w:rPr>
        <w:t>Schválenie typu električkovlaku, jeho podstatnej zmeny typu alebo technickej spôsobilosti na prevádzku</w:t>
      </w:r>
      <w:r w:rsidR="00AB2F41">
        <w:rPr>
          <w:rFonts w:ascii="Times New Roman" w:eastAsia="Calibri" w:hAnsi="Times New Roman" w:cs="Times New Roman"/>
          <w:sz w:val="24"/>
          <w:szCs w:val="24"/>
        </w:rPr>
        <w:t xml:space="preserve"> znižuje nepriame finančné náklady</w:t>
      </w:r>
    </w:p>
    <w:p w14:paraId="51670B75" w14:textId="437B27B5" w:rsidR="00703791" w:rsidRPr="00D771C7" w:rsidRDefault="00703791" w:rsidP="00703791">
      <w:pPr>
        <w:pStyle w:val="Odsekzoznamu"/>
        <w:numPr>
          <w:ilvl w:val="0"/>
          <w:numId w:val="12"/>
        </w:num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sk-SK"/>
        </w:rPr>
        <w:t>v</w:t>
      </w:r>
      <w:r w:rsidRPr="007C4732">
        <w:rPr>
          <w:rFonts w:ascii="Times New Roman" w:eastAsia="Times New Roman" w:hAnsi="Times New Roman" w:cs="Times New Roman"/>
          <w:sz w:val="24"/>
          <w:szCs w:val="24"/>
          <w:lang w:eastAsia="sk-SK"/>
        </w:rPr>
        <w:t>ytvorenie legislatívneho základu pre prípadnú prevádz</w:t>
      </w:r>
      <w:r>
        <w:rPr>
          <w:rFonts w:ascii="Times New Roman" w:eastAsia="Times New Roman" w:hAnsi="Times New Roman" w:cs="Times New Roman"/>
          <w:sz w:val="24"/>
          <w:szCs w:val="24"/>
          <w:lang w:eastAsia="sk-SK"/>
        </w:rPr>
        <w:t>ku električkovlakov (TramTrain), ktorého cena sa podľa dostupných zdrojov pohybuje                                        cca 4 400 000,00 €/ks. Cena porovnateľnej železničnej motorovej jednotky sa pohybuje podľa dostupných zdrojov cca 4 500 000,00 €/ks. Vozidlo električkovlaku však umožňuje hybridnú prevádzku na električkových a železničných tratiach a z tohto dôvodu, najmä pri objednávaní regionálnej                 a mestskej dopravy je možné využívať iba jedno vozidlo čo predstavuje zníženie nákladov na nákup vozidiel</w:t>
      </w:r>
      <w:r w:rsidR="003272ED">
        <w:rPr>
          <w:rFonts w:ascii="Times New Roman" w:eastAsia="Times New Roman" w:hAnsi="Times New Roman" w:cs="Times New Roman"/>
          <w:sz w:val="24"/>
          <w:szCs w:val="24"/>
          <w:lang w:eastAsia="sk-SK"/>
        </w:rPr>
        <w:t xml:space="preserve"> a ich údržbu</w:t>
      </w:r>
      <w:r>
        <w:rPr>
          <w:rFonts w:ascii="Times New Roman" w:eastAsia="Times New Roman" w:hAnsi="Times New Roman" w:cs="Times New Roman"/>
          <w:sz w:val="24"/>
          <w:szCs w:val="24"/>
          <w:lang w:eastAsia="sk-SK"/>
        </w:rPr>
        <w:t xml:space="preserve">. </w:t>
      </w:r>
    </w:p>
    <w:p w14:paraId="5231F245" w14:textId="457CC59E" w:rsidR="00703791" w:rsidRDefault="00703791" w:rsidP="00703791">
      <w:pPr>
        <w:pStyle w:val="Odsekzoznamu"/>
        <w:ind w:left="14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hyperlink r:id="rId11" w:history="1">
        <w:r w:rsidRPr="00161E12">
          <w:rPr>
            <w:rStyle w:val="Hypertextovprepojenie"/>
            <w:rFonts w:ascii="Times New Roman" w:eastAsia="Times New Roman" w:hAnsi="Times New Roman" w:cs="Times New Roman"/>
            <w:sz w:val="24"/>
            <w:szCs w:val="24"/>
            <w:lang w:eastAsia="sk-SK"/>
          </w:rPr>
          <w:t>https://www.mfsr.sk/files/archiv/90/Hodnotenie_modernizaciavoz.parkuZSSKc.6a7_20201223.pdf</w:t>
        </w:r>
      </w:hyperlink>
      <w:r>
        <w:rPr>
          <w:rFonts w:ascii="Times New Roman" w:eastAsia="Times New Roman" w:hAnsi="Times New Roman" w:cs="Times New Roman"/>
          <w:sz w:val="24"/>
          <w:szCs w:val="24"/>
          <w:lang w:eastAsia="sk-SK"/>
        </w:rPr>
        <w:t xml:space="preserve">) </w:t>
      </w:r>
    </w:p>
    <w:p w14:paraId="5EB6201A" w14:textId="77777777" w:rsidR="00703791" w:rsidRPr="00703791" w:rsidRDefault="00703791" w:rsidP="00703791">
      <w:pPr>
        <w:pStyle w:val="Odsekzoznamu"/>
        <w:ind w:left="1440"/>
        <w:jc w:val="both"/>
        <w:rPr>
          <w:rFonts w:ascii="Times New Roman" w:eastAsia="Times New Roman" w:hAnsi="Times New Roman" w:cs="Times New Roman"/>
          <w:sz w:val="24"/>
          <w:szCs w:val="24"/>
          <w:lang w:eastAsia="sk-SK"/>
        </w:rPr>
      </w:pPr>
    </w:p>
    <w:p w14:paraId="2838A0C0" w14:textId="276FA600" w:rsidR="00C21FA4" w:rsidRPr="00EE5BC4" w:rsidRDefault="00EE1669" w:rsidP="00F62DE7">
      <w:pPr>
        <w:pStyle w:val="Odsekzoznamu"/>
        <w:numPr>
          <w:ilvl w:val="0"/>
          <w:numId w:val="13"/>
        </w:numPr>
        <w:jc w:val="both"/>
        <w:rPr>
          <w:rFonts w:ascii="Times New Roman" w:eastAsia="Calibri" w:hAnsi="Times New Roman" w:cs="Times New Roman"/>
          <w:sz w:val="24"/>
          <w:szCs w:val="24"/>
        </w:rPr>
      </w:pPr>
      <w:r>
        <w:rPr>
          <w:rFonts w:ascii="Times New Roman" w:eastAsia="Calibri" w:hAnsi="Times New Roman" w:cs="Times New Roman"/>
          <w:sz w:val="24"/>
          <w:szCs w:val="24"/>
        </w:rPr>
        <w:t>položka 2</w:t>
      </w:r>
      <w:r w:rsidR="007D75CB">
        <w:rPr>
          <w:rFonts w:ascii="Times New Roman" w:eastAsia="Calibri" w:hAnsi="Times New Roman" w:cs="Times New Roman"/>
          <w:sz w:val="24"/>
          <w:szCs w:val="24"/>
        </w:rPr>
        <w:t xml:space="preserve"> a </w:t>
      </w:r>
      <w:r>
        <w:rPr>
          <w:rFonts w:ascii="Times New Roman" w:eastAsia="Calibri" w:hAnsi="Times New Roman" w:cs="Times New Roman"/>
          <w:sz w:val="24"/>
          <w:szCs w:val="24"/>
        </w:rPr>
        <w:t>3</w:t>
      </w:r>
      <w:r w:rsidR="007D75CB">
        <w:rPr>
          <w:rFonts w:ascii="Times New Roman" w:eastAsia="Calibri" w:hAnsi="Times New Roman" w:cs="Times New Roman"/>
          <w:sz w:val="24"/>
          <w:szCs w:val="24"/>
        </w:rPr>
        <w:t xml:space="preserve"> - </w:t>
      </w:r>
      <w:r w:rsidR="00C21FA4" w:rsidRPr="00EE5BC4">
        <w:rPr>
          <w:rFonts w:ascii="Times New Roman" w:eastAsia="Calibri" w:hAnsi="Times New Roman" w:cs="Times New Roman"/>
          <w:sz w:val="24"/>
          <w:szCs w:val="24"/>
        </w:rPr>
        <w:t>Uvádzanie vozidla turisticko - hospodárskej dráhy, historického vozidla špeciálnej dráhy, historickej električky a historického trolejbusu do prevádzky</w:t>
      </w:r>
      <w:r w:rsidR="00EE5BC4" w:rsidRPr="00EE5BC4">
        <w:rPr>
          <w:rFonts w:ascii="Times New Roman" w:eastAsia="Calibri" w:hAnsi="Times New Roman" w:cs="Times New Roman"/>
          <w:sz w:val="24"/>
          <w:szCs w:val="24"/>
        </w:rPr>
        <w:t xml:space="preserve"> a povoľovanie typu železničného vozidla na miestne, historické alebo turistické účely a železničného vozidla pre vlečky </w:t>
      </w:r>
      <w:r w:rsidR="00AB2F41" w:rsidRPr="00EE5BC4">
        <w:rPr>
          <w:rFonts w:ascii="Times New Roman" w:eastAsia="Calibri" w:hAnsi="Times New Roman" w:cs="Times New Roman"/>
          <w:sz w:val="24"/>
          <w:szCs w:val="24"/>
        </w:rPr>
        <w:t>znižuje nepriame finančné náklady</w:t>
      </w:r>
    </w:p>
    <w:p w14:paraId="2F6EA2A6" w14:textId="71607E91" w:rsidR="000B17FB" w:rsidRPr="00D070DC" w:rsidRDefault="00703791" w:rsidP="00BD354E">
      <w:pPr>
        <w:pStyle w:val="Odsekzoznamu"/>
        <w:numPr>
          <w:ilvl w:val="0"/>
          <w:numId w:val="12"/>
        </w:num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sk-SK"/>
        </w:rPr>
        <w:t>z</w:t>
      </w:r>
      <w:r w:rsidR="00EE5BC4" w:rsidRPr="000B17FB">
        <w:rPr>
          <w:rFonts w:ascii="Times New Roman" w:eastAsia="Times New Roman" w:hAnsi="Times New Roman" w:cs="Times New Roman"/>
          <w:sz w:val="24"/>
          <w:szCs w:val="24"/>
          <w:lang w:eastAsia="sk-SK"/>
        </w:rPr>
        <w:t xml:space="preserve">níženie predstavuje zmiernenie </w:t>
      </w:r>
      <w:r w:rsidR="000B17FB" w:rsidRPr="000B17FB">
        <w:rPr>
          <w:rFonts w:ascii="Times New Roman" w:eastAsia="Times New Roman" w:hAnsi="Times New Roman" w:cs="Times New Roman"/>
          <w:sz w:val="24"/>
          <w:szCs w:val="24"/>
          <w:lang w:eastAsia="sk-SK"/>
        </w:rPr>
        <w:t>legislatívnych a technických požiadaviek</w:t>
      </w:r>
      <w:r w:rsidR="00EE5BC4" w:rsidRPr="000B17FB">
        <w:rPr>
          <w:rFonts w:ascii="Times New Roman" w:eastAsia="Times New Roman" w:hAnsi="Times New Roman" w:cs="Times New Roman"/>
          <w:sz w:val="24"/>
          <w:szCs w:val="24"/>
          <w:lang w:eastAsia="sk-SK"/>
        </w:rPr>
        <w:t>, ktoré nie je potrebné spĺňať ako pri bežných dr</w:t>
      </w:r>
      <w:r>
        <w:rPr>
          <w:rFonts w:ascii="Times New Roman" w:eastAsia="Times New Roman" w:hAnsi="Times New Roman" w:cs="Times New Roman"/>
          <w:sz w:val="24"/>
          <w:szCs w:val="24"/>
          <w:lang w:eastAsia="sk-SK"/>
        </w:rPr>
        <w:t>áhových dopravných prostriedkoch</w:t>
      </w:r>
      <w:r w:rsidR="000B17FB">
        <w:rPr>
          <w:rFonts w:ascii="Times New Roman" w:eastAsia="Times New Roman" w:hAnsi="Times New Roman" w:cs="Times New Roman"/>
          <w:sz w:val="24"/>
          <w:szCs w:val="24"/>
          <w:lang w:eastAsia="sk-SK"/>
        </w:rPr>
        <w:t>.</w:t>
      </w:r>
    </w:p>
    <w:p w14:paraId="1DE4695A" w14:textId="77777777" w:rsidR="00D070DC" w:rsidRPr="00C53E00" w:rsidRDefault="00D070DC" w:rsidP="00D070DC">
      <w:pPr>
        <w:pStyle w:val="Odsekzoznamu"/>
        <w:ind w:left="1440"/>
        <w:jc w:val="both"/>
        <w:rPr>
          <w:rFonts w:ascii="Times New Roman" w:eastAsia="Calibri" w:hAnsi="Times New Roman" w:cs="Times New Roman"/>
          <w:sz w:val="24"/>
          <w:szCs w:val="24"/>
        </w:rPr>
      </w:pPr>
    </w:p>
    <w:p w14:paraId="6A6C3CC5" w14:textId="43544F4F" w:rsidR="00C53E00" w:rsidRDefault="00EE1669" w:rsidP="00C53E00">
      <w:pPr>
        <w:pStyle w:val="Odsekzoznamu"/>
        <w:numPr>
          <w:ilvl w:val="0"/>
          <w:numId w:val="13"/>
        </w:numPr>
        <w:jc w:val="both"/>
        <w:rPr>
          <w:rFonts w:ascii="Times New Roman" w:eastAsia="Calibri" w:hAnsi="Times New Roman" w:cs="Times New Roman"/>
          <w:sz w:val="24"/>
          <w:szCs w:val="24"/>
        </w:rPr>
      </w:pPr>
      <w:r>
        <w:rPr>
          <w:rFonts w:ascii="Times New Roman" w:eastAsia="Calibri" w:hAnsi="Times New Roman" w:cs="Times New Roman"/>
          <w:sz w:val="24"/>
          <w:szCs w:val="24"/>
        </w:rPr>
        <w:t>Položka 4</w:t>
      </w:r>
      <w:r w:rsidR="00D070DC">
        <w:rPr>
          <w:rFonts w:ascii="Times New Roman" w:eastAsia="Calibri" w:hAnsi="Times New Roman" w:cs="Times New Roman"/>
          <w:sz w:val="24"/>
          <w:szCs w:val="24"/>
        </w:rPr>
        <w:t xml:space="preserve"> - </w:t>
      </w:r>
      <w:r w:rsidR="00C53E00" w:rsidRPr="00C53E00">
        <w:rPr>
          <w:rFonts w:ascii="Times New Roman" w:eastAsia="Calibri" w:hAnsi="Times New Roman" w:cs="Times New Roman"/>
          <w:sz w:val="24"/>
          <w:szCs w:val="24"/>
        </w:rPr>
        <w:t>Preukaz rušňovodiča - predkladanie dokladov</w:t>
      </w:r>
    </w:p>
    <w:p w14:paraId="1E76097D" w14:textId="6129CBF0" w:rsidR="00BD354E" w:rsidRDefault="00C53E00" w:rsidP="00BE1FEC">
      <w:pPr>
        <w:pStyle w:val="Odsekzoznamu"/>
        <w:numPr>
          <w:ilvl w:val="1"/>
          <w:numId w:val="13"/>
        </w:numPr>
        <w:jc w:val="both"/>
        <w:rPr>
          <w:rFonts w:ascii="Times New Roman" w:eastAsia="Calibri" w:hAnsi="Times New Roman" w:cs="Times New Roman"/>
          <w:sz w:val="24"/>
          <w:szCs w:val="24"/>
        </w:rPr>
      </w:pPr>
      <w:r w:rsidRPr="00C53E00">
        <w:rPr>
          <w:rFonts w:ascii="Times New Roman" w:eastAsia="Calibri" w:hAnsi="Times New Roman" w:cs="Times New Roman"/>
          <w:sz w:val="24"/>
          <w:szCs w:val="24"/>
        </w:rPr>
        <w:t>Predkladanie originálov dokladov alebo ich osvedčených alebo overených kópií je pre žiadateľov zbytočne administratívne a finančne zaťažujúce, najmä z dôvodu, že ide o podklad správneho konania, ktorého hodnovernosť si správny orgán pred vydaním rozhodnutia v prípade pochybností môže kedykoľvek overiť. V daných prípadoch ide o doklady, ktoré môže, v rámci zákonného splnomocnenia na predkladanie žiadostí, za zamestnanca ako náležitosti podania dokladať zamestnávateľ, ktorému už v pracovnom vzťahu boli tieto doklady predložené zamestnancom, za účelom preukázania uvedených skutočností v pracovnom vzťahu Zamestnávateľ však často nedisponuje ich originálmi, len kópiami, nakoľko ich po overení vráti zamestnancovi alebo disponuje originálom, ktorý si potrebuje ponechať v rámci svojej evidencie a kontroly zamestnancov. V praxi absentuje právna úprava týkajúca sa prípadov straty, odcudzenia, poškodenia alebo zničenia preukazu rušňovodiča a preklenutie tohto obdobia bez vlastníctva novo vystaveného preukazu rušňovodiča, aj keď v aplikačnej praxi sa využíva.</w:t>
      </w:r>
    </w:p>
    <w:p w14:paraId="1B819AD2" w14:textId="77777777" w:rsidR="00BE1FEC" w:rsidRPr="00BE1FEC" w:rsidRDefault="00BE1FEC" w:rsidP="00BE1FEC">
      <w:pPr>
        <w:pStyle w:val="Odsekzoznamu"/>
        <w:ind w:left="1440"/>
        <w:jc w:val="both"/>
        <w:rPr>
          <w:rFonts w:ascii="Times New Roman" w:eastAsia="Calibri" w:hAnsi="Times New Roman" w:cs="Times New Roman"/>
          <w:sz w:val="24"/>
          <w:szCs w:val="24"/>
        </w:rPr>
      </w:pPr>
    </w:p>
    <w:p w14:paraId="06A53826" w14:textId="5BF8B960" w:rsidR="000B17FB" w:rsidRDefault="007D75CB" w:rsidP="000B17FB">
      <w:pPr>
        <w:pStyle w:val="Odsekzoznamu"/>
        <w:numPr>
          <w:ilvl w:val="0"/>
          <w:numId w:val="13"/>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položka </w:t>
      </w:r>
      <w:r w:rsidR="00EE1669">
        <w:rPr>
          <w:rFonts w:ascii="Times New Roman" w:eastAsia="Calibri" w:hAnsi="Times New Roman" w:cs="Times New Roman"/>
          <w:sz w:val="24"/>
          <w:szCs w:val="24"/>
        </w:rPr>
        <w:t>5</w:t>
      </w:r>
      <w:r>
        <w:rPr>
          <w:rFonts w:ascii="Times New Roman" w:eastAsia="Calibri" w:hAnsi="Times New Roman" w:cs="Times New Roman"/>
          <w:sz w:val="24"/>
          <w:szCs w:val="24"/>
        </w:rPr>
        <w:t xml:space="preserve"> - </w:t>
      </w:r>
      <w:r w:rsidR="000B17FB" w:rsidRPr="000B17FB">
        <w:rPr>
          <w:rFonts w:ascii="Times New Roman" w:eastAsia="Calibri" w:hAnsi="Times New Roman" w:cs="Times New Roman"/>
          <w:sz w:val="24"/>
          <w:szCs w:val="24"/>
        </w:rPr>
        <w:t>Spôsobilosť na vedenie nakoľajené</w:t>
      </w:r>
      <w:r w:rsidR="00703791">
        <w:rPr>
          <w:rFonts w:ascii="Times New Roman" w:eastAsia="Calibri" w:hAnsi="Times New Roman" w:cs="Times New Roman"/>
          <w:sz w:val="24"/>
          <w:szCs w:val="24"/>
        </w:rPr>
        <w:t>ho</w:t>
      </w:r>
      <w:r w:rsidR="000B17FB" w:rsidRPr="000B17FB">
        <w:rPr>
          <w:rFonts w:ascii="Times New Roman" w:eastAsia="Calibri" w:hAnsi="Times New Roman" w:cs="Times New Roman"/>
          <w:sz w:val="24"/>
          <w:szCs w:val="24"/>
        </w:rPr>
        <w:t xml:space="preserve"> mobilné</w:t>
      </w:r>
      <w:r w:rsidR="00703791">
        <w:rPr>
          <w:rFonts w:ascii="Times New Roman" w:eastAsia="Calibri" w:hAnsi="Times New Roman" w:cs="Times New Roman"/>
          <w:sz w:val="24"/>
          <w:szCs w:val="24"/>
        </w:rPr>
        <w:t>ho zariadenia</w:t>
      </w:r>
      <w:r w:rsidR="000B17FB" w:rsidRPr="000B17FB">
        <w:rPr>
          <w:rFonts w:ascii="Times New Roman" w:eastAsia="Calibri" w:hAnsi="Times New Roman" w:cs="Times New Roman"/>
          <w:sz w:val="24"/>
          <w:szCs w:val="24"/>
        </w:rPr>
        <w:t xml:space="preserve"> na výstavbu a údržbu </w:t>
      </w:r>
      <w:r w:rsidR="00703791">
        <w:rPr>
          <w:rFonts w:ascii="Times New Roman" w:eastAsia="Calibri" w:hAnsi="Times New Roman" w:cs="Times New Roman"/>
          <w:sz w:val="24"/>
          <w:szCs w:val="24"/>
        </w:rPr>
        <w:t>železničnej infraštruktúry</w:t>
      </w:r>
      <w:r w:rsidR="000B17FB">
        <w:rPr>
          <w:rFonts w:ascii="Times New Roman" w:eastAsia="Calibri" w:hAnsi="Times New Roman" w:cs="Times New Roman"/>
          <w:sz w:val="24"/>
          <w:szCs w:val="24"/>
        </w:rPr>
        <w:t xml:space="preserve"> </w:t>
      </w:r>
      <w:r w:rsidR="000B17FB" w:rsidRPr="00EE5BC4">
        <w:rPr>
          <w:rFonts w:ascii="Times New Roman" w:eastAsia="Calibri" w:hAnsi="Times New Roman" w:cs="Times New Roman"/>
          <w:sz w:val="24"/>
          <w:szCs w:val="24"/>
        </w:rPr>
        <w:t>znižuje nepriame finančné náklady</w:t>
      </w:r>
    </w:p>
    <w:p w14:paraId="0E1C006F" w14:textId="0D17FF3C" w:rsidR="000B17FB" w:rsidRDefault="000B17FB" w:rsidP="00F62DE7">
      <w:pPr>
        <w:pStyle w:val="Odsekzoznamu"/>
        <w:numPr>
          <w:ilvl w:val="0"/>
          <w:numId w:val="12"/>
        </w:numPr>
        <w:jc w:val="both"/>
        <w:rPr>
          <w:rFonts w:ascii="Times New Roman" w:eastAsia="Calibri" w:hAnsi="Times New Roman" w:cs="Times New Roman"/>
          <w:sz w:val="24"/>
          <w:szCs w:val="24"/>
        </w:rPr>
      </w:pPr>
      <w:r w:rsidRPr="000B17FB">
        <w:rPr>
          <w:rFonts w:ascii="Times New Roman" w:eastAsia="Calibri" w:hAnsi="Times New Roman" w:cs="Times New Roman"/>
          <w:sz w:val="24"/>
          <w:szCs w:val="24"/>
        </w:rPr>
        <w:t xml:space="preserve">V súčasnosti sa pri údržbe, obnove alebo modernizácií dráhy využívajú mobilné zariadenia na výstavbu a údržbu infraštruktúry, ktoré nevykonávajú dopravnú činnosť na príslušnej železničnej infraštruktúre v prevádzke podľa príslušných ustanovení právnych aktov Európskej únie a platnej vnútroštátnej legislatívy </w:t>
      </w:r>
      <w:r w:rsidRPr="000B17FB">
        <w:rPr>
          <w:rFonts w:ascii="Times New Roman" w:eastAsia="Calibri" w:hAnsi="Times New Roman" w:cs="Times New Roman"/>
          <w:sz w:val="24"/>
          <w:szCs w:val="24"/>
        </w:rPr>
        <w:lastRenderedPageBreak/>
        <w:t>Slovenskej republiky. Takto neprevádzkovaná dráha sa považuje za pracovisko. Tým, že sa považuje za pracovisko dochádza k tomu, že hlavne u mobilných zariadení na výstavbu a údržbu železničnej infraštruktúry tieto v</w:t>
      </w:r>
      <w:r w:rsidR="00703791">
        <w:rPr>
          <w:rFonts w:ascii="Times New Roman" w:eastAsia="Calibri" w:hAnsi="Times New Roman" w:cs="Times New Roman"/>
          <w:sz w:val="24"/>
          <w:szCs w:val="24"/>
        </w:rPr>
        <w:t>ozidlá nemusia byť evidované v e</w:t>
      </w:r>
      <w:r w:rsidRPr="000B17FB">
        <w:rPr>
          <w:rFonts w:ascii="Times New Roman" w:eastAsia="Calibri" w:hAnsi="Times New Roman" w:cs="Times New Roman"/>
          <w:sz w:val="24"/>
          <w:szCs w:val="24"/>
        </w:rPr>
        <w:t xml:space="preserve">urópskom registri vozidiel ani vo vnútroštátnom registri železničných vozidiel, </w:t>
      </w:r>
      <w:r w:rsidR="00703791">
        <w:rPr>
          <w:rFonts w:ascii="Times New Roman" w:eastAsia="Calibri" w:hAnsi="Times New Roman" w:cs="Times New Roman"/>
          <w:sz w:val="24"/>
          <w:szCs w:val="24"/>
        </w:rPr>
        <w:t>držiteľ</w:t>
      </w:r>
      <w:r w:rsidRPr="000B17FB">
        <w:rPr>
          <w:rFonts w:ascii="Times New Roman" w:eastAsia="Calibri" w:hAnsi="Times New Roman" w:cs="Times New Roman"/>
          <w:sz w:val="24"/>
          <w:szCs w:val="24"/>
        </w:rPr>
        <w:t xml:space="preserve"> vozidiel nemusí byť držiteľom značky VKM (Vehicle Keeper Marking), nemusí byť držiteľom licencie železničného podniku, nemusí byť subjektom zodpovedným za údržbu (ECM), obsluha železničných vozidiel nemusí byť držiteľom preukazu rušňovodiča a nie je potreb</w:t>
      </w:r>
      <w:r w:rsidR="00703791">
        <w:rPr>
          <w:rFonts w:ascii="Times New Roman" w:eastAsia="Calibri" w:hAnsi="Times New Roman" w:cs="Times New Roman"/>
          <w:sz w:val="24"/>
          <w:szCs w:val="24"/>
        </w:rPr>
        <w:t>né prideliť vozidlu e</w:t>
      </w:r>
      <w:r w:rsidRPr="000B17FB">
        <w:rPr>
          <w:rFonts w:ascii="Times New Roman" w:eastAsia="Calibri" w:hAnsi="Times New Roman" w:cs="Times New Roman"/>
          <w:sz w:val="24"/>
          <w:szCs w:val="24"/>
        </w:rPr>
        <w:t>urópske číslo železničného vozidla (EVN). Tým, že sa umožní zjednodušenie používania mobilných zariadení na výstavbu a údržbu infraštruktúry dochádza aj k úprave vynakladania finančn</w:t>
      </w:r>
      <w:r>
        <w:rPr>
          <w:rFonts w:ascii="Times New Roman" w:eastAsia="Calibri" w:hAnsi="Times New Roman" w:cs="Times New Roman"/>
          <w:sz w:val="24"/>
          <w:szCs w:val="24"/>
        </w:rPr>
        <w:t>ých prostriedkov na ich údržbu</w:t>
      </w:r>
      <w:r w:rsidRPr="000B17FB">
        <w:rPr>
          <w:rFonts w:ascii="Times New Roman" w:eastAsia="Calibri" w:hAnsi="Times New Roman" w:cs="Times New Roman"/>
          <w:sz w:val="24"/>
          <w:szCs w:val="24"/>
        </w:rPr>
        <w:t xml:space="preserve"> a prevádzku.</w:t>
      </w:r>
    </w:p>
    <w:tbl>
      <w:tblPr>
        <w:tblStyle w:val="Mriekatabuky"/>
        <w:tblW w:w="0" w:type="auto"/>
        <w:tblInd w:w="1440" w:type="dxa"/>
        <w:tblLook w:val="04A0" w:firstRow="1" w:lastRow="0" w:firstColumn="1" w:lastColumn="0" w:noHBand="0" w:noVBand="1"/>
      </w:tblPr>
      <w:tblGrid>
        <w:gridCol w:w="3883"/>
        <w:gridCol w:w="3739"/>
      </w:tblGrid>
      <w:tr w:rsidR="000B17FB" w14:paraId="4FFB8F7C" w14:textId="77777777" w:rsidTr="000B17FB">
        <w:tc>
          <w:tcPr>
            <w:tcW w:w="4531" w:type="dxa"/>
          </w:tcPr>
          <w:p w14:paraId="7122330F" w14:textId="3CEBC012"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Schvaľovanie vozidla v ERA</w:t>
            </w:r>
          </w:p>
        </w:tc>
        <w:tc>
          <w:tcPr>
            <w:tcW w:w="4531" w:type="dxa"/>
          </w:tcPr>
          <w:p w14:paraId="480DAEE6" w14:textId="34A8A7D4"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21 928 eur</w:t>
            </w:r>
          </w:p>
        </w:tc>
      </w:tr>
      <w:tr w:rsidR="000B17FB" w14:paraId="204E9E7A" w14:textId="77777777" w:rsidTr="000B17FB">
        <w:tc>
          <w:tcPr>
            <w:tcW w:w="4531" w:type="dxa"/>
          </w:tcPr>
          <w:p w14:paraId="00BC7166" w14:textId="3E34C6A7"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Subjekt ECM</w:t>
            </w:r>
          </w:p>
        </w:tc>
        <w:tc>
          <w:tcPr>
            <w:tcW w:w="4531" w:type="dxa"/>
          </w:tcPr>
          <w:p w14:paraId="5857185D" w14:textId="5E12018F"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4 000 eur</w:t>
            </w:r>
          </w:p>
        </w:tc>
      </w:tr>
      <w:tr w:rsidR="000B17FB" w14:paraId="01B4AB11" w14:textId="77777777" w:rsidTr="000B17FB">
        <w:tc>
          <w:tcPr>
            <w:tcW w:w="4531" w:type="dxa"/>
          </w:tcPr>
          <w:p w14:paraId="03226279" w14:textId="46E6CADF"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Obsluha bez potreby rušňovodiča</w:t>
            </w:r>
          </w:p>
        </w:tc>
        <w:tc>
          <w:tcPr>
            <w:tcW w:w="4531" w:type="dxa"/>
          </w:tcPr>
          <w:p w14:paraId="59287F9E" w14:textId="06240B4F" w:rsidR="000B17FB"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B17FB">
              <w:rPr>
                <w:rFonts w:ascii="Times New Roman" w:eastAsia="Calibri" w:hAnsi="Times New Roman" w:cs="Times New Roman"/>
                <w:sz w:val="24"/>
                <w:szCs w:val="24"/>
              </w:rPr>
              <w:t> 000 eur</w:t>
            </w:r>
          </w:p>
        </w:tc>
      </w:tr>
      <w:tr w:rsidR="000B17FB" w14:paraId="12B3BC74" w14:textId="77777777" w:rsidTr="000B17FB">
        <w:tc>
          <w:tcPr>
            <w:tcW w:w="4531" w:type="dxa"/>
          </w:tcPr>
          <w:p w14:paraId="0B136D6A" w14:textId="621CFD48"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Registrácia v EVR</w:t>
            </w:r>
          </w:p>
        </w:tc>
        <w:tc>
          <w:tcPr>
            <w:tcW w:w="4531" w:type="dxa"/>
          </w:tcPr>
          <w:p w14:paraId="035944DE" w14:textId="499D45D5" w:rsidR="000B17FB" w:rsidRDefault="000B17FB"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1 000 eur</w:t>
            </w:r>
          </w:p>
        </w:tc>
      </w:tr>
      <w:tr w:rsidR="000B17FB" w14:paraId="6F1BB662" w14:textId="77777777" w:rsidTr="000B17FB">
        <w:tc>
          <w:tcPr>
            <w:tcW w:w="4531" w:type="dxa"/>
          </w:tcPr>
          <w:p w14:paraId="1451611F" w14:textId="404F2D52" w:rsidR="000B17FB"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Registrácia v ERATV</w:t>
            </w:r>
          </w:p>
        </w:tc>
        <w:tc>
          <w:tcPr>
            <w:tcW w:w="4531" w:type="dxa"/>
          </w:tcPr>
          <w:p w14:paraId="1107B0F1" w14:textId="7FB84F89" w:rsidR="000B17FB"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1 000 eur</w:t>
            </w:r>
          </w:p>
        </w:tc>
      </w:tr>
      <w:tr w:rsidR="000B17FB" w14:paraId="48F5FBF2" w14:textId="77777777" w:rsidTr="000B17FB">
        <w:tc>
          <w:tcPr>
            <w:tcW w:w="4531" w:type="dxa"/>
          </w:tcPr>
          <w:p w14:paraId="1530CD95" w14:textId="5095CE64" w:rsidR="000B17FB"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Súlad s TSI</w:t>
            </w:r>
          </w:p>
        </w:tc>
        <w:tc>
          <w:tcPr>
            <w:tcW w:w="4531" w:type="dxa"/>
          </w:tcPr>
          <w:p w14:paraId="0C4B89E6" w14:textId="66F2C8D7" w:rsidR="000B17FB"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3 000 eur</w:t>
            </w:r>
          </w:p>
        </w:tc>
      </w:tr>
      <w:tr w:rsidR="00CA1F9F" w14:paraId="1E21770E" w14:textId="77777777" w:rsidTr="000B17FB">
        <w:tc>
          <w:tcPr>
            <w:tcW w:w="4531" w:type="dxa"/>
          </w:tcPr>
          <w:p w14:paraId="42697E64" w14:textId="4DC432EB" w:rsidR="00CA1F9F"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Technicko – bezpečnostná skúška a technická kontrola</w:t>
            </w:r>
          </w:p>
        </w:tc>
        <w:tc>
          <w:tcPr>
            <w:tcW w:w="4531" w:type="dxa"/>
          </w:tcPr>
          <w:p w14:paraId="642297AB" w14:textId="326D436B" w:rsidR="00CA1F9F"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2 000 eur</w:t>
            </w:r>
          </w:p>
        </w:tc>
      </w:tr>
      <w:tr w:rsidR="00CA1F9F" w14:paraId="7E767573" w14:textId="77777777" w:rsidTr="000B17FB">
        <w:tc>
          <w:tcPr>
            <w:tcW w:w="4531" w:type="dxa"/>
          </w:tcPr>
          <w:p w14:paraId="02A2D079" w14:textId="6766A614" w:rsidR="00CA1F9F"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Spolu</w:t>
            </w:r>
          </w:p>
        </w:tc>
        <w:tc>
          <w:tcPr>
            <w:tcW w:w="4531" w:type="dxa"/>
          </w:tcPr>
          <w:p w14:paraId="3B246654" w14:textId="57B7C80F" w:rsidR="00CA1F9F" w:rsidRDefault="00CA1F9F" w:rsidP="000B17FB">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34 928 eur</w:t>
            </w:r>
          </w:p>
        </w:tc>
      </w:tr>
    </w:tbl>
    <w:p w14:paraId="65174F36" w14:textId="282C3671" w:rsidR="00EE33E8" w:rsidRDefault="00EE33E8" w:rsidP="00F62DE7">
      <w:pPr>
        <w:spacing w:after="0" w:line="240" w:lineRule="auto"/>
        <w:jc w:val="both"/>
        <w:rPr>
          <w:rFonts w:ascii="Times New Roman" w:eastAsia="Calibri" w:hAnsi="Times New Roman" w:cs="Times New Roman"/>
          <w:sz w:val="24"/>
          <w:szCs w:val="24"/>
        </w:rPr>
      </w:pPr>
    </w:p>
    <w:p w14:paraId="43314C11" w14:textId="06204823" w:rsidR="006949BD" w:rsidRDefault="00EE1669" w:rsidP="007D75CB">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6</w:t>
      </w:r>
      <w:r w:rsidR="007D75CB">
        <w:rPr>
          <w:rFonts w:ascii="Times New Roman" w:eastAsia="Calibri" w:hAnsi="Times New Roman" w:cs="Times New Roman"/>
          <w:sz w:val="24"/>
          <w:szCs w:val="24"/>
        </w:rPr>
        <w:t xml:space="preserve"> a </w:t>
      </w:r>
      <w:r>
        <w:rPr>
          <w:rFonts w:ascii="Times New Roman" w:eastAsia="Calibri" w:hAnsi="Times New Roman" w:cs="Times New Roman"/>
          <w:sz w:val="24"/>
          <w:szCs w:val="24"/>
        </w:rPr>
        <w:t>7</w:t>
      </w:r>
      <w:r w:rsidR="007D75CB">
        <w:rPr>
          <w:rFonts w:ascii="Times New Roman" w:eastAsia="Calibri" w:hAnsi="Times New Roman" w:cs="Times New Roman"/>
          <w:sz w:val="24"/>
          <w:szCs w:val="24"/>
        </w:rPr>
        <w:t xml:space="preserve"> – Preukazovanie splnenia podmienok na vedenie dráhového vozidla znižuje </w:t>
      </w:r>
      <w:r w:rsidR="007D75CB" w:rsidRPr="007D75CB">
        <w:rPr>
          <w:rFonts w:ascii="Times New Roman" w:eastAsia="Calibri" w:hAnsi="Times New Roman" w:cs="Times New Roman"/>
          <w:sz w:val="24"/>
          <w:szCs w:val="24"/>
        </w:rPr>
        <w:t>nepriame finančné náklady</w:t>
      </w:r>
    </w:p>
    <w:p w14:paraId="113A652E" w14:textId="7B55A6EE" w:rsidR="007D75CB" w:rsidRDefault="007D75CB" w:rsidP="007D75CB">
      <w:pPr>
        <w:pStyle w:val="Odsekzoznamu"/>
        <w:numPr>
          <w:ilvl w:val="1"/>
          <w:numId w:val="13"/>
        </w:numPr>
        <w:spacing w:after="0" w:line="240" w:lineRule="auto"/>
        <w:jc w:val="both"/>
        <w:rPr>
          <w:rFonts w:ascii="Times New Roman" w:eastAsia="Calibri" w:hAnsi="Times New Roman" w:cs="Times New Roman"/>
          <w:sz w:val="24"/>
          <w:szCs w:val="24"/>
        </w:rPr>
      </w:pPr>
      <w:r w:rsidRPr="007D75CB">
        <w:rPr>
          <w:rFonts w:ascii="Times New Roman" w:eastAsia="Calibri" w:hAnsi="Times New Roman" w:cs="Times New Roman"/>
          <w:sz w:val="24"/>
          <w:szCs w:val="24"/>
        </w:rPr>
        <w:t xml:space="preserve">administratívne náklady predstavujú zníženie nákladov pri </w:t>
      </w:r>
      <w:r w:rsidR="00D26898">
        <w:rPr>
          <w:rFonts w:ascii="Times New Roman" w:eastAsia="Calibri" w:hAnsi="Times New Roman" w:cs="Times New Roman"/>
          <w:sz w:val="24"/>
          <w:szCs w:val="24"/>
        </w:rPr>
        <w:t>predkladaní kópii dokladov a nepredkladaní niektorých dokladov</w:t>
      </w:r>
      <w:r w:rsidRPr="007D75CB">
        <w:rPr>
          <w:rFonts w:ascii="Times New Roman" w:eastAsia="Calibri" w:hAnsi="Times New Roman" w:cs="Times New Roman"/>
          <w:sz w:val="24"/>
          <w:szCs w:val="24"/>
        </w:rPr>
        <w:t xml:space="preserve"> </w:t>
      </w:r>
      <w:r w:rsidR="00D26898">
        <w:rPr>
          <w:rFonts w:ascii="Times New Roman" w:eastAsia="Calibri" w:hAnsi="Times New Roman" w:cs="Times New Roman"/>
          <w:sz w:val="24"/>
          <w:szCs w:val="24"/>
        </w:rPr>
        <w:t>s príslušnou žiadosťou</w:t>
      </w:r>
      <w:r w:rsidRPr="007D75CB">
        <w:rPr>
          <w:rFonts w:ascii="Times New Roman" w:eastAsia="Calibri" w:hAnsi="Times New Roman" w:cs="Times New Roman"/>
          <w:sz w:val="24"/>
          <w:szCs w:val="24"/>
        </w:rPr>
        <w:t xml:space="preserve">, ktorá je </w:t>
      </w:r>
      <w:r w:rsidR="00D26898">
        <w:rPr>
          <w:rFonts w:ascii="Times New Roman" w:eastAsia="Calibri" w:hAnsi="Times New Roman" w:cs="Times New Roman"/>
          <w:sz w:val="24"/>
          <w:szCs w:val="24"/>
        </w:rPr>
        <w:t xml:space="preserve">tým </w:t>
      </w:r>
      <w:r w:rsidRPr="007D75CB">
        <w:rPr>
          <w:rFonts w:ascii="Times New Roman" w:eastAsia="Calibri" w:hAnsi="Times New Roman" w:cs="Times New Roman"/>
          <w:sz w:val="24"/>
          <w:szCs w:val="24"/>
        </w:rPr>
        <w:t>administratívne menej náročná</w:t>
      </w:r>
      <w:r w:rsidR="00D26898">
        <w:rPr>
          <w:rFonts w:ascii="Times New Roman" w:eastAsia="Calibri" w:hAnsi="Times New Roman" w:cs="Times New Roman"/>
          <w:sz w:val="24"/>
          <w:szCs w:val="24"/>
        </w:rPr>
        <w:t>.</w:t>
      </w:r>
    </w:p>
    <w:p w14:paraId="2A86635D" w14:textId="77777777" w:rsidR="007D75CB" w:rsidRPr="007D75CB" w:rsidRDefault="007D75CB" w:rsidP="007D75CB">
      <w:pPr>
        <w:pStyle w:val="Odsekzoznamu"/>
        <w:spacing w:after="0" w:line="240" w:lineRule="auto"/>
        <w:ind w:left="1440"/>
        <w:jc w:val="both"/>
        <w:rPr>
          <w:rFonts w:ascii="Times New Roman" w:eastAsia="Calibri" w:hAnsi="Times New Roman" w:cs="Times New Roman"/>
          <w:sz w:val="24"/>
          <w:szCs w:val="24"/>
        </w:rPr>
      </w:pPr>
    </w:p>
    <w:p w14:paraId="47815BFA" w14:textId="08B8076E" w:rsidR="00F62DE7" w:rsidRDefault="00EE1669" w:rsidP="00F62DE7">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8</w:t>
      </w:r>
      <w:r w:rsidR="00D26898">
        <w:rPr>
          <w:rFonts w:ascii="Times New Roman" w:eastAsia="Calibri" w:hAnsi="Times New Roman" w:cs="Times New Roman"/>
          <w:sz w:val="24"/>
          <w:szCs w:val="24"/>
        </w:rPr>
        <w:t xml:space="preserve"> - </w:t>
      </w:r>
      <w:r w:rsidR="00F62DE7">
        <w:rPr>
          <w:rFonts w:ascii="Times New Roman" w:eastAsia="Calibri" w:hAnsi="Times New Roman" w:cs="Times New Roman"/>
          <w:sz w:val="24"/>
          <w:szCs w:val="24"/>
        </w:rPr>
        <w:t>Skúšobný komisár</w:t>
      </w:r>
    </w:p>
    <w:p w14:paraId="00B466F4" w14:textId="37C9F63D" w:rsidR="00F62DE7" w:rsidRPr="00BB08FD" w:rsidRDefault="00F62DE7" w:rsidP="00F62DE7">
      <w:pPr>
        <w:pStyle w:val="Odsekzoznamu"/>
        <w:numPr>
          <w:ilvl w:val="0"/>
          <w:numId w:val="12"/>
        </w:numPr>
        <w:spacing w:after="0" w:line="240" w:lineRule="auto"/>
        <w:jc w:val="both"/>
        <w:rPr>
          <w:rFonts w:ascii="Times New Roman" w:eastAsia="Calibri" w:hAnsi="Times New Roman" w:cs="Times New Roman"/>
          <w:sz w:val="24"/>
          <w:szCs w:val="24"/>
        </w:rPr>
      </w:pPr>
      <w:r w:rsidRPr="00F208E3">
        <w:rPr>
          <w:rFonts w:ascii="Times New Roman" w:eastAsia="Times New Roman" w:hAnsi="Times New Roman" w:cs="Times New Roman"/>
          <w:sz w:val="24"/>
          <w:szCs w:val="24"/>
          <w:lang w:eastAsia="sk-SK"/>
        </w:rPr>
        <w:t>Aplikačná prax</w:t>
      </w:r>
      <w:r w:rsidR="00C470CB">
        <w:rPr>
          <w:rFonts w:ascii="Times New Roman" w:eastAsia="Times New Roman" w:hAnsi="Times New Roman" w:cs="Times New Roman"/>
          <w:sz w:val="24"/>
          <w:szCs w:val="24"/>
          <w:lang w:eastAsia="sk-SK"/>
        </w:rPr>
        <w:t xml:space="preserve"> preukázala, že pri</w:t>
      </w:r>
      <w:r w:rsidRPr="00F208E3">
        <w:rPr>
          <w:rFonts w:ascii="Times New Roman" w:eastAsia="Times New Roman" w:hAnsi="Times New Roman" w:cs="Times New Roman"/>
          <w:sz w:val="24"/>
          <w:szCs w:val="24"/>
          <w:lang w:eastAsia="sk-SK"/>
        </w:rPr>
        <w:t xml:space="preserve"> výkone technicko-bezpečnostnej skúšky dráhových voz</w:t>
      </w:r>
      <w:r>
        <w:rPr>
          <w:rFonts w:ascii="Times New Roman" w:eastAsia="Times New Roman" w:hAnsi="Times New Roman" w:cs="Times New Roman"/>
          <w:sz w:val="24"/>
          <w:szCs w:val="24"/>
          <w:lang w:eastAsia="sk-SK"/>
        </w:rPr>
        <w:t>idiel</w:t>
      </w:r>
      <w:r w:rsidRPr="00F208E3">
        <w:rPr>
          <w:rFonts w:ascii="Times New Roman" w:eastAsia="Times New Roman" w:hAnsi="Times New Roman" w:cs="Times New Roman"/>
          <w:sz w:val="24"/>
          <w:szCs w:val="24"/>
          <w:lang w:eastAsia="sk-SK"/>
        </w:rPr>
        <w:t xml:space="preserve"> musí </w:t>
      </w:r>
      <w:r w:rsidR="00703791">
        <w:rPr>
          <w:rFonts w:ascii="Times New Roman" w:eastAsia="Times New Roman" w:hAnsi="Times New Roman" w:cs="Times New Roman"/>
          <w:sz w:val="24"/>
          <w:szCs w:val="24"/>
          <w:lang w:eastAsia="sk-SK"/>
        </w:rPr>
        <w:t xml:space="preserve">byť </w:t>
      </w:r>
      <w:r w:rsidRPr="00F208E3">
        <w:rPr>
          <w:rFonts w:ascii="Times New Roman" w:eastAsia="Times New Roman" w:hAnsi="Times New Roman" w:cs="Times New Roman"/>
          <w:sz w:val="24"/>
          <w:szCs w:val="24"/>
          <w:lang w:eastAsia="sk-SK"/>
        </w:rPr>
        <w:t>skúšobný komisár hlavne odborne spôsobilý po stránke konštrukčnej, technickej a výpočtovej vo veci prevádzkyschopnosti dráhových vozidiel, na čo mu postačuje byť držiteľom platného osvedčenia o odbornej spôsobilosti. Tieto odborné podmienky prevažne spĺňajú zamestnanci výrobcu dráhových vozidiel, ktorí však nie sú držiteľmi preukazu na vedenie dráhového vozidla. Pri výkone skúšky skúšajúci komisár priebežne monitoruje a vyhodnocuje správanie sa vozidla podľa podmienok skúšky a nevykonáva dopravnú činnosť.</w:t>
      </w:r>
      <w:r w:rsidR="008B79A5">
        <w:rPr>
          <w:rFonts w:ascii="Times New Roman" w:eastAsia="Times New Roman" w:hAnsi="Times New Roman" w:cs="Times New Roman"/>
          <w:sz w:val="24"/>
          <w:szCs w:val="24"/>
          <w:lang w:eastAsia="sk-SK"/>
        </w:rPr>
        <w:t xml:space="preserve"> Poplatky spojené so získaním preukazu na vedenie dráhového vozidla (odborná spôsobilosť, zdravotná spôsobilosť + priebežné školenia) predstavujú sumu 4 000 eur.</w:t>
      </w:r>
    </w:p>
    <w:p w14:paraId="59F8449F" w14:textId="77777777" w:rsidR="00BB08FD" w:rsidRPr="00BB08FD" w:rsidRDefault="00BB08FD" w:rsidP="00BB08FD">
      <w:pPr>
        <w:pStyle w:val="Odsekzoznamu"/>
        <w:spacing w:after="0" w:line="240" w:lineRule="auto"/>
        <w:ind w:left="1440"/>
        <w:jc w:val="both"/>
        <w:rPr>
          <w:rFonts w:ascii="Times New Roman" w:eastAsia="Calibri" w:hAnsi="Times New Roman" w:cs="Times New Roman"/>
          <w:sz w:val="24"/>
          <w:szCs w:val="24"/>
        </w:rPr>
      </w:pPr>
    </w:p>
    <w:p w14:paraId="1A1E8A34" w14:textId="6395D8EF" w:rsidR="00BB08FD" w:rsidRDefault="000C19FD" w:rsidP="00BB08FD">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9</w:t>
      </w:r>
      <w:r w:rsidR="00BB08FD">
        <w:rPr>
          <w:rFonts w:ascii="Times New Roman" w:eastAsia="Calibri" w:hAnsi="Times New Roman" w:cs="Times New Roman"/>
          <w:sz w:val="24"/>
          <w:szCs w:val="24"/>
        </w:rPr>
        <w:t xml:space="preserve"> – Odborná spôsobilosť, zdravotná spôsobilosť a psychická spôsobilosť</w:t>
      </w:r>
    </w:p>
    <w:p w14:paraId="1BF08160" w14:textId="4BED09FA" w:rsidR="00BB08FD" w:rsidRPr="00BB08FD" w:rsidRDefault="00BB08FD" w:rsidP="00BB08FD">
      <w:pPr>
        <w:pStyle w:val="Odsekzoznamu"/>
        <w:numPr>
          <w:ilvl w:val="1"/>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Z</w:t>
      </w:r>
      <w:r w:rsidRPr="00BB08FD">
        <w:rPr>
          <w:rFonts w:ascii="Times New Roman" w:eastAsia="Calibri" w:hAnsi="Times New Roman" w:cs="Times New Roman"/>
          <w:sz w:val="24"/>
          <w:szCs w:val="24"/>
        </w:rPr>
        <w:t>níženie počtu povinných školení</w:t>
      </w:r>
      <w:r>
        <w:rPr>
          <w:rFonts w:ascii="Times New Roman" w:eastAsia="Calibri" w:hAnsi="Times New Roman" w:cs="Times New Roman"/>
          <w:sz w:val="24"/>
          <w:szCs w:val="24"/>
        </w:rPr>
        <w:t>.</w:t>
      </w:r>
    </w:p>
    <w:p w14:paraId="4C179027" w14:textId="50F7EB66" w:rsidR="008B79A5" w:rsidRDefault="008B79A5" w:rsidP="008B79A5">
      <w:pPr>
        <w:spacing w:after="0" w:line="240" w:lineRule="auto"/>
        <w:jc w:val="both"/>
        <w:rPr>
          <w:rFonts w:ascii="Times New Roman" w:eastAsia="Calibri" w:hAnsi="Times New Roman" w:cs="Times New Roman"/>
          <w:sz w:val="24"/>
          <w:szCs w:val="24"/>
        </w:rPr>
      </w:pPr>
    </w:p>
    <w:p w14:paraId="1466A130" w14:textId="2A9590E3" w:rsidR="00090DCD" w:rsidRDefault="00BB08FD" w:rsidP="00090DCD">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1</w:t>
      </w:r>
      <w:r w:rsidR="000C19FD">
        <w:rPr>
          <w:rFonts w:ascii="Times New Roman" w:eastAsia="Calibri" w:hAnsi="Times New Roman" w:cs="Times New Roman"/>
          <w:sz w:val="24"/>
          <w:szCs w:val="24"/>
        </w:rPr>
        <w:t>0</w:t>
      </w:r>
      <w:r>
        <w:rPr>
          <w:rFonts w:ascii="Times New Roman" w:eastAsia="Calibri" w:hAnsi="Times New Roman" w:cs="Times New Roman"/>
          <w:sz w:val="24"/>
          <w:szCs w:val="24"/>
        </w:rPr>
        <w:t xml:space="preserve"> - </w:t>
      </w:r>
      <w:r w:rsidR="00090DCD" w:rsidRPr="00090DCD">
        <w:rPr>
          <w:rFonts w:ascii="Times New Roman" w:eastAsia="Calibri" w:hAnsi="Times New Roman" w:cs="Times New Roman"/>
          <w:sz w:val="24"/>
          <w:szCs w:val="24"/>
        </w:rPr>
        <w:t>Povinnosť poskytovať regulačnému orgánu informácie a údaje potrebné na preskúmanie trvania podmienok vydaného povolenia na prevádzkovanie dráhy</w:t>
      </w:r>
      <w:r w:rsidR="00090DCD">
        <w:rPr>
          <w:rFonts w:ascii="Times New Roman" w:eastAsia="Calibri" w:hAnsi="Times New Roman" w:cs="Times New Roman"/>
          <w:sz w:val="24"/>
          <w:szCs w:val="24"/>
        </w:rPr>
        <w:t xml:space="preserve"> zvyšuje administratívne náklady</w:t>
      </w:r>
    </w:p>
    <w:p w14:paraId="01880FEE" w14:textId="7F1FCD5A" w:rsidR="00090DCD" w:rsidRPr="00090DCD" w:rsidRDefault="00090DCD" w:rsidP="00090DCD">
      <w:pPr>
        <w:pStyle w:val="Odsekzoznamu"/>
        <w:numPr>
          <w:ilvl w:val="0"/>
          <w:numId w:val="12"/>
        </w:numPr>
        <w:spacing w:after="0" w:line="240" w:lineRule="auto"/>
        <w:jc w:val="both"/>
        <w:rPr>
          <w:rFonts w:ascii="Times New Roman" w:eastAsia="Calibri" w:hAnsi="Times New Roman" w:cs="Times New Roman"/>
          <w:sz w:val="24"/>
          <w:szCs w:val="24"/>
        </w:rPr>
      </w:pPr>
      <w:r w:rsidRPr="00090DCD">
        <w:rPr>
          <w:rFonts w:ascii="Times New Roman" w:eastAsia="Times New Roman" w:hAnsi="Times New Roman" w:cs="Times New Roman"/>
          <w:sz w:val="24"/>
          <w:szCs w:val="24"/>
          <w:lang w:eastAsia="sk-SK"/>
        </w:rPr>
        <w:t xml:space="preserve">Doplnenie povinnosti pre prevádzkovateľa dráhy vyplynula z aplikačnej praxe. Povolenie na prevádzkovanie dráhy sa vydáva na dobu neurčitú a regulačný </w:t>
      </w:r>
      <w:r w:rsidRPr="00090DCD">
        <w:rPr>
          <w:rFonts w:ascii="Times New Roman" w:eastAsia="Times New Roman" w:hAnsi="Times New Roman" w:cs="Times New Roman"/>
          <w:sz w:val="24"/>
          <w:szCs w:val="24"/>
          <w:lang w:eastAsia="sk-SK"/>
        </w:rPr>
        <w:lastRenderedPageBreak/>
        <w:t>orgán nemá kompetenciu žiadať tieto údaje ani v rámci štátneho odborného dozoru.</w:t>
      </w:r>
      <w:r>
        <w:rPr>
          <w:rFonts w:ascii="Times New Roman" w:eastAsia="Times New Roman" w:hAnsi="Times New Roman" w:cs="Times New Roman"/>
          <w:sz w:val="24"/>
          <w:szCs w:val="24"/>
          <w:lang w:eastAsia="sk-SK"/>
        </w:rPr>
        <w:t xml:space="preserve"> Zvýšenie predstavuje náklady spojené s poskytnutím </w:t>
      </w:r>
      <w:r w:rsidR="00BB08FD">
        <w:rPr>
          <w:rFonts w:ascii="Times New Roman" w:eastAsia="Times New Roman" w:hAnsi="Times New Roman" w:cs="Times New Roman"/>
          <w:sz w:val="24"/>
          <w:szCs w:val="24"/>
          <w:lang w:eastAsia="sk-SK"/>
        </w:rPr>
        <w:t xml:space="preserve">administratívnej </w:t>
      </w:r>
      <w:r>
        <w:rPr>
          <w:rFonts w:ascii="Times New Roman" w:eastAsia="Times New Roman" w:hAnsi="Times New Roman" w:cs="Times New Roman"/>
          <w:sz w:val="24"/>
          <w:szCs w:val="24"/>
          <w:lang w:eastAsia="sk-SK"/>
        </w:rPr>
        <w:t>súčinnosti.</w:t>
      </w:r>
    </w:p>
    <w:p w14:paraId="5EE7CEF0" w14:textId="440ECD75" w:rsidR="00090DCD" w:rsidRDefault="00090DCD" w:rsidP="00090DCD">
      <w:pPr>
        <w:spacing w:after="0" w:line="240" w:lineRule="auto"/>
        <w:jc w:val="both"/>
        <w:rPr>
          <w:rFonts w:ascii="Times New Roman" w:eastAsia="Calibri" w:hAnsi="Times New Roman" w:cs="Times New Roman"/>
          <w:sz w:val="24"/>
          <w:szCs w:val="24"/>
        </w:rPr>
      </w:pPr>
    </w:p>
    <w:p w14:paraId="30C831A2" w14:textId="6912086D" w:rsidR="00090DCD" w:rsidRDefault="000C19FD" w:rsidP="00090DCD">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položky od 11</w:t>
      </w:r>
      <w:r w:rsidR="0081243C">
        <w:rPr>
          <w:rFonts w:ascii="Times New Roman" w:eastAsia="Calibri" w:hAnsi="Times New Roman" w:cs="Times New Roman"/>
          <w:sz w:val="24"/>
          <w:szCs w:val="24"/>
        </w:rPr>
        <w:t xml:space="preserve"> - 4</w:t>
      </w:r>
      <w:r>
        <w:rPr>
          <w:rFonts w:ascii="Times New Roman" w:eastAsia="Calibri" w:hAnsi="Times New Roman" w:cs="Times New Roman"/>
          <w:sz w:val="24"/>
          <w:szCs w:val="24"/>
        </w:rPr>
        <w:t>2</w:t>
      </w:r>
      <w:r w:rsidR="0081243C">
        <w:rPr>
          <w:rFonts w:ascii="Times New Roman" w:eastAsia="Calibri" w:hAnsi="Times New Roman" w:cs="Times New Roman"/>
          <w:sz w:val="24"/>
          <w:szCs w:val="24"/>
        </w:rPr>
        <w:t xml:space="preserve"> </w:t>
      </w:r>
      <w:r w:rsidR="00CB7A7C">
        <w:rPr>
          <w:rFonts w:ascii="Times New Roman" w:eastAsia="Calibri" w:hAnsi="Times New Roman" w:cs="Times New Roman"/>
          <w:sz w:val="24"/>
          <w:szCs w:val="24"/>
        </w:rPr>
        <w:t xml:space="preserve">- </w:t>
      </w:r>
      <w:r w:rsidR="00090DCD">
        <w:rPr>
          <w:rFonts w:ascii="Times New Roman" w:eastAsia="Calibri" w:hAnsi="Times New Roman" w:cs="Times New Roman"/>
          <w:sz w:val="24"/>
          <w:szCs w:val="24"/>
        </w:rPr>
        <w:t>Správne poplatky, pričom niektoré zvyšujú a niektoré znižujú priamy finančný vplyv na podnikateľské prostredie.</w:t>
      </w:r>
    </w:p>
    <w:p w14:paraId="257C2301" w14:textId="77777777" w:rsidR="00DC03A6" w:rsidRDefault="006A7B4E" w:rsidP="00DC03A6">
      <w:pPr>
        <w:pStyle w:val="Odsekzoznamu"/>
        <w:numPr>
          <w:ilvl w:val="0"/>
          <w:numId w:val="12"/>
        </w:numPr>
        <w:spacing w:after="0" w:line="240" w:lineRule="auto"/>
        <w:jc w:val="both"/>
        <w:rPr>
          <w:rFonts w:ascii="Times New Roman" w:eastAsia="Calibri" w:hAnsi="Times New Roman" w:cs="Times New Roman"/>
          <w:sz w:val="24"/>
          <w:szCs w:val="24"/>
        </w:rPr>
      </w:pPr>
      <w:r w:rsidRPr="006A7B4E">
        <w:rPr>
          <w:rFonts w:ascii="Times New Roman" w:eastAsia="Calibri" w:hAnsi="Times New Roman" w:cs="Times New Roman"/>
          <w:sz w:val="24"/>
          <w:szCs w:val="24"/>
        </w:rPr>
        <w:t>Vzhľadom na skutočnosť, že vo väčšine vyššie uvedených položiek nie je možné určiť počet subjektov (ani na základe existujúcich dostupných štatistických údajov a ani na základe expertného odhadu)</w:t>
      </w:r>
      <w:r>
        <w:rPr>
          <w:rFonts w:ascii="Times New Roman" w:eastAsia="Calibri" w:hAnsi="Times New Roman" w:cs="Times New Roman"/>
          <w:sz w:val="24"/>
          <w:szCs w:val="24"/>
        </w:rPr>
        <w:t>,</w:t>
      </w:r>
      <w:r w:rsidR="008B3279" w:rsidRPr="006A7B4E">
        <w:rPr>
          <w:rFonts w:ascii="Times New Roman" w:eastAsia="Calibri" w:hAnsi="Times New Roman" w:cs="Times New Roman"/>
          <w:sz w:val="24"/>
          <w:szCs w:val="24"/>
        </w:rPr>
        <w:t xml:space="preserve"> výpočet celkového dopadu na dotknuté subjekty za rok bol vypočítaný podľa dostupných informácií o počte správnych konaní </w:t>
      </w:r>
      <w:r w:rsidR="00703791">
        <w:rPr>
          <w:rFonts w:ascii="Times New Roman" w:eastAsia="Calibri" w:hAnsi="Times New Roman" w:cs="Times New Roman"/>
          <w:sz w:val="24"/>
          <w:szCs w:val="24"/>
        </w:rPr>
        <w:t>pre uvedený poplatok za posledné</w:t>
      </w:r>
      <w:r w:rsidR="008B3279" w:rsidRPr="006A7B4E">
        <w:rPr>
          <w:rFonts w:ascii="Times New Roman" w:eastAsia="Calibri" w:hAnsi="Times New Roman" w:cs="Times New Roman"/>
          <w:sz w:val="24"/>
          <w:szCs w:val="24"/>
        </w:rPr>
        <w:t xml:space="preserve"> tri roky</w:t>
      </w:r>
      <w:r w:rsidRPr="006A7B4E">
        <w:rPr>
          <w:rFonts w:ascii="Times New Roman" w:eastAsia="Calibri" w:hAnsi="Times New Roman" w:cs="Times New Roman"/>
          <w:sz w:val="24"/>
          <w:szCs w:val="24"/>
        </w:rPr>
        <w:t xml:space="preserve"> (</w:t>
      </w:r>
      <w:hyperlink r:id="rId12" w:history="1">
        <w:r w:rsidRPr="006A7B4E">
          <w:rPr>
            <w:rStyle w:val="Hypertextovprepojenie"/>
            <w:rFonts w:ascii="Times New Roman" w:eastAsia="Calibri" w:hAnsi="Times New Roman" w:cs="Times New Roman"/>
            <w:sz w:val="24"/>
            <w:szCs w:val="24"/>
          </w:rPr>
          <w:t>http://nsat.sk/dopravny-urad-menu-udaje-a-dokumenty/vyrocne-spravy/</w:t>
        </w:r>
      </w:hyperlink>
      <w:r w:rsidRPr="006A7B4E">
        <w:rPr>
          <w:rFonts w:ascii="Times New Roman" w:eastAsia="Calibri" w:hAnsi="Times New Roman" w:cs="Times New Roman"/>
          <w:sz w:val="24"/>
          <w:szCs w:val="24"/>
        </w:rPr>
        <w:t>)</w:t>
      </w:r>
      <w:r w:rsidR="008B3279" w:rsidRPr="006A7B4E">
        <w:rPr>
          <w:rFonts w:ascii="Times New Roman" w:eastAsia="Calibri" w:hAnsi="Times New Roman" w:cs="Times New Roman"/>
          <w:sz w:val="24"/>
          <w:szCs w:val="24"/>
        </w:rPr>
        <w:t xml:space="preserve">, ktorý predstavuje ich priemer. </w:t>
      </w:r>
    </w:p>
    <w:p w14:paraId="7010459A" w14:textId="69ACCE88" w:rsidR="002A2DB5" w:rsidRPr="00DC03A6" w:rsidRDefault="006A7B4E" w:rsidP="00DC03A6">
      <w:pPr>
        <w:pStyle w:val="Odsekzoznamu"/>
        <w:spacing w:after="0" w:line="240" w:lineRule="auto"/>
        <w:ind w:left="1440"/>
        <w:jc w:val="both"/>
        <w:rPr>
          <w:rFonts w:ascii="Times New Roman" w:eastAsia="Calibri" w:hAnsi="Times New Roman" w:cs="Times New Roman"/>
          <w:sz w:val="24"/>
          <w:szCs w:val="24"/>
        </w:rPr>
      </w:pPr>
      <w:r w:rsidRPr="00DC03A6">
        <w:rPr>
          <w:rFonts w:ascii="Times New Roman" w:eastAsia="Calibri" w:hAnsi="Times New Roman" w:cs="Times New Roman"/>
          <w:sz w:val="24"/>
          <w:szCs w:val="24"/>
        </w:rPr>
        <w:t xml:space="preserve">Pri novo zavedených poplatkoch </w:t>
      </w:r>
      <w:r w:rsidR="009B7F3A" w:rsidRPr="00DC03A6">
        <w:rPr>
          <w:rFonts w:ascii="Times New Roman" w:eastAsia="Calibri" w:hAnsi="Times New Roman" w:cs="Times New Roman"/>
          <w:sz w:val="24"/>
          <w:szCs w:val="24"/>
        </w:rPr>
        <w:t>(položky 18 - 2</w:t>
      </w:r>
      <w:r w:rsidR="0019131A" w:rsidRPr="00DC03A6">
        <w:rPr>
          <w:rFonts w:ascii="Times New Roman" w:eastAsia="Calibri" w:hAnsi="Times New Roman" w:cs="Times New Roman"/>
          <w:sz w:val="24"/>
          <w:szCs w:val="24"/>
        </w:rPr>
        <w:t>3</w:t>
      </w:r>
      <w:r w:rsidR="009B7F3A" w:rsidRPr="00DC03A6">
        <w:rPr>
          <w:rFonts w:ascii="Times New Roman" w:eastAsia="Calibri" w:hAnsi="Times New Roman" w:cs="Times New Roman"/>
          <w:sz w:val="24"/>
          <w:szCs w:val="24"/>
        </w:rPr>
        <w:t xml:space="preserve">, 41) </w:t>
      </w:r>
      <w:r w:rsidRPr="00DC03A6">
        <w:rPr>
          <w:rFonts w:ascii="Times New Roman" w:eastAsia="Calibri" w:hAnsi="Times New Roman" w:cs="Times New Roman"/>
          <w:sz w:val="24"/>
          <w:szCs w:val="24"/>
        </w:rPr>
        <w:t xml:space="preserve">však nemožno vychádzať ani </w:t>
      </w:r>
      <w:r w:rsidR="00703791" w:rsidRPr="00DC03A6">
        <w:rPr>
          <w:rFonts w:ascii="Times New Roman" w:eastAsia="Calibri" w:hAnsi="Times New Roman" w:cs="Times New Roman"/>
          <w:sz w:val="24"/>
          <w:szCs w:val="24"/>
        </w:rPr>
        <w:t>z</w:t>
      </w:r>
      <w:r w:rsidRPr="00DC03A6">
        <w:rPr>
          <w:rFonts w:ascii="Times New Roman" w:eastAsia="Calibri" w:hAnsi="Times New Roman" w:cs="Times New Roman"/>
          <w:sz w:val="24"/>
          <w:szCs w:val="24"/>
        </w:rPr>
        <w:t xml:space="preserve"> počtu správnych konaní, preto bol </w:t>
      </w:r>
      <w:r w:rsidR="003F4DF7" w:rsidRPr="00DC03A6">
        <w:rPr>
          <w:rFonts w:ascii="Times New Roman" w:eastAsia="Calibri" w:hAnsi="Times New Roman" w:cs="Times New Roman"/>
          <w:sz w:val="24"/>
          <w:szCs w:val="24"/>
        </w:rPr>
        <w:t xml:space="preserve">pri výpočte vplyvov na podnikateľské prostredie </w:t>
      </w:r>
      <w:r w:rsidR="002A2DB5" w:rsidRPr="00DC03A6">
        <w:rPr>
          <w:rFonts w:ascii="Times New Roman" w:eastAsia="Calibri" w:hAnsi="Times New Roman" w:cs="Times New Roman"/>
          <w:sz w:val="24"/>
          <w:szCs w:val="24"/>
        </w:rPr>
        <w:t xml:space="preserve">v kalkulačke </w:t>
      </w:r>
      <w:r w:rsidR="003F4DF7" w:rsidRPr="00DC03A6">
        <w:rPr>
          <w:rFonts w:ascii="Times New Roman" w:eastAsia="Calibri" w:hAnsi="Times New Roman" w:cs="Times New Roman"/>
          <w:b/>
          <w:sz w:val="24"/>
          <w:szCs w:val="24"/>
        </w:rPr>
        <w:t xml:space="preserve">využitý </w:t>
      </w:r>
      <w:r w:rsidR="003F4DF7" w:rsidRPr="00DC03A6">
        <w:rPr>
          <w:rFonts w:ascii="Times New Roman" w:eastAsia="Calibri" w:hAnsi="Times New Roman" w:cs="Times New Roman"/>
          <w:b/>
          <w:sz w:val="24"/>
          <w:szCs w:val="24"/>
          <w:u w:val="single"/>
        </w:rPr>
        <w:t>modelový príklad</w:t>
      </w:r>
      <w:r w:rsidR="003F4DF7" w:rsidRPr="00DC03A6">
        <w:rPr>
          <w:rFonts w:ascii="Times New Roman" w:eastAsia="Calibri" w:hAnsi="Times New Roman" w:cs="Times New Roman"/>
          <w:sz w:val="24"/>
          <w:szCs w:val="24"/>
        </w:rPr>
        <w:t xml:space="preserve">, </w:t>
      </w:r>
      <w:r w:rsidR="003F4DF7" w:rsidRPr="00DC03A6">
        <w:rPr>
          <w:rFonts w:ascii="Times New Roman" w:eastAsia="Calibri" w:hAnsi="Times New Roman" w:cs="Times New Roman"/>
          <w:b/>
          <w:sz w:val="24"/>
          <w:szCs w:val="24"/>
        </w:rPr>
        <w:t>t. j. vplyv na jeden subjekt</w:t>
      </w:r>
      <w:r w:rsidR="003F4DF7" w:rsidRPr="00DC03A6">
        <w:rPr>
          <w:rFonts w:ascii="Times New Roman" w:eastAsia="Calibri" w:hAnsi="Times New Roman" w:cs="Times New Roman"/>
          <w:sz w:val="24"/>
          <w:szCs w:val="24"/>
        </w:rPr>
        <w:t xml:space="preserve">. </w:t>
      </w:r>
    </w:p>
    <w:p w14:paraId="5A8709CF" w14:textId="59E63872" w:rsidR="003F4DF7" w:rsidRPr="006A7B4E" w:rsidRDefault="003F4DF7" w:rsidP="002A2DB5">
      <w:pPr>
        <w:pStyle w:val="Odsekzoznamu"/>
        <w:spacing w:after="0" w:line="240" w:lineRule="auto"/>
        <w:ind w:left="1440"/>
        <w:jc w:val="both"/>
        <w:rPr>
          <w:rFonts w:ascii="Times New Roman" w:eastAsia="Calibri" w:hAnsi="Times New Roman" w:cs="Times New Roman"/>
          <w:sz w:val="24"/>
          <w:szCs w:val="24"/>
        </w:rPr>
      </w:pPr>
      <w:r w:rsidRPr="006A7B4E">
        <w:rPr>
          <w:rFonts w:ascii="Times New Roman" w:eastAsia="Calibri" w:hAnsi="Times New Roman" w:cs="Times New Roman"/>
          <w:sz w:val="24"/>
          <w:szCs w:val="24"/>
        </w:rPr>
        <w:t>K niektorým položkám</w:t>
      </w:r>
      <w:r w:rsidR="00BC6AB9">
        <w:rPr>
          <w:rFonts w:ascii="Times New Roman" w:eastAsia="Calibri" w:hAnsi="Times New Roman" w:cs="Times New Roman"/>
          <w:sz w:val="24"/>
          <w:szCs w:val="24"/>
        </w:rPr>
        <w:t>, ktoré majú významnejší vplyv</w:t>
      </w:r>
      <w:r w:rsidRPr="006A7B4E">
        <w:rPr>
          <w:rFonts w:ascii="Times New Roman" w:eastAsia="Calibri" w:hAnsi="Times New Roman" w:cs="Times New Roman"/>
          <w:sz w:val="24"/>
          <w:szCs w:val="24"/>
        </w:rPr>
        <w:t xml:space="preserve"> uvedeným v tabuľke uvádzame:</w:t>
      </w:r>
    </w:p>
    <w:p w14:paraId="2F2D1034" w14:textId="53FA62CB" w:rsidR="00850682" w:rsidRDefault="00850682" w:rsidP="00850682">
      <w:pPr>
        <w:spacing w:after="0" w:line="240" w:lineRule="auto"/>
        <w:jc w:val="both"/>
        <w:rPr>
          <w:rFonts w:ascii="Times New Roman" w:eastAsia="Calibri" w:hAnsi="Times New Roman" w:cs="Times New Roman"/>
          <w:sz w:val="24"/>
          <w:szCs w:val="24"/>
        </w:rPr>
      </w:pPr>
    </w:p>
    <w:tbl>
      <w:tblPr>
        <w:tblStyle w:val="Mriekatabuky"/>
        <w:tblW w:w="0" w:type="auto"/>
        <w:jc w:val="center"/>
        <w:tblLook w:val="04A0" w:firstRow="1" w:lastRow="0" w:firstColumn="1" w:lastColumn="0" w:noHBand="0" w:noVBand="1"/>
      </w:tblPr>
      <w:tblGrid>
        <w:gridCol w:w="3624"/>
        <w:gridCol w:w="1812"/>
        <w:gridCol w:w="1813"/>
        <w:gridCol w:w="1813"/>
      </w:tblGrid>
      <w:tr w:rsidR="00850682" w14:paraId="19AEBEA6" w14:textId="77777777" w:rsidTr="00850682">
        <w:trPr>
          <w:jc w:val="center"/>
        </w:trPr>
        <w:tc>
          <w:tcPr>
            <w:tcW w:w="3624" w:type="dxa"/>
            <w:vAlign w:val="center"/>
          </w:tcPr>
          <w:p w14:paraId="20BDB4E5" w14:textId="386B31E7" w:rsidR="00850682" w:rsidRDefault="006A7B4E" w:rsidP="00850682">
            <w:pPr>
              <w:jc w:val="both"/>
              <w:rPr>
                <w:rFonts w:ascii="Times New Roman" w:eastAsia="Calibri" w:hAnsi="Times New Roman" w:cs="Times New Roman"/>
                <w:sz w:val="24"/>
                <w:szCs w:val="24"/>
              </w:rPr>
            </w:pPr>
            <w:r w:rsidRPr="006A7B4E">
              <w:rPr>
                <w:rFonts w:ascii="Times New Roman" w:eastAsia="Times New Roman" w:hAnsi="Times New Roman" w:cs="Times New Roman"/>
                <w:b/>
                <w:sz w:val="20"/>
                <w:szCs w:val="20"/>
                <w:lang w:eastAsia="sk-SK"/>
              </w:rPr>
              <w:t>Existujúce regulácie</w:t>
            </w:r>
            <w:r>
              <w:rPr>
                <w:rFonts w:ascii="Times New Roman" w:eastAsia="Times New Roman" w:hAnsi="Times New Roman" w:cs="Times New Roman"/>
                <w:b/>
                <w:sz w:val="20"/>
                <w:szCs w:val="20"/>
                <w:lang w:eastAsia="sk-SK"/>
              </w:rPr>
              <w:t xml:space="preserve"> – zvýšenie dopadu</w:t>
            </w:r>
          </w:p>
        </w:tc>
        <w:tc>
          <w:tcPr>
            <w:tcW w:w="1812" w:type="dxa"/>
            <w:vAlign w:val="center"/>
          </w:tcPr>
          <w:p w14:paraId="28D18C09" w14:textId="435EFB9E" w:rsidR="00850682" w:rsidRDefault="00850682" w:rsidP="00850682">
            <w:pPr>
              <w:jc w:val="both"/>
              <w:rPr>
                <w:rFonts w:ascii="Times New Roman" w:eastAsia="Calibri" w:hAnsi="Times New Roman" w:cs="Times New Roman"/>
                <w:sz w:val="24"/>
                <w:szCs w:val="24"/>
              </w:rPr>
            </w:pPr>
            <w:r w:rsidRPr="003F4DF7">
              <w:rPr>
                <w:rFonts w:ascii="Times New Roman" w:eastAsia="Times New Roman" w:hAnsi="Times New Roman" w:cs="Times New Roman"/>
                <w:b/>
                <w:sz w:val="20"/>
                <w:szCs w:val="20"/>
                <w:lang w:eastAsia="sk-SK"/>
              </w:rPr>
              <w:t>pôvodný poplatok</w:t>
            </w:r>
          </w:p>
        </w:tc>
        <w:tc>
          <w:tcPr>
            <w:tcW w:w="1813" w:type="dxa"/>
            <w:vAlign w:val="center"/>
          </w:tcPr>
          <w:p w14:paraId="09F5FCC1" w14:textId="7AB7AF8F" w:rsidR="00850682" w:rsidRDefault="00850682" w:rsidP="00850682">
            <w:pPr>
              <w:jc w:val="both"/>
              <w:rPr>
                <w:rFonts w:ascii="Times New Roman" w:eastAsia="Calibri" w:hAnsi="Times New Roman" w:cs="Times New Roman"/>
                <w:sz w:val="24"/>
                <w:szCs w:val="24"/>
              </w:rPr>
            </w:pPr>
            <w:r w:rsidRPr="003F4DF7">
              <w:rPr>
                <w:rFonts w:ascii="Times New Roman" w:eastAsia="Times New Roman" w:hAnsi="Times New Roman" w:cs="Times New Roman"/>
                <w:b/>
                <w:bCs/>
                <w:sz w:val="20"/>
                <w:szCs w:val="20"/>
                <w:lang w:eastAsia="sk-SK"/>
              </w:rPr>
              <w:t>nový poplatok</w:t>
            </w:r>
          </w:p>
        </w:tc>
        <w:tc>
          <w:tcPr>
            <w:tcW w:w="1813" w:type="dxa"/>
            <w:vAlign w:val="center"/>
          </w:tcPr>
          <w:p w14:paraId="3CEE3687" w14:textId="41EB24CF" w:rsidR="00850682" w:rsidRDefault="00850682" w:rsidP="00850682">
            <w:pPr>
              <w:jc w:val="both"/>
              <w:rPr>
                <w:rFonts w:ascii="Times New Roman" w:eastAsia="Calibri" w:hAnsi="Times New Roman" w:cs="Times New Roman"/>
                <w:sz w:val="24"/>
                <w:szCs w:val="24"/>
              </w:rPr>
            </w:pPr>
            <w:r w:rsidRPr="00850682">
              <w:rPr>
                <w:rFonts w:ascii="Times New Roman" w:eastAsia="Times New Roman" w:hAnsi="Times New Roman" w:cs="Times New Roman"/>
                <w:b/>
                <w:bCs/>
                <w:sz w:val="20"/>
                <w:szCs w:val="20"/>
                <w:lang w:eastAsia="sk-SK"/>
              </w:rPr>
              <w:t>počet správnych konaní za rok</w:t>
            </w:r>
            <w:r>
              <w:rPr>
                <w:rFonts w:ascii="Times New Roman" w:eastAsia="Times New Roman" w:hAnsi="Times New Roman" w:cs="Times New Roman"/>
                <w:b/>
                <w:bCs/>
                <w:sz w:val="20"/>
                <w:szCs w:val="20"/>
                <w:lang w:eastAsia="sk-SK"/>
              </w:rPr>
              <w:t>/dopad na dotknuté subjekty za rok</w:t>
            </w:r>
          </w:p>
        </w:tc>
      </w:tr>
      <w:tr w:rsidR="00850682" w14:paraId="10A46276" w14:textId="77777777" w:rsidTr="00850682">
        <w:trPr>
          <w:jc w:val="center"/>
        </w:trPr>
        <w:tc>
          <w:tcPr>
            <w:tcW w:w="3624" w:type="dxa"/>
            <w:vAlign w:val="center"/>
          </w:tcPr>
          <w:p w14:paraId="7BDCCB26" w14:textId="0160B3BA" w:rsidR="00850682" w:rsidRDefault="00850682" w:rsidP="00850682">
            <w:pPr>
              <w:jc w:val="both"/>
              <w:rPr>
                <w:rFonts w:ascii="Times New Roman" w:eastAsia="Calibri" w:hAnsi="Times New Roman" w:cs="Times New Roman"/>
                <w:sz w:val="24"/>
                <w:szCs w:val="24"/>
              </w:rPr>
            </w:pPr>
            <w:r w:rsidRPr="00F31D35">
              <w:rPr>
                <w:rFonts w:ascii="Arial" w:eastAsia="Times New Roman" w:hAnsi="Arial" w:cs="Arial"/>
                <w:sz w:val="20"/>
                <w:szCs w:val="20"/>
                <w:lang w:eastAsia="sk-SK"/>
              </w:rPr>
              <w:t>Vydanie duplikátu dokladu o schválení typu, o povolení typu alebo o povolení modernizácie alebo obnovy typu podľa písmen a) až j)</w:t>
            </w:r>
          </w:p>
        </w:tc>
        <w:tc>
          <w:tcPr>
            <w:tcW w:w="1812" w:type="dxa"/>
            <w:vAlign w:val="center"/>
          </w:tcPr>
          <w:p w14:paraId="606A79D9" w14:textId="3CD7D040" w:rsidR="00850682" w:rsidRDefault="00850682"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BC6AB9">
              <w:rPr>
                <w:rFonts w:ascii="Times New Roman" w:eastAsia="Calibri" w:hAnsi="Times New Roman" w:cs="Times New Roman"/>
                <w:sz w:val="24"/>
                <w:szCs w:val="24"/>
              </w:rPr>
              <w:t xml:space="preserve"> eur</w:t>
            </w:r>
          </w:p>
        </w:tc>
        <w:tc>
          <w:tcPr>
            <w:tcW w:w="1813" w:type="dxa"/>
            <w:vAlign w:val="center"/>
          </w:tcPr>
          <w:p w14:paraId="6FD15C36" w14:textId="417B5784" w:rsidR="00850682" w:rsidRDefault="00850682"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BC6AB9">
              <w:rPr>
                <w:rFonts w:ascii="Times New Roman" w:eastAsia="Calibri" w:hAnsi="Times New Roman" w:cs="Times New Roman"/>
                <w:sz w:val="24"/>
                <w:szCs w:val="24"/>
              </w:rPr>
              <w:t xml:space="preserve"> eur</w:t>
            </w:r>
          </w:p>
        </w:tc>
        <w:tc>
          <w:tcPr>
            <w:tcW w:w="1813" w:type="dxa"/>
            <w:vAlign w:val="center"/>
          </w:tcPr>
          <w:p w14:paraId="4DCB706A" w14:textId="5447CDC9" w:rsidR="00850682" w:rsidRDefault="00850682"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406/4 060 eur</w:t>
            </w:r>
          </w:p>
        </w:tc>
      </w:tr>
      <w:tr w:rsidR="00850682" w14:paraId="0CAF414C" w14:textId="77777777" w:rsidTr="00850682">
        <w:trPr>
          <w:jc w:val="center"/>
        </w:trPr>
        <w:tc>
          <w:tcPr>
            <w:tcW w:w="3624" w:type="dxa"/>
            <w:vAlign w:val="center"/>
          </w:tcPr>
          <w:p w14:paraId="5ACB4CF6" w14:textId="0EB4E9BF" w:rsidR="00850682" w:rsidRPr="00F31D35" w:rsidRDefault="00850682" w:rsidP="00850682">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Pridelenie značky držiteľa železničného vozidla</w:t>
            </w:r>
          </w:p>
        </w:tc>
        <w:tc>
          <w:tcPr>
            <w:tcW w:w="1812" w:type="dxa"/>
            <w:vAlign w:val="center"/>
          </w:tcPr>
          <w:p w14:paraId="44546FE7" w14:textId="507683E0" w:rsidR="00850682" w:rsidRDefault="00850682"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r w:rsidR="00BC6AB9">
              <w:rPr>
                <w:rFonts w:ascii="Times New Roman" w:eastAsia="Calibri" w:hAnsi="Times New Roman" w:cs="Times New Roman"/>
                <w:sz w:val="24"/>
                <w:szCs w:val="24"/>
              </w:rPr>
              <w:t xml:space="preserve"> eur</w:t>
            </w:r>
          </w:p>
        </w:tc>
        <w:tc>
          <w:tcPr>
            <w:tcW w:w="1813" w:type="dxa"/>
            <w:vAlign w:val="center"/>
          </w:tcPr>
          <w:p w14:paraId="7655D864" w14:textId="329B85DF" w:rsidR="00850682" w:rsidRDefault="00850682"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200</w:t>
            </w:r>
            <w:r w:rsidR="00BC6AB9">
              <w:rPr>
                <w:rFonts w:ascii="Times New Roman" w:eastAsia="Calibri" w:hAnsi="Times New Roman" w:cs="Times New Roman"/>
                <w:sz w:val="24"/>
                <w:szCs w:val="24"/>
              </w:rPr>
              <w:t xml:space="preserve"> eur</w:t>
            </w:r>
          </w:p>
        </w:tc>
        <w:tc>
          <w:tcPr>
            <w:tcW w:w="1813" w:type="dxa"/>
            <w:vAlign w:val="center"/>
          </w:tcPr>
          <w:p w14:paraId="565B6E9C" w14:textId="69D83AC2" w:rsidR="00850682" w:rsidRDefault="00850682"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918/78 030 eur</w:t>
            </w:r>
          </w:p>
        </w:tc>
      </w:tr>
      <w:tr w:rsidR="00850682" w14:paraId="31D00A9F" w14:textId="77777777" w:rsidTr="00850682">
        <w:trPr>
          <w:jc w:val="center"/>
        </w:trPr>
        <w:tc>
          <w:tcPr>
            <w:tcW w:w="3624" w:type="dxa"/>
            <w:vAlign w:val="center"/>
          </w:tcPr>
          <w:p w14:paraId="67A5ECDB" w14:textId="6ABAE07A" w:rsidR="00850682" w:rsidRPr="00F31D35" w:rsidRDefault="00644B8D" w:rsidP="00850682">
            <w:pPr>
              <w:jc w:val="both"/>
              <w:rPr>
                <w:rFonts w:ascii="Arial" w:eastAsia="Times New Roman" w:hAnsi="Arial" w:cs="Arial"/>
                <w:sz w:val="20"/>
                <w:szCs w:val="20"/>
                <w:lang w:eastAsia="sk-SK"/>
              </w:rPr>
            </w:pPr>
            <w:r w:rsidRPr="00644B8D">
              <w:rPr>
                <w:rFonts w:ascii="Arial" w:eastAsia="Times New Roman" w:hAnsi="Arial" w:cs="Arial"/>
                <w:sz w:val="20"/>
                <w:szCs w:val="20"/>
                <w:lang w:eastAsia="sk-SK"/>
              </w:rPr>
              <w:t>Zmena alebo zrušenie značky držiteľa železničného vozidla</w:t>
            </w:r>
          </w:p>
        </w:tc>
        <w:tc>
          <w:tcPr>
            <w:tcW w:w="1812" w:type="dxa"/>
            <w:vAlign w:val="center"/>
          </w:tcPr>
          <w:p w14:paraId="637C88AA" w14:textId="28724D64" w:rsidR="00850682" w:rsidRDefault="00644B8D"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BC6AB9">
              <w:rPr>
                <w:rFonts w:ascii="Times New Roman" w:eastAsia="Calibri" w:hAnsi="Times New Roman" w:cs="Times New Roman"/>
                <w:sz w:val="24"/>
                <w:szCs w:val="24"/>
              </w:rPr>
              <w:t xml:space="preserve"> eur</w:t>
            </w:r>
          </w:p>
        </w:tc>
        <w:tc>
          <w:tcPr>
            <w:tcW w:w="1813" w:type="dxa"/>
            <w:vAlign w:val="center"/>
          </w:tcPr>
          <w:p w14:paraId="3B93CC4E" w14:textId="142B24F7" w:rsidR="00850682" w:rsidRDefault="00644B8D"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BC6AB9">
              <w:rPr>
                <w:rFonts w:ascii="Times New Roman" w:eastAsia="Calibri" w:hAnsi="Times New Roman" w:cs="Times New Roman"/>
                <w:sz w:val="24"/>
                <w:szCs w:val="24"/>
              </w:rPr>
              <w:t xml:space="preserve"> eur</w:t>
            </w:r>
          </w:p>
        </w:tc>
        <w:tc>
          <w:tcPr>
            <w:tcW w:w="1813" w:type="dxa"/>
            <w:vAlign w:val="center"/>
          </w:tcPr>
          <w:p w14:paraId="3011B16A" w14:textId="195D6B42" w:rsidR="00850682" w:rsidRDefault="00644B8D"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371/11 130</w:t>
            </w:r>
            <w:r w:rsidR="00BC6AB9">
              <w:rPr>
                <w:rFonts w:ascii="Times New Roman" w:eastAsia="Calibri" w:hAnsi="Times New Roman" w:cs="Times New Roman"/>
                <w:sz w:val="24"/>
                <w:szCs w:val="24"/>
              </w:rPr>
              <w:t xml:space="preserve"> eur</w:t>
            </w:r>
          </w:p>
        </w:tc>
      </w:tr>
      <w:tr w:rsidR="00850682" w14:paraId="435225D9" w14:textId="77777777" w:rsidTr="00850682">
        <w:trPr>
          <w:jc w:val="center"/>
        </w:trPr>
        <w:tc>
          <w:tcPr>
            <w:tcW w:w="3624" w:type="dxa"/>
            <w:vAlign w:val="center"/>
          </w:tcPr>
          <w:p w14:paraId="37E5CBB4" w14:textId="40A9A943" w:rsidR="00850682" w:rsidRPr="00F31D35" w:rsidRDefault="00751E77" w:rsidP="00850682">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Zmena alebo zrušenie povolenia na uvedenie železničného vozidla na trh alebo do prevádzky</w:t>
            </w:r>
          </w:p>
        </w:tc>
        <w:tc>
          <w:tcPr>
            <w:tcW w:w="1812" w:type="dxa"/>
            <w:vAlign w:val="center"/>
          </w:tcPr>
          <w:p w14:paraId="05C494DB" w14:textId="0AED81D9" w:rsidR="00850682" w:rsidRDefault="00751E77"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BC6AB9">
              <w:rPr>
                <w:rFonts w:ascii="Times New Roman" w:eastAsia="Calibri" w:hAnsi="Times New Roman" w:cs="Times New Roman"/>
                <w:sz w:val="24"/>
                <w:szCs w:val="24"/>
              </w:rPr>
              <w:t xml:space="preserve"> eur</w:t>
            </w:r>
          </w:p>
        </w:tc>
        <w:tc>
          <w:tcPr>
            <w:tcW w:w="1813" w:type="dxa"/>
            <w:vAlign w:val="center"/>
          </w:tcPr>
          <w:p w14:paraId="618F4E94" w14:textId="6B6B552E" w:rsidR="00850682" w:rsidRDefault="00751E77"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BC6AB9">
              <w:rPr>
                <w:rFonts w:ascii="Times New Roman" w:eastAsia="Calibri" w:hAnsi="Times New Roman" w:cs="Times New Roman"/>
                <w:sz w:val="24"/>
                <w:szCs w:val="24"/>
              </w:rPr>
              <w:t xml:space="preserve"> eur</w:t>
            </w:r>
          </w:p>
        </w:tc>
        <w:tc>
          <w:tcPr>
            <w:tcW w:w="1813" w:type="dxa"/>
            <w:vAlign w:val="center"/>
          </w:tcPr>
          <w:p w14:paraId="51C6665F" w14:textId="56A9A81C" w:rsidR="00850682" w:rsidRDefault="00751E77"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267/9 345</w:t>
            </w:r>
            <w:r w:rsidR="00BC6AB9">
              <w:rPr>
                <w:rFonts w:ascii="Times New Roman" w:eastAsia="Calibri" w:hAnsi="Times New Roman" w:cs="Times New Roman"/>
                <w:sz w:val="24"/>
                <w:szCs w:val="24"/>
              </w:rPr>
              <w:t xml:space="preserve"> eur</w:t>
            </w:r>
          </w:p>
        </w:tc>
      </w:tr>
      <w:tr w:rsidR="00751E77" w14:paraId="5D5C8E35" w14:textId="77777777" w:rsidTr="00850682">
        <w:trPr>
          <w:jc w:val="center"/>
        </w:trPr>
        <w:tc>
          <w:tcPr>
            <w:tcW w:w="3624" w:type="dxa"/>
            <w:vAlign w:val="center"/>
          </w:tcPr>
          <w:p w14:paraId="78C3529E" w14:textId="597DDADC" w:rsidR="00751E77" w:rsidRPr="00F31D35" w:rsidRDefault="00751E77" w:rsidP="00850682">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Vydanie  bezpečnostného osvedčenia  pre železničný podnik</w:t>
            </w:r>
          </w:p>
        </w:tc>
        <w:tc>
          <w:tcPr>
            <w:tcW w:w="1812" w:type="dxa"/>
            <w:vAlign w:val="center"/>
          </w:tcPr>
          <w:p w14:paraId="784578A6" w14:textId="7D95B3BD" w:rsidR="00751E77" w:rsidRDefault="00751E77"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99,50</w:t>
            </w:r>
            <w:r w:rsidR="00BC6AB9">
              <w:rPr>
                <w:rFonts w:ascii="Times New Roman" w:eastAsia="Calibri" w:hAnsi="Times New Roman" w:cs="Times New Roman"/>
                <w:sz w:val="24"/>
                <w:szCs w:val="24"/>
              </w:rPr>
              <w:t xml:space="preserve"> eur</w:t>
            </w:r>
          </w:p>
        </w:tc>
        <w:tc>
          <w:tcPr>
            <w:tcW w:w="1813" w:type="dxa"/>
            <w:vAlign w:val="center"/>
          </w:tcPr>
          <w:p w14:paraId="1C325EE2" w14:textId="40F54943" w:rsidR="00751E77" w:rsidRDefault="00751E77"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BC6AB9">
              <w:rPr>
                <w:rFonts w:ascii="Times New Roman" w:eastAsia="Calibri" w:hAnsi="Times New Roman" w:cs="Times New Roman"/>
                <w:sz w:val="24"/>
                <w:szCs w:val="24"/>
              </w:rPr>
              <w:t> </w:t>
            </w:r>
            <w:r>
              <w:rPr>
                <w:rFonts w:ascii="Times New Roman" w:eastAsia="Calibri" w:hAnsi="Times New Roman" w:cs="Times New Roman"/>
                <w:sz w:val="24"/>
                <w:szCs w:val="24"/>
              </w:rPr>
              <w:t>000</w:t>
            </w:r>
            <w:r w:rsidR="00BC6AB9">
              <w:rPr>
                <w:rFonts w:ascii="Times New Roman" w:eastAsia="Calibri" w:hAnsi="Times New Roman" w:cs="Times New Roman"/>
                <w:sz w:val="24"/>
                <w:szCs w:val="24"/>
              </w:rPr>
              <w:t xml:space="preserve"> eur</w:t>
            </w:r>
          </w:p>
        </w:tc>
        <w:tc>
          <w:tcPr>
            <w:tcW w:w="1813" w:type="dxa"/>
            <w:vAlign w:val="center"/>
          </w:tcPr>
          <w:p w14:paraId="536ED134" w14:textId="54F5F473" w:rsidR="00751E77" w:rsidRDefault="00751E77" w:rsidP="00850682">
            <w:pPr>
              <w:jc w:val="center"/>
              <w:rPr>
                <w:rFonts w:ascii="Times New Roman" w:eastAsia="Calibri" w:hAnsi="Times New Roman" w:cs="Times New Roman"/>
                <w:sz w:val="24"/>
                <w:szCs w:val="24"/>
              </w:rPr>
            </w:pPr>
            <w:r>
              <w:rPr>
                <w:rFonts w:ascii="Times New Roman" w:eastAsia="Calibri" w:hAnsi="Times New Roman" w:cs="Times New Roman"/>
                <w:sz w:val="24"/>
                <w:szCs w:val="24"/>
              </w:rPr>
              <w:t>23/20 711,50</w:t>
            </w:r>
            <w:r w:rsidR="00BC6AB9">
              <w:rPr>
                <w:rFonts w:ascii="Times New Roman" w:eastAsia="Calibri" w:hAnsi="Times New Roman" w:cs="Times New Roman"/>
                <w:sz w:val="24"/>
                <w:szCs w:val="24"/>
              </w:rPr>
              <w:t xml:space="preserve"> eur</w:t>
            </w:r>
          </w:p>
        </w:tc>
      </w:tr>
      <w:tr w:rsidR="006A7B4E" w14:paraId="057B2C46" w14:textId="77777777" w:rsidTr="006A7B4E">
        <w:trPr>
          <w:jc w:val="center"/>
        </w:trPr>
        <w:tc>
          <w:tcPr>
            <w:tcW w:w="3624" w:type="dxa"/>
            <w:vAlign w:val="center"/>
          </w:tcPr>
          <w:p w14:paraId="5FAF0132" w14:textId="0580CD6D" w:rsidR="006A7B4E" w:rsidRPr="00F31D35" w:rsidRDefault="006A7B4E" w:rsidP="006A7B4E">
            <w:pPr>
              <w:jc w:val="center"/>
              <w:rPr>
                <w:rFonts w:ascii="Arial" w:eastAsia="Times New Roman" w:hAnsi="Arial" w:cs="Arial"/>
                <w:sz w:val="20"/>
                <w:szCs w:val="20"/>
                <w:lang w:eastAsia="sk-SK"/>
              </w:rPr>
            </w:pPr>
            <w:r>
              <w:rPr>
                <w:rFonts w:ascii="Times New Roman" w:eastAsia="Times New Roman" w:hAnsi="Times New Roman" w:cs="Times New Roman"/>
                <w:b/>
                <w:sz w:val="20"/>
                <w:szCs w:val="20"/>
                <w:lang w:eastAsia="sk-SK"/>
              </w:rPr>
              <w:t>Nové</w:t>
            </w:r>
            <w:r w:rsidRPr="006A7B4E">
              <w:rPr>
                <w:rFonts w:ascii="Times New Roman" w:eastAsia="Times New Roman" w:hAnsi="Times New Roman" w:cs="Times New Roman"/>
                <w:b/>
                <w:sz w:val="20"/>
                <w:szCs w:val="20"/>
                <w:lang w:eastAsia="sk-SK"/>
              </w:rPr>
              <w:t xml:space="preserve"> regulácie</w:t>
            </w:r>
            <w:r>
              <w:rPr>
                <w:rFonts w:ascii="Times New Roman" w:eastAsia="Times New Roman" w:hAnsi="Times New Roman" w:cs="Times New Roman"/>
                <w:b/>
                <w:sz w:val="20"/>
                <w:szCs w:val="20"/>
                <w:lang w:eastAsia="sk-SK"/>
              </w:rPr>
              <w:t xml:space="preserve"> – zvýšenie dopadu</w:t>
            </w:r>
          </w:p>
        </w:tc>
        <w:tc>
          <w:tcPr>
            <w:tcW w:w="1812" w:type="dxa"/>
            <w:vAlign w:val="center"/>
          </w:tcPr>
          <w:p w14:paraId="57CDC69C" w14:textId="3A6FB938" w:rsidR="006A7B4E" w:rsidRPr="006A7B4E" w:rsidRDefault="006A7B4E" w:rsidP="006A7B4E">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pôvodný poplatok</w:t>
            </w:r>
          </w:p>
        </w:tc>
        <w:tc>
          <w:tcPr>
            <w:tcW w:w="1813" w:type="dxa"/>
            <w:vAlign w:val="center"/>
          </w:tcPr>
          <w:p w14:paraId="0C493AA6" w14:textId="6B217820" w:rsidR="006A7B4E" w:rsidRPr="006A7B4E" w:rsidRDefault="006A7B4E" w:rsidP="006A7B4E">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nový poplatok</w:t>
            </w:r>
          </w:p>
        </w:tc>
        <w:tc>
          <w:tcPr>
            <w:tcW w:w="1813" w:type="dxa"/>
            <w:vAlign w:val="center"/>
          </w:tcPr>
          <w:p w14:paraId="705B9BF6" w14:textId="7E0A5B35" w:rsidR="006A7B4E" w:rsidRPr="006A7B4E" w:rsidRDefault="006A7B4E" w:rsidP="006A7B4E">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počet správnych konaní za rok/dopad na dotknuté subjekty za rok</w:t>
            </w:r>
          </w:p>
        </w:tc>
      </w:tr>
      <w:tr w:rsidR="006A7B4E" w14:paraId="66B7F932" w14:textId="77777777" w:rsidTr="006A7B4E">
        <w:trPr>
          <w:jc w:val="center"/>
        </w:trPr>
        <w:tc>
          <w:tcPr>
            <w:tcW w:w="3624" w:type="dxa"/>
            <w:vAlign w:val="center"/>
          </w:tcPr>
          <w:p w14:paraId="2E477875" w14:textId="4676567F" w:rsidR="006A7B4E" w:rsidRDefault="006A7B4E" w:rsidP="006A7B4E">
            <w:pPr>
              <w:jc w:val="both"/>
              <w:rPr>
                <w:rFonts w:ascii="Times New Roman" w:eastAsia="Times New Roman" w:hAnsi="Times New Roman" w:cs="Times New Roman"/>
                <w:b/>
                <w:sz w:val="20"/>
                <w:szCs w:val="20"/>
                <w:lang w:eastAsia="sk-SK"/>
              </w:rPr>
            </w:pPr>
            <w:r w:rsidRPr="006A7B4E">
              <w:rPr>
                <w:rFonts w:ascii="Arial" w:eastAsia="Times New Roman" w:hAnsi="Arial" w:cs="Arial"/>
                <w:sz w:val="20"/>
                <w:szCs w:val="20"/>
                <w:lang w:eastAsia="sk-SK"/>
              </w:rPr>
              <w:t>Vydanie výnimky zo stavebno – technických požiadaviek na projektovanie, výstavbu a prevádzku dráhy</w:t>
            </w:r>
          </w:p>
        </w:tc>
        <w:tc>
          <w:tcPr>
            <w:tcW w:w="1812" w:type="dxa"/>
            <w:vAlign w:val="center"/>
          </w:tcPr>
          <w:p w14:paraId="06E4EC43" w14:textId="69BCA06F" w:rsidR="006A7B4E" w:rsidRPr="006A7B4E" w:rsidRDefault="006A7B4E" w:rsidP="006A7B4E">
            <w:pPr>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w:t>
            </w:r>
          </w:p>
        </w:tc>
        <w:tc>
          <w:tcPr>
            <w:tcW w:w="1813" w:type="dxa"/>
            <w:vAlign w:val="center"/>
          </w:tcPr>
          <w:p w14:paraId="17486BF5" w14:textId="163CFF3A" w:rsidR="006A7B4E" w:rsidRPr="006A7B4E" w:rsidRDefault="006A7B4E" w:rsidP="006A7B4E">
            <w:pPr>
              <w:jc w:val="center"/>
              <w:rPr>
                <w:rFonts w:ascii="Times New Roman" w:eastAsia="Calibri" w:hAnsi="Times New Roman" w:cs="Times New Roman"/>
                <w:sz w:val="24"/>
                <w:szCs w:val="24"/>
              </w:rPr>
            </w:pPr>
            <w:r w:rsidRPr="006A7B4E">
              <w:rPr>
                <w:rFonts w:ascii="Times New Roman" w:eastAsia="Calibri" w:hAnsi="Times New Roman" w:cs="Times New Roman"/>
                <w:sz w:val="24"/>
                <w:szCs w:val="24"/>
              </w:rPr>
              <w:t>100</w:t>
            </w:r>
            <w:r w:rsidR="00BC6AB9">
              <w:rPr>
                <w:rFonts w:ascii="Times New Roman" w:eastAsia="Calibri" w:hAnsi="Times New Roman" w:cs="Times New Roman"/>
                <w:sz w:val="24"/>
                <w:szCs w:val="24"/>
              </w:rPr>
              <w:t xml:space="preserve"> eur</w:t>
            </w:r>
          </w:p>
        </w:tc>
        <w:tc>
          <w:tcPr>
            <w:tcW w:w="1813" w:type="dxa"/>
            <w:vAlign w:val="center"/>
          </w:tcPr>
          <w:p w14:paraId="50625086" w14:textId="69AEAB12" w:rsidR="006A7B4E" w:rsidRPr="006A7B4E" w:rsidRDefault="006A7B4E"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BC6AB9">
              <w:rPr>
                <w:rFonts w:ascii="Times New Roman" w:eastAsia="Calibri" w:hAnsi="Times New Roman" w:cs="Times New Roman"/>
                <w:sz w:val="24"/>
                <w:szCs w:val="24"/>
              </w:rPr>
              <w:t xml:space="preserve"> eur</w:t>
            </w:r>
          </w:p>
        </w:tc>
      </w:tr>
      <w:tr w:rsidR="006A7B4E" w14:paraId="6773FC73" w14:textId="77777777" w:rsidTr="006A7B4E">
        <w:trPr>
          <w:jc w:val="center"/>
        </w:trPr>
        <w:tc>
          <w:tcPr>
            <w:tcW w:w="3624" w:type="dxa"/>
            <w:vAlign w:val="center"/>
          </w:tcPr>
          <w:p w14:paraId="1ECDB0FB" w14:textId="7CFB6D45" w:rsidR="006A7B4E" w:rsidRPr="006A7B4E" w:rsidRDefault="006A7B4E" w:rsidP="006A7B4E">
            <w:pPr>
              <w:jc w:val="both"/>
              <w:rPr>
                <w:rFonts w:ascii="Arial" w:eastAsia="Times New Roman" w:hAnsi="Arial" w:cs="Arial"/>
                <w:sz w:val="20"/>
                <w:szCs w:val="20"/>
                <w:lang w:eastAsia="sk-SK"/>
              </w:rPr>
            </w:pPr>
            <w:r w:rsidRPr="006A7B4E">
              <w:rPr>
                <w:rFonts w:ascii="Arial" w:eastAsia="Times New Roman" w:hAnsi="Arial" w:cs="Arial"/>
                <w:sz w:val="20"/>
                <w:szCs w:val="20"/>
                <w:lang w:eastAsia="sk-SK"/>
              </w:rPr>
              <w:t>Vydanie vyhlásenia o uznaní skúšajúcich rušňovodičov</w:t>
            </w:r>
          </w:p>
        </w:tc>
        <w:tc>
          <w:tcPr>
            <w:tcW w:w="1812" w:type="dxa"/>
            <w:vAlign w:val="center"/>
          </w:tcPr>
          <w:p w14:paraId="540B5A5C" w14:textId="196CBA82" w:rsidR="006A7B4E" w:rsidRDefault="006A7B4E" w:rsidP="006A7B4E">
            <w:pPr>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w:t>
            </w:r>
          </w:p>
        </w:tc>
        <w:tc>
          <w:tcPr>
            <w:tcW w:w="1813" w:type="dxa"/>
            <w:vAlign w:val="center"/>
          </w:tcPr>
          <w:p w14:paraId="529658B5" w14:textId="1F0330AD" w:rsidR="006A7B4E" w:rsidRPr="006A7B4E" w:rsidRDefault="006A7B4E"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BC6AB9">
              <w:rPr>
                <w:rFonts w:ascii="Times New Roman" w:eastAsia="Calibri" w:hAnsi="Times New Roman" w:cs="Times New Roman"/>
                <w:sz w:val="24"/>
                <w:szCs w:val="24"/>
              </w:rPr>
              <w:t xml:space="preserve"> eur</w:t>
            </w:r>
          </w:p>
        </w:tc>
        <w:tc>
          <w:tcPr>
            <w:tcW w:w="1813" w:type="dxa"/>
            <w:vAlign w:val="center"/>
          </w:tcPr>
          <w:p w14:paraId="6CD5F70F" w14:textId="70C7182D" w:rsidR="006A7B4E" w:rsidRDefault="006A7B4E"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r w:rsidR="00BC6AB9">
              <w:rPr>
                <w:rFonts w:ascii="Times New Roman" w:eastAsia="Calibri" w:hAnsi="Times New Roman" w:cs="Times New Roman"/>
                <w:sz w:val="24"/>
                <w:szCs w:val="24"/>
              </w:rPr>
              <w:t xml:space="preserve"> eur</w:t>
            </w:r>
          </w:p>
        </w:tc>
      </w:tr>
      <w:tr w:rsidR="00E30D8E" w14:paraId="53BD9C58" w14:textId="77777777" w:rsidTr="001314D5">
        <w:trPr>
          <w:jc w:val="center"/>
        </w:trPr>
        <w:tc>
          <w:tcPr>
            <w:tcW w:w="3624" w:type="dxa"/>
            <w:vAlign w:val="center"/>
          </w:tcPr>
          <w:p w14:paraId="43FE2B8A" w14:textId="6AC39693" w:rsidR="00E30D8E" w:rsidRPr="00F31D35" w:rsidRDefault="00E30D8E" w:rsidP="00903AA6">
            <w:pPr>
              <w:jc w:val="center"/>
              <w:rPr>
                <w:rFonts w:ascii="Arial" w:eastAsia="Times New Roman" w:hAnsi="Arial" w:cs="Arial"/>
                <w:sz w:val="20"/>
                <w:szCs w:val="20"/>
                <w:lang w:eastAsia="sk-SK"/>
              </w:rPr>
            </w:pPr>
            <w:r>
              <w:rPr>
                <w:rFonts w:ascii="Times New Roman" w:eastAsia="Times New Roman" w:hAnsi="Times New Roman" w:cs="Times New Roman"/>
                <w:b/>
                <w:sz w:val="20"/>
                <w:szCs w:val="20"/>
                <w:lang w:eastAsia="sk-SK"/>
              </w:rPr>
              <w:t>Nové</w:t>
            </w:r>
            <w:r w:rsidRPr="006A7B4E">
              <w:rPr>
                <w:rFonts w:ascii="Times New Roman" w:eastAsia="Times New Roman" w:hAnsi="Times New Roman" w:cs="Times New Roman"/>
                <w:b/>
                <w:sz w:val="20"/>
                <w:szCs w:val="20"/>
                <w:lang w:eastAsia="sk-SK"/>
              </w:rPr>
              <w:t xml:space="preserve"> regulácie</w:t>
            </w:r>
            <w:r>
              <w:rPr>
                <w:rFonts w:ascii="Times New Roman" w:eastAsia="Times New Roman" w:hAnsi="Times New Roman" w:cs="Times New Roman"/>
                <w:b/>
                <w:sz w:val="20"/>
                <w:szCs w:val="20"/>
                <w:lang w:eastAsia="sk-SK"/>
              </w:rPr>
              <w:t xml:space="preserve"> – </w:t>
            </w:r>
            <w:r w:rsidR="00903AA6">
              <w:rPr>
                <w:rFonts w:ascii="Times New Roman" w:eastAsia="Times New Roman" w:hAnsi="Times New Roman" w:cs="Times New Roman"/>
                <w:b/>
                <w:sz w:val="20"/>
                <w:szCs w:val="20"/>
                <w:lang w:eastAsia="sk-SK"/>
              </w:rPr>
              <w:t>zníže</w:t>
            </w:r>
            <w:r>
              <w:rPr>
                <w:rFonts w:ascii="Times New Roman" w:eastAsia="Times New Roman" w:hAnsi="Times New Roman" w:cs="Times New Roman"/>
                <w:b/>
                <w:sz w:val="20"/>
                <w:szCs w:val="20"/>
                <w:lang w:eastAsia="sk-SK"/>
              </w:rPr>
              <w:t>nie dopadu</w:t>
            </w:r>
          </w:p>
        </w:tc>
        <w:tc>
          <w:tcPr>
            <w:tcW w:w="1812" w:type="dxa"/>
            <w:vAlign w:val="center"/>
          </w:tcPr>
          <w:p w14:paraId="08D92926" w14:textId="77777777" w:rsidR="00E30D8E" w:rsidRPr="006A7B4E" w:rsidRDefault="00E30D8E" w:rsidP="001314D5">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pôvodný poplatok</w:t>
            </w:r>
          </w:p>
        </w:tc>
        <w:tc>
          <w:tcPr>
            <w:tcW w:w="1813" w:type="dxa"/>
            <w:vAlign w:val="center"/>
          </w:tcPr>
          <w:p w14:paraId="0E0C4C62" w14:textId="77777777" w:rsidR="00E30D8E" w:rsidRPr="006A7B4E" w:rsidRDefault="00E30D8E" w:rsidP="001314D5">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nový poplatok</w:t>
            </w:r>
          </w:p>
        </w:tc>
        <w:tc>
          <w:tcPr>
            <w:tcW w:w="1813" w:type="dxa"/>
            <w:vAlign w:val="center"/>
          </w:tcPr>
          <w:p w14:paraId="08DAFA36" w14:textId="77777777" w:rsidR="00E30D8E" w:rsidRPr="006A7B4E" w:rsidRDefault="00E30D8E" w:rsidP="001314D5">
            <w:pPr>
              <w:jc w:val="center"/>
              <w:rPr>
                <w:rFonts w:ascii="Times New Roman" w:eastAsia="Times New Roman" w:hAnsi="Times New Roman" w:cs="Times New Roman"/>
                <w:b/>
                <w:sz w:val="20"/>
                <w:szCs w:val="20"/>
                <w:lang w:eastAsia="sk-SK"/>
              </w:rPr>
            </w:pPr>
            <w:r w:rsidRPr="006A7B4E">
              <w:rPr>
                <w:rFonts w:ascii="Times New Roman" w:eastAsia="Times New Roman" w:hAnsi="Times New Roman" w:cs="Times New Roman"/>
                <w:b/>
                <w:sz w:val="20"/>
                <w:szCs w:val="20"/>
                <w:lang w:eastAsia="sk-SK"/>
              </w:rPr>
              <w:t>počet správnych konaní za rok/dopad na dotknuté subjekty za rok</w:t>
            </w:r>
          </w:p>
        </w:tc>
      </w:tr>
      <w:tr w:rsidR="00E30D8E" w14:paraId="17B9EEE7" w14:textId="77777777" w:rsidTr="006A7B4E">
        <w:trPr>
          <w:jc w:val="center"/>
        </w:trPr>
        <w:tc>
          <w:tcPr>
            <w:tcW w:w="3624" w:type="dxa"/>
            <w:vAlign w:val="center"/>
          </w:tcPr>
          <w:p w14:paraId="4AC7118D" w14:textId="536B7103" w:rsidR="00E30D8E" w:rsidRPr="006A7B4E" w:rsidRDefault="00903AA6" w:rsidP="006A7B4E">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lastRenderedPageBreak/>
              <w:t>Schválenie typu dráhového vozidla pre špeciálne dráhy</w:t>
            </w:r>
            <w:r>
              <w:rPr>
                <w:rFonts w:ascii="Arial" w:eastAsia="Times New Roman" w:hAnsi="Arial" w:cs="Arial"/>
                <w:sz w:val="20"/>
                <w:szCs w:val="20"/>
                <w:lang w:eastAsia="sk-SK"/>
              </w:rPr>
              <w:t xml:space="preserve"> (pôvodný bol aj na </w:t>
            </w:r>
            <w:r w:rsidR="00855F42">
              <w:rPr>
                <w:rFonts w:ascii="Arial" w:eastAsia="Times New Roman" w:hAnsi="Arial" w:cs="Arial"/>
                <w:sz w:val="20"/>
                <w:szCs w:val="20"/>
                <w:lang w:eastAsia="sk-SK"/>
              </w:rPr>
              <w:t xml:space="preserve">električkové a trolejbusové </w:t>
            </w:r>
            <w:r>
              <w:rPr>
                <w:rFonts w:ascii="Arial" w:eastAsia="Times New Roman" w:hAnsi="Arial" w:cs="Arial"/>
                <w:sz w:val="20"/>
                <w:szCs w:val="20"/>
                <w:lang w:eastAsia="sk-SK"/>
              </w:rPr>
              <w:t>dráhy)</w:t>
            </w:r>
          </w:p>
        </w:tc>
        <w:tc>
          <w:tcPr>
            <w:tcW w:w="1812" w:type="dxa"/>
            <w:vAlign w:val="center"/>
          </w:tcPr>
          <w:p w14:paraId="51F937F2" w14:textId="2EFC6822" w:rsidR="00E30D8E" w:rsidRDefault="00903AA6" w:rsidP="006A7B4E">
            <w:pPr>
              <w:jc w:val="center"/>
              <w:rPr>
                <w:rFonts w:ascii="Times New Roman" w:eastAsia="Times New Roman" w:hAnsi="Times New Roman" w:cs="Times New Roman"/>
                <w:b/>
                <w:sz w:val="20"/>
                <w:szCs w:val="20"/>
                <w:lang w:eastAsia="sk-SK"/>
              </w:rPr>
            </w:pPr>
            <w:r w:rsidRPr="00A951FD">
              <w:rPr>
                <w:rFonts w:ascii="Times New Roman" w:eastAsia="Calibri" w:hAnsi="Times New Roman" w:cs="Times New Roman"/>
                <w:sz w:val="24"/>
                <w:szCs w:val="24"/>
              </w:rPr>
              <w:t>400</w:t>
            </w:r>
            <w:r w:rsidR="00BC6AB9">
              <w:rPr>
                <w:rFonts w:ascii="Times New Roman" w:eastAsia="Calibri" w:hAnsi="Times New Roman" w:cs="Times New Roman"/>
                <w:sz w:val="24"/>
                <w:szCs w:val="24"/>
              </w:rPr>
              <w:t xml:space="preserve"> eur</w:t>
            </w:r>
          </w:p>
        </w:tc>
        <w:tc>
          <w:tcPr>
            <w:tcW w:w="1813" w:type="dxa"/>
            <w:vAlign w:val="center"/>
          </w:tcPr>
          <w:p w14:paraId="60E42411" w14:textId="0A77E77A" w:rsidR="00E30D8E" w:rsidRDefault="00903AA6"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200</w:t>
            </w:r>
            <w:r w:rsidR="00BC6AB9">
              <w:rPr>
                <w:rFonts w:ascii="Times New Roman" w:eastAsia="Calibri" w:hAnsi="Times New Roman" w:cs="Times New Roman"/>
                <w:sz w:val="24"/>
                <w:szCs w:val="24"/>
              </w:rPr>
              <w:t xml:space="preserve"> eur</w:t>
            </w:r>
          </w:p>
        </w:tc>
        <w:tc>
          <w:tcPr>
            <w:tcW w:w="1813" w:type="dxa"/>
            <w:vAlign w:val="center"/>
          </w:tcPr>
          <w:p w14:paraId="2B488242" w14:textId="02C5E0D6" w:rsidR="00E30D8E" w:rsidRDefault="00A951FD"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2/400</w:t>
            </w:r>
            <w:r w:rsidR="00BC6AB9">
              <w:rPr>
                <w:rFonts w:ascii="Times New Roman" w:eastAsia="Calibri" w:hAnsi="Times New Roman" w:cs="Times New Roman"/>
                <w:sz w:val="24"/>
                <w:szCs w:val="24"/>
              </w:rPr>
              <w:t xml:space="preserve"> eur</w:t>
            </w:r>
          </w:p>
        </w:tc>
      </w:tr>
      <w:tr w:rsidR="00903AA6" w14:paraId="587C1735" w14:textId="77777777" w:rsidTr="006A7B4E">
        <w:trPr>
          <w:jc w:val="center"/>
        </w:trPr>
        <w:tc>
          <w:tcPr>
            <w:tcW w:w="3624" w:type="dxa"/>
            <w:vAlign w:val="center"/>
          </w:tcPr>
          <w:p w14:paraId="3297D413" w14:textId="1CA6F0B8" w:rsidR="00903AA6" w:rsidRPr="00F31D35" w:rsidRDefault="00903AA6" w:rsidP="006A7B4E">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Schválenie podstatnej zmeny dráhového vozidla pre špeciálne dráhy</w:t>
            </w:r>
            <w:r w:rsidR="00855F42">
              <w:rPr>
                <w:rFonts w:ascii="Arial" w:eastAsia="Times New Roman" w:hAnsi="Arial" w:cs="Arial"/>
                <w:sz w:val="20"/>
                <w:szCs w:val="20"/>
                <w:lang w:eastAsia="sk-SK"/>
              </w:rPr>
              <w:t xml:space="preserve"> (pôvodný bol aj na električkové a trolejbusové dráhy)</w:t>
            </w:r>
          </w:p>
        </w:tc>
        <w:tc>
          <w:tcPr>
            <w:tcW w:w="1812" w:type="dxa"/>
            <w:vAlign w:val="center"/>
          </w:tcPr>
          <w:p w14:paraId="05AFAE94" w14:textId="0B5C16A0" w:rsidR="00903AA6" w:rsidRDefault="00A951FD" w:rsidP="006A7B4E">
            <w:pPr>
              <w:jc w:val="center"/>
              <w:rPr>
                <w:rFonts w:ascii="Times New Roman" w:eastAsia="Times New Roman" w:hAnsi="Times New Roman" w:cs="Times New Roman"/>
                <w:b/>
                <w:sz w:val="20"/>
                <w:szCs w:val="20"/>
                <w:lang w:eastAsia="sk-SK"/>
              </w:rPr>
            </w:pPr>
            <w:r w:rsidRPr="00FA2EC6">
              <w:rPr>
                <w:rFonts w:ascii="Times New Roman" w:eastAsia="Calibri" w:hAnsi="Times New Roman" w:cs="Times New Roman"/>
                <w:sz w:val="24"/>
                <w:szCs w:val="24"/>
              </w:rPr>
              <w:t>120</w:t>
            </w:r>
            <w:r w:rsidR="00BC6AB9">
              <w:rPr>
                <w:rFonts w:ascii="Times New Roman" w:eastAsia="Calibri" w:hAnsi="Times New Roman" w:cs="Times New Roman"/>
                <w:sz w:val="24"/>
                <w:szCs w:val="24"/>
              </w:rPr>
              <w:t xml:space="preserve"> eur</w:t>
            </w:r>
          </w:p>
        </w:tc>
        <w:tc>
          <w:tcPr>
            <w:tcW w:w="1813" w:type="dxa"/>
            <w:vAlign w:val="center"/>
          </w:tcPr>
          <w:p w14:paraId="3FC916CB" w14:textId="32E3A92D" w:rsidR="00903AA6" w:rsidRDefault="00A951FD"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BC6AB9">
              <w:rPr>
                <w:rFonts w:ascii="Times New Roman" w:eastAsia="Calibri" w:hAnsi="Times New Roman" w:cs="Times New Roman"/>
                <w:sz w:val="24"/>
                <w:szCs w:val="24"/>
              </w:rPr>
              <w:t xml:space="preserve"> eur</w:t>
            </w:r>
          </w:p>
        </w:tc>
        <w:tc>
          <w:tcPr>
            <w:tcW w:w="1813" w:type="dxa"/>
            <w:vAlign w:val="center"/>
          </w:tcPr>
          <w:p w14:paraId="207C37F9" w14:textId="7E344A66" w:rsidR="00903AA6" w:rsidRDefault="00855F42"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BC6AB9">
              <w:rPr>
                <w:rFonts w:ascii="Times New Roman" w:eastAsia="Calibri" w:hAnsi="Times New Roman" w:cs="Times New Roman"/>
                <w:sz w:val="24"/>
                <w:szCs w:val="24"/>
              </w:rPr>
              <w:t xml:space="preserve"> eur</w:t>
            </w:r>
          </w:p>
        </w:tc>
      </w:tr>
      <w:tr w:rsidR="00903AA6" w14:paraId="3B812BBE" w14:textId="77777777" w:rsidTr="006A7B4E">
        <w:trPr>
          <w:jc w:val="center"/>
        </w:trPr>
        <w:tc>
          <w:tcPr>
            <w:tcW w:w="3624" w:type="dxa"/>
            <w:vAlign w:val="center"/>
          </w:tcPr>
          <w:p w14:paraId="641816B0" w14:textId="2F14E228" w:rsidR="00903AA6" w:rsidRPr="00F31D35" w:rsidRDefault="00903AA6" w:rsidP="006A7B4E">
            <w:pPr>
              <w:jc w:val="both"/>
              <w:rPr>
                <w:rFonts w:ascii="Arial" w:eastAsia="Times New Roman" w:hAnsi="Arial" w:cs="Arial"/>
                <w:sz w:val="20"/>
                <w:szCs w:val="20"/>
                <w:lang w:eastAsia="sk-SK"/>
              </w:rPr>
            </w:pPr>
            <w:r w:rsidRPr="00F31D35">
              <w:rPr>
                <w:rFonts w:ascii="Arial" w:eastAsia="Times New Roman" w:hAnsi="Arial" w:cs="Arial"/>
                <w:sz w:val="20"/>
                <w:szCs w:val="20"/>
                <w:lang w:eastAsia="sk-SK"/>
              </w:rPr>
              <w:t>Vydanie licencie na zachádzanie na železničnú infraštruktúru</w:t>
            </w:r>
            <w:r w:rsidR="00855F42">
              <w:rPr>
                <w:rFonts w:ascii="Arial" w:eastAsia="Times New Roman" w:hAnsi="Arial" w:cs="Arial"/>
                <w:sz w:val="20"/>
                <w:szCs w:val="20"/>
                <w:lang w:eastAsia="sk-SK"/>
              </w:rPr>
              <w:t xml:space="preserve"> (pôvodne bola licencia na prevádzkovanie dopravy na železničných tratiach)</w:t>
            </w:r>
          </w:p>
        </w:tc>
        <w:tc>
          <w:tcPr>
            <w:tcW w:w="1812" w:type="dxa"/>
            <w:vAlign w:val="center"/>
          </w:tcPr>
          <w:p w14:paraId="0B2B4411" w14:textId="279D3E89" w:rsidR="00903AA6" w:rsidRDefault="00855F42" w:rsidP="006A7B4E">
            <w:pPr>
              <w:jc w:val="center"/>
              <w:rPr>
                <w:rFonts w:ascii="Times New Roman" w:eastAsia="Times New Roman" w:hAnsi="Times New Roman" w:cs="Times New Roman"/>
                <w:b/>
                <w:sz w:val="20"/>
                <w:szCs w:val="20"/>
                <w:lang w:eastAsia="sk-SK"/>
              </w:rPr>
            </w:pPr>
            <w:r w:rsidRPr="00855F42">
              <w:rPr>
                <w:rFonts w:ascii="Times New Roman" w:eastAsia="Calibri" w:hAnsi="Times New Roman" w:cs="Times New Roman"/>
                <w:sz w:val="24"/>
                <w:szCs w:val="24"/>
              </w:rPr>
              <w:t>500</w:t>
            </w:r>
            <w:r w:rsidR="00BC6AB9">
              <w:rPr>
                <w:rFonts w:ascii="Times New Roman" w:eastAsia="Calibri" w:hAnsi="Times New Roman" w:cs="Times New Roman"/>
                <w:sz w:val="24"/>
                <w:szCs w:val="24"/>
              </w:rPr>
              <w:t xml:space="preserve"> eur</w:t>
            </w:r>
          </w:p>
        </w:tc>
        <w:tc>
          <w:tcPr>
            <w:tcW w:w="1813" w:type="dxa"/>
            <w:vAlign w:val="center"/>
          </w:tcPr>
          <w:p w14:paraId="15DF09C2" w14:textId="291D4753" w:rsidR="00903AA6" w:rsidRDefault="00855F42"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200</w:t>
            </w:r>
            <w:r w:rsidR="00BC6AB9">
              <w:rPr>
                <w:rFonts w:ascii="Times New Roman" w:eastAsia="Calibri" w:hAnsi="Times New Roman" w:cs="Times New Roman"/>
                <w:sz w:val="24"/>
                <w:szCs w:val="24"/>
              </w:rPr>
              <w:t xml:space="preserve"> eur</w:t>
            </w:r>
          </w:p>
        </w:tc>
        <w:tc>
          <w:tcPr>
            <w:tcW w:w="1813" w:type="dxa"/>
            <w:vAlign w:val="center"/>
          </w:tcPr>
          <w:p w14:paraId="28861931" w14:textId="33036197" w:rsidR="00903AA6" w:rsidRDefault="00855F42" w:rsidP="006A7B4E">
            <w:pPr>
              <w:jc w:val="center"/>
              <w:rPr>
                <w:rFonts w:ascii="Times New Roman" w:eastAsia="Calibri" w:hAnsi="Times New Roman" w:cs="Times New Roman"/>
                <w:sz w:val="24"/>
                <w:szCs w:val="24"/>
              </w:rPr>
            </w:pPr>
            <w:r>
              <w:rPr>
                <w:rFonts w:ascii="Times New Roman" w:eastAsia="Calibri" w:hAnsi="Times New Roman" w:cs="Times New Roman"/>
                <w:sz w:val="24"/>
                <w:szCs w:val="24"/>
              </w:rPr>
              <w:t>300</w:t>
            </w:r>
            <w:r w:rsidR="00BC6AB9">
              <w:rPr>
                <w:rFonts w:ascii="Times New Roman" w:eastAsia="Calibri" w:hAnsi="Times New Roman" w:cs="Times New Roman"/>
                <w:sz w:val="24"/>
                <w:szCs w:val="24"/>
              </w:rPr>
              <w:t xml:space="preserve"> eur</w:t>
            </w:r>
          </w:p>
        </w:tc>
      </w:tr>
    </w:tbl>
    <w:p w14:paraId="47ACF83D" w14:textId="494E6829" w:rsidR="00850682" w:rsidRDefault="00850682" w:rsidP="00850682">
      <w:pPr>
        <w:spacing w:after="0" w:line="240" w:lineRule="auto"/>
        <w:jc w:val="both"/>
        <w:rPr>
          <w:rFonts w:ascii="Times New Roman" w:eastAsia="Calibri" w:hAnsi="Times New Roman" w:cs="Times New Roman"/>
          <w:sz w:val="24"/>
          <w:szCs w:val="24"/>
        </w:rPr>
      </w:pPr>
    </w:p>
    <w:p w14:paraId="3D035C26" w14:textId="34D75B9A" w:rsidR="00C53E00" w:rsidRDefault="00C53E00" w:rsidP="00C53E00">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4</w:t>
      </w:r>
      <w:r w:rsidR="00412620">
        <w:rPr>
          <w:rFonts w:ascii="Times New Roman" w:eastAsia="Calibri" w:hAnsi="Times New Roman" w:cs="Times New Roman"/>
          <w:sz w:val="24"/>
          <w:szCs w:val="24"/>
        </w:rPr>
        <w:t>3</w:t>
      </w:r>
      <w:r>
        <w:rPr>
          <w:rFonts w:ascii="Times New Roman" w:eastAsia="Calibri" w:hAnsi="Times New Roman" w:cs="Times New Roman"/>
          <w:sz w:val="24"/>
          <w:szCs w:val="24"/>
        </w:rPr>
        <w:t xml:space="preserve"> – Udeľovanie licencií – poistenie</w:t>
      </w:r>
    </w:p>
    <w:p w14:paraId="530C4A7F" w14:textId="312559E8" w:rsidR="00C53E00" w:rsidRDefault="00C53E00" w:rsidP="00C53E00">
      <w:pPr>
        <w:pStyle w:val="Odsekzoznamu"/>
        <w:numPr>
          <w:ilvl w:val="1"/>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Zvýšenie nákladov predstavuje zvýšenie poistného krytia pre zabezpečenie dostatočnej náhrady škody. Je reakciou na vývoj cien.</w:t>
      </w:r>
    </w:p>
    <w:p w14:paraId="5A34E1BE" w14:textId="77777777" w:rsidR="00C53E00" w:rsidRPr="00C53E00" w:rsidRDefault="00C53E00" w:rsidP="00C53E00">
      <w:pPr>
        <w:pStyle w:val="Odsekzoznamu"/>
        <w:spacing w:after="0" w:line="240" w:lineRule="auto"/>
        <w:ind w:left="1440"/>
        <w:jc w:val="both"/>
        <w:rPr>
          <w:rFonts w:ascii="Times New Roman" w:eastAsia="Calibri" w:hAnsi="Times New Roman" w:cs="Times New Roman"/>
          <w:sz w:val="24"/>
          <w:szCs w:val="24"/>
        </w:rPr>
      </w:pPr>
    </w:p>
    <w:p w14:paraId="13259A0A" w14:textId="201B96DE" w:rsidR="00850682" w:rsidRDefault="00412620" w:rsidP="001314D5">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44</w:t>
      </w:r>
      <w:r w:rsidR="00BB08FD">
        <w:rPr>
          <w:rFonts w:ascii="Times New Roman" w:eastAsia="Calibri" w:hAnsi="Times New Roman" w:cs="Times New Roman"/>
          <w:sz w:val="24"/>
          <w:szCs w:val="24"/>
        </w:rPr>
        <w:t xml:space="preserve"> - </w:t>
      </w:r>
      <w:r w:rsidR="001314D5" w:rsidRPr="001314D5">
        <w:rPr>
          <w:rFonts w:ascii="Times New Roman" w:eastAsia="Calibri" w:hAnsi="Times New Roman" w:cs="Times New Roman"/>
          <w:sz w:val="24"/>
          <w:szCs w:val="24"/>
        </w:rPr>
        <w:t>Licencia na zachádzanie na železničnú infraštruktúru</w:t>
      </w:r>
      <w:r w:rsidR="001314D5">
        <w:rPr>
          <w:rFonts w:ascii="Times New Roman" w:eastAsia="Calibri" w:hAnsi="Times New Roman" w:cs="Times New Roman"/>
          <w:sz w:val="24"/>
          <w:szCs w:val="24"/>
        </w:rPr>
        <w:t xml:space="preserve"> znižuje nepriame finančné náklady</w:t>
      </w:r>
    </w:p>
    <w:p w14:paraId="3E5966AF" w14:textId="509FED82" w:rsidR="001314D5" w:rsidRDefault="001314D5" w:rsidP="001314D5">
      <w:pPr>
        <w:pStyle w:val="Odsekzoznamu"/>
        <w:numPr>
          <w:ilvl w:val="0"/>
          <w:numId w:val="12"/>
        </w:numPr>
        <w:jc w:val="both"/>
        <w:rPr>
          <w:rFonts w:ascii="Times New Roman" w:eastAsia="Calibri" w:hAnsi="Times New Roman" w:cs="Times New Roman"/>
          <w:sz w:val="24"/>
          <w:szCs w:val="24"/>
        </w:rPr>
      </w:pPr>
      <w:r w:rsidRPr="001314D5">
        <w:rPr>
          <w:rFonts w:ascii="Times New Roman" w:eastAsia="Calibri" w:hAnsi="Times New Roman" w:cs="Times New Roman"/>
          <w:sz w:val="24"/>
          <w:szCs w:val="24"/>
        </w:rPr>
        <w:t>Doterajšie požiadavky pre vlečkárov, ktorí zachádzali na železničnú sieť boli neprimerane prísne, ako ukázala aplikačná prax, preto sa upravujú zavedením nového inštitútu licencie na zachádzanie na železničnú infraštruktúru za súčasného udržania bezpečnosti. O licenciu na zachádzanie na železničnú infraštruktúru si môže požiadať podnik, ktorého predmetom činnosti nie je poskytovanie dopravných služieb s cieľom zabezpečovať železničnú prepravu tovaru a osôb, ale ktorý zabezpečuje prepravu tovaru pre vlastnú potrebu po vlastnej</w:t>
      </w:r>
      <w:r>
        <w:rPr>
          <w:rFonts w:ascii="Times New Roman" w:eastAsia="Calibri" w:hAnsi="Times New Roman" w:cs="Times New Roman"/>
          <w:sz w:val="24"/>
          <w:szCs w:val="24"/>
        </w:rPr>
        <w:t xml:space="preserve"> alebo súkromnej infraštruktúre</w:t>
      </w:r>
      <w:r w:rsidRPr="001314D5">
        <w:rPr>
          <w:rFonts w:ascii="Times New Roman" w:eastAsia="Calibri" w:hAnsi="Times New Roman" w:cs="Times New Roman"/>
          <w:sz w:val="24"/>
          <w:szCs w:val="24"/>
        </w:rPr>
        <w:t>, ktorá je zaústená do železničnej trate a ktorý potrebuje obmedzený prístup k železničnej infraštruktúre pre zachádzanie do určenej prípojovej stanice.</w:t>
      </w:r>
      <w:r>
        <w:rPr>
          <w:rFonts w:ascii="Times New Roman" w:eastAsia="Calibri" w:hAnsi="Times New Roman" w:cs="Times New Roman"/>
          <w:sz w:val="24"/>
          <w:szCs w:val="24"/>
        </w:rPr>
        <w:t xml:space="preserve"> V</w:t>
      </w:r>
      <w:r w:rsidRPr="000B17FB">
        <w:rPr>
          <w:rFonts w:ascii="Times New Roman" w:eastAsia="Calibri" w:hAnsi="Times New Roman" w:cs="Times New Roman"/>
          <w:sz w:val="24"/>
          <w:szCs w:val="24"/>
        </w:rPr>
        <w:t xml:space="preserve">ozidlá </w:t>
      </w:r>
      <w:r>
        <w:rPr>
          <w:rFonts w:ascii="Times New Roman" w:eastAsia="Calibri" w:hAnsi="Times New Roman" w:cs="Times New Roman"/>
          <w:sz w:val="24"/>
          <w:szCs w:val="24"/>
        </w:rPr>
        <w:t xml:space="preserve">takéhoto podniku </w:t>
      </w:r>
      <w:r w:rsidRPr="000B17FB">
        <w:rPr>
          <w:rFonts w:ascii="Times New Roman" w:eastAsia="Calibri" w:hAnsi="Times New Roman" w:cs="Times New Roman"/>
          <w:sz w:val="24"/>
          <w:szCs w:val="24"/>
        </w:rPr>
        <w:t>nemusia byť evidované v Európskom registri vozidiel ani vo vnútroštátnom registri železničných vozidiel, vlastník vozidiel nemusí byť držiteľom značky VKM (Vehicle Keeper Marking), nemusí byť držiteľom licencie železničného podniku resp. dráhového podniku, nemusí byť subjektom zodpovedným za údržbu (ECM), obsluha železničných vozidiel nemusí byť držiteľom preukazu rušňovodiča a nie je potrebné prideliť vozidlu Európske číslo železničného vozidla (EVN). Tým, že sa umožní zjednodušenie používania mobilných zariadení na výstavbu a údržbu infraštruktúry dochádza aj k úprave vynakladania finančn</w:t>
      </w:r>
      <w:r>
        <w:rPr>
          <w:rFonts w:ascii="Times New Roman" w:eastAsia="Calibri" w:hAnsi="Times New Roman" w:cs="Times New Roman"/>
          <w:sz w:val="24"/>
          <w:szCs w:val="24"/>
        </w:rPr>
        <w:t>ých prostriedkov na ich údržbu</w:t>
      </w:r>
      <w:r w:rsidRPr="000B17FB">
        <w:rPr>
          <w:rFonts w:ascii="Times New Roman" w:eastAsia="Calibri" w:hAnsi="Times New Roman" w:cs="Times New Roman"/>
          <w:sz w:val="24"/>
          <w:szCs w:val="24"/>
        </w:rPr>
        <w:t xml:space="preserve"> a prevádzku.</w:t>
      </w:r>
    </w:p>
    <w:tbl>
      <w:tblPr>
        <w:tblStyle w:val="Mriekatabuky"/>
        <w:tblW w:w="0" w:type="auto"/>
        <w:tblInd w:w="1440" w:type="dxa"/>
        <w:tblLook w:val="04A0" w:firstRow="1" w:lastRow="0" w:firstColumn="1" w:lastColumn="0" w:noHBand="0" w:noVBand="1"/>
      </w:tblPr>
      <w:tblGrid>
        <w:gridCol w:w="3883"/>
        <w:gridCol w:w="3739"/>
      </w:tblGrid>
      <w:tr w:rsidR="001314D5" w14:paraId="14C3A95B" w14:textId="77777777" w:rsidTr="001314D5">
        <w:tc>
          <w:tcPr>
            <w:tcW w:w="3883" w:type="dxa"/>
          </w:tcPr>
          <w:p w14:paraId="06C5229E"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Schvaľovanie vozidla v ERA</w:t>
            </w:r>
          </w:p>
        </w:tc>
        <w:tc>
          <w:tcPr>
            <w:tcW w:w="3739" w:type="dxa"/>
          </w:tcPr>
          <w:p w14:paraId="53CDAF1C"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21 928 eur</w:t>
            </w:r>
          </w:p>
        </w:tc>
      </w:tr>
      <w:tr w:rsidR="001314D5" w14:paraId="0CD5EAA5" w14:textId="77777777" w:rsidTr="001314D5">
        <w:tc>
          <w:tcPr>
            <w:tcW w:w="3883" w:type="dxa"/>
          </w:tcPr>
          <w:p w14:paraId="3144B5EA"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Subjekt ECM</w:t>
            </w:r>
          </w:p>
        </w:tc>
        <w:tc>
          <w:tcPr>
            <w:tcW w:w="3739" w:type="dxa"/>
          </w:tcPr>
          <w:p w14:paraId="3403B224"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4 000 eur</w:t>
            </w:r>
          </w:p>
        </w:tc>
      </w:tr>
      <w:tr w:rsidR="001314D5" w14:paraId="7DDE94DA" w14:textId="77777777" w:rsidTr="001314D5">
        <w:tc>
          <w:tcPr>
            <w:tcW w:w="3883" w:type="dxa"/>
          </w:tcPr>
          <w:p w14:paraId="05976E13"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Obsluha bez potreby rušňovodiča</w:t>
            </w:r>
          </w:p>
        </w:tc>
        <w:tc>
          <w:tcPr>
            <w:tcW w:w="3739" w:type="dxa"/>
          </w:tcPr>
          <w:p w14:paraId="1D666FE0"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2 000 eur</w:t>
            </w:r>
          </w:p>
        </w:tc>
      </w:tr>
      <w:tr w:rsidR="001314D5" w14:paraId="0EEFBA7E" w14:textId="77777777" w:rsidTr="001314D5">
        <w:tc>
          <w:tcPr>
            <w:tcW w:w="3883" w:type="dxa"/>
          </w:tcPr>
          <w:p w14:paraId="5F015D0A"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Registrácia v EVR</w:t>
            </w:r>
          </w:p>
        </w:tc>
        <w:tc>
          <w:tcPr>
            <w:tcW w:w="3739" w:type="dxa"/>
          </w:tcPr>
          <w:p w14:paraId="525B2D8F"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1 000 eur</w:t>
            </w:r>
          </w:p>
        </w:tc>
      </w:tr>
      <w:tr w:rsidR="001314D5" w14:paraId="4036A518" w14:textId="77777777" w:rsidTr="001314D5">
        <w:tc>
          <w:tcPr>
            <w:tcW w:w="3883" w:type="dxa"/>
          </w:tcPr>
          <w:p w14:paraId="1DD22AB3"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Registrácia v ERATV</w:t>
            </w:r>
          </w:p>
        </w:tc>
        <w:tc>
          <w:tcPr>
            <w:tcW w:w="3739" w:type="dxa"/>
          </w:tcPr>
          <w:p w14:paraId="22BCCDFA"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1 000 eur</w:t>
            </w:r>
          </w:p>
        </w:tc>
      </w:tr>
      <w:tr w:rsidR="001314D5" w14:paraId="3D9D50F4" w14:textId="77777777" w:rsidTr="001314D5">
        <w:tc>
          <w:tcPr>
            <w:tcW w:w="3883" w:type="dxa"/>
          </w:tcPr>
          <w:p w14:paraId="0B68692E"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Súlad s TSI</w:t>
            </w:r>
          </w:p>
        </w:tc>
        <w:tc>
          <w:tcPr>
            <w:tcW w:w="3739" w:type="dxa"/>
          </w:tcPr>
          <w:p w14:paraId="3F97CCEC"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3 000 eur</w:t>
            </w:r>
          </w:p>
        </w:tc>
      </w:tr>
      <w:tr w:rsidR="001314D5" w14:paraId="4644BE60" w14:textId="77777777" w:rsidTr="001314D5">
        <w:tc>
          <w:tcPr>
            <w:tcW w:w="3883" w:type="dxa"/>
          </w:tcPr>
          <w:p w14:paraId="57376499"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Technicko – bezpečnostná skúška a technická kontrola</w:t>
            </w:r>
          </w:p>
        </w:tc>
        <w:tc>
          <w:tcPr>
            <w:tcW w:w="3739" w:type="dxa"/>
          </w:tcPr>
          <w:p w14:paraId="031B381F"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2 000 eur</w:t>
            </w:r>
          </w:p>
        </w:tc>
      </w:tr>
      <w:tr w:rsidR="001314D5" w14:paraId="4312D47E" w14:textId="77777777" w:rsidTr="001314D5">
        <w:tc>
          <w:tcPr>
            <w:tcW w:w="3883" w:type="dxa"/>
          </w:tcPr>
          <w:p w14:paraId="56483CCC"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Spolu</w:t>
            </w:r>
          </w:p>
        </w:tc>
        <w:tc>
          <w:tcPr>
            <w:tcW w:w="3739" w:type="dxa"/>
          </w:tcPr>
          <w:p w14:paraId="2C513960" w14:textId="77777777" w:rsidR="001314D5" w:rsidRDefault="001314D5" w:rsidP="001314D5">
            <w:pPr>
              <w:pStyle w:val="Odsekzoznamu"/>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34 928 eur</w:t>
            </w:r>
          </w:p>
        </w:tc>
      </w:tr>
    </w:tbl>
    <w:p w14:paraId="03FB7708" w14:textId="77777777" w:rsidR="00BC6AB9" w:rsidRDefault="00BC6AB9" w:rsidP="00BC6AB9">
      <w:pPr>
        <w:pStyle w:val="Odsekzoznamu"/>
        <w:spacing w:after="0" w:line="240" w:lineRule="auto"/>
        <w:jc w:val="both"/>
        <w:rPr>
          <w:rFonts w:ascii="Times New Roman" w:eastAsia="Calibri" w:hAnsi="Times New Roman" w:cs="Times New Roman"/>
          <w:sz w:val="24"/>
          <w:szCs w:val="24"/>
        </w:rPr>
      </w:pPr>
    </w:p>
    <w:p w14:paraId="2C156C2F" w14:textId="172545D1" w:rsidR="001314D5" w:rsidRPr="00FA7AF8" w:rsidRDefault="00412620" w:rsidP="001314D5">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45</w:t>
      </w:r>
      <w:r w:rsidR="00BB08FD">
        <w:rPr>
          <w:rFonts w:ascii="Times New Roman" w:eastAsia="Calibri" w:hAnsi="Times New Roman" w:cs="Times New Roman"/>
          <w:sz w:val="24"/>
          <w:szCs w:val="24"/>
        </w:rPr>
        <w:t xml:space="preserve"> - </w:t>
      </w:r>
      <w:r w:rsidR="00FA7AF8">
        <w:rPr>
          <w:rFonts w:ascii="Times New Roman" w:eastAsia="Calibri" w:hAnsi="Times New Roman" w:cs="Times New Roman"/>
          <w:sz w:val="24"/>
          <w:szCs w:val="24"/>
        </w:rPr>
        <w:t>Udeľovanie licencií – predkladanie dokladov znižuje administratívne náklady</w:t>
      </w:r>
    </w:p>
    <w:p w14:paraId="31A1E6DD" w14:textId="1F878438" w:rsidR="00FA7AF8" w:rsidRPr="00FA7AF8" w:rsidRDefault="00FA7AF8" w:rsidP="00FA7AF8">
      <w:pPr>
        <w:pStyle w:val="Odsekzoznamu"/>
        <w:numPr>
          <w:ilvl w:val="0"/>
          <w:numId w:val="12"/>
        </w:numPr>
        <w:spacing w:after="0" w:line="240" w:lineRule="auto"/>
        <w:jc w:val="both"/>
        <w:rPr>
          <w:rFonts w:ascii="Times New Roman" w:eastAsia="Calibri" w:hAnsi="Times New Roman" w:cs="Times New Roman"/>
          <w:sz w:val="24"/>
          <w:szCs w:val="24"/>
        </w:rPr>
      </w:pPr>
      <w:r w:rsidRPr="001314D5">
        <w:rPr>
          <w:rFonts w:ascii="Times New Roman" w:eastAsia="Calibri" w:hAnsi="Times New Roman" w:cs="Times New Roman"/>
          <w:sz w:val="24"/>
          <w:szCs w:val="24"/>
        </w:rPr>
        <w:lastRenderedPageBreak/>
        <w:t>výpis z registra trestov</w:t>
      </w:r>
      <w:r>
        <w:rPr>
          <w:rFonts w:ascii="Times New Roman" w:eastAsia="Calibri" w:hAnsi="Times New Roman" w:cs="Times New Roman"/>
          <w:sz w:val="24"/>
          <w:szCs w:val="24"/>
        </w:rPr>
        <w:t xml:space="preserve">, resp. možnosť </w:t>
      </w:r>
      <w:r>
        <w:rPr>
          <w:rFonts w:ascii="Times New Roman" w:eastAsia="Times New Roman" w:hAnsi="Times New Roman" w:cs="Times New Roman"/>
          <w:sz w:val="24"/>
          <w:szCs w:val="24"/>
          <w:lang w:eastAsia="sk-SK"/>
        </w:rPr>
        <w:t>preukazovať bezúhonnosť</w:t>
      </w:r>
      <w:r w:rsidRPr="00B0602B">
        <w:rPr>
          <w:rFonts w:ascii="Times New Roman" w:eastAsia="Times New Roman" w:hAnsi="Times New Roman" w:cs="Times New Roman"/>
          <w:sz w:val="24"/>
          <w:szCs w:val="24"/>
          <w:lang w:eastAsia="sk-SK"/>
        </w:rPr>
        <w:t xml:space="preserve"> aj </w:t>
      </w:r>
      <w:r>
        <w:rPr>
          <w:rFonts w:ascii="Times New Roman" w:eastAsia="Times New Roman" w:hAnsi="Times New Roman" w:cs="Times New Roman"/>
          <w:sz w:val="24"/>
          <w:szCs w:val="24"/>
          <w:lang w:eastAsia="sk-SK"/>
        </w:rPr>
        <w:t>čestným prehlásením</w:t>
      </w:r>
      <w:r w:rsidRPr="00B0602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osôb </w:t>
      </w:r>
      <w:r w:rsidRPr="00B0602B">
        <w:rPr>
          <w:rFonts w:ascii="Times New Roman" w:eastAsia="Times New Roman" w:hAnsi="Times New Roman" w:cs="Times New Roman"/>
          <w:sz w:val="24"/>
          <w:szCs w:val="24"/>
          <w:lang w:eastAsia="sk-SK"/>
        </w:rPr>
        <w:t>z tretích štátov.</w:t>
      </w:r>
    </w:p>
    <w:p w14:paraId="2CE81E67" w14:textId="77777777" w:rsidR="00FA7AF8" w:rsidRDefault="00FA7AF8" w:rsidP="00FA7AF8">
      <w:pPr>
        <w:pStyle w:val="Odsekzoznamu"/>
        <w:spacing w:after="0" w:line="240" w:lineRule="auto"/>
        <w:ind w:left="1440"/>
        <w:jc w:val="both"/>
        <w:rPr>
          <w:rFonts w:ascii="Times New Roman" w:eastAsia="Calibri" w:hAnsi="Times New Roman" w:cs="Times New Roman"/>
          <w:sz w:val="24"/>
          <w:szCs w:val="24"/>
        </w:rPr>
      </w:pPr>
    </w:p>
    <w:p w14:paraId="272C5D3E" w14:textId="066645C9" w:rsidR="001314D5" w:rsidRDefault="00BB08FD" w:rsidP="001314D5">
      <w:pPr>
        <w:pStyle w:val="Odsekzoznamu"/>
        <w:numPr>
          <w:ilvl w:val="0"/>
          <w:numId w:val="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položka 4</w:t>
      </w:r>
      <w:r w:rsidR="00412620">
        <w:rPr>
          <w:rFonts w:ascii="Times New Roman" w:eastAsia="Calibri" w:hAnsi="Times New Roman" w:cs="Times New Roman"/>
          <w:sz w:val="24"/>
          <w:szCs w:val="24"/>
        </w:rPr>
        <w:t>6</w:t>
      </w:r>
      <w:r>
        <w:rPr>
          <w:rFonts w:ascii="Times New Roman" w:eastAsia="Calibri" w:hAnsi="Times New Roman" w:cs="Times New Roman"/>
          <w:sz w:val="24"/>
          <w:szCs w:val="24"/>
        </w:rPr>
        <w:t xml:space="preserve"> - </w:t>
      </w:r>
      <w:r w:rsidR="001314D5" w:rsidRPr="001314D5">
        <w:rPr>
          <w:rFonts w:ascii="Times New Roman" w:eastAsia="Calibri" w:hAnsi="Times New Roman" w:cs="Times New Roman"/>
          <w:sz w:val="24"/>
          <w:szCs w:val="24"/>
        </w:rPr>
        <w:t xml:space="preserve">Udeľovanie licencií </w:t>
      </w:r>
      <w:r w:rsidR="00894CEE">
        <w:rPr>
          <w:rFonts w:ascii="Times New Roman" w:eastAsia="Calibri" w:hAnsi="Times New Roman" w:cs="Times New Roman"/>
          <w:sz w:val="24"/>
          <w:szCs w:val="24"/>
        </w:rPr>
        <w:t xml:space="preserve">– </w:t>
      </w:r>
      <w:r w:rsidR="001314D5" w:rsidRPr="001314D5">
        <w:rPr>
          <w:rFonts w:ascii="Times New Roman" w:eastAsia="Calibri" w:hAnsi="Times New Roman" w:cs="Times New Roman"/>
          <w:sz w:val="24"/>
          <w:szCs w:val="24"/>
        </w:rPr>
        <w:t>zodpovedný zástupca</w:t>
      </w:r>
    </w:p>
    <w:p w14:paraId="7DCE671E" w14:textId="2DF7A1AD" w:rsidR="00FA7AF8" w:rsidRPr="006949BD" w:rsidRDefault="00FA7AF8" w:rsidP="00FA7AF8">
      <w:pPr>
        <w:pStyle w:val="Odsekzoznamu"/>
        <w:numPr>
          <w:ilvl w:val="0"/>
          <w:numId w:val="12"/>
        </w:numPr>
        <w:spacing w:after="0" w:line="240" w:lineRule="auto"/>
        <w:jc w:val="both"/>
        <w:rPr>
          <w:rFonts w:ascii="Times New Roman" w:eastAsia="Calibri" w:hAnsi="Times New Roman" w:cs="Times New Roman"/>
          <w:sz w:val="24"/>
          <w:szCs w:val="24"/>
        </w:rPr>
      </w:pPr>
      <w:r w:rsidRPr="00B0602B">
        <w:rPr>
          <w:rFonts w:ascii="Times New Roman" w:eastAsia="Times New Roman" w:hAnsi="Times New Roman" w:cs="Times New Roman"/>
          <w:sz w:val="24"/>
          <w:szCs w:val="24"/>
          <w:lang w:eastAsia="sk-SK"/>
        </w:rPr>
        <w:t>Pre žiadateľov o licenciu je splnenie kumulatívnej podmienky odbornej spôsobilosti štatutárneho zástupcu alebo aspoň jedného z členov štatutárneho orgánu aj v prípade, že má stanoveného zodpovedného zástupcu neúmerná a často nesplniteľná, pričom z pohľadu účelu sledovaného zákonom sa v praxi</w:t>
      </w:r>
      <w:r>
        <w:rPr>
          <w:rFonts w:ascii="Times New Roman" w:eastAsia="Times New Roman" w:hAnsi="Times New Roman" w:cs="Times New Roman"/>
          <w:sz w:val="24"/>
          <w:szCs w:val="24"/>
          <w:lang w:eastAsia="sk-SK"/>
        </w:rPr>
        <w:t xml:space="preserve"> preukázala aj neopodstatnená, pričom p</w:t>
      </w:r>
      <w:r w:rsidRPr="00B0602B">
        <w:rPr>
          <w:rFonts w:ascii="Times New Roman" w:eastAsia="Times New Roman" w:hAnsi="Times New Roman" w:cs="Times New Roman"/>
          <w:sz w:val="24"/>
          <w:szCs w:val="24"/>
          <w:lang w:eastAsia="sk-SK"/>
        </w:rPr>
        <w:t xml:space="preserve">reukázanie požiadavky odbornej spôsobilosti je dostačujúce iba </w:t>
      </w:r>
      <w:r>
        <w:rPr>
          <w:rFonts w:ascii="Times New Roman" w:eastAsia="Times New Roman" w:hAnsi="Times New Roman" w:cs="Times New Roman"/>
          <w:sz w:val="24"/>
          <w:szCs w:val="24"/>
          <w:lang w:eastAsia="sk-SK"/>
        </w:rPr>
        <w:t>pre jednu</w:t>
      </w:r>
      <w:r w:rsidRPr="00B0602B">
        <w:rPr>
          <w:rFonts w:ascii="Times New Roman" w:eastAsia="Times New Roman" w:hAnsi="Times New Roman" w:cs="Times New Roman"/>
          <w:sz w:val="24"/>
          <w:szCs w:val="24"/>
          <w:lang w:eastAsia="sk-SK"/>
        </w:rPr>
        <w:t xml:space="preserve"> osob</w:t>
      </w:r>
      <w:r>
        <w:rPr>
          <w:rFonts w:ascii="Times New Roman" w:eastAsia="Times New Roman" w:hAnsi="Times New Roman" w:cs="Times New Roman"/>
          <w:sz w:val="24"/>
          <w:szCs w:val="24"/>
          <w:lang w:eastAsia="sk-SK"/>
        </w:rPr>
        <w:t>u</w:t>
      </w:r>
      <w:r w:rsidRPr="00B0602B">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To znamená, že ak štatutárny</w:t>
      </w:r>
      <w:r w:rsidRPr="00B0602B">
        <w:rPr>
          <w:rFonts w:ascii="Times New Roman" w:eastAsia="Times New Roman" w:hAnsi="Times New Roman" w:cs="Times New Roman"/>
          <w:sz w:val="24"/>
          <w:szCs w:val="24"/>
          <w:lang w:eastAsia="sk-SK"/>
        </w:rPr>
        <w:t xml:space="preserve"> zástupc</w:t>
      </w:r>
      <w:r>
        <w:rPr>
          <w:rFonts w:ascii="Times New Roman" w:eastAsia="Times New Roman" w:hAnsi="Times New Roman" w:cs="Times New Roman"/>
          <w:sz w:val="24"/>
          <w:szCs w:val="24"/>
          <w:lang w:eastAsia="sk-SK"/>
        </w:rPr>
        <w:t>a alebo aspoň jeden</w:t>
      </w:r>
      <w:r w:rsidRPr="00B0602B">
        <w:rPr>
          <w:rFonts w:ascii="Times New Roman" w:eastAsia="Times New Roman" w:hAnsi="Times New Roman" w:cs="Times New Roman"/>
          <w:sz w:val="24"/>
          <w:szCs w:val="24"/>
          <w:lang w:eastAsia="sk-SK"/>
        </w:rPr>
        <w:t xml:space="preserve"> z členov štatutárneho orgánu</w:t>
      </w:r>
      <w:r>
        <w:rPr>
          <w:rFonts w:ascii="Times New Roman" w:eastAsia="Times New Roman" w:hAnsi="Times New Roman" w:cs="Times New Roman"/>
          <w:sz w:val="24"/>
          <w:szCs w:val="24"/>
          <w:lang w:eastAsia="sk-SK"/>
        </w:rPr>
        <w:t xml:space="preserve"> spĺňa </w:t>
      </w:r>
      <w:r w:rsidRPr="00B0602B">
        <w:rPr>
          <w:rFonts w:ascii="Times New Roman" w:eastAsia="Times New Roman" w:hAnsi="Times New Roman" w:cs="Times New Roman"/>
          <w:sz w:val="24"/>
          <w:szCs w:val="24"/>
          <w:lang w:eastAsia="sk-SK"/>
        </w:rPr>
        <w:t>podmienk</w:t>
      </w:r>
      <w:r>
        <w:rPr>
          <w:rFonts w:ascii="Times New Roman" w:eastAsia="Times New Roman" w:hAnsi="Times New Roman" w:cs="Times New Roman"/>
          <w:sz w:val="24"/>
          <w:szCs w:val="24"/>
          <w:lang w:eastAsia="sk-SK"/>
        </w:rPr>
        <w:t>u</w:t>
      </w:r>
      <w:r w:rsidRPr="00B0602B">
        <w:rPr>
          <w:rFonts w:ascii="Times New Roman" w:eastAsia="Times New Roman" w:hAnsi="Times New Roman" w:cs="Times New Roman"/>
          <w:sz w:val="24"/>
          <w:szCs w:val="24"/>
          <w:lang w:eastAsia="sk-SK"/>
        </w:rPr>
        <w:t xml:space="preserve"> odbornej spôsobilosti</w:t>
      </w:r>
      <w:r>
        <w:rPr>
          <w:rFonts w:ascii="Times New Roman" w:eastAsia="Times New Roman" w:hAnsi="Times New Roman" w:cs="Times New Roman"/>
          <w:sz w:val="24"/>
          <w:szCs w:val="24"/>
          <w:lang w:eastAsia="sk-SK"/>
        </w:rPr>
        <w:t xml:space="preserve"> môže byť už aj odborným zástupcom zároveň. </w:t>
      </w:r>
    </w:p>
    <w:p w14:paraId="6E838BED" w14:textId="6F93670C" w:rsidR="00090DCD" w:rsidRDefault="00090DCD" w:rsidP="00B208BF">
      <w:pPr>
        <w:spacing w:after="0" w:line="240" w:lineRule="auto"/>
        <w:jc w:val="both"/>
        <w:rPr>
          <w:rFonts w:ascii="Times New Roman" w:eastAsia="Calibri" w:hAnsi="Times New Roman" w:cs="Times New Roman"/>
          <w:sz w:val="24"/>
          <w:szCs w:val="24"/>
        </w:rPr>
      </w:pPr>
    </w:p>
    <w:p w14:paraId="3A993079" w14:textId="77777777" w:rsidR="00090DCD" w:rsidRPr="00B208BF" w:rsidRDefault="00090DCD" w:rsidP="00B208BF">
      <w:pPr>
        <w:spacing w:after="0" w:line="240" w:lineRule="auto"/>
        <w:jc w:val="both"/>
        <w:rPr>
          <w:rFonts w:ascii="Times New Roman" w:eastAsia="Calibri" w:hAnsi="Times New Roman" w:cs="Times New Roman"/>
          <w:sz w:val="24"/>
          <w:szCs w:val="24"/>
        </w:rPr>
      </w:pPr>
    </w:p>
    <w:p w14:paraId="42CD176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01DCBF2F" w14:textId="67B06341" w:rsidR="00A33FD7" w:rsidRDefault="0019341F" w:rsidP="0019341F">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Pr="00C73A86">
        <w:rPr>
          <w:rFonts w:ascii="Times New Roman" w:eastAsia="Times New Roman" w:hAnsi="Times New Roman" w:cs="Times New Roman"/>
          <w:sz w:val="24"/>
          <w:szCs w:val="24"/>
          <w:lang w:eastAsia="sk-SK"/>
        </w:rPr>
        <w:t>ástupcov</w:t>
      </w:r>
      <w:r>
        <w:rPr>
          <w:rFonts w:ascii="Times New Roman" w:eastAsia="Times New Roman" w:hAnsi="Times New Roman" w:cs="Times New Roman"/>
          <w:sz w:val="24"/>
          <w:szCs w:val="24"/>
          <w:lang w:eastAsia="sk-SK"/>
        </w:rPr>
        <w:t>ia</w:t>
      </w:r>
      <w:r w:rsidRPr="00C73A86">
        <w:rPr>
          <w:rFonts w:ascii="Times New Roman" w:eastAsia="Times New Roman" w:hAnsi="Times New Roman" w:cs="Times New Roman"/>
          <w:sz w:val="24"/>
          <w:szCs w:val="24"/>
          <w:lang w:eastAsia="sk-SK"/>
        </w:rPr>
        <w:t xml:space="preserve"> Ministerstva dopravy a výstavby Slovenskej republiky </w:t>
      </w:r>
      <w:r>
        <w:rPr>
          <w:rFonts w:ascii="Times New Roman" w:eastAsia="Times New Roman" w:hAnsi="Times New Roman" w:cs="Times New Roman"/>
          <w:sz w:val="24"/>
          <w:szCs w:val="24"/>
          <w:lang w:eastAsia="sk-SK"/>
        </w:rPr>
        <w:t>vypracovali prvý návrh zákona, ktorý elektronickou formou zaslali dotknutým subjektom. Následne sa n</w:t>
      </w:r>
      <w:r w:rsidRPr="00C73A86">
        <w:rPr>
          <w:rFonts w:ascii="Times New Roman" w:eastAsia="Times New Roman" w:hAnsi="Times New Roman" w:cs="Times New Roman"/>
          <w:sz w:val="24"/>
          <w:szCs w:val="24"/>
          <w:lang w:eastAsia="sk-SK"/>
        </w:rPr>
        <w:t xml:space="preserve">a príprave návrhu zákona </w:t>
      </w:r>
      <w:r>
        <w:rPr>
          <w:rFonts w:ascii="Times New Roman" w:eastAsia="Times New Roman" w:hAnsi="Times New Roman" w:cs="Times New Roman"/>
          <w:sz w:val="24"/>
          <w:szCs w:val="24"/>
          <w:lang w:eastAsia="sk-SK"/>
        </w:rPr>
        <w:t>zúčastňovali</w:t>
      </w:r>
      <w:r w:rsidRPr="00C73A86">
        <w:rPr>
          <w:rFonts w:ascii="Times New Roman" w:eastAsia="Times New Roman" w:hAnsi="Times New Roman" w:cs="Times New Roman"/>
          <w:sz w:val="24"/>
          <w:szCs w:val="24"/>
          <w:lang w:eastAsia="sk-SK"/>
        </w:rPr>
        <w:t xml:space="preserve"> zástupcov</w:t>
      </w:r>
      <w:r>
        <w:rPr>
          <w:rFonts w:ascii="Times New Roman" w:eastAsia="Times New Roman" w:hAnsi="Times New Roman" w:cs="Times New Roman"/>
          <w:sz w:val="24"/>
          <w:szCs w:val="24"/>
          <w:lang w:eastAsia="sk-SK"/>
        </w:rPr>
        <w:t>ia</w:t>
      </w:r>
      <w:r w:rsidRPr="00C73A86">
        <w:rPr>
          <w:rFonts w:ascii="Times New Roman" w:eastAsia="Times New Roman" w:hAnsi="Times New Roman" w:cs="Times New Roman"/>
          <w:sz w:val="24"/>
          <w:szCs w:val="24"/>
          <w:lang w:eastAsia="sk-SK"/>
        </w:rPr>
        <w:t xml:space="preserve"> Ministerstva dopravy a výstavby Slovenskej republiky, Dopravného úradu, </w:t>
      </w:r>
      <w:r>
        <w:rPr>
          <w:rFonts w:ascii="Times New Roman" w:eastAsia="Times New Roman" w:hAnsi="Times New Roman" w:cs="Times New Roman"/>
          <w:sz w:val="24"/>
          <w:szCs w:val="24"/>
          <w:lang w:eastAsia="sk-SK"/>
        </w:rPr>
        <w:t xml:space="preserve">manažéra železničnej </w:t>
      </w:r>
      <w:r w:rsidR="00BC6AB9">
        <w:rPr>
          <w:rFonts w:ascii="Times New Roman" w:eastAsia="Times New Roman" w:hAnsi="Times New Roman" w:cs="Times New Roman"/>
          <w:sz w:val="24"/>
          <w:szCs w:val="24"/>
          <w:lang w:eastAsia="sk-SK"/>
        </w:rPr>
        <w:t>infraštruktúry</w:t>
      </w:r>
      <w:r>
        <w:rPr>
          <w:rFonts w:ascii="Times New Roman" w:eastAsia="Times New Roman" w:hAnsi="Times New Roman" w:cs="Times New Roman"/>
          <w:sz w:val="24"/>
          <w:szCs w:val="24"/>
          <w:lang w:eastAsia="sk-SK"/>
        </w:rPr>
        <w:t xml:space="preserve">, </w:t>
      </w:r>
      <w:r w:rsidR="00BC6AB9">
        <w:rPr>
          <w:rFonts w:ascii="Times New Roman" w:eastAsia="Times New Roman" w:hAnsi="Times New Roman" w:cs="Times New Roman"/>
          <w:sz w:val="24"/>
          <w:szCs w:val="24"/>
          <w:lang w:eastAsia="sk-SK"/>
        </w:rPr>
        <w:t>železničných podnikov</w:t>
      </w:r>
      <w:r>
        <w:rPr>
          <w:rFonts w:ascii="Times New Roman" w:eastAsia="Times New Roman" w:hAnsi="Times New Roman" w:cs="Times New Roman"/>
          <w:sz w:val="24"/>
          <w:szCs w:val="24"/>
          <w:lang w:eastAsia="sk-SK"/>
        </w:rPr>
        <w:t xml:space="preserve"> a zamestnávateľsk</w:t>
      </w:r>
      <w:r w:rsidR="00BC6AB9">
        <w:rPr>
          <w:rFonts w:ascii="Times New Roman" w:eastAsia="Times New Roman" w:hAnsi="Times New Roman" w:cs="Times New Roman"/>
          <w:sz w:val="24"/>
          <w:szCs w:val="24"/>
          <w:lang w:eastAsia="sk-SK"/>
        </w:rPr>
        <w:t>ých združení</w:t>
      </w:r>
      <w:r>
        <w:rPr>
          <w:rFonts w:ascii="Times New Roman" w:eastAsia="Times New Roman" w:hAnsi="Times New Roman" w:cs="Times New Roman"/>
          <w:sz w:val="24"/>
          <w:szCs w:val="24"/>
          <w:lang w:eastAsia="sk-SK"/>
        </w:rPr>
        <w:t xml:space="preserve">. Konzultácie boli realizované formou pracovných stretnutí </w:t>
      </w:r>
      <w:r w:rsidR="00BC6AB9">
        <w:rPr>
          <w:rFonts w:ascii="Times New Roman" w:eastAsia="Times New Roman" w:hAnsi="Times New Roman" w:cs="Times New Roman"/>
          <w:sz w:val="24"/>
          <w:szCs w:val="24"/>
          <w:lang w:eastAsia="sk-SK"/>
        </w:rPr>
        <w:t>(12.07.2022</w:t>
      </w:r>
      <w:r w:rsidR="009E527D">
        <w:rPr>
          <w:rFonts w:ascii="Times New Roman" w:eastAsia="Times New Roman" w:hAnsi="Times New Roman" w:cs="Times New Roman"/>
          <w:sz w:val="24"/>
          <w:szCs w:val="24"/>
          <w:lang w:eastAsia="sk-SK"/>
        </w:rPr>
        <w:t>.</w:t>
      </w:r>
      <w:r w:rsidR="00BC6AB9">
        <w:rPr>
          <w:rFonts w:ascii="Times New Roman" w:eastAsia="Times New Roman" w:hAnsi="Times New Roman" w:cs="Times New Roman"/>
          <w:sz w:val="24"/>
          <w:szCs w:val="24"/>
          <w:lang w:eastAsia="sk-SK"/>
        </w:rPr>
        <w:t>, 14.07.2022, 20.07</w:t>
      </w:r>
      <w:r w:rsidR="009E527D">
        <w:rPr>
          <w:rFonts w:ascii="Times New Roman" w:eastAsia="Times New Roman" w:hAnsi="Times New Roman" w:cs="Times New Roman"/>
          <w:sz w:val="24"/>
          <w:szCs w:val="24"/>
          <w:lang w:eastAsia="sk-SK"/>
        </w:rPr>
        <w:t>.2022</w:t>
      </w:r>
      <w:r w:rsidR="00BC6AB9">
        <w:rPr>
          <w:rFonts w:ascii="Times New Roman" w:eastAsia="Times New Roman" w:hAnsi="Times New Roman" w:cs="Times New Roman"/>
          <w:sz w:val="24"/>
          <w:szCs w:val="24"/>
          <w:lang w:eastAsia="sk-SK"/>
        </w:rPr>
        <w:t xml:space="preserve"> a 21.07.2022</w:t>
      </w:r>
      <w:r w:rsidR="009E527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ako aj prostredníctvom elektronickej komunikácie. </w:t>
      </w:r>
      <w:r w:rsidR="004102CF">
        <w:rPr>
          <w:rFonts w:ascii="Times New Roman" w:eastAsia="Times New Roman" w:hAnsi="Times New Roman" w:cs="Times New Roman"/>
          <w:sz w:val="24"/>
          <w:szCs w:val="24"/>
          <w:lang w:eastAsia="sk-SK"/>
        </w:rPr>
        <w:t>Konzultácie boli po  zverejnení predbežnej informácie dňa 05.08.2022 na portáli slovlex (</w:t>
      </w:r>
      <w:hyperlink r:id="rId13" w:history="1">
        <w:r w:rsidR="004102CF">
          <w:rPr>
            <w:rStyle w:val="Hypertextovprepojenie"/>
          </w:rPr>
          <w:t>https://www.slov-lex.sk/legislativne-procesy/SK/PI/2022/180</w:t>
        </w:r>
      </w:hyperlink>
      <w:r w:rsidR="004102CF">
        <w:t xml:space="preserve">) </w:t>
      </w:r>
      <w:r w:rsidR="00BC6AB9" w:rsidRPr="00BC6AB9">
        <w:rPr>
          <w:rFonts w:ascii="Times New Roman" w:hAnsi="Times New Roman" w:cs="Times New Roman"/>
          <w:sz w:val="24"/>
          <w:szCs w:val="24"/>
        </w:rPr>
        <w:t>zverejnené</w:t>
      </w:r>
      <w:r w:rsidR="00BC6AB9">
        <w:t xml:space="preserve"> </w:t>
      </w:r>
      <w:r w:rsidR="004102CF">
        <w:rPr>
          <w:rFonts w:ascii="Times New Roman" w:eastAsia="Times New Roman" w:hAnsi="Times New Roman" w:cs="Times New Roman"/>
          <w:sz w:val="24"/>
          <w:szCs w:val="24"/>
          <w:lang w:eastAsia="sk-SK"/>
        </w:rPr>
        <w:t>na webovom sídle Ministerstva hospodárstva SR (</w:t>
      </w:r>
      <w:hyperlink r:id="rId14" w:history="1">
        <w:r w:rsidR="004102CF" w:rsidRPr="00377695">
          <w:rPr>
            <w:rStyle w:val="Hypertextovprepojenie"/>
            <w:rFonts w:ascii="Times New Roman" w:eastAsia="Times New Roman" w:hAnsi="Times New Roman" w:cs="Times New Roman"/>
            <w:sz w:val="24"/>
            <w:szCs w:val="24"/>
            <w:lang w:eastAsia="sk-SK"/>
          </w:rPr>
          <w:t>https://www.economy.gov.sk/podnikatelske-prostredie/jednotna-metodika/prebiehajuce-konzultacie-a-predbezne-informacie</w:t>
        </w:r>
      </w:hyperlink>
      <w:r w:rsidR="004102CF">
        <w:rPr>
          <w:rFonts w:ascii="Times New Roman" w:eastAsia="Times New Roman" w:hAnsi="Times New Roman" w:cs="Times New Roman"/>
          <w:sz w:val="24"/>
          <w:szCs w:val="24"/>
          <w:lang w:eastAsia="sk-SK"/>
        </w:rPr>
        <w:t>). P</w:t>
      </w:r>
      <w:r>
        <w:rPr>
          <w:rFonts w:ascii="Times New Roman" w:eastAsia="Times New Roman" w:hAnsi="Times New Roman" w:cs="Times New Roman"/>
          <w:sz w:val="24"/>
          <w:szCs w:val="24"/>
          <w:lang w:eastAsia="sk-SK"/>
        </w:rPr>
        <w:t xml:space="preserve">o </w:t>
      </w:r>
      <w:r w:rsidR="004102CF">
        <w:rPr>
          <w:rFonts w:ascii="Times New Roman" w:eastAsia="Times New Roman" w:hAnsi="Times New Roman" w:cs="Times New Roman"/>
          <w:sz w:val="24"/>
          <w:szCs w:val="24"/>
          <w:lang w:eastAsia="sk-SK"/>
        </w:rPr>
        <w:t xml:space="preserve">zverejnení </w:t>
      </w:r>
      <w:r>
        <w:rPr>
          <w:rFonts w:ascii="Times New Roman" w:eastAsia="Times New Roman" w:hAnsi="Times New Roman" w:cs="Times New Roman"/>
          <w:sz w:val="24"/>
          <w:szCs w:val="24"/>
          <w:lang w:eastAsia="sk-SK"/>
        </w:rPr>
        <w:t>požiadal</w:t>
      </w:r>
      <w:r w:rsidR="004102CF">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 xml:space="preserve"> o konzultáciu </w:t>
      </w:r>
      <w:r w:rsidR="004102CF">
        <w:rPr>
          <w:rFonts w:ascii="Times New Roman" w:eastAsia="Times New Roman" w:hAnsi="Times New Roman" w:cs="Times New Roman"/>
          <w:sz w:val="24"/>
          <w:szCs w:val="24"/>
          <w:lang w:eastAsia="sk-SK"/>
        </w:rPr>
        <w:t>Republiková únia zamestnávateľov</w:t>
      </w:r>
      <w:r>
        <w:rPr>
          <w:rFonts w:ascii="Times New Roman" w:eastAsia="Times New Roman" w:hAnsi="Times New Roman" w:cs="Times New Roman"/>
          <w:sz w:val="24"/>
          <w:szCs w:val="24"/>
          <w:lang w:eastAsia="sk-SK"/>
        </w:rPr>
        <w:t>,</w:t>
      </w:r>
      <w:r w:rsidR="004102CF">
        <w:rPr>
          <w:rFonts w:ascii="Times New Roman" w:eastAsia="Times New Roman" w:hAnsi="Times New Roman" w:cs="Times New Roman"/>
          <w:sz w:val="24"/>
          <w:szCs w:val="24"/>
          <w:lang w:eastAsia="sk-SK"/>
        </w:rPr>
        <w:t xml:space="preserve"> </w:t>
      </w:r>
      <w:r w:rsidR="00BC6AB9">
        <w:rPr>
          <w:rFonts w:ascii="Times New Roman" w:eastAsia="Times New Roman" w:hAnsi="Times New Roman" w:cs="Times New Roman"/>
          <w:sz w:val="24"/>
          <w:szCs w:val="24"/>
          <w:lang w:eastAsia="sk-SK"/>
        </w:rPr>
        <w:t>s ktorou</w:t>
      </w:r>
      <w:r w:rsidR="004102CF">
        <w:rPr>
          <w:rFonts w:ascii="Times New Roman" w:eastAsia="Times New Roman" w:hAnsi="Times New Roman" w:cs="Times New Roman"/>
          <w:sz w:val="24"/>
          <w:szCs w:val="24"/>
          <w:lang w:eastAsia="sk-SK"/>
        </w:rPr>
        <w:t xml:space="preserve"> sa </w:t>
      </w:r>
      <w:r w:rsidR="00BC6AB9">
        <w:rPr>
          <w:rFonts w:ascii="Times New Roman" w:eastAsia="Times New Roman" w:hAnsi="Times New Roman" w:cs="Times New Roman"/>
          <w:sz w:val="24"/>
          <w:szCs w:val="24"/>
          <w:lang w:eastAsia="sk-SK"/>
        </w:rPr>
        <w:t xml:space="preserve">následne konzultácia </w:t>
      </w:r>
      <w:r w:rsidR="004102CF">
        <w:rPr>
          <w:rFonts w:ascii="Times New Roman" w:eastAsia="Times New Roman" w:hAnsi="Times New Roman" w:cs="Times New Roman"/>
          <w:sz w:val="24"/>
          <w:szCs w:val="24"/>
          <w:lang w:eastAsia="sk-SK"/>
        </w:rPr>
        <w:t>uskutočnila dňa 30.08.2022. Predmetom konzultácii neboli návrhy na zníženie nákladov regulácii na podnikateľské prostredie. Záznam z konzultácie tvorí prílohu tejto analýzy.</w:t>
      </w:r>
    </w:p>
    <w:p w14:paraId="7E0BF3F5" w14:textId="77777777" w:rsidR="00054C41" w:rsidRPr="00D8247C" w:rsidRDefault="00054C41" w:rsidP="00054C41">
      <w:pPr>
        <w:spacing w:after="0"/>
        <w:jc w:val="both"/>
        <w:rPr>
          <w:rFonts w:ascii="Times New Roman" w:eastAsia="Calibri" w:hAnsi="Times New Roman" w:cs="Times New Roman"/>
          <w:i/>
          <w:sz w:val="24"/>
          <w:szCs w:val="24"/>
        </w:rPr>
      </w:pP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C7DB60C" w14:textId="77777777" w:rsidR="00054C41" w:rsidRPr="00D8247C" w:rsidRDefault="00054C41" w:rsidP="00054C41">
      <w:pPr>
        <w:spacing w:after="0"/>
        <w:jc w:val="both"/>
        <w:rPr>
          <w:rFonts w:ascii="Times New Roman" w:eastAsia="Calibri" w:hAnsi="Times New Roman" w:cs="Times New Roman"/>
          <w:i/>
          <w:sz w:val="24"/>
          <w:szCs w:val="24"/>
        </w:rPr>
      </w:pPr>
    </w:p>
    <w:p w14:paraId="5457EA51" w14:textId="77777777" w:rsidR="00B36FA7" w:rsidRDefault="00B36FA7" w:rsidP="00054C41">
      <w:pPr>
        <w:spacing w:after="0"/>
        <w:jc w:val="both"/>
        <w:rPr>
          <w:rFonts w:ascii="Times New Roman" w:eastAsia="Calibri" w:hAnsi="Times New Roman" w:cs="Times New Roman"/>
          <w:b/>
          <w:i/>
          <w:sz w:val="24"/>
          <w:szCs w:val="24"/>
        </w:rPr>
      </w:pPr>
    </w:p>
    <w:p w14:paraId="7DBDE90F" w14:textId="5DA3148A"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1543B901" w:rsidR="00054C41" w:rsidRPr="00D8247C" w:rsidRDefault="007A553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Calibri" w:hAnsi="Times New Roman" w:cs="Times New Roman"/>
                    <w:i/>
                    <w:sz w:val="24"/>
                    <w:szCs w:val="24"/>
                  </w:rPr>
                  <w:id w:val="1054581285"/>
                </w:sdtPr>
                <w:sdtEndPr/>
                <w:sdtContent>
                  <w:sdt>
                    <w:sdtPr>
                      <w:rPr>
                        <w:rFonts w:ascii="Times New Roman" w:eastAsia="Calibri" w:hAnsi="Times New Roman" w:cs="Times New Roman"/>
                        <w:i/>
                        <w:sz w:val="24"/>
                        <w:szCs w:val="24"/>
                      </w:rPr>
                      <w:id w:val="-996879927"/>
                    </w:sdtPr>
                    <w:sdtEndPr/>
                    <w:sdtContent>
                      <w:sdt>
                        <w:sdtPr>
                          <w:rPr>
                            <w:rFonts w:ascii="Times New Roman" w:eastAsia="Calibri" w:hAnsi="Times New Roman" w:cs="Times New Roman"/>
                            <w:i/>
                            <w:sz w:val="24"/>
                            <w:szCs w:val="24"/>
                          </w:rPr>
                          <w:id w:val="2099823486"/>
                        </w:sdtPr>
                        <w:sdtEndPr/>
                        <w:sdtContent>
                          <w:r w:rsidR="001314D5">
                            <w:rPr>
                              <w:rFonts w:ascii="Segoe UI Symbol" w:eastAsia="Calibri" w:hAnsi="Segoe UI Symbol" w:cs="Segoe UI Symbol"/>
                              <w:i/>
                              <w:sz w:val="24"/>
                              <w:szCs w:val="24"/>
                            </w:rPr>
                            <w:t>x</w:t>
                          </w:r>
                        </w:sdtContent>
                      </w:sdt>
                    </w:sdtContent>
                  </w:sdt>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77777777" w:rsidR="00054C41" w:rsidRPr="00D8247C" w:rsidRDefault="00054C4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6B7275C0" w:rsidR="00054C41" w:rsidRPr="00D8247C" w:rsidRDefault="007A553E"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Calibri" w:hAnsi="Times New Roman" w:cs="Times New Roman"/>
                    <w:i/>
                    <w:sz w:val="24"/>
                    <w:szCs w:val="24"/>
                  </w:rPr>
                  <w:id w:val="-1940365381"/>
                </w:sdtPr>
                <w:sdtEndPr/>
                <w:sdtContent>
                  <w:r w:rsidR="009E527D">
                    <w:rPr>
                      <w:rFonts w:ascii="Segoe UI Symbol" w:eastAsia="Calibri" w:hAnsi="Segoe UI Symbol" w:cs="Segoe UI Symbol"/>
                      <w:i/>
                      <w:sz w:val="24"/>
                      <w:szCs w:val="24"/>
                    </w:rPr>
                    <w:t>x</w:t>
                  </w:r>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ABE7B5" w14:textId="77777777" w:rsidR="00054C41" w:rsidRPr="00D8247C" w:rsidRDefault="00054C41" w:rsidP="00054C41">
      <w:pPr>
        <w:spacing w:after="0"/>
        <w:jc w:val="both"/>
        <w:rPr>
          <w:rFonts w:ascii="Times New Roman" w:eastAsia="Calibri" w:hAnsi="Times New Roman" w:cs="Times New Roman"/>
          <w:i/>
          <w:sz w:val="24"/>
          <w:szCs w:val="24"/>
        </w:rPr>
      </w:pP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0B4849FE" w14:textId="6E5D775B" w:rsidR="00FF414B" w:rsidRPr="006949BD" w:rsidRDefault="00054C41" w:rsidP="006949BD">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33FA511E" w14:textId="0539AECA" w:rsidR="00BC493E" w:rsidRDefault="008E6BBC" w:rsidP="00BC49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BC493E" w:rsidRPr="002221FE">
        <w:rPr>
          <w:rFonts w:ascii="Times New Roman" w:eastAsia="Calibri" w:hAnsi="Times New Roman" w:cs="Times New Roman"/>
          <w:sz w:val="24"/>
          <w:szCs w:val="24"/>
        </w:rPr>
        <w:t>M</w:t>
      </w:r>
      <w:r w:rsidR="00BC493E">
        <w:rPr>
          <w:rFonts w:ascii="Times New Roman" w:eastAsia="Calibri" w:hAnsi="Times New Roman" w:cs="Times New Roman"/>
          <w:sz w:val="24"/>
          <w:szCs w:val="24"/>
        </w:rPr>
        <w:t>edzi iné v</w:t>
      </w:r>
      <w:r w:rsidR="00BC493E" w:rsidRPr="002221FE">
        <w:rPr>
          <w:rFonts w:ascii="Times New Roman" w:eastAsia="Calibri" w:hAnsi="Times New Roman" w:cs="Times New Roman"/>
          <w:sz w:val="24"/>
          <w:szCs w:val="24"/>
        </w:rPr>
        <w:t>ply</w:t>
      </w:r>
      <w:r w:rsidR="00BC493E">
        <w:rPr>
          <w:rFonts w:ascii="Times New Roman" w:eastAsia="Calibri" w:hAnsi="Times New Roman" w:cs="Times New Roman"/>
          <w:sz w:val="24"/>
          <w:szCs w:val="24"/>
        </w:rPr>
        <w:t xml:space="preserve">vy na podnikateľské prostredie možno zahrnúť sankcie a pokuty, ktorých zavedenie je nevyhnutné na dosiahnutie </w:t>
      </w:r>
      <w:r w:rsidR="003272ED">
        <w:rPr>
          <w:rFonts w:ascii="Times New Roman" w:eastAsia="Calibri" w:hAnsi="Times New Roman" w:cs="Times New Roman"/>
          <w:sz w:val="24"/>
          <w:szCs w:val="24"/>
        </w:rPr>
        <w:t>plnenia povinností podľa platných právnych predpisov</w:t>
      </w:r>
      <w:r w:rsidR="00BC493E">
        <w:rPr>
          <w:rFonts w:ascii="Times New Roman" w:eastAsia="Calibri" w:hAnsi="Times New Roman" w:cs="Times New Roman"/>
          <w:sz w:val="24"/>
          <w:szCs w:val="24"/>
        </w:rPr>
        <w:t xml:space="preserve"> tých osôb, ktoré nevykonávajú činnosť v súlade s platnými právnymi predpismi.</w:t>
      </w:r>
    </w:p>
    <w:p w14:paraId="2506B27C" w14:textId="40E91409" w:rsidR="00BC493E" w:rsidRDefault="00BC493E" w:rsidP="00BC493E">
      <w:pPr>
        <w:spacing w:after="0" w:line="240" w:lineRule="auto"/>
        <w:jc w:val="both"/>
        <w:rPr>
          <w:rFonts w:ascii="Times New Roman" w:eastAsia="Calibri" w:hAnsi="Times New Roman" w:cs="Times New Roman"/>
          <w:sz w:val="24"/>
          <w:szCs w:val="24"/>
        </w:rPr>
      </w:pPr>
      <w:r w:rsidRPr="002221FE">
        <w:rPr>
          <w:rFonts w:ascii="Times New Roman" w:eastAsia="Calibri" w:hAnsi="Times New Roman" w:cs="Times New Roman"/>
          <w:sz w:val="24"/>
          <w:szCs w:val="24"/>
        </w:rPr>
        <w:t>Navrhovaná právna úprava zavádza za vybrané priestupky aj sankciu zákazu čin</w:t>
      </w:r>
      <w:r w:rsidR="003272ED">
        <w:rPr>
          <w:rFonts w:ascii="Times New Roman" w:eastAsia="Calibri" w:hAnsi="Times New Roman" w:cs="Times New Roman"/>
          <w:sz w:val="24"/>
          <w:szCs w:val="24"/>
        </w:rPr>
        <w:t>nosti</w:t>
      </w:r>
      <w:r w:rsidRPr="002221FE">
        <w:rPr>
          <w:rFonts w:ascii="Times New Roman" w:eastAsia="Calibri" w:hAnsi="Times New Roman" w:cs="Times New Roman"/>
          <w:sz w:val="24"/>
          <w:szCs w:val="24"/>
        </w:rPr>
        <w:t>, keďže</w:t>
      </w:r>
      <w:r>
        <w:rPr>
          <w:rFonts w:ascii="Times New Roman" w:eastAsia="Calibri" w:hAnsi="Times New Roman" w:cs="Times New Roman"/>
          <w:sz w:val="24"/>
          <w:szCs w:val="24"/>
        </w:rPr>
        <w:t xml:space="preserve"> na základe podnetov z aplikačne praxe sa</w:t>
      </w:r>
      <w:r w:rsidRPr="002221FE">
        <w:rPr>
          <w:rFonts w:ascii="Times New Roman" w:eastAsia="Calibri" w:hAnsi="Times New Roman" w:cs="Times New Roman"/>
          <w:sz w:val="24"/>
          <w:szCs w:val="24"/>
        </w:rPr>
        <w:t xml:space="preserve"> doterajšia možnosť zrušenia, obmedzenia alebo odňatia dokladov javila ako nedostatočná. (poznámka: po zrušení dokladu nič nebránilo bezodkladne požiadať o vydanie nového a pokiaľ žiadateľ spĺňal zákonné požiadavky, nezostala by iná možnosť ako </w:t>
      </w:r>
      <w:r>
        <w:rPr>
          <w:rFonts w:ascii="Times New Roman" w:eastAsia="Calibri" w:hAnsi="Times New Roman" w:cs="Times New Roman"/>
          <w:sz w:val="24"/>
          <w:szCs w:val="24"/>
        </w:rPr>
        <w:t>doklad</w:t>
      </w:r>
      <w:r w:rsidRPr="002221FE">
        <w:rPr>
          <w:rFonts w:ascii="Times New Roman" w:eastAsia="Calibri" w:hAnsi="Times New Roman" w:cs="Times New Roman"/>
          <w:sz w:val="24"/>
          <w:szCs w:val="24"/>
        </w:rPr>
        <w:t xml:space="preserve"> vydať)</w:t>
      </w:r>
      <w:r>
        <w:rPr>
          <w:rFonts w:ascii="Times New Roman" w:eastAsia="Calibri" w:hAnsi="Times New Roman" w:cs="Times New Roman"/>
          <w:sz w:val="24"/>
          <w:szCs w:val="24"/>
        </w:rPr>
        <w:t xml:space="preserve">. Novou úpravou sa uplatňuje zásada primeraných sankcií zabezpečujúcich riadnu implementáciu právnych predpisov. </w:t>
      </w:r>
    </w:p>
    <w:p w14:paraId="0CF9F692" w14:textId="77777777" w:rsidR="00BC493E" w:rsidRDefault="00BC493E" w:rsidP="00BC493E">
      <w:pPr>
        <w:spacing w:after="0" w:line="240" w:lineRule="auto"/>
        <w:jc w:val="both"/>
        <w:rPr>
          <w:rFonts w:ascii="Times New Roman" w:eastAsia="Calibri" w:hAnsi="Times New Roman" w:cs="Times New Roman"/>
          <w:sz w:val="24"/>
          <w:szCs w:val="24"/>
        </w:rPr>
      </w:pPr>
    </w:p>
    <w:p w14:paraId="6C75095E" w14:textId="77777777" w:rsidR="00BC493E" w:rsidRDefault="00BC493E" w:rsidP="00BC49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Sankcie – správne delikty</w:t>
      </w:r>
    </w:p>
    <w:p w14:paraId="7010EBC3" w14:textId="77777777" w:rsidR="00142D2D" w:rsidRPr="00142D2D" w:rsidRDefault="00142D2D" w:rsidP="00142D2D">
      <w:pPr>
        <w:widowControl w:val="0"/>
        <w:autoSpaceDE w:val="0"/>
        <w:autoSpaceDN w:val="0"/>
        <w:adjustRightInd w:val="0"/>
        <w:spacing w:after="0" w:line="240" w:lineRule="auto"/>
        <w:jc w:val="center"/>
        <w:rPr>
          <w:rFonts w:ascii="Arial" w:hAnsi="Arial" w:cs="Arial"/>
          <w:b/>
          <w:bCs/>
          <w:sz w:val="20"/>
          <w:szCs w:val="20"/>
        </w:rPr>
      </w:pPr>
    </w:p>
    <w:p w14:paraId="72289E6A" w14:textId="345475E3" w:rsidR="00BC493E"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 xml:space="preserve">§ 109 ods. 16 </w:t>
      </w:r>
      <w:r>
        <w:rPr>
          <w:rFonts w:ascii="Times New Roman" w:eastAsia="Calibri" w:hAnsi="Times New Roman" w:cs="Times New Roman"/>
          <w:sz w:val="24"/>
          <w:szCs w:val="24"/>
        </w:rPr>
        <w:t xml:space="preserve">zákona č. 513/2009 Z. z. </w:t>
      </w:r>
      <w:r w:rsidR="00BC493E" w:rsidRPr="00142D2D">
        <w:rPr>
          <w:rFonts w:ascii="Times New Roman" w:eastAsia="Calibri" w:hAnsi="Times New Roman" w:cs="Times New Roman"/>
          <w:sz w:val="24"/>
          <w:szCs w:val="24"/>
        </w:rPr>
        <w:t>Bezpečnostný orgán uloží pokutu od 1 000 eur do 30 000 eur držiteľovi železničného vozidla, ak</w:t>
      </w:r>
    </w:p>
    <w:p w14:paraId="1B5240EC" w14:textId="77777777" w:rsidR="00BC493E" w:rsidRPr="00142D2D" w:rsidRDefault="00BC493E"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a) použije železničné vozidlo bez platnej registrácie alebo s pozastavenou registráciou,</w:t>
      </w:r>
    </w:p>
    <w:p w14:paraId="3D914D50" w14:textId="5F3F1AB9" w:rsidR="00BC493E" w:rsidRDefault="00BC493E"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b) neoznámi bezpečnostnému orgánu zmenu registračných údajov o železničnom vozidle, jeho zničenie alebo likvidáciu (§ 22b ods. 7, § 76 ods. 22).</w:t>
      </w:r>
    </w:p>
    <w:p w14:paraId="12F10D97" w14:textId="24C07048" w:rsidR="00142D2D" w:rsidRDefault="00142D2D" w:rsidP="00142D2D">
      <w:pPr>
        <w:spacing w:after="0" w:line="240" w:lineRule="auto"/>
        <w:jc w:val="both"/>
        <w:rPr>
          <w:rFonts w:ascii="Times New Roman" w:eastAsia="Calibri" w:hAnsi="Times New Roman" w:cs="Times New Roman"/>
          <w:sz w:val="24"/>
          <w:szCs w:val="24"/>
        </w:rPr>
      </w:pPr>
    </w:p>
    <w:p w14:paraId="2835DB49" w14:textId="6FA1BE48" w:rsidR="00142D2D" w:rsidRPr="00142D2D" w:rsidRDefault="00142D2D" w:rsidP="00142D2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43 ods. 7 písm. c) zákona č. 514/2009 Z. z. </w:t>
      </w:r>
      <w:r w:rsidRPr="00142D2D">
        <w:rPr>
          <w:rFonts w:ascii="Times New Roman" w:eastAsia="Calibri" w:hAnsi="Times New Roman" w:cs="Times New Roman"/>
          <w:sz w:val="24"/>
          <w:szCs w:val="24"/>
        </w:rPr>
        <w:t xml:space="preserve">Licenčný orgán uloží pokutu do 1 000 eur dráhovému podniku, ktorý </w:t>
      </w:r>
    </w:p>
    <w:p w14:paraId="352A553D" w14:textId="77777777"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 xml:space="preserve">c) neoznámi licenčnému orgánu zmenu podmienok, na základe ktorých bola udelená alebo zmenu náležitostí licencie, ktoré vyžadujú zmenu licencie alebo nepredloží licenčnému orgánu doklady preukazujúce zmenu podmienok alebo náležitostí do 15 dní od nadobudnutia účinnosti zmien alebo náležitostí. </w:t>
      </w:r>
    </w:p>
    <w:p w14:paraId="3414D735" w14:textId="6574CE6B" w:rsidR="00142D2D" w:rsidRPr="00142D2D" w:rsidRDefault="00142D2D" w:rsidP="00142D2D">
      <w:pPr>
        <w:spacing w:after="0" w:line="240" w:lineRule="auto"/>
        <w:jc w:val="both"/>
        <w:rPr>
          <w:rFonts w:ascii="Times New Roman" w:eastAsia="Calibri" w:hAnsi="Times New Roman" w:cs="Times New Roman"/>
          <w:sz w:val="24"/>
          <w:szCs w:val="24"/>
        </w:rPr>
      </w:pPr>
    </w:p>
    <w:p w14:paraId="7F499FB3" w14:textId="2489BD95"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 xml:space="preserve">§ 43 ods. 10 </w:t>
      </w:r>
      <w:r>
        <w:rPr>
          <w:rFonts w:ascii="Times New Roman" w:eastAsia="Calibri" w:hAnsi="Times New Roman" w:cs="Times New Roman"/>
          <w:sz w:val="24"/>
          <w:szCs w:val="24"/>
        </w:rPr>
        <w:t>zákona č. 514/2009 Z. z.</w:t>
      </w:r>
      <w:r w:rsidRPr="00142D2D">
        <w:rPr>
          <w:rFonts w:ascii="Times New Roman" w:eastAsia="Calibri" w:hAnsi="Times New Roman" w:cs="Times New Roman"/>
          <w:sz w:val="24"/>
          <w:szCs w:val="24"/>
        </w:rPr>
        <w:t xml:space="preserve"> Licenčný orgán uloží pokutu od 1 000 do 10 000 eur fyzickej osobe alebo právnickej osobe, ktorá </w:t>
      </w:r>
    </w:p>
    <w:p w14:paraId="46809D6C" w14:textId="77777777"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 xml:space="preserve">a) zachádza na železničnú infraštruktúru bez platnej licencie na zachádzanie na železničnú infraštruktúru alebo v rozpore s ňou (§ 10a ods. 1), </w:t>
      </w:r>
    </w:p>
    <w:p w14:paraId="4F241AC4" w14:textId="77777777"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 xml:space="preserve">b) jednotlivé činnosti pri poskytovaní dopravných služieb nevykonávajú osoby, ktoré spĺňajú požiadavky odbornej spôsobilosti, zdravotnej spôsobilosti a psychickej spôsobilosti (§ 10a ods. 3) </w:t>
      </w:r>
    </w:p>
    <w:p w14:paraId="3723A593" w14:textId="77777777"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 xml:space="preserve">c) nepoužíva pri zachádzaní na železničnú infraštruktúru koľajové vozidlá v súlade s § 10a ods. 3, </w:t>
      </w:r>
    </w:p>
    <w:p w14:paraId="6D93C01B" w14:textId="77777777"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t>d) koľajové vozidlá, ktoré zachádzajú na železničnú infraštruktúru nevedie osoba, ktorá je držiteľom preukazu podľa § 26 alebo podľa osobitného predpisu 11aa),</w:t>
      </w:r>
    </w:p>
    <w:p w14:paraId="0BC71655" w14:textId="77777777" w:rsidR="00142D2D" w:rsidRDefault="00142D2D" w:rsidP="00142D2D">
      <w:pPr>
        <w:spacing w:after="0" w:line="240" w:lineRule="auto"/>
        <w:jc w:val="both"/>
        <w:rPr>
          <w:rFonts w:ascii="Times New Roman" w:eastAsia="Calibri" w:hAnsi="Times New Roman" w:cs="Times New Roman"/>
          <w:sz w:val="24"/>
          <w:szCs w:val="24"/>
        </w:rPr>
      </w:pPr>
    </w:p>
    <w:p w14:paraId="583DC57E" w14:textId="62FC7FFE" w:rsidR="00142D2D" w:rsidRPr="00142D2D" w:rsidRDefault="00142D2D" w:rsidP="00142D2D">
      <w:pPr>
        <w:spacing w:after="0" w:line="240" w:lineRule="auto"/>
        <w:jc w:val="both"/>
        <w:rPr>
          <w:rFonts w:ascii="Times New Roman" w:eastAsia="Calibri" w:hAnsi="Times New Roman" w:cs="Times New Roman"/>
          <w:sz w:val="24"/>
          <w:szCs w:val="24"/>
        </w:rPr>
      </w:pPr>
      <w:r w:rsidRPr="00142D2D">
        <w:rPr>
          <w:rFonts w:ascii="Times New Roman" w:eastAsia="Calibri" w:hAnsi="Times New Roman" w:cs="Times New Roman"/>
          <w:sz w:val="24"/>
          <w:szCs w:val="24"/>
        </w:rPr>
        <w:lastRenderedPageBreak/>
        <w:t xml:space="preserve">§ 43 ods. 11 </w:t>
      </w:r>
      <w:r>
        <w:rPr>
          <w:rFonts w:ascii="Times New Roman" w:eastAsia="Calibri" w:hAnsi="Times New Roman" w:cs="Times New Roman"/>
          <w:sz w:val="24"/>
          <w:szCs w:val="24"/>
        </w:rPr>
        <w:t>zákona č. 514/2009 Z. z.</w:t>
      </w:r>
      <w:r w:rsidRPr="00142D2D">
        <w:rPr>
          <w:rFonts w:ascii="Times New Roman" w:eastAsia="Calibri" w:hAnsi="Times New Roman" w:cs="Times New Roman"/>
          <w:sz w:val="24"/>
          <w:szCs w:val="24"/>
        </w:rPr>
        <w:t xml:space="preserve"> Licenčný orgán uloží pokutu do 1 000 eur fyzickej osobe alebo právnickej osobe, ktorá neoznámi licenčnému orgánu zmenu podmienok, na základe ktorých bola licencia na zachádzanie na železničnú infraštruktúru udelená alebo zmenu náležitostí licencie na zachádzanie na železničnú infraštruktúru, ktoré vyžadujú zmenu licencie  na zachádzanie na železničnú infraštruktúru alebo nepredloží licenčnému orgánu doklady preukazujúce zmenu podmienok alebo náležitostí do 15 dní od nadobudnutia účinnosti zmien alebo náležitostí. </w:t>
      </w:r>
    </w:p>
    <w:p w14:paraId="49140BD5" w14:textId="6BD71354" w:rsidR="00142D2D" w:rsidRDefault="00142D2D" w:rsidP="00142D2D">
      <w:pPr>
        <w:spacing w:after="0" w:line="240" w:lineRule="auto"/>
        <w:jc w:val="both"/>
        <w:rPr>
          <w:rFonts w:ascii="Times New Roman" w:eastAsia="Calibri" w:hAnsi="Times New Roman" w:cs="Times New Roman"/>
          <w:sz w:val="24"/>
          <w:szCs w:val="24"/>
        </w:rPr>
      </w:pPr>
    </w:p>
    <w:p w14:paraId="65B80D71" w14:textId="00C6F096" w:rsidR="00DC7232" w:rsidRDefault="00806D4F" w:rsidP="00DC7232">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Príloha</w:t>
      </w:r>
    </w:p>
    <w:tbl>
      <w:tblPr>
        <w:tblW w:w="0" w:type="auto"/>
        <w:tblInd w:w="70" w:type="dxa"/>
        <w:tblCellMar>
          <w:left w:w="70" w:type="dxa"/>
          <w:right w:w="70" w:type="dxa"/>
        </w:tblCellMar>
        <w:tblLook w:val="0000" w:firstRow="0" w:lastRow="0" w:firstColumn="0" w:lastColumn="0" w:noHBand="0" w:noVBand="0"/>
      </w:tblPr>
      <w:tblGrid>
        <w:gridCol w:w="9002"/>
      </w:tblGrid>
      <w:tr w:rsidR="00DC7232" w:rsidRPr="00DC7232" w14:paraId="6F03EA3B" w14:textId="77777777" w:rsidTr="00CB7A7C">
        <w:tc>
          <w:tcPr>
            <w:tcW w:w="9709" w:type="dxa"/>
            <w:tcBorders>
              <w:top w:val="nil"/>
              <w:left w:val="nil"/>
              <w:bottom w:val="nil"/>
              <w:right w:val="nil"/>
            </w:tcBorders>
          </w:tcPr>
          <w:p w14:paraId="32AFE880" w14:textId="77777777" w:rsidR="00DC7232" w:rsidRPr="00DC7232" w:rsidRDefault="00DC7232" w:rsidP="00CB7A7C">
            <w:pPr>
              <w:pStyle w:val="Nadpis1"/>
              <w:jc w:val="center"/>
              <w:rPr>
                <w:rFonts w:eastAsia="Calibri"/>
                <w:b w:val="0"/>
                <w:bCs w:val="0"/>
                <w:lang w:eastAsia="en-US"/>
              </w:rPr>
            </w:pPr>
            <w:r w:rsidRPr="00DC7232">
              <w:rPr>
                <w:rFonts w:eastAsia="Calibri"/>
                <w:b w:val="0"/>
                <w:bCs w:val="0"/>
                <w:lang w:eastAsia="en-US"/>
              </w:rPr>
              <w:t xml:space="preserve">MINISTERSTVO DOPRAVY A VÝSTAVBY SLOVENSKEJ REPUBLIKY </w:t>
            </w:r>
          </w:p>
          <w:p w14:paraId="21773644" w14:textId="77777777" w:rsidR="00DC7232" w:rsidRPr="00DC7232" w:rsidRDefault="00DC7232" w:rsidP="00CB7A7C">
            <w:pPr>
              <w:pStyle w:val="Nadpis1"/>
              <w:jc w:val="center"/>
              <w:rPr>
                <w:rFonts w:eastAsia="Calibri"/>
                <w:b w:val="0"/>
                <w:bCs w:val="0"/>
                <w:lang w:eastAsia="en-US"/>
              </w:rPr>
            </w:pPr>
            <w:r w:rsidRPr="00DC7232">
              <w:rPr>
                <w:rFonts w:eastAsia="Calibri"/>
                <w:b w:val="0"/>
                <w:bCs w:val="0"/>
                <w:lang w:eastAsia="en-US"/>
              </w:rPr>
              <w:t>SEKCIA  ŽELEZNIČNEJ DOPRAVY A DRÁH</w:t>
            </w:r>
          </w:p>
          <w:p w14:paraId="75699848" w14:textId="77777777" w:rsidR="00DC7232" w:rsidRPr="00DC7232" w:rsidRDefault="00DC7232" w:rsidP="00CB7A7C">
            <w:pPr>
              <w:ind w:right="-1"/>
              <w:rPr>
                <w:rFonts w:ascii="Times New Roman" w:eastAsia="Calibri" w:hAnsi="Times New Roman" w:cs="Times New Roman"/>
                <w:sz w:val="24"/>
                <w:szCs w:val="24"/>
              </w:rPr>
            </w:pPr>
          </w:p>
        </w:tc>
      </w:tr>
    </w:tbl>
    <w:p w14:paraId="043DBED1" w14:textId="77777777" w:rsidR="00DC7232" w:rsidRPr="00DC7232" w:rsidRDefault="00DC7232" w:rsidP="00DC7232">
      <w:pPr>
        <w:pStyle w:val="Nzov"/>
        <w:rPr>
          <w:rFonts w:ascii="Times New Roman" w:eastAsia="Calibri" w:hAnsi="Times New Roman" w:cs="Times New Roman"/>
          <w:b w:val="0"/>
          <w:bCs w:val="0"/>
          <w:kern w:val="0"/>
          <w:sz w:val="24"/>
          <w:szCs w:val="24"/>
          <w:lang w:eastAsia="en-US"/>
        </w:rPr>
      </w:pPr>
      <w:r w:rsidRPr="00DC7232">
        <w:rPr>
          <w:rFonts w:ascii="Times New Roman" w:eastAsia="Calibri" w:hAnsi="Times New Roman" w:cs="Times New Roman"/>
          <w:b w:val="0"/>
          <w:bCs w:val="0"/>
          <w:kern w:val="0"/>
          <w:sz w:val="24"/>
          <w:szCs w:val="24"/>
          <w:lang w:eastAsia="en-US"/>
        </w:rPr>
        <w:t>Záznam z konzultácie podľa bodu 5.5 Jednotnej metodiky na posudzovanie vybraných vplyvov</w:t>
      </w:r>
    </w:p>
    <w:tbl>
      <w:tblPr>
        <w:tblW w:w="9747"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2012"/>
        <w:gridCol w:w="2696"/>
        <w:gridCol w:w="989"/>
        <w:gridCol w:w="1416"/>
        <w:gridCol w:w="588"/>
        <w:gridCol w:w="2046"/>
      </w:tblGrid>
      <w:tr w:rsidR="00DC7232" w:rsidRPr="00DC7232" w14:paraId="14511516" w14:textId="77777777" w:rsidTr="00CB7A7C">
        <w:trPr>
          <w:trHeight w:val="414"/>
        </w:trPr>
        <w:tc>
          <w:tcPr>
            <w:tcW w:w="2012" w:type="dxa"/>
            <w:tcBorders>
              <w:top w:val="single" w:sz="12" w:space="0" w:color="C0C0C0"/>
              <w:left w:val="single" w:sz="12" w:space="0" w:color="C0C0C0"/>
              <w:bottom w:val="single" w:sz="12" w:space="0" w:color="C0C0C0"/>
              <w:right w:val="single" w:sz="12" w:space="0" w:color="C0C0C0"/>
            </w:tcBorders>
            <w:shd w:val="clear" w:color="auto" w:fill="E6E6E6"/>
            <w:vAlign w:val="center"/>
          </w:tcPr>
          <w:p w14:paraId="4FCE0242" w14:textId="77777777" w:rsidR="00DC7232" w:rsidRPr="00DC7232" w:rsidRDefault="00DC7232" w:rsidP="00CB7A7C">
            <w:pPr>
              <w:pStyle w:val="Nadpis3"/>
              <w:jc w:val="center"/>
              <w:rPr>
                <w:rFonts w:ascii="Times New Roman" w:eastAsia="Calibri" w:hAnsi="Times New Roman"/>
                <w:b w:val="0"/>
                <w:bCs w:val="0"/>
                <w:sz w:val="24"/>
                <w:szCs w:val="24"/>
                <w:lang w:val="sk-SK" w:eastAsia="en-US"/>
              </w:rPr>
            </w:pPr>
            <w:r w:rsidRPr="00DC7232">
              <w:rPr>
                <w:rFonts w:ascii="Times New Roman" w:eastAsia="Calibri" w:hAnsi="Times New Roman"/>
                <w:b w:val="0"/>
                <w:bCs w:val="0"/>
                <w:sz w:val="24"/>
                <w:szCs w:val="24"/>
                <w:lang w:val="sk-SK" w:eastAsia="en-US"/>
              </w:rPr>
              <w:t>Názov/Druh rokovania</w:t>
            </w:r>
          </w:p>
        </w:tc>
        <w:tc>
          <w:tcPr>
            <w:tcW w:w="7735" w:type="dxa"/>
            <w:gridSpan w:val="5"/>
            <w:tcBorders>
              <w:top w:val="single" w:sz="12" w:space="0" w:color="C0C0C0"/>
              <w:left w:val="single" w:sz="12" w:space="0" w:color="C0C0C0"/>
              <w:bottom w:val="single" w:sz="12" w:space="0" w:color="C0C0C0"/>
              <w:right w:val="single" w:sz="12" w:space="0" w:color="C0C0C0"/>
            </w:tcBorders>
            <w:vAlign w:val="center"/>
          </w:tcPr>
          <w:p w14:paraId="2D398FDE" w14:textId="77777777" w:rsidR="00DC7232" w:rsidRPr="00DC7232" w:rsidRDefault="00DC7232" w:rsidP="00CB7A7C">
            <w:pPr>
              <w:jc w:val="center"/>
              <w:rPr>
                <w:rFonts w:ascii="Times New Roman" w:eastAsia="Calibri" w:hAnsi="Times New Roman" w:cs="Times New Roman"/>
                <w:sz w:val="24"/>
                <w:szCs w:val="24"/>
              </w:rPr>
            </w:pPr>
            <w:r w:rsidRPr="00DC7232">
              <w:rPr>
                <w:rFonts w:ascii="Times New Roman" w:eastAsia="Calibri" w:hAnsi="Times New Roman" w:cs="Times New Roman"/>
                <w:sz w:val="24"/>
                <w:szCs w:val="24"/>
              </w:rPr>
              <w:t xml:space="preserve"> Konzultácie k predbežnej informácii zverejnenej k návrhu zákona, ktorým sa mení a dopĺňa zákon č. 513/2099 Z. z. o dráhach a o zmene a doplnení niektorých zákonov v znení neskorších predpisov a ktorým sa menia a dopĺňajú niektoré zákony </w:t>
            </w:r>
          </w:p>
        </w:tc>
      </w:tr>
      <w:tr w:rsidR="00DC7232" w:rsidRPr="00DC7232" w14:paraId="4DB305DC" w14:textId="77777777" w:rsidTr="00CB7A7C">
        <w:trPr>
          <w:trHeight w:val="661"/>
        </w:trPr>
        <w:tc>
          <w:tcPr>
            <w:tcW w:w="2012" w:type="dxa"/>
            <w:tcBorders>
              <w:top w:val="single" w:sz="12" w:space="0" w:color="C0C0C0"/>
              <w:left w:val="single" w:sz="12" w:space="0" w:color="C0C0C0"/>
              <w:bottom w:val="single" w:sz="12" w:space="0" w:color="C0C0C0"/>
              <w:right w:val="single" w:sz="12" w:space="0" w:color="C0C0C0"/>
            </w:tcBorders>
            <w:shd w:val="clear" w:color="auto" w:fill="E6E6E6"/>
            <w:vAlign w:val="center"/>
          </w:tcPr>
          <w:p w14:paraId="05A2B3E1" w14:textId="77777777" w:rsidR="00DC7232" w:rsidRPr="00DC7232" w:rsidRDefault="00DC7232" w:rsidP="00CB7A7C">
            <w:pPr>
              <w:pStyle w:val="Nadpis3"/>
              <w:jc w:val="center"/>
              <w:rPr>
                <w:rFonts w:ascii="Times New Roman" w:eastAsia="Calibri" w:hAnsi="Times New Roman"/>
                <w:b w:val="0"/>
                <w:bCs w:val="0"/>
                <w:sz w:val="24"/>
                <w:szCs w:val="24"/>
                <w:lang w:val="sk-SK" w:eastAsia="en-US"/>
              </w:rPr>
            </w:pPr>
            <w:r w:rsidRPr="00DC7232">
              <w:rPr>
                <w:rFonts w:ascii="Times New Roman" w:eastAsia="Calibri" w:hAnsi="Times New Roman"/>
                <w:b w:val="0"/>
                <w:bCs w:val="0"/>
                <w:sz w:val="24"/>
                <w:szCs w:val="24"/>
                <w:lang w:val="sk-SK" w:eastAsia="en-US"/>
              </w:rPr>
              <w:t>Miesto rokovania</w:t>
            </w:r>
          </w:p>
        </w:tc>
        <w:tc>
          <w:tcPr>
            <w:tcW w:w="2696" w:type="dxa"/>
            <w:tcBorders>
              <w:top w:val="single" w:sz="12" w:space="0" w:color="C0C0C0"/>
              <w:left w:val="single" w:sz="12" w:space="0" w:color="C0C0C0"/>
              <w:bottom w:val="single" w:sz="12" w:space="0" w:color="C0C0C0"/>
              <w:right w:val="single" w:sz="12" w:space="0" w:color="C0C0C0"/>
            </w:tcBorders>
            <w:vAlign w:val="center"/>
          </w:tcPr>
          <w:p w14:paraId="4DDB6BC5" w14:textId="77777777" w:rsidR="00DC7232" w:rsidRPr="00DC7232" w:rsidRDefault="00DC7232" w:rsidP="00CB7A7C">
            <w:pPr>
              <w:pStyle w:val="Pta"/>
              <w:tabs>
                <w:tab w:val="clear" w:pos="4536"/>
                <w:tab w:val="clear" w:pos="9072"/>
              </w:tabs>
              <w:jc w:val="center"/>
              <w:rPr>
                <w:rFonts w:ascii="Times New Roman" w:eastAsia="Calibri" w:hAnsi="Times New Roman" w:cs="Times New Roman"/>
                <w:sz w:val="24"/>
                <w:szCs w:val="24"/>
              </w:rPr>
            </w:pPr>
            <w:r w:rsidRPr="00DC7232">
              <w:rPr>
                <w:rFonts w:ascii="Times New Roman" w:eastAsia="Calibri" w:hAnsi="Times New Roman" w:cs="Times New Roman"/>
                <w:sz w:val="24"/>
                <w:szCs w:val="24"/>
              </w:rPr>
              <w:t>Miestnosť č. 611</w:t>
            </w:r>
          </w:p>
        </w:tc>
        <w:tc>
          <w:tcPr>
            <w:tcW w:w="989" w:type="dxa"/>
            <w:tcBorders>
              <w:top w:val="single" w:sz="12" w:space="0" w:color="C0C0C0"/>
              <w:left w:val="single" w:sz="12" w:space="0" w:color="C0C0C0"/>
              <w:bottom w:val="single" w:sz="12" w:space="0" w:color="C0C0C0"/>
              <w:right w:val="single" w:sz="12" w:space="0" w:color="C0C0C0"/>
            </w:tcBorders>
            <w:shd w:val="clear" w:color="auto" w:fill="E6E6E6"/>
            <w:vAlign w:val="center"/>
          </w:tcPr>
          <w:p w14:paraId="75C244C5" w14:textId="77777777" w:rsidR="00DC7232" w:rsidRPr="00DC7232" w:rsidRDefault="00DC7232" w:rsidP="00CB7A7C">
            <w:pPr>
              <w:pStyle w:val="Nadpis3"/>
              <w:jc w:val="center"/>
              <w:rPr>
                <w:rFonts w:ascii="Times New Roman" w:eastAsia="Calibri" w:hAnsi="Times New Roman"/>
                <w:b w:val="0"/>
                <w:bCs w:val="0"/>
                <w:sz w:val="24"/>
                <w:szCs w:val="24"/>
                <w:lang w:val="sk-SK" w:eastAsia="en-US"/>
              </w:rPr>
            </w:pPr>
            <w:r w:rsidRPr="00DC7232">
              <w:rPr>
                <w:rFonts w:ascii="Times New Roman" w:eastAsia="Calibri" w:hAnsi="Times New Roman"/>
                <w:b w:val="0"/>
                <w:bCs w:val="0"/>
                <w:sz w:val="24"/>
                <w:szCs w:val="24"/>
                <w:lang w:val="sk-SK" w:eastAsia="en-US"/>
              </w:rPr>
              <w:t>Dátum</w:t>
            </w:r>
          </w:p>
        </w:tc>
        <w:tc>
          <w:tcPr>
            <w:tcW w:w="1416" w:type="dxa"/>
            <w:tcBorders>
              <w:top w:val="single" w:sz="12" w:space="0" w:color="C0C0C0"/>
              <w:left w:val="single" w:sz="12" w:space="0" w:color="C0C0C0"/>
              <w:bottom w:val="single" w:sz="12" w:space="0" w:color="C0C0C0"/>
              <w:right w:val="single" w:sz="12" w:space="0" w:color="C0C0C0"/>
            </w:tcBorders>
            <w:vAlign w:val="center"/>
          </w:tcPr>
          <w:p w14:paraId="38D54276" w14:textId="77777777" w:rsidR="00DC7232" w:rsidRPr="00DC7232" w:rsidRDefault="00DC7232" w:rsidP="00CB7A7C">
            <w:pPr>
              <w:pStyle w:val="Pta"/>
              <w:tabs>
                <w:tab w:val="clear" w:pos="4536"/>
                <w:tab w:val="clear" w:pos="9072"/>
              </w:tabs>
              <w:spacing w:before="60"/>
              <w:jc w:val="center"/>
              <w:rPr>
                <w:rFonts w:ascii="Times New Roman" w:eastAsia="Calibri" w:hAnsi="Times New Roman" w:cs="Times New Roman"/>
                <w:sz w:val="24"/>
                <w:szCs w:val="24"/>
              </w:rPr>
            </w:pPr>
            <w:r w:rsidRPr="00DC7232">
              <w:rPr>
                <w:rFonts w:ascii="Times New Roman" w:eastAsia="Calibri" w:hAnsi="Times New Roman" w:cs="Times New Roman"/>
                <w:sz w:val="24"/>
                <w:szCs w:val="24"/>
              </w:rPr>
              <w:t>30. 08. 2022</w:t>
            </w:r>
          </w:p>
        </w:tc>
        <w:tc>
          <w:tcPr>
            <w:tcW w:w="588" w:type="dxa"/>
            <w:tcBorders>
              <w:top w:val="single" w:sz="12" w:space="0" w:color="C0C0C0"/>
              <w:left w:val="single" w:sz="12" w:space="0" w:color="C0C0C0"/>
              <w:bottom w:val="single" w:sz="12" w:space="0" w:color="C0C0C0"/>
              <w:right w:val="single" w:sz="12" w:space="0" w:color="C0C0C0"/>
            </w:tcBorders>
            <w:shd w:val="clear" w:color="auto" w:fill="E6E6E6"/>
            <w:vAlign w:val="center"/>
          </w:tcPr>
          <w:p w14:paraId="68637D4F" w14:textId="77777777" w:rsidR="00DC7232" w:rsidRPr="00DC7232" w:rsidRDefault="00DC7232" w:rsidP="00CB7A7C">
            <w:pPr>
              <w:pStyle w:val="Nadpis3"/>
              <w:ind w:left="-108"/>
              <w:jc w:val="center"/>
              <w:rPr>
                <w:rFonts w:ascii="Times New Roman" w:eastAsia="Calibri" w:hAnsi="Times New Roman"/>
                <w:b w:val="0"/>
                <w:bCs w:val="0"/>
                <w:sz w:val="24"/>
                <w:szCs w:val="24"/>
                <w:lang w:val="sk-SK" w:eastAsia="en-US"/>
              </w:rPr>
            </w:pPr>
            <w:r w:rsidRPr="00DC7232">
              <w:rPr>
                <w:rFonts w:ascii="Times New Roman" w:eastAsia="Calibri" w:hAnsi="Times New Roman"/>
                <w:b w:val="0"/>
                <w:bCs w:val="0"/>
                <w:sz w:val="24"/>
                <w:szCs w:val="24"/>
                <w:lang w:val="sk-SK" w:eastAsia="en-US"/>
              </w:rPr>
              <w:t>Čas</w:t>
            </w:r>
          </w:p>
        </w:tc>
        <w:tc>
          <w:tcPr>
            <w:tcW w:w="2046" w:type="dxa"/>
            <w:tcBorders>
              <w:top w:val="single" w:sz="12" w:space="0" w:color="C0C0C0"/>
              <w:left w:val="single" w:sz="12" w:space="0" w:color="C0C0C0"/>
              <w:bottom w:val="single" w:sz="12" w:space="0" w:color="C0C0C0"/>
              <w:right w:val="single" w:sz="12" w:space="0" w:color="C0C0C0"/>
            </w:tcBorders>
            <w:vAlign w:val="center"/>
          </w:tcPr>
          <w:p w14:paraId="4BCB34BD" w14:textId="77777777" w:rsidR="00DC7232" w:rsidRPr="00DC7232" w:rsidRDefault="00DC7232" w:rsidP="00CB7A7C">
            <w:pPr>
              <w:spacing w:before="60"/>
              <w:jc w:val="center"/>
              <w:rPr>
                <w:rFonts w:ascii="Times New Roman" w:eastAsia="Calibri" w:hAnsi="Times New Roman" w:cs="Times New Roman"/>
                <w:sz w:val="24"/>
                <w:szCs w:val="24"/>
              </w:rPr>
            </w:pPr>
            <w:r w:rsidRPr="00DC7232">
              <w:rPr>
                <w:rFonts w:ascii="Times New Roman" w:eastAsia="Calibri" w:hAnsi="Times New Roman" w:cs="Times New Roman"/>
                <w:sz w:val="24"/>
                <w:szCs w:val="24"/>
              </w:rPr>
              <w:t>10:00 – 11.00</w:t>
            </w:r>
          </w:p>
        </w:tc>
      </w:tr>
    </w:tbl>
    <w:p w14:paraId="67F4A289" w14:textId="77777777" w:rsidR="00DC7232" w:rsidRPr="00DC7232" w:rsidRDefault="00DC7232" w:rsidP="00DC7232">
      <w:pPr>
        <w:pStyle w:val="Popis"/>
        <w:spacing w:before="360"/>
        <w:rPr>
          <w:rFonts w:ascii="Times New Roman" w:eastAsia="Calibri" w:hAnsi="Times New Roman" w:cs="Times New Roman"/>
          <w:b w:val="0"/>
          <w:bCs w:val="0"/>
          <w:sz w:val="24"/>
          <w:szCs w:val="24"/>
          <w:lang w:eastAsia="en-US"/>
        </w:rPr>
      </w:pPr>
      <w:r w:rsidRPr="00DC7232">
        <w:rPr>
          <w:rFonts w:ascii="Times New Roman" w:eastAsia="Calibri" w:hAnsi="Times New Roman" w:cs="Times New Roman"/>
          <w:b w:val="0"/>
          <w:bCs w:val="0"/>
          <w:sz w:val="24"/>
          <w:szCs w:val="24"/>
          <w:lang w:eastAsia="en-US"/>
        </w:rPr>
        <w:t xml:space="preserve">I. Účastníci </w:t>
      </w:r>
    </w:p>
    <w:p w14:paraId="2F0C44E7" w14:textId="77777777" w:rsidR="00DC7232" w:rsidRPr="00DC7232" w:rsidRDefault="00DC7232" w:rsidP="00DC7232">
      <w:pPr>
        <w:rPr>
          <w:rFonts w:ascii="Times New Roman" w:eastAsia="Calibri" w:hAnsi="Times New Roman" w:cs="Times New Roman"/>
          <w:sz w:val="24"/>
          <w:szCs w:val="24"/>
        </w:rPr>
      </w:pPr>
      <w:r w:rsidRPr="00DC7232">
        <w:rPr>
          <w:rFonts w:ascii="Times New Roman" w:eastAsia="Calibri" w:hAnsi="Times New Roman" w:cs="Times New Roman"/>
          <w:sz w:val="24"/>
          <w:szCs w:val="24"/>
        </w:rPr>
        <w:t>podľa prezenčnej listiny</w:t>
      </w:r>
    </w:p>
    <w:p w14:paraId="04BC1150" w14:textId="77777777" w:rsidR="00DC7232" w:rsidRPr="00DC7232" w:rsidRDefault="00DC7232" w:rsidP="00DC7232">
      <w:pPr>
        <w:rPr>
          <w:rFonts w:ascii="Times New Roman" w:eastAsia="Calibri" w:hAnsi="Times New Roman" w:cs="Times New Roman"/>
          <w:sz w:val="24"/>
          <w:szCs w:val="24"/>
        </w:rPr>
      </w:pPr>
    </w:p>
    <w:p w14:paraId="3DF0D0CD" w14:textId="77777777" w:rsidR="00DC7232" w:rsidRPr="00DC7232" w:rsidRDefault="00DC7232" w:rsidP="00DC7232">
      <w:pPr>
        <w:pStyle w:val="Popis"/>
        <w:spacing w:before="0"/>
        <w:outlineLvl w:val="0"/>
        <w:rPr>
          <w:rFonts w:ascii="Times New Roman" w:eastAsia="Calibri" w:hAnsi="Times New Roman" w:cs="Times New Roman"/>
          <w:b w:val="0"/>
          <w:bCs w:val="0"/>
          <w:sz w:val="24"/>
          <w:szCs w:val="24"/>
          <w:lang w:eastAsia="en-US"/>
        </w:rPr>
      </w:pPr>
      <w:r w:rsidRPr="00DC7232">
        <w:rPr>
          <w:rFonts w:ascii="Times New Roman" w:eastAsia="Calibri" w:hAnsi="Times New Roman" w:cs="Times New Roman"/>
          <w:b w:val="0"/>
          <w:bCs w:val="0"/>
          <w:sz w:val="24"/>
          <w:szCs w:val="24"/>
          <w:lang w:eastAsia="en-US"/>
        </w:rPr>
        <w:t>II. Diskusná časť</w:t>
      </w:r>
    </w:p>
    <w:p w14:paraId="0CB50ED1" w14:textId="266DCA27"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Konzultácia bola zorganizovaná z dôvodu požiadavky zo strany Republikovej únie zamestnávateľov (ďalej len „RÚZ“) v súvislosti so zverejnením predbežnej informácie k návrhu zákona, ktorým sa mení a dopĺňa zákon č. 513/2099 Z. z. o dráhach a o zmene a doplnení niektorých zákonov v znení neskorších predpisov a ktorým sa menia a dopĺňajú niektoré zákony.</w:t>
      </w:r>
    </w:p>
    <w:p w14:paraId="1A8CADA3" w14:textId="2F69650C"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 xml:space="preserve">Zástupkyňa ministerstva na úvod v kontexte zverejnenia predbežnej informácie objasnila proces prípravy návrhu zákona, ktorý prebieha už vyše pol roka vrátane komunikácie s dotknutými subjektmi. Súčasný návrh bol vypracovaný v spolupráci so ŽSR, dopravcami, odborármi a Dopravným úradom. Zatiaľ čo pôvodným zámerom bolo zákon novelizovať doplnením odkazov na vykonávacie predpisy EÚ prijaté v rámci tzv. štvrtého železničného balíka, spolu s ďalšími úpravami sa rozsah návrhu zvýšil na približne 150 bodov, ktoré vyplývajú z aplikačnej praxe. Medzi najdôležitejšie okruhy patria nové rozdelenie špeciálnych dráh, umožnenie prevádzky električkovlakov, zriadenie vnútroštátneho registra železničných vozidiel, umožnenie vedenia nakoľajeného mobilného zariadenia pri údržbe a výstavbe železničnej infraštruktúry bez preukazu na vedenie dráhového vozidla, zníženie minimálneho veku rušňovodiča na 19 rokov v prípade vedenia železničného vozidla na území SR, zníženie požiadaviek na osobu skúšobného komisára pre výkon TBS, zníženie počtu pravidelných školení na udržanie odborných spôsobilostí pre všetky dráhy okrem železničných, zavedenie </w:t>
      </w:r>
      <w:r w:rsidRPr="00DC7232">
        <w:rPr>
          <w:rFonts w:ascii="Times New Roman" w:eastAsia="Calibri" w:hAnsi="Times New Roman" w:cs="Times New Roman"/>
          <w:sz w:val="24"/>
          <w:szCs w:val="24"/>
        </w:rPr>
        <w:lastRenderedPageBreak/>
        <w:t>povinnej psychologickej starostlivosti pre rušňovodičov po nehode, úprava priorít prideľovania kapacity pri preťaženej železničnej infraštruktúre v nadväznosti na verejné súťaže na výkon dopravných služieb vo verejnom záujme, úprava postupu udeľovania výnimiek z technických špecifikácií interoperability, zavedenie zjednodušených licencií pre zachádzanie vlečkárov na železničnú sieť alebo zníženie administratívnej záťaže pri predlžovaní platnosti preukazu na vedenie dráhového vozidla. Predložené vyjadrenie RÚZ k prebežnej informácii je možné chápať ako požiadavku na vypracovanie nového zákona o dráhach a o doprave na dráhach, na čo však pravdepodobne nebude dostatočný dôvod ani v blízkej budúcnosti, keďže súčasné znenie je prevažne transpozíciou smerníc EÚ a tento kontext by musel zostať zachovaný. Čo sa týka požiadavky RÚZ na vytvorenie pracovnej skupiny, skôr spomenuté subjekty boli do prípravy návrhu už zapojené</w:t>
      </w:r>
      <w:r>
        <w:rPr>
          <w:rFonts w:ascii="Times New Roman" w:eastAsia="Calibri" w:hAnsi="Times New Roman" w:cs="Times New Roman"/>
          <w:sz w:val="24"/>
          <w:szCs w:val="24"/>
        </w:rPr>
        <w:t>.</w:t>
      </w:r>
    </w:p>
    <w:p w14:paraId="41433077" w14:textId="7680D2B0"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Zástupkyňa RUZ poďakovala za objasnenie a ozrejmila, že nemala komplexnú informáciu o tom, že proces prípravy návrhu už prebiehal, hoci mala vedomosť o komunikácii s niektorými združeniami. RÚZ sa stotožňuje s požiadavkami ostatných členov, resp. združení na súlad s vykonávacími aktami EÚ. Rozumie tomu, že nie je možné pripraviť úplne nový zákon. Požiadavka vo vyjadrení k predbežnej informácii bola skôr zameraná na zapracovanie všetkých príslušných odkazov a zjednotenie s legislatívou EÚ, aj čo sa týka registrov. Zároveň uviedla, že kolegovia predložili niekoľko podnetov, ktoré bude pre</w:t>
      </w:r>
      <w:r>
        <w:rPr>
          <w:rFonts w:ascii="Times New Roman" w:eastAsia="Calibri" w:hAnsi="Times New Roman" w:cs="Times New Roman"/>
          <w:sz w:val="24"/>
          <w:szCs w:val="24"/>
        </w:rPr>
        <w:t>zentovať.</w:t>
      </w:r>
    </w:p>
    <w:p w14:paraId="2ABBEE96" w14:textId="48EDFC1D" w:rsidR="00DC7232" w:rsidRPr="00DC7232" w:rsidRDefault="00DC7232" w:rsidP="00DC7232">
      <w:pPr>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1. podnet sa týka systému vyšetrovania železničných nehôd, keď dopravcovia vnímajú manažéra infraštruktúry ako hlavného vyšetrovateľa, avšak namiesto toho majú záujem na vedení v</w:t>
      </w:r>
      <w:r>
        <w:rPr>
          <w:rFonts w:ascii="Times New Roman" w:eastAsia="Calibri" w:hAnsi="Times New Roman" w:cs="Times New Roman"/>
          <w:sz w:val="24"/>
          <w:szCs w:val="24"/>
        </w:rPr>
        <w:t>yšetrovania nezávislou entitou.</w:t>
      </w:r>
    </w:p>
    <w:p w14:paraId="0E8F0B66" w14:textId="02AA1DE2"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 xml:space="preserve">Zástupkyňa ministerstva poznamenala, že táto pripomienka už bola prerokovaná na osobitnom stretnutí so zástupcami AROS, ZVKV a METRANS. Manažér infraštruktúry, podobne ako aj dopravcovia, má povinnosť vyšetrovať nehody v rámci vlastnej činnosti a zlepšovania systému riadenia bezpečnosti, čo v zákone zostane zachované. Nie je však hlavným vyšetrovateľom ani vyšetrovacím orgánom pre železničné dráhy. V podmienkach SR je týmto orgánom MDV SR, čo vyplýva zo skutočnosti, že v čase transpozície príslušnej smernice EÚ nebol záujem zriadiť samostatný vyšetrovací úrad. Vzhľadom na dané kapacitné možnosti v súčasnosti nie je možné, aby vyšetrovatelia MDV SR vyvíjali činnosti v rozsahu požadovanom odborovými združeniami. V záujme zlepšenia situácie sa navrhuje (v rámci novelizácie leteckého zákona) pričlenenie železničného vyšetrovacieho orgánu k leteckému a námornému vyšetrovaciemu úradu. Účinnosť tejto úpravy </w:t>
      </w:r>
      <w:r>
        <w:rPr>
          <w:rFonts w:ascii="Times New Roman" w:eastAsia="Calibri" w:hAnsi="Times New Roman" w:cs="Times New Roman"/>
          <w:sz w:val="24"/>
          <w:szCs w:val="24"/>
        </w:rPr>
        <w:t>sa predpokladá od januára 2023.</w:t>
      </w:r>
    </w:p>
    <w:p w14:paraId="595C0B00" w14:textId="13B5C8B2" w:rsidR="00DC7232" w:rsidRPr="00DC7232" w:rsidRDefault="00DC7232" w:rsidP="00DC7232">
      <w:pPr>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 xml:space="preserve">2. podnet sa týka požiadavky uloženia zákonnej povinnosti, aby manažér infraštruktúry vypracúval havarijné plány so </w:t>
      </w:r>
      <w:r>
        <w:rPr>
          <w:rFonts w:ascii="Times New Roman" w:eastAsia="Calibri" w:hAnsi="Times New Roman" w:cs="Times New Roman"/>
          <w:sz w:val="24"/>
          <w:szCs w:val="24"/>
        </w:rPr>
        <w:t>všetkými železničnými podnikmi.</w:t>
      </w:r>
    </w:p>
    <w:p w14:paraId="2BBEC744" w14:textId="20AE06DC"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Zástupkyňa ministerstva reagovala, že ide o ďalšiu z pripomienok, ktoré MDV SR s dotknutými subjektmi už prerokovalo. Zákon o dráhach už v platnom znení ukladá povinnosť vypracovať vlastný havarijný plán tak manažérovi infraštruktúry, ako aj všetkým železničným podnikom. Požiadavke na doplnenie súčasných ustanovení tak, aby vyžadovali vypracovanie spoločného havarijného plánu dopravcami s manažérom infraštruktúry, nemožno vyhovieť najmä vzhľadom na odlišné povinnosti manažéra infraštruktúry a železničného podniku</w:t>
      </w:r>
      <w:r>
        <w:rPr>
          <w:rFonts w:ascii="Times New Roman" w:eastAsia="Calibri" w:hAnsi="Times New Roman" w:cs="Times New Roman"/>
          <w:sz w:val="24"/>
          <w:szCs w:val="24"/>
        </w:rPr>
        <w:t>.</w:t>
      </w:r>
    </w:p>
    <w:p w14:paraId="0880A95F" w14:textId="1A1533C1"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 xml:space="preserve">Zástupca ministerstva k podnetu uviedol, že jednotlivé železničné podniky a manažér infraštruktúry sa zameriavajú na túto záležitosť pri uzatváraní zmluvy o prístupe k železničnej infraštruktúre, teda rieši sa osobitne v rámci zmluvných vzťahov bez toho, aby ju bolo nutné </w:t>
      </w:r>
      <w:r w:rsidRPr="00DC7232">
        <w:rPr>
          <w:rFonts w:ascii="Times New Roman" w:eastAsia="Calibri" w:hAnsi="Times New Roman" w:cs="Times New Roman"/>
          <w:sz w:val="24"/>
          <w:szCs w:val="24"/>
        </w:rPr>
        <w:lastRenderedPageBreak/>
        <w:t>podrobnejšie ošetriť zákonom. Podmienky pre každý železničný podnik sú špecifické, napríklad v závislosti od dostup</w:t>
      </w:r>
      <w:r>
        <w:rPr>
          <w:rFonts w:ascii="Times New Roman" w:eastAsia="Calibri" w:hAnsi="Times New Roman" w:cs="Times New Roman"/>
          <w:sz w:val="24"/>
          <w:szCs w:val="24"/>
        </w:rPr>
        <w:t xml:space="preserve">nosti nehodových prostriedkov. </w:t>
      </w:r>
    </w:p>
    <w:p w14:paraId="332E2BDE" w14:textId="3536627C" w:rsidR="00DC7232" w:rsidRPr="00DC7232" w:rsidRDefault="00DC7232" w:rsidP="00DC7232">
      <w:pPr>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3. podnet sa týka úpravy priorít prideľovania kapacity pri preťaženej železničnej infraštruktúre so zavedením osobitného inštitútu uplatniteľného v nevyhnutných, opodstatnených prípadoch, najmä v m</w:t>
      </w:r>
      <w:r>
        <w:rPr>
          <w:rFonts w:ascii="Times New Roman" w:eastAsia="Calibri" w:hAnsi="Times New Roman" w:cs="Times New Roman"/>
          <w:sz w:val="24"/>
          <w:szCs w:val="24"/>
        </w:rPr>
        <w:t>edzinárodnej nákladnej doprave.</w:t>
      </w:r>
    </w:p>
    <w:p w14:paraId="2E6FC948" w14:textId="2FB7C9D5"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Zástupkyňa ministerstva uviedla, že opäť ide o jednu z pripomienok, ktorá bola s odborovými združeniami prerokovaná. Keďže od decembra 2023 má byť výkon dopravných služieb vo verejnom záujme zabezpečovaný na základe verejných súťaží, musí byť zaručená splniteľnosť podmienok stanovených objednávateľom pre dopravcu v zmysle voľných trás. Táto okolnosť je zohľadnená v poradí priorít prideľovania kapacity, kde sú uprednostnené služby osobnej dopravy vo verejnom záujme. Priority sú pritom stanovené len pre prípady preťaženej infraštruktúry, ktorá v podmienkach SR ešte nenastala</w:t>
      </w:r>
      <w:r>
        <w:rPr>
          <w:rFonts w:ascii="Times New Roman" w:eastAsia="Calibri" w:hAnsi="Times New Roman" w:cs="Times New Roman"/>
          <w:sz w:val="24"/>
          <w:szCs w:val="24"/>
        </w:rPr>
        <w:t>.</w:t>
      </w:r>
    </w:p>
    <w:p w14:paraId="656D9B1D" w14:textId="08CBE2AE"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Zástupca ministerstva doplnil, že od osobných dopravcov sa vyžaduje plnenie kvalitatívnych štandardov vrátane presnosti spojov, na čo musia mať objednávateľom vytvorené podmienky. Navyše je žiadúce zamedziť akýmkoľvek narušeniam taktového rozloženia trás, a tým spoľahli</w:t>
      </w:r>
      <w:r>
        <w:rPr>
          <w:rFonts w:ascii="Times New Roman" w:eastAsia="Calibri" w:hAnsi="Times New Roman" w:cs="Times New Roman"/>
          <w:sz w:val="24"/>
          <w:szCs w:val="24"/>
        </w:rPr>
        <w:t>vosti celého taktového systému.</w:t>
      </w:r>
    </w:p>
    <w:p w14:paraId="34660D77" w14:textId="3D6B6C03"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Zástupkyňa RUZ uzavrela stretnutie vyjadrením, že bude tlmočiť odpovede MDV SR kolegom a RÚZ počká na predbežné pripomienkové konanie,</w:t>
      </w:r>
      <w:r>
        <w:rPr>
          <w:rFonts w:ascii="Times New Roman" w:eastAsia="Calibri" w:hAnsi="Times New Roman" w:cs="Times New Roman"/>
          <w:sz w:val="24"/>
          <w:szCs w:val="24"/>
        </w:rPr>
        <w:t xml:space="preserve"> do ktorého sa prípadne zapojí.</w:t>
      </w:r>
    </w:p>
    <w:p w14:paraId="183A4606" w14:textId="0C55098A" w:rsidR="00DC7232" w:rsidRPr="00DC7232" w:rsidRDefault="00DC7232" w:rsidP="00DC7232">
      <w:pPr>
        <w:ind w:firstLine="708"/>
        <w:jc w:val="both"/>
        <w:rPr>
          <w:rFonts w:ascii="Times New Roman" w:eastAsia="Calibri" w:hAnsi="Times New Roman" w:cs="Times New Roman"/>
          <w:sz w:val="24"/>
          <w:szCs w:val="24"/>
        </w:rPr>
      </w:pPr>
      <w:r w:rsidRPr="00DC7232">
        <w:rPr>
          <w:rFonts w:ascii="Times New Roman" w:eastAsia="Calibri" w:hAnsi="Times New Roman" w:cs="Times New Roman"/>
          <w:sz w:val="24"/>
          <w:szCs w:val="24"/>
        </w:rPr>
        <w:t>Zástupkyňa ministerstva vyjadrila predpoklad, že predbežné pripomienkové konanie bude m</w:t>
      </w:r>
      <w:r>
        <w:rPr>
          <w:rFonts w:ascii="Times New Roman" w:eastAsia="Calibri" w:hAnsi="Times New Roman" w:cs="Times New Roman"/>
          <w:sz w:val="24"/>
          <w:szCs w:val="24"/>
        </w:rPr>
        <w:t>ožné začať do polovice októbra.</w:t>
      </w:r>
    </w:p>
    <w:p w14:paraId="0E9D25C8" w14:textId="77777777" w:rsidR="00DC7232" w:rsidRPr="00DC7232" w:rsidRDefault="00DC7232" w:rsidP="00DC7232">
      <w:pPr>
        <w:pStyle w:val="Popis"/>
        <w:spacing w:before="0"/>
        <w:outlineLvl w:val="0"/>
        <w:rPr>
          <w:rFonts w:ascii="Times New Roman" w:eastAsia="Calibri" w:hAnsi="Times New Roman" w:cs="Times New Roman"/>
          <w:b w:val="0"/>
          <w:bCs w:val="0"/>
          <w:sz w:val="24"/>
          <w:szCs w:val="24"/>
          <w:lang w:eastAsia="en-US"/>
        </w:rPr>
      </w:pPr>
      <w:r w:rsidRPr="00DC7232">
        <w:rPr>
          <w:rFonts w:ascii="Times New Roman" w:eastAsia="Calibri" w:hAnsi="Times New Roman" w:cs="Times New Roman"/>
          <w:b w:val="0"/>
          <w:bCs w:val="0"/>
          <w:sz w:val="24"/>
          <w:szCs w:val="24"/>
          <w:lang w:eastAsia="en-US"/>
        </w:rPr>
        <w:t>III. Úlohy, návrhy, dohody</w:t>
      </w:r>
    </w:p>
    <w:p w14:paraId="66B0DFD3" w14:textId="13F98B53" w:rsidR="00DC7232" w:rsidRPr="00DC7232" w:rsidRDefault="00DC7232" w:rsidP="00DC7232">
      <w:pPr>
        <w:rPr>
          <w:rFonts w:ascii="Times New Roman" w:eastAsia="Calibri" w:hAnsi="Times New Roman" w:cs="Times New Roman"/>
          <w:sz w:val="24"/>
          <w:szCs w:val="24"/>
        </w:rPr>
      </w:pPr>
      <w:r>
        <w:rPr>
          <w:rFonts w:ascii="Times New Roman" w:eastAsia="Calibri" w:hAnsi="Times New Roman" w:cs="Times New Roman"/>
          <w:sz w:val="24"/>
          <w:szCs w:val="24"/>
        </w:rPr>
        <w:t xml:space="preserve">neboli prijaté </w:t>
      </w:r>
    </w:p>
    <w:p w14:paraId="2A879365" w14:textId="77777777" w:rsidR="00DC7232" w:rsidRPr="00DC7232" w:rsidRDefault="00DC7232" w:rsidP="00DC7232">
      <w:pPr>
        <w:pStyle w:val="Popis"/>
        <w:spacing w:before="0"/>
        <w:outlineLvl w:val="0"/>
        <w:rPr>
          <w:rFonts w:ascii="Times New Roman" w:eastAsia="Calibri" w:hAnsi="Times New Roman" w:cs="Times New Roman"/>
          <w:b w:val="0"/>
          <w:bCs w:val="0"/>
          <w:sz w:val="24"/>
          <w:szCs w:val="24"/>
          <w:lang w:eastAsia="en-US"/>
        </w:rPr>
      </w:pPr>
      <w:r w:rsidRPr="00DC7232">
        <w:rPr>
          <w:rFonts w:ascii="Times New Roman" w:eastAsia="Calibri" w:hAnsi="Times New Roman" w:cs="Times New Roman"/>
          <w:b w:val="0"/>
          <w:bCs w:val="0"/>
          <w:sz w:val="24"/>
          <w:szCs w:val="24"/>
          <w:lang w:eastAsia="en-US"/>
        </w:rPr>
        <w:t>Zapísal:</w:t>
      </w:r>
    </w:p>
    <w:p w14:paraId="43207BED" w14:textId="09C9CC16" w:rsidR="00DC7232" w:rsidRPr="00DC7232" w:rsidRDefault="00DC7232" w:rsidP="00DC7232">
      <w:pPr>
        <w:rPr>
          <w:rFonts w:ascii="Times New Roman" w:eastAsia="Calibri" w:hAnsi="Times New Roman" w:cs="Times New Roman"/>
          <w:sz w:val="24"/>
          <w:szCs w:val="24"/>
        </w:rPr>
      </w:pPr>
      <w:r w:rsidRPr="00DC7232">
        <w:rPr>
          <w:rFonts w:ascii="Times New Roman" w:eastAsia="Calibri" w:hAnsi="Times New Roman" w:cs="Times New Roman"/>
          <w:sz w:val="24"/>
          <w:szCs w:val="24"/>
        </w:rPr>
        <w:t xml:space="preserve">Ing. </w:t>
      </w:r>
      <w:r>
        <w:rPr>
          <w:rFonts w:ascii="Times New Roman" w:eastAsia="Calibri" w:hAnsi="Times New Roman" w:cs="Times New Roman"/>
          <w:sz w:val="24"/>
          <w:szCs w:val="24"/>
        </w:rPr>
        <w:t>Michal Svítek</w:t>
      </w:r>
    </w:p>
    <w:p w14:paraId="503F05BE" w14:textId="77777777" w:rsidR="00DC7232" w:rsidRPr="00DC7232" w:rsidRDefault="00DC7232" w:rsidP="00DC7232">
      <w:pPr>
        <w:pStyle w:val="Popis"/>
        <w:spacing w:before="0"/>
        <w:outlineLvl w:val="0"/>
        <w:rPr>
          <w:rFonts w:ascii="Times New Roman" w:eastAsia="Calibri" w:hAnsi="Times New Roman" w:cs="Times New Roman"/>
          <w:b w:val="0"/>
          <w:bCs w:val="0"/>
          <w:sz w:val="24"/>
          <w:szCs w:val="24"/>
          <w:lang w:eastAsia="en-US"/>
        </w:rPr>
      </w:pPr>
      <w:r w:rsidRPr="00DC7232">
        <w:rPr>
          <w:rFonts w:ascii="Times New Roman" w:eastAsia="Calibri" w:hAnsi="Times New Roman" w:cs="Times New Roman"/>
          <w:b w:val="0"/>
          <w:bCs w:val="0"/>
          <w:sz w:val="24"/>
          <w:szCs w:val="24"/>
          <w:lang w:eastAsia="en-US"/>
        </w:rPr>
        <w:t>Schválil:</w:t>
      </w:r>
    </w:p>
    <w:p w14:paraId="0303ABF0" w14:textId="1CCC3147" w:rsidR="00DC7232" w:rsidRDefault="00DC7232" w:rsidP="00DC7232">
      <w:pPr>
        <w:spacing w:after="0" w:line="240" w:lineRule="auto"/>
        <w:rPr>
          <w:rFonts w:ascii="Times New Roman" w:eastAsia="Calibri" w:hAnsi="Times New Roman" w:cs="Times New Roman"/>
          <w:sz w:val="24"/>
          <w:szCs w:val="24"/>
        </w:rPr>
      </w:pPr>
      <w:r w:rsidRPr="00DC7232">
        <w:rPr>
          <w:rFonts w:ascii="Times New Roman" w:eastAsia="Calibri" w:hAnsi="Times New Roman" w:cs="Times New Roman"/>
          <w:sz w:val="24"/>
          <w:szCs w:val="24"/>
        </w:rPr>
        <w:t>JUDr. Andrea Horváthová, riaditeľka odboru štátnej železničnej</w:t>
      </w:r>
    </w:p>
    <w:p w14:paraId="13B01055" w14:textId="6D281941" w:rsidR="00DC7232" w:rsidRDefault="00DC7232" w:rsidP="00142D2D">
      <w:pPr>
        <w:spacing w:after="0" w:line="240" w:lineRule="auto"/>
        <w:jc w:val="both"/>
        <w:rPr>
          <w:rFonts w:ascii="Times New Roman" w:eastAsia="Calibri" w:hAnsi="Times New Roman" w:cs="Times New Roman"/>
          <w:sz w:val="24"/>
          <w:szCs w:val="24"/>
        </w:rPr>
      </w:pPr>
    </w:p>
    <w:p w14:paraId="365DB6F1" w14:textId="461F3AAA" w:rsidR="00DC7232" w:rsidRDefault="00DC7232" w:rsidP="00142D2D">
      <w:pPr>
        <w:spacing w:after="0" w:line="240" w:lineRule="auto"/>
        <w:jc w:val="both"/>
        <w:rPr>
          <w:rFonts w:ascii="Times New Roman" w:eastAsia="Calibri" w:hAnsi="Times New Roman" w:cs="Times New Roman"/>
          <w:sz w:val="24"/>
          <w:szCs w:val="24"/>
        </w:rPr>
      </w:pPr>
    </w:p>
    <w:p w14:paraId="371A782E" w14:textId="4D773072" w:rsidR="00DC7232" w:rsidRDefault="00DC7232" w:rsidP="00142D2D">
      <w:pPr>
        <w:spacing w:after="0" w:line="240" w:lineRule="auto"/>
        <w:jc w:val="both"/>
        <w:rPr>
          <w:rFonts w:ascii="Times New Roman" w:eastAsia="Calibri" w:hAnsi="Times New Roman" w:cs="Times New Roman"/>
          <w:sz w:val="24"/>
          <w:szCs w:val="24"/>
        </w:rPr>
      </w:pPr>
    </w:p>
    <w:p w14:paraId="708A6AA4" w14:textId="6DE83A5D" w:rsidR="00DC7232" w:rsidRDefault="00DC7232" w:rsidP="00142D2D">
      <w:pPr>
        <w:spacing w:after="0" w:line="240" w:lineRule="auto"/>
        <w:jc w:val="both"/>
        <w:rPr>
          <w:rFonts w:ascii="Times New Roman" w:eastAsia="Calibri" w:hAnsi="Times New Roman" w:cs="Times New Roman"/>
          <w:sz w:val="24"/>
          <w:szCs w:val="24"/>
        </w:rPr>
      </w:pPr>
    </w:p>
    <w:p w14:paraId="0113EBD0" w14:textId="4C0CC674" w:rsidR="00DC7232" w:rsidRDefault="00DC7232" w:rsidP="00142D2D">
      <w:pPr>
        <w:spacing w:after="0" w:line="240" w:lineRule="auto"/>
        <w:jc w:val="both"/>
        <w:rPr>
          <w:rFonts w:ascii="Times New Roman" w:eastAsia="Calibri" w:hAnsi="Times New Roman" w:cs="Times New Roman"/>
          <w:sz w:val="24"/>
          <w:szCs w:val="24"/>
        </w:rPr>
      </w:pPr>
    </w:p>
    <w:p w14:paraId="21261E5E" w14:textId="023783C1" w:rsidR="00DC7232" w:rsidRDefault="00DC7232" w:rsidP="00142D2D">
      <w:pPr>
        <w:spacing w:after="0" w:line="240" w:lineRule="auto"/>
        <w:jc w:val="both"/>
        <w:rPr>
          <w:rFonts w:ascii="Times New Roman" w:eastAsia="Calibri" w:hAnsi="Times New Roman" w:cs="Times New Roman"/>
          <w:sz w:val="24"/>
          <w:szCs w:val="24"/>
        </w:rPr>
      </w:pPr>
    </w:p>
    <w:p w14:paraId="26C623B5" w14:textId="746FB49F" w:rsidR="00DC7232" w:rsidRDefault="00DC7232" w:rsidP="00142D2D">
      <w:pPr>
        <w:spacing w:after="0" w:line="240" w:lineRule="auto"/>
        <w:jc w:val="both"/>
        <w:rPr>
          <w:rFonts w:ascii="Times New Roman" w:eastAsia="Calibri" w:hAnsi="Times New Roman" w:cs="Times New Roman"/>
          <w:sz w:val="24"/>
          <w:szCs w:val="24"/>
        </w:rPr>
      </w:pPr>
    </w:p>
    <w:p w14:paraId="7C712C59" w14:textId="258FB632" w:rsidR="00DC7232" w:rsidRDefault="00DC7232" w:rsidP="00142D2D">
      <w:pPr>
        <w:spacing w:after="0" w:line="240" w:lineRule="auto"/>
        <w:jc w:val="both"/>
        <w:rPr>
          <w:rFonts w:ascii="Times New Roman" w:eastAsia="Calibri" w:hAnsi="Times New Roman" w:cs="Times New Roman"/>
          <w:sz w:val="24"/>
          <w:szCs w:val="24"/>
        </w:rPr>
      </w:pPr>
    </w:p>
    <w:p w14:paraId="154D6273" w14:textId="1E26B95A" w:rsidR="00DC7232" w:rsidRDefault="00DC7232" w:rsidP="00142D2D">
      <w:pPr>
        <w:spacing w:after="0" w:line="240" w:lineRule="auto"/>
        <w:jc w:val="both"/>
        <w:rPr>
          <w:rFonts w:ascii="Times New Roman" w:eastAsia="Calibri" w:hAnsi="Times New Roman" w:cs="Times New Roman"/>
          <w:sz w:val="24"/>
          <w:szCs w:val="24"/>
        </w:rPr>
      </w:pPr>
    </w:p>
    <w:p w14:paraId="4EA17608" w14:textId="40DE9C8F" w:rsidR="00DC7232" w:rsidRDefault="00DC7232" w:rsidP="00142D2D">
      <w:pPr>
        <w:spacing w:after="0" w:line="240" w:lineRule="auto"/>
        <w:jc w:val="both"/>
        <w:rPr>
          <w:rFonts w:ascii="Times New Roman" w:eastAsia="Calibri" w:hAnsi="Times New Roman" w:cs="Times New Roman"/>
          <w:sz w:val="24"/>
          <w:szCs w:val="24"/>
        </w:rPr>
      </w:pPr>
    </w:p>
    <w:p w14:paraId="3728F630" w14:textId="0B625C06" w:rsidR="00DC7232" w:rsidRDefault="00DC7232" w:rsidP="00142D2D">
      <w:pPr>
        <w:spacing w:after="0" w:line="240" w:lineRule="auto"/>
        <w:jc w:val="both"/>
        <w:rPr>
          <w:rFonts w:ascii="Times New Roman" w:eastAsia="Calibri" w:hAnsi="Times New Roman" w:cs="Times New Roman"/>
          <w:sz w:val="24"/>
          <w:szCs w:val="24"/>
        </w:rPr>
      </w:pPr>
    </w:p>
    <w:p w14:paraId="5770FBEA" w14:textId="0D6D5771" w:rsidR="00DC7232" w:rsidRDefault="00DC7232" w:rsidP="00142D2D">
      <w:pPr>
        <w:spacing w:after="0" w:line="240" w:lineRule="auto"/>
        <w:jc w:val="both"/>
        <w:rPr>
          <w:rFonts w:ascii="Times New Roman" w:eastAsia="Calibri" w:hAnsi="Times New Roman" w:cs="Times New Roman"/>
          <w:sz w:val="24"/>
          <w:szCs w:val="24"/>
        </w:rPr>
      </w:pPr>
    </w:p>
    <w:p w14:paraId="36C0555B" w14:textId="424D2B3C" w:rsidR="00DC7232" w:rsidRDefault="00DC7232" w:rsidP="00142D2D">
      <w:pPr>
        <w:spacing w:after="0" w:line="240" w:lineRule="auto"/>
        <w:jc w:val="both"/>
        <w:rPr>
          <w:rFonts w:ascii="Times New Roman" w:eastAsia="Calibri" w:hAnsi="Times New Roman" w:cs="Times New Roman"/>
          <w:sz w:val="24"/>
          <w:szCs w:val="24"/>
        </w:rPr>
      </w:pPr>
    </w:p>
    <w:p w14:paraId="25806B8C" w14:textId="1714CFD5" w:rsidR="00DC7232" w:rsidRDefault="00DC7232" w:rsidP="00142D2D">
      <w:pPr>
        <w:spacing w:after="0" w:line="240" w:lineRule="auto"/>
        <w:jc w:val="both"/>
        <w:rPr>
          <w:rFonts w:ascii="Times New Roman" w:eastAsia="Calibri" w:hAnsi="Times New Roman" w:cs="Times New Roman"/>
          <w:sz w:val="24"/>
          <w:szCs w:val="24"/>
        </w:rPr>
      </w:pPr>
    </w:p>
    <w:p w14:paraId="1475D72D" w14:textId="26C29F42" w:rsidR="00DC7232" w:rsidRDefault="00DC7232" w:rsidP="00142D2D">
      <w:pPr>
        <w:spacing w:after="0" w:line="240" w:lineRule="auto"/>
        <w:jc w:val="both"/>
        <w:rPr>
          <w:rFonts w:ascii="Times New Roman" w:eastAsia="Calibri" w:hAnsi="Times New Roman" w:cs="Times New Roman"/>
          <w:sz w:val="24"/>
          <w:szCs w:val="24"/>
        </w:rPr>
      </w:pPr>
    </w:p>
    <w:p w14:paraId="13648158" w14:textId="39DD66B6" w:rsidR="00DC7232" w:rsidRDefault="00DC7232" w:rsidP="00142D2D">
      <w:pPr>
        <w:spacing w:after="0" w:line="240" w:lineRule="auto"/>
        <w:jc w:val="both"/>
        <w:rPr>
          <w:rFonts w:ascii="Times New Roman" w:eastAsia="Calibri" w:hAnsi="Times New Roman" w:cs="Times New Roman"/>
          <w:sz w:val="24"/>
          <w:szCs w:val="24"/>
        </w:rPr>
      </w:pPr>
    </w:p>
    <w:p w14:paraId="7DBA17A0" w14:textId="53FAC8D1" w:rsidR="00DC7232" w:rsidRDefault="00DC7232" w:rsidP="00142D2D">
      <w:pPr>
        <w:spacing w:after="0" w:line="240" w:lineRule="auto"/>
        <w:jc w:val="both"/>
        <w:rPr>
          <w:rFonts w:ascii="Times New Roman" w:eastAsia="Calibri" w:hAnsi="Times New Roman" w:cs="Times New Roman"/>
          <w:sz w:val="24"/>
          <w:szCs w:val="24"/>
        </w:rPr>
      </w:pPr>
    </w:p>
    <w:p w14:paraId="56F6D6FC" w14:textId="30395956" w:rsidR="00DC7232" w:rsidRDefault="00DC7232" w:rsidP="00142D2D">
      <w:pPr>
        <w:spacing w:after="0" w:line="240" w:lineRule="auto"/>
        <w:jc w:val="both"/>
        <w:rPr>
          <w:rFonts w:ascii="Times New Roman" w:eastAsia="Calibri" w:hAnsi="Times New Roman" w:cs="Times New Roman"/>
          <w:sz w:val="24"/>
          <w:szCs w:val="24"/>
        </w:rPr>
      </w:pPr>
    </w:p>
    <w:p w14:paraId="23250306" w14:textId="66F09640" w:rsidR="00DC7232" w:rsidRDefault="00DC7232" w:rsidP="00142D2D">
      <w:pPr>
        <w:spacing w:after="0" w:line="240" w:lineRule="auto"/>
        <w:jc w:val="both"/>
        <w:rPr>
          <w:rFonts w:ascii="Times New Roman" w:eastAsia="Calibri" w:hAnsi="Times New Roman" w:cs="Times New Roman"/>
          <w:sz w:val="24"/>
          <w:szCs w:val="24"/>
        </w:rPr>
      </w:pPr>
    </w:p>
    <w:p w14:paraId="36C0FD40" w14:textId="09AFAD9F" w:rsidR="00DC7232" w:rsidRDefault="00DC7232" w:rsidP="00142D2D">
      <w:pPr>
        <w:spacing w:after="0" w:line="240" w:lineRule="auto"/>
        <w:jc w:val="both"/>
        <w:rPr>
          <w:rFonts w:ascii="Times New Roman" w:eastAsia="Calibri" w:hAnsi="Times New Roman" w:cs="Times New Roman"/>
          <w:sz w:val="24"/>
          <w:szCs w:val="24"/>
        </w:rPr>
      </w:pPr>
    </w:p>
    <w:p w14:paraId="33A46722" w14:textId="4E6BE4DF" w:rsidR="00DC7232" w:rsidRDefault="00DC7232" w:rsidP="00142D2D">
      <w:pPr>
        <w:spacing w:after="0" w:line="240" w:lineRule="auto"/>
        <w:jc w:val="both"/>
        <w:rPr>
          <w:rFonts w:ascii="Times New Roman" w:eastAsia="Calibri" w:hAnsi="Times New Roman" w:cs="Times New Roman"/>
          <w:sz w:val="24"/>
          <w:szCs w:val="24"/>
        </w:rPr>
      </w:pPr>
    </w:p>
    <w:p w14:paraId="1C380C6A" w14:textId="7B67AC5A" w:rsidR="00DC7232" w:rsidRDefault="00DC7232" w:rsidP="00142D2D">
      <w:pPr>
        <w:spacing w:after="0" w:line="240" w:lineRule="auto"/>
        <w:jc w:val="both"/>
        <w:rPr>
          <w:rFonts w:ascii="Times New Roman" w:eastAsia="Calibri" w:hAnsi="Times New Roman" w:cs="Times New Roman"/>
          <w:sz w:val="24"/>
          <w:szCs w:val="24"/>
        </w:rPr>
      </w:pPr>
    </w:p>
    <w:p w14:paraId="534BFBE5" w14:textId="2E699590" w:rsidR="00DC7232" w:rsidRDefault="00DC7232" w:rsidP="00142D2D">
      <w:pPr>
        <w:spacing w:after="0" w:line="240" w:lineRule="auto"/>
        <w:jc w:val="both"/>
        <w:rPr>
          <w:rFonts w:ascii="Times New Roman" w:eastAsia="Calibri" w:hAnsi="Times New Roman" w:cs="Times New Roman"/>
          <w:sz w:val="24"/>
          <w:szCs w:val="24"/>
        </w:rPr>
      </w:pPr>
    </w:p>
    <w:p w14:paraId="239B7FCB" w14:textId="4B1E8C4A" w:rsidR="00DC7232" w:rsidRDefault="00DC7232" w:rsidP="00142D2D">
      <w:pPr>
        <w:spacing w:after="0" w:line="240" w:lineRule="auto"/>
        <w:jc w:val="both"/>
        <w:rPr>
          <w:rFonts w:ascii="Times New Roman" w:eastAsia="Calibri" w:hAnsi="Times New Roman" w:cs="Times New Roman"/>
          <w:sz w:val="24"/>
          <w:szCs w:val="24"/>
        </w:rPr>
      </w:pPr>
    </w:p>
    <w:p w14:paraId="6DF8D363" w14:textId="1EE7550B" w:rsidR="00DC7232" w:rsidRDefault="00DC7232" w:rsidP="00142D2D">
      <w:pPr>
        <w:spacing w:after="0" w:line="240" w:lineRule="auto"/>
        <w:jc w:val="both"/>
        <w:rPr>
          <w:rFonts w:ascii="Times New Roman" w:eastAsia="Calibri" w:hAnsi="Times New Roman" w:cs="Times New Roman"/>
          <w:sz w:val="24"/>
          <w:szCs w:val="24"/>
        </w:rPr>
      </w:pPr>
    </w:p>
    <w:p w14:paraId="2BB64BA2" w14:textId="62B8CC99" w:rsidR="00DC7232" w:rsidRDefault="00DC7232" w:rsidP="00142D2D">
      <w:pPr>
        <w:spacing w:after="0" w:line="240" w:lineRule="auto"/>
        <w:jc w:val="both"/>
        <w:rPr>
          <w:rFonts w:ascii="Times New Roman" w:eastAsia="Calibri" w:hAnsi="Times New Roman" w:cs="Times New Roman"/>
          <w:sz w:val="24"/>
          <w:szCs w:val="24"/>
        </w:rPr>
      </w:pPr>
    </w:p>
    <w:p w14:paraId="668DF181" w14:textId="1A825C4B" w:rsidR="00DC7232" w:rsidRDefault="00DC7232" w:rsidP="00142D2D">
      <w:pPr>
        <w:spacing w:after="0" w:line="240" w:lineRule="auto"/>
        <w:jc w:val="both"/>
        <w:rPr>
          <w:rFonts w:ascii="Times New Roman" w:eastAsia="Calibri" w:hAnsi="Times New Roman" w:cs="Times New Roman"/>
          <w:sz w:val="24"/>
          <w:szCs w:val="24"/>
        </w:rPr>
      </w:pPr>
    </w:p>
    <w:p w14:paraId="161B6B09" w14:textId="6FD57346" w:rsidR="00DC7232" w:rsidRDefault="00DC7232" w:rsidP="00142D2D">
      <w:pPr>
        <w:spacing w:after="0" w:line="240" w:lineRule="auto"/>
        <w:jc w:val="both"/>
        <w:rPr>
          <w:rFonts w:ascii="Times New Roman" w:eastAsia="Calibri" w:hAnsi="Times New Roman" w:cs="Times New Roman"/>
          <w:sz w:val="24"/>
          <w:szCs w:val="24"/>
        </w:rPr>
      </w:pPr>
    </w:p>
    <w:p w14:paraId="6AB42DDA" w14:textId="5DF3DACA" w:rsidR="00DC7232" w:rsidRDefault="00DC7232" w:rsidP="00142D2D">
      <w:pPr>
        <w:spacing w:after="0" w:line="240" w:lineRule="auto"/>
        <w:jc w:val="both"/>
        <w:rPr>
          <w:rFonts w:ascii="Times New Roman" w:eastAsia="Calibri" w:hAnsi="Times New Roman" w:cs="Times New Roman"/>
          <w:sz w:val="24"/>
          <w:szCs w:val="24"/>
        </w:rPr>
      </w:pPr>
    </w:p>
    <w:p w14:paraId="6F1D7017" w14:textId="77777777" w:rsidR="00DC7232" w:rsidRPr="00142D2D" w:rsidRDefault="00DC7232" w:rsidP="00142D2D">
      <w:pPr>
        <w:spacing w:after="0" w:line="240" w:lineRule="auto"/>
        <w:jc w:val="both"/>
        <w:rPr>
          <w:rFonts w:ascii="Times New Roman" w:eastAsia="Calibri" w:hAnsi="Times New Roman" w:cs="Times New Roman"/>
          <w:sz w:val="24"/>
          <w:szCs w:val="24"/>
        </w:rPr>
      </w:pPr>
    </w:p>
    <w:sectPr w:rsidR="00DC7232" w:rsidRPr="00142D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79637" w14:textId="77777777" w:rsidR="007A553E" w:rsidRDefault="007A553E" w:rsidP="00054C41">
      <w:pPr>
        <w:spacing w:after="0" w:line="240" w:lineRule="auto"/>
      </w:pPr>
      <w:r>
        <w:separator/>
      </w:r>
    </w:p>
  </w:endnote>
  <w:endnote w:type="continuationSeparator" w:id="0">
    <w:p w14:paraId="5DE6809A" w14:textId="77777777" w:rsidR="007A553E" w:rsidRDefault="007A553E"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766D4EF1" w:rsidR="007D75CB" w:rsidRPr="006045CB" w:rsidRDefault="007D75CB"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A431D1">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7D48B09B" w14:textId="77777777" w:rsidR="007D75CB" w:rsidRPr="00FF7125" w:rsidRDefault="007D75CB" w:rsidP="00054C41">
    <w:pPr>
      <w:pStyle w:val="Pta"/>
      <w:rPr>
        <w:sz w:val="24"/>
        <w:szCs w:val="24"/>
      </w:rPr>
    </w:pPr>
  </w:p>
  <w:p w14:paraId="68AC3825" w14:textId="77777777" w:rsidR="007D75CB" w:rsidRDefault="007D75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CAB5D" w14:textId="77777777" w:rsidR="007A553E" w:rsidRDefault="007A553E" w:rsidP="00054C41">
      <w:pPr>
        <w:spacing w:after="0" w:line="240" w:lineRule="auto"/>
      </w:pPr>
      <w:r>
        <w:separator/>
      </w:r>
    </w:p>
  </w:footnote>
  <w:footnote w:type="continuationSeparator" w:id="0">
    <w:p w14:paraId="00BDE11B" w14:textId="77777777" w:rsidR="007A553E" w:rsidRDefault="007A553E" w:rsidP="00054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20F0"/>
    <w:multiLevelType w:val="hybridMultilevel"/>
    <w:tmpl w:val="B3E86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AA61F00"/>
    <w:multiLevelType w:val="hybridMultilevel"/>
    <w:tmpl w:val="43CEA102"/>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40D44855"/>
    <w:multiLevelType w:val="hybridMultilevel"/>
    <w:tmpl w:val="622CC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EB21506"/>
    <w:multiLevelType w:val="hybridMultilevel"/>
    <w:tmpl w:val="20801FA0"/>
    <w:lvl w:ilvl="0" w:tplc="3E049D2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226297C"/>
    <w:multiLevelType w:val="hybridMultilevel"/>
    <w:tmpl w:val="8D1A94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446F80"/>
    <w:multiLevelType w:val="hybridMultilevel"/>
    <w:tmpl w:val="E3D86478"/>
    <w:lvl w:ilvl="0" w:tplc="3E049D20">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8"/>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4"/>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696D"/>
    <w:rsid w:val="00054C41"/>
    <w:rsid w:val="00060DA1"/>
    <w:rsid w:val="00084102"/>
    <w:rsid w:val="00090DCD"/>
    <w:rsid w:val="00097B06"/>
    <w:rsid w:val="000B17FB"/>
    <w:rsid w:val="000C19FD"/>
    <w:rsid w:val="000C5E9A"/>
    <w:rsid w:val="000F48CE"/>
    <w:rsid w:val="00103C80"/>
    <w:rsid w:val="00125AE7"/>
    <w:rsid w:val="001314D5"/>
    <w:rsid w:val="00142154"/>
    <w:rsid w:val="00142D2D"/>
    <w:rsid w:val="0019131A"/>
    <w:rsid w:val="0019341F"/>
    <w:rsid w:val="001B4C03"/>
    <w:rsid w:val="001D1083"/>
    <w:rsid w:val="001D2015"/>
    <w:rsid w:val="001D3FA0"/>
    <w:rsid w:val="001E53CB"/>
    <w:rsid w:val="00225A83"/>
    <w:rsid w:val="00270EA5"/>
    <w:rsid w:val="002A2DB5"/>
    <w:rsid w:val="002A5D08"/>
    <w:rsid w:val="002D575E"/>
    <w:rsid w:val="003272ED"/>
    <w:rsid w:val="003328D0"/>
    <w:rsid w:val="00340CFD"/>
    <w:rsid w:val="0036713E"/>
    <w:rsid w:val="0038255E"/>
    <w:rsid w:val="00391648"/>
    <w:rsid w:val="0039304E"/>
    <w:rsid w:val="003D6026"/>
    <w:rsid w:val="003E58B8"/>
    <w:rsid w:val="003F06D7"/>
    <w:rsid w:val="003F4DF7"/>
    <w:rsid w:val="00403C12"/>
    <w:rsid w:val="004102CF"/>
    <w:rsid w:val="00412620"/>
    <w:rsid w:val="00443D3E"/>
    <w:rsid w:val="00445638"/>
    <w:rsid w:val="00446432"/>
    <w:rsid w:val="004D20CB"/>
    <w:rsid w:val="00547DC0"/>
    <w:rsid w:val="005705E1"/>
    <w:rsid w:val="005A1150"/>
    <w:rsid w:val="005A7C6B"/>
    <w:rsid w:val="005F4FE6"/>
    <w:rsid w:val="00601FE0"/>
    <w:rsid w:val="00611A9C"/>
    <w:rsid w:val="006129B4"/>
    <w:rsid w:val="00644B8D"/>
    <w:rsid w:val="006949BD"/>
    <w:rsid w:val="00697CB0"/>
    <w:rsid w:val="006A7B4E"/>
    <w:rsid w:val="006C797C"/>
    <w:rsid w:val="00703791"/>
    <w:rsid w:val="007259CB"/>
    <w:rsid w:val="00751E77"/>
    <w:rsid w:val="0077106D"/>
    <w:rsid w:val="00785274"/>
    <w:rsid w:val="007943CB"/>
    <w:rsid w:val="007A0154"/>
    <w:rsid w:val="007A553E"/>
    <w:rsid w:val="007B40FB"/>
    <w:rsid w:val="007D75CB"/>
    <w:rsid w:val="007E24B2"/>
    <w:rsid w:val="0080230A"/>
    <w:rsid w:val="00806D4F"/>
    <w:rsid w:val="0081243C"/>
    <w:rsid w:val="00817FA9"/>
    <w:rsid w:val="00837E89"/>
    <w:rsid w:val="00850682"/>
    <w:rsid w:val="00855F42"/>
    <w:rsid w:val="008634E9"/>
    <w:rsid w:val="008801B5"/>
    <w:rsid w:val="00887FF2"/>
    <w:rsid w:val="00894CEE"/>
    <w:rsid w:val="008970BF"/>
    <w:rsid w:val="008B3279"/>
    <w:rsid w:val="008B4AA1"/>
    <w:rsid w:val="008B79A5"/>
    <w:rsid w:val="008C1C71"/>
    <w:rsid w:val="008E6BBC"/>
    <w:rsid w:val="00903AA6"/>
    <w:rsid w:val="00913BCE"/>
    <w:rsid w:val="00923C0C"/>
    <w:rsid w:val="00947EBD"/>
    <w:rsid w:val="00971360"/>
    <w:rsid w:val="009A4D56"/>
    <w:rsid w:val="009A5E9D"/>
    <w:rsid w:val="009B7F3A"/>
    <w:rsid w:val="009E09F7"/>
    <w:rsid w:val="009E527D"/>
    <w:rsid w:val="00A000DA"/>
    <w:rsid w:val="00A1736E"/>
    <w:rsid w:val="00A26023"/>
    <w:rsid w:val="00A33FD7"/>
    <w:rsid w:val="00A431D1"/>
    <w:rsid w:val="00A52A85"/>
    <w:rsid w:val="00A56515"/>
    <w:rsid w:val="00A57DD2"/>
    <w:rsid w:val="00A83FC3"/>
    <w:rsid w:val="00A951FD"/>
    <w:rsid w:val="00AB2F41"/>
    <w:rsid w:val="00AD2DE1"/>
    <w:rsid w:val="00B208BF"/>
    <w:rsid w:val="00B36FA7"/>
    <w:rsid w:val="00B42E2E"/>
    <w:rsid w:val="00B5385F"/>
    <w:rsid w:val="00B57772"/>
    <w:rsid w:val="00B66E33"/>
    <w:rsid w:val="00BA35C1"/>
    <w:rsid w:val="00BB08FD"/>
    <w:rsid w:val="00BC0AA8"/>
    <w:rsid w:val="00BC3DCF"/>
    <w:rsid w:val="00BC493E"/>
    <w:rsid w:val="00BC6AB9"/>
    <w:rsid w:val="00BD0EF7"/>
    <w:rsid w:val="00BD354E"/>
    <w:rsid w:val="00BE1FEC"/>
    <w:rsid w:val="00C15D80"/>
    <w:rsid w:val="00C21399"/>
    <w:rsid w:val="00C21FA4"/>
    <w:rsid w:val="00C470CB"/>
    <w:rsid w:val="00C53E00"/>
    <w:rsid w:val="00C5500F"/>
    <w:rsid w:val="00C560C4"/>
    <w:rsid w:val="00C6748F"/>
    <w:rsid w:val="00CA1F9F"/>
    <w:rsid w:val="00CB7A7C"/>
    <w:rsid w:val="00D005F2"/>
    <w:rsid w:val="00D070DC"/>
    <w:rsid w:val="00D26898"/>
    <w:rsid w:val="00D31975"/>
    <w:rsid w:val="00D5568D"/>
    <w:rsid w:val="00D631FA"/>
    <w:rsid w:val="00D82356"/>
    <w:rsid w:val="00D84EEE"/>
    <w:rsid w:val="00D90A61"/>
    <w:rsid w:val="00DA0329"/>
    <w:rsid w:val="00DC03A6"/>
    <w:rsid w:val="00DC7232"/>
    <w:rsid w:val="00DE1418"/>
    <w:rsid w:val="00DF02CE"/>
    <w:rsid w:val="00DF669E"/>
    <w:rsid w:val="00E030DA"/>
    <w:rsid w:val="00E21DE2"/>
    <w:rsid w:val="00E30D8E"/>
    <w:rsid w:val="00EB2BEC"/>
    <w:rsid w:val="00EC0704"/>
    <w:rsid w:val="00ED6B5D"/>
    <w:rsid w:val="00EE1669"/>
    <w:rsid w:val="00EE33E8"/>
    <w:rsid w:val="00EE4C99"/>
    <w:rsid w:val="00EE5BC4"/>
    <w:rsid w:val="00EE652A"/>
    <w:rsid w:val="00EE70C8"/>
    <w:rsid w:val="00EF4F9D"/>
    <w:rsid w:val="00F037E7"/>
    <w:rsid w:val="00F31D35"/>
    <w:rsid w:val="00F62DE7"/>
    <w:rsid w:val="00F6346C"/>
    <w:rsid w:val="00F65D7D"/>
    <w:rsid w:val="00F74FC9"/>
    <w:rsid w:val="00F85C20"/>
    <w:rsid w:val="00F93C9C"/>
    <w:rsid w:val="00FA2EC6"/>
    <w:rsid w:val="00FA7AF8"/>
    <w:rsid w:val="00FB6412"/>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6BBC"/>
  </w:style>
  <w:style w:type="paragraph" w:styleId="Nadpis1">
    <w:name w:val="heading 1"/>
    <w:basedOn w:val="Normlny"/>
    <w:next w:val="Normlny"/>
    <w:link w:val="Nadpis1Char"/>
    <w:qFormat/>
    <w:rsid w:val="00DC7232"/>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bCs/>
      <w:sz w:val="24"/>
      <w:szCs w:val="24"/>
      <w:lang w:eastAsia="cs-CZ"/>
    </w:rPr>
  </w:style>
  <w:style w:type="paragraph" w:styleId="Nadpis3">
    <w:name w:val="heading 3"/>
    <w:basedOn w:val="Normlny"/>
    <w:next w:val="Normlny"/>
    <w:link w:val="Nadpis3Char"/>
    <w:qFormat/>
    <w:rsid w:val="00DC7232"/>
    <w:pPr>
      <w:keepNext/>
      <w:overflowPunct w:val="0"/>
      <w:autoSpaceDE w:val="0"/>
      <w:autoSpaceDN w:val="0"/>
      <w:adjustRightInd w:val="0"/>
      <w:spacing w:before="60" w:after="60" w:line="240" w:lineRule="auto"/>
      <w:textAlignment w:val="baseline"/>
      <w:outlineLvl w:val="2"/>
    </w:pPr>
    <w:rPr>
      <w:rFonts w:ascii="Arial" w:eastAsia="Times New Roman" w:hAnsi="Arial" w:cs="Times New Roman"/>
      <w:b/>
      <w:bCs/>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character" w:styleId="Hypertextovprepojenie">
    <w:name w:val="Hyperlink"/>
    <w:basedOn w:val="Predvolenpsmoodseku"/>
    <w:uiPriority w:val="99"/>
    <w:unhideWhenUsed/>
    <w:rsid w:val="004102CF"/>
    <w:rPr>
      <w:color w:val="0563C1"/>
      <w:u w:val="single"/>
    </w:rPr>
  </w:style>
  <w:style w:type="character" w:customStyle="1" w:styleId="Nadpis1Char">
    <w:name w:val="Nadpis 1 Char"/>
    <w:basedOn w:val="Predvolenpsmoodseku"/>
    <w:link w:val="Nadpis1"/>
    <w:rsid w:val="00DC7232"/>
    <w:rPr>
      <w:rFonts w:ascii="Times New Roman" w:eastAsia="Times New Roman" w:hAnsi="Times New Roman" w:cs="Times New Roman"/>
      <w:b/>
      <w:bCs/>
      <w:sz w:val="24"/>
      <w:szCs w:val="24"/>
      <w:lang w:eastAsia="cs-CZ"/>
    </w:rPr>
  </w:style>
  <w:style w:type="character" w:customStyle="1" w:styleId="Nadpis3Char">
    <w:name w:val="Nadpis 3 Char"/>
    <w:basedOn w:val="Predvolenpsmoodseku"/>
    <w:link w:val="Nadpis3"/>
    <w:rsid w:val="00DC7232"/>
    <w:rPr>
      <w:rFonts w:ascii="Arial" w:eastAsia="Times New Roman" w:hAnsi="Arial" w:cs="Times New Roman"/>
      <w:b/>
      <w:bCs/>
      <w:sz w:val="20"/>
      <w:szCs w:val="20"/>
      <w:lang w:val="x-none" w:eastAsia="cs-CZ"/>
    </w:rPr>
  </w:style>
  <w:style w:type="paragraph" w:styleId="Popis">
    <w:name w:val="caption"/>
    <w:basedOn w:val="Normlny"/>
    <w:next w:val="Normlny"/>
    <w:qFormat/>
    <w:rsid w:val="00DC7232"/>
    <w:pPr>
      <w:overflowPunct w:val="0"/>
      <w:autoSpaceDE w:val="0"/>
      <w:autoSpaceDN w:val="0"/>
      <w:adjustRightInd w:val="0"/>
      <w:spacing w:before="120" w:after="60" w:line="240" w:lineRule="auto"/>
      <w:textAlignment w:val="baseline"/>
    </w:pPr>
    <w:rPr>
      <w:rFonts w:ascii="Arial" w:eastAsia="Times New Roman" w:hAnsi="Arial" w:cs="Arial"/>
      <w:b/>
      <w:bCs/>
      <w:lang w:eastAsia="cs-CZ"/>
    </w:rPr>
  </w:style>
  <w:style w:type="paragraph" w:styleId="Nzov">
    <w:name w:val="Title"/>
    <w:basedOn w:val="Normlny"/>
    <w:link w:val="NzovChar"/>
    <w:qFormat/>
    <w:rsid w:val="00DC7232"/>
    <w:pPr>
      <w:overflowPunct w:val="0"/>
      <w:autoSpaceDE w:val="0"/>
      <w:autoSpaceDN w:val="0"/>
      <w:adjustRightInd w:val="0"/>
      <w:spacing w:before="120" w:after="120" w:line="240" w:lineRule="auto"/>
      <w:jc w:val="center"/>
      <w:textAlignment w:val="baseline"/>
    </w:pPr>
    <w:rPr>
      <w:rFonts w:ascii="Arial" w:eastAsia="Times New Roman" w:hAnsi="Arial" w:cs="Arial"/>
      <w:b/>
      <w:bCs/>
      <w:kern w:val="28"/>
      <w:sz w:val="36"/>
      <w:szCs w:val="36"/>
      <w:lang w:eastAsia="cs-CZ"/>
    </w:rPr>
  </w:style>
  <w:style w:type="character" w:customStyle="1" w:styleId="NzovChar">
    <w:name w:val="Názov Char"/>
    <w:basedOn w:val="Predvolenpsmoodseku"/>
    <w:link w:val="Nzov"/>
    <w:rsid w:val="00DC7232"/>
    <w:rPr>
      <w:rFonts w:ascii="Arial" w:eastAsia="Times New Roman" w:hAnsi="Arial" w:cs="Arial"/>
      <w:b/>
      <w:bCs/>
      <w:kern w:val="28"/>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0989">
      <w:bodyDiv w:val="1"/>
      <w:marLeft w:val="0"/>
      <w:marRight w:val="0"/>
      <w:marTop w:val="0"/>
      <w:marBottom w:val="0"/>
      <w:divBdr>
        <w:top w:val="none" w:sz="0" w:space="0" w:color="auto"/>
        <w:left w:val="none" w:sz="0" w:space="0" w:color="auto"/>
        <w:bottom w:val="none" w:sz="0" w:space="0" w:color="auto"/>
        <w:right w:val="none" w:sz="0" w:space="0" w:color="auto"/>
      </w:divBdr>
    </w:div>
    <w:div w:id="325986071">
      <w:bodyDiv w:val="1"/>
      <w:marLeft w:val="0"/>
      <w:marRight w:val="0"/>
      <w:marTop w:val="0"/>
      <w:marBottom w:val="0"/>
      <w:divBdr>
        <w:top w:val="none" w:sz="0" w:space="0" w:color="auto"/>
        <w:left w:val="none" w:sz="0" w:space="0" w:color="auto"/>
        <w:bottom w:val="none" w:sz="0" w:space="0" w:color="auto"/>
        <w:right w:val="none" w:sz="0" w:space="0" w:color="auto"/>
      </w:divBdr>
    </w:div>
    <w:div w:id="359824862">
      <w:bodyDiv w:val="1"/>
      <w:marLeft w:val="0"/>
      <w:marRight w:val="0"/>
      <w:marTop w:val="0"/>
      <w:marBottom w:val="0"/>
      <w:divBdr>
        <w:top w:val="none" w:sz="0" w:space="0" w:color="auto"/>
        <w:left w:val="none" w:sz="0" w:space="0" w:color="auto"/>
        <w:bottom w:val="none" w:sz="0" w:space="0" w:color="auto"/>
        <w:right w:val="none" w:sz="0" w:space="0" w:color="auto"/>
      </w:divBdr>
    </w:div>
    <w:div w:id="397289559">
      <w:bodyDiv w:val="1"/>
      <w:marLeft w:val="0"/>
      <w:marRight w:val="0"/>
      <w:marTop w:val="0"/>
      <w:marBottom w:val="0"/>
      <w:divBdr>
        <w:top w:val="none" w:sz="0" w:space="0" w:color="auto"/>
        <w:left w:val="none" w:sz="0" w:space="0" w:color="auto"/>
        <w:bottom w:val="none" w:sz="0" w:space="0" w:color="auto"/>
        <w:right w:val="none" w:sz="0" w:space="0" w:color="auto"/>
      </w:divBdr>
    </w:div>
    <w:div w:id="453596322">
      <w:bodyDiv w:val="1"/>
      <w:marLeft w:val="0"/>
      <w:marRight w:val="0"/>
      <w:marTop w:val="0"/>
      <w:marBottom w:val="0"/>
      <w:divBdr>
        <w:top w:val="none" w:sz="0" w:space="0" w:color="auto"/>
        <w:left w:val="none" w:sz="0" w:space="0" w:color="auto"/>
        <w:bottom w:val="none" w:sz="0" w:space="0" w:color="auto"/>
        <w:right w:val="none" w:sz="0" w:space="0" w:color="auto"/>
      </w:divBdr>
    </w:div>
    <w:div w:id="494028512">
      <w:bodyDiv w:val="1"/>
      <w:marLeft w:val="0"/>
      <w:marRight w:val="0"/>
      <w:marTop w:val="0"/>
      <w:marBottom w:val="0"/>
      <w:divBdr>
        <w:top w:val="none" w:sz="0" w:space="0" w:color="auto"/>
        <w:left w:val="none" w:sz="0" w:space="0" w:color="auto"/>
        <w:bottom w:val="none" w:sz="0" w:space="0" w:color="auto"/>
        <w:right w:val="none" w:sz="0" w:space="0" w:color="auto"/>
      </w:divBdr>
    </w:div>
    <w:div w:id="495265735">
      <w:bodyDiv w:val="1"/>
      <w:marLeft w:val="0"/>
      <w:marRight w:val="0"/>
      <w:marTop w:val="0"/>
      <w:marBottom w:val="0"/>
      <w:divBdr>
        <w:top w:val="none" w:sz="0" w:space="0" w:color="auto"/>
        <w:left w:val="none" w:sz="0" w:space="0" w:color="auto"/>
        <w:bottom w:val="none" w:sz="0" w:space="0" w:color="auto"/>
        <w:right w:val="none" w:sz="0" w:space="0" w:color="auto"/>
      </w:divBdr>
    </w:div>
    <w:div w:id="563880177">
      <w:bodyDiv w:val="1"/>
      <w:marLeft w:val="0"/>
      <w:marRight w:val="0"/>
      <w:marTop w:val="0"/>
      <w:marBottom w:val="0"/>
      <w:divBdr>
        <w:top w:val="none" w:sz="0" w:space="0" w:color="auto"/>
        <w:left w:val="none" w:sz="0" w:space="0" w:color="auto"/>
        <w:bottom w:val="none" w:sz="0" w:space="0" w:color="auto"/>
        <w:right w:val="none" w:sz="0" w:space="0" w:color="auto"/>
      </w:divBdr>
    </w:div>
    <w:div w:id="641816438">
      <w:bodyDiv w:val="1"/>
      <w:marLeft w:val="0"/>
      <w:marRight w:val="0"/>
      <w:marTop w:val="0"/>
      <w:marBottom w:val="0"/>
      <w:divBdr>
        <w:top w:val="none" w:sz="0" w:space="0" w:color="auto"/>
        <w:left w:val="none" w:sz="0" w:space="0" w:color="auto"/>
        <w:bottom w:val="none" w:sz="0" w:space="0" w:color="auto"/>
        <w:right w:val="none" w:sz="0" w:space="0" w:color="auto"/>
      </w:divBdr>
    </w:div>
    <w:div w:id="716243783">
      <w:bodyDiv w:val="1"/>
      <w:marLeft w:val="0"/>
      <w:marRight w:val="0"/>
      <w:marTop w:val="0"/>
      <w:marBottom w:val="0"/>
      <w:divBdr>
        <w:top w:val="none" w:sz="0" w:space="0" w:color="auto"/>
        <w:left w:val="none" w:sz="0" w:space="0" w:color="auto"/>
        <w:bottom w:val="none" w:sz="0" w:space="0" w:color="auto"/>
        <w:right w:val="none" w:sz="0" w:space="0" w:color="auto"/>
      </w:divBdr>
    </w:div>
    <w:div w:id="722018441">
      <w:bodyDiv w:val="1"/>
      <w:marLeft w:val="0"/>
      <w:marRight w:val="0"/>
      <w:marTop w:val="0"/>
      <w:marBottom w:val="0"/>
      <w:divBdr>
        <w:top w:val="none" w:sz="0" w:space="0" w:color="auto"/>
        <w:left w:val="none" w:sz="0" w:space="0" w:color="auto"/>
        <w:bottom w:val="none" w:sz="0" w:space="0" w:color="auto"/>
        <w:right w:val="none" w:sz="0" w:space="0" w:color="auto"/>
      </w:divBdr>
    </w:div>
    <w:div w:id="724331475">
      <w:bodyDiv w:val="1"/>
      <w:marLeft w:val="0"/>
      <w:marRight w:val="0"/>
      <w:marTop w:val="0"/>
      <w:marBottom w:val="0"/>
      <w:divBdr>
        <w:top w:val="none" w:sz="0" w:space="0" w:color="auto"/>
        <w:left w:val="none" w:sz="0" w:space="0" w:color="auto"/>
        <w:bottom w:val="none" w:sz="0" w:space="0" w:color="auto"/>
        <w:right w:val="none" w:sz="0" w:space="0" w:color="auto"/>
      </w:divBdr>
    </w:div>
    <w:div w:id="727924537">
      <w:bodyDiv w:val="1"/>
      <w:marLeft w:val="0"/>
      <w:marRight w:val="0"/>
      <w:marTop w:val="0"/>
      <w:marBottom w:val="0"/>
      <w:divBdr>
        <w:top w:val="none" w:sz="0" w:space="0" w:color="auto"/>
        <w:left w:val="none" w:sz="0" w:space="0" w:color="auto"/>
        <w:bottom w:val="none" w:sz="0" w:space="0" w:color="auto"/>
        <w:right w:val="none" w:sz="0" w:space="0" w:color="auto"/>
      </w:divBdr>
    </w:div>
    <w:div w:id="828405092">
      <w:bodyDiv w:val="1"/>
      <w:marLeft w:val="0"/>
      <w:marRight w:val="0"/>
      <w:marTop w:val="0"/>
      <w:marBottom w:val="0"/>
      <w:divBdr>
        <w:top w:val="none" w:sz="0" w:space="0" w:color="auto"/>
        <w:left w:val="none" w:sz="0" w:space="0" w:color="auto"/>
        <w:bottom w:val="none" w:sz="0" w:space="0" w:color="auto"/>
        <w:right w:val="none" w:sz="0" w:space="0" w:color="auto"/>
      </w:divBdr>
    </w:div>
    <w:div w:id="836262609">
      <w:bodyDiv w:val="1"/>
      <w:marLeft w:val="0"/>
      <w:marRight w:val="0"/>
      <w:marTop w:val="0"/>
      <w:marBottom w:val="0"/>
      <w:divBdr>
        <w:top w:val="none" w:sz="0" w:space="0" w:color="auto"/>
        <w:left w:val="none" w:sz="0" w:space="0" w:color="auto"/>
        <w:bottom w:val="none" w:sz="0" w:space="0" w:color="auto"/>
        <w:right w:val="none" w:sz="0" w:space="0" w:color="auto"/>
      </w:divBdr>
    </w:div>
    <w:div w:id="960110617">
      <w:bodyDiv w:val="1"/>
      <w:marLeft w:val="0"/>
      <w:marRight w:val="0"/>
      <w:marTop w:val="0"/>
      <w:marBottom w:val="0"/>
      <w:divBdr>
        <w:top w:val="none" w:sz="0" w:space="0" w:color="auto"/>
        <w:left w:val="none" w:sz="0" w:space="0" w:color="auto"/>
        <w:bottom w:val="none" w:sz="0" w:space="0" w:color="auto"/>
        <w:right w:val="none" w:sz="0" w:space="0" w:color="auto"/>
      </w:divBdr>
    </w:div>
    <w:div w:id="967273894">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18474026">
      <w:bodyDiv w:val="1"/>
      <w:marLeft w:val="0"/>
      <w:marRight w:val="0"/>
      <w:marTop w:val="0"/>
      <w:marBottom w:val="0"/>
      <w:divBdr>
        <w:top w:val="none" w:sz="0" w:space="0" w:color="auto"/>
        <w:left w:val="none" w:sz="0" w:space="0" w:color="auto"/>
        <w:bottom w:val="none" w:sz="0" w:space="0" w:color="auto"/>
        <w:right w:val="none" w:sz="0" w:space="0" w:color="auto"/>
      </w:divBdr>
    </w:div>
    <w:div w:id="1259874209">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73518309">
      <w:bodyDiv w:val="1"/>
      <w:marLeft w:val="0"/>
      <w:marRight w:val="0"/>
      <w:marTop w:val="0"/>
      <w:marBottom w:val="0"/>
      <w:divBdr>
        <w:top w:val="none" w:sz="0" w:space="0" w:color="auto"/>
        <w:left w:val="none" w:sz="0" w:space="0" w:color="auto"/>
        <w:bottom w:val="none" w:sz="0" w:space="0" w:color="auto"/>
        <w:right w:val="none" w:sz="0" w:space="0" w:color="auto"/>
      </w:divBdr>
    </w:div>
    <w:div w:id="1583874381">
      <w:bodyDiv w:val="1"/>
      <w:marLeft w:val="0"/>
      <w:marRight w:val="0"/>
      <w:marTop w:val="0"/>
      <w:marBottom w:val="0"/>
      <w:divBdr>
        <w:top w:val="none" w:sz="0" w:space="0" w:color="auto"/>
        <w:left w:val="none" w:sz="0" w:space="0" w:color="auto"/>
        <w:bottom w:val="none" w:sz="0" w:space="0" w:color="auto"/>
        <w:right w:val="none" w:sz="0" w:space="0" w:color="auto"/>
      </w:divBdr>
    </w:div>
    <w:div w:id="1624072869">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804956220">
      <w:bodyDiv w:val="1"/>
      <w:marLeft w:val="0"/>
      <w:marRight w:val="0"/>
      <w:marTop w:val="0"/>
      <w:marBottom w:val="0"/>
      <w:divBdr>
        <w:top w:val="none" w:sz="0" w:space="0" w:color="auto"/>
        <w:left w:val="none" w:sz="0" w:space="0" w:color="auto"/>
        <w:bottom w:val="none" w:sz="0" w:space="0" w:color="auto"/>
        <w:right w:val="none" w:sz="0" w:space="0" w:color="auto"/>
      </w:divBdr>
    </w:div>
    <w:div w:id="1965310607">
      <w:bodyDiv w:val="1"/>
      <w:marLeft w:val="0"/>
      <w:marRight w:val="0"/>
      <w:marTop w:val="0"/>
      <w:marBottom w:val="0"/>
      <w:divBdr>
        <w:top w:val="none" w:sz="0" w:space="0" w:color="auto"/>
        <w:left w:val="none" w:sz="0" w:space="0" w:color="auto"/>
        <w:bottom w:val="none" w:sz="0" w:space="0" w:color="auto"/>
        <w:right w:val="none" w:sz="0" w:space="0" w:color="auto"/>
      </w:divBdr>
    </w:div>
    <w:div w:id="1968199823">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legislativne-procesy/SK/PI/2022/180"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sat.sk/dopravny-urad-menu-udaje-a-dokumenty/vyrocne-spravy/"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fsr.sk/files/archiv/90/Hodnotenie_modernizaciavoz.parkuZSSKc.6a7_20201223.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s://www.economy.gov.sk/podnikatelske-prostredie/jednotna-metodika/prebiehajuce-konzultacie-a-predbezne-inform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https://ovdmasv601/sites/DMS/_layouts/15/DocIdRedir.aspx?ID=WKX3UHSAJ2R6-2-1199214</Url>
      <Description>WKX3UHSAJ2R6-2-1199214</Description>
    </_dlc_DocIdUrl>
    <_dlc_DocId xmlns="e60a29af-d413-48d4-bd90-fe9d2a897e4b">WKX3UHSAJ2R6-2-1199214</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41BFA6A-7D43-4171-BFDE-1CBFCD536044}">
  <ds:schemaRefs>
    <ds:schemaRef ds:uri="http://schemas.openxmlformats.org/officeDocument/2006/bibliography"/>
  </ds:schemaRefs>
</ds:datastoreItem>
</file>

<file path=customXml/itemProps3.xml><?xml version="1.0" encoding="utf-8"?>
<ds:datastoreItem xmlns:ds="http://schemas.openxmlformats.org/officeDocument/2006/customXml" ds:itemID="{C0C03D51-6933-44B7-98D1-C1F89D6F7600}"/>
</file>

<file path=customXml/itemProps4.xml><?xml version="1.0" encoding="utf-8"?>
<ds:datastoreItem xmlns:ds="http://schemas.openxmlformats.org/officeDocument/2006/customXml" ds:itemID="{C8391ED8-B5C1-4418-B06E-413C89EC13AD}"/>
</file>

<file path=customXml/itemProps5.xml><?xml version="1.0" encoding="utf-8"?>
<ds:datastoreItem xmlns:ds="http://schemas.openxmlformats.org/officeDocument/2006/customXml" ds:itemID="{CB7A320A-444B-4021-8170-7FE65C765861}"/>
</file>

<file path=customXml/itemProps6.xml><?xml version="1.0" encoding="utf-8"?>
<ds:datastoreItem xmlns:ds="http://schemas.openxmlformats.org/officeDocument/2006/customXml" ds:itemID="{4DAD7828-21DD-41F1-A04F-7FC45889B6BF}"/>
</file>

<file path=docProps/app.xml><?xml version="1.0" encoding="utf-8"?>
<Properties xmlns="http://schemas.openxmlformats.org/officeDocument/2006/extended-properties" xmlns:vt="http://schemas.openxmlformats.org/officeDocument/2006/docPropsVTypes">
  <Template>Normal</Template>
  <TotalTime>1</TotalTime>
  <Pages>17</Pages>
  <Words>5409</Words>
  <Characters>30836</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Horváthová, Andrea</cp:lastModifiedBy>
  <cp:revision>2</cp:revision>
  <dcterms:created xsi:type="dcterms:W3CDTF">2023-02-07T11:35:00Z</dcterms:created>
  <dcterms:modified xsi:type="dcterms:W3CDTF">2023-02-07T11:35:00Z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1fd68bcd-02ee-47eb-bfa7-572d20f5443d</vt:lpwstr>
  </property>
</Properties>
</file>