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53" w:rsidRPr="00B2498A" w:rsidRDefault="00404253" w:rsidP="008B25A6">
      <w:pPr>
        <w:widowControl/>
        <w:jc w:val="center"/>
        <w:rPr>
          <w:b/>
          <w:caps/>
        </w:rPr>
      </w:pPr>
    </w:p>
    <w:p w:rsidR="008B25A6" w:rsidRPr="009B56D0" w:rsidRDefault="00847802" w:rsidP="008B25A6">
      <w:pPr>
        <w:widowControl/>
        <w:jc w:val="center"/>
      </w:pPr>
      <w:r w:rsidRPr="009B56D0">
        <w:rPr>
          <w:b/>
          <w:caps/>
        </w:rPr>
        <w:t>D</w:t>
      </w:r>
      <w:r w:rsidRPr="009B56D0">
        <w:rPr>
          <w:b/>
        </w:rPr>
        <w:t xml:space="preserve">ôvodová správa </w:t>
      </w:r>
      <w:r w:rsidR="00523033" w:rsidRPr="009B56D0">
        <w:t>(osobitná</w:t>
      </w:r>
      <w:r w:rsidRPr="009B56D0">
        <w:t xml:space="preserve"> časť)</w:t>
      </w:r>
    </w:p>
    <w:p w:rsidR="008B25A6" w:rsidRPr="009B56D0" w:rsidRDefault="008B25A6" w:rsidP="008B25A6">
      <w:pPr>
        <w:widowControl/>
        <w:jc w:val="both"/>
      </w:pPr>
    </w:p>
    <w:p w:rsidR="00E36352" w:rsidRPr="009B56D0" w:rsidRDefault="00E36352" w:rsidP="00E36352">
      <w:pPr>
        <w:widowControl/>
        <w:jc w:val="both"/>
      </w:pPr>
    </w:p>
    <w:p w:rsidR="00E36352" w:rsidRPr="009B56D0" w:rsidRDefault="00E36352" w:rsidP="00E36352">
      <w:pPr>
        <w:widowControl/>
        <w:jc w:val="both"/>
        <w:rPr>
          <w:b/>
        </w:rPr>
      </w:pPr>
      <w:r w:rsidRPr="009B56D0">
        <w:rPr>
          <w:b/>
        </w:rPr>
        <w:t>Čl. I:</w:t>
      </w:r>
    </w:p>
    <w:p w:rsidR="00183E15" w:rsidRPr="009B56D0" w:rsidRDefault="00183E15" w:rsidP="00E36352">
      <w:pPr>
        <w:widowControl/>
        <w:jc w:val="both"/>
        <w:rPr>
          <w:b/>
        </w:rPr>
      </w:pPr>
    </w:p>
    <w:p w:rsidR="00523033" w:rsidRPr="009B56D0" w:rsidRDefault="00E36352" w:rsidP="00523033">
      <w:pPr>
        <w:jc w:val="both"/>
      </w:pPr>
      <w:r w:rsidRPr="009B56D0">
        <w:t>K bodu 1:</w:t>
      </w:r>
    </w:p>
    <w:p w:rsidR="008E4E81" w:rsidRPr="009B56D0" w:rsidRDefault="008E4E81" w:rsidP="00523033">
      <w:pPr>
        <w:jc w:val="both"/>
      </w:pPr>
    </w:p>
    <w:p w:rsidR="008E4E81" w:rsidRPr="009B56D0" w:rsidRDefault="008E4E81" w:rsidP="00523033">
      <w:pPr>
        <w:jc w:val="both"/>
      </w:pPr>
      <w:r w:rsidRPr="009B56D0">
        <w:tab/>
        <w:t xml:space="preserve">Do textu návrhu zákona v § 2 písm. n) je doplnené ustanovenie v ktorom sa upresňuje, že primárna tesnosť geologickej štruktúry sa chápe ako úplná a trvalá izolácia oxidu uhličitého.  </w:t>
      </w:r>
    </w:p>
    <w:p w:rsidR="008E4E81" w:rsidRPr="009B56D0" w:rsidRDefault="008E4E81" w:rsidP="00523033">
      <w:pPr>
        <w:jc w:val="both"/>
      </w:pPr>
    </w:p>
    <w:p w:rsidR="008E4E81" w:rsidRPr="009B56D0" w:rsidRDefault="008E4E81" w:rsidP="008E4E81">
      <w:pPr>
        <w:jc w:val="both"/>
      </w:pPr>
      <w:r w:rsidRPr="009B56D0">
        <w:t>K bodu 2:</w:t>
      </w:r>
    </w:p>
    <w:p w:rsidR="008E4E81" w:rsidRPr="009B56D0" w:rsidRDefault="008E4E81" w:rsidP="00523033">
      <w:pPr>
        <w:jc w:val="both"/>
      </w:pPr>
    </w:p>
    <w:p w:rsidR="00E36352" w:rsidRPr="009B56D0" w:rsidRDefault="00523033" w:rsidP="00523033">
      <w:pPr>
        <w:jc w:val="both"/>
      </w:pPr>
      <w:r w:rsidRPr="009B56D0">
        <w:tab/>
      </w:r>
      <w:r w:rsidR="005502E2" w:rsidRPr="009B56D0">
        <w:t>Navrhovaným u</w:t>
      </w:r>
      <w:r w:rsidR="00E36352" w:rsidRPr="009B56D0">
        <w:t xml:space="preserve">stanovením sa v intenciách </w:t>
      </w:r>
      <w:r w:rsidR="00B85AF6" w:rsidRPr="009B56D0">
        <w:t>čl. 4 ods. 3 s</w:t>
      </w:r>
      <w:r w:rsidR="005502E2" w:rsidRPr="009B56D0">
        <w:t xml:space="preserve">mernice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(ďalej len „smernica“) </w:t>
      </w:r>
      <w:r w:rsidR="00B8029E" w:rsidRPr="009B56D0">
        <w:t>transponuje</w:t>
      </w:r>
      <w:r w:rsidR="00E36352" w:rsidRPr="009B56D0">
        <w:t xml:space="preserve"> </w:t>
      </w:r>
      <w:r w:rsidR="00B8029E" w:rsidRPr="009B56D0">
        <w:t xml:space="preserve">do </w:t>
      </w:r>
      <w:r w:rsidR="00F72012" w:rsidRPr="009B56D0">
        <w:t xml:space="preserve">§ 3 ods. 7 </w:t>
      </w:r>
      <w:r w:rsidR="00B8029E" w:rsidRPr="009B56D0">
        <w:t xml:space="preserve">návrhu zákona, ktorým sa mení a dopĺňa zákon č. 258/2011 Z. z. o trvalom ukladaní oxidu uhličitého do geologického prostredia a o zmene a doplnení niektorých zákonov v znení neskorších predpisov (ďalej len „návrh zákona“) </w:t>
      </w:r>
      <w:r w:rsidR="00E36352" w:rsidRPr="009B56D0">
        <w:t xml:space="preserve">požiadavka, ktorá zamieta trvalé ukladanie oxidu uhličitého do geologického prostredia v úložnom komplexe, ktorý presahuje územie členských štátov, ich výhradných zón a ich kontinentálnych </w:t>
      </w:r>
      <w:proofErr w:type="spellStart"/>
      <w:r w:rsidR="00E36352" w:rsidRPr="009B56D0">
        <w:t>šelfov</w:t>
      </w:r>
      <w:proofErr w:type="spellEnd"/>
      <w:r w:rsidR="00E36352" w:rsidRPr="009B56D0">
        <w:t>.</w:t>
      </w:r>
    </w:p>
    <w:p w:rsidR="00E36352" w:rsidRPr="009B56D0" w:rsidRDefault="00E36352" w:rsidP="00523033">
      <w:pPr>
        <w:jc w:val="both"/>
      </w:pPr>
    </w:p>
    <w:p w:rsidR="0059719F" w:rsidRPr="009B56D0" w:rsidRDefault="00E36352" w:rsidP="00523033">
      <w:pPr>
        <w:jc w:val="both"/>
      </w:pPr>
      <w:r w:rsidRPr="009B56D0">
        <w:t xml:space="preserve">K bodu </w:t>
      </w:r>
      <w:r w:rsidR="008E4E81" w:rsidRPr="009B56D0">
        <w:t>3</w:t>
      </w:r>
      <w:r w:rsidRPr="009B56D0">
        <w:t>:</w:t>
      </w:r>
    </w:p>
    <w:p w:rsidR="00E36352" w:rsidRPr="009B56D0" w:rsidRDefault="00E36352" w:rsidP="00523033">
      <w:pPr>
        <w:jc w:val="both"/>
      </w:pPr>
      <w:r w:rsidRPr="009B56D0">
        <w:tab/>
      </w:r>
      <w:r w:rsidR="00F72012" w:rsidRPr="009B56D0">
        <w:t>Do textu návrhu zákona v § 4 ods. 1 písm. b) je doplnené ustanovenie, v ktorom písomná žiadosť o povolenie na ukladanie, okrem iného, obsahuje tiež popis charakteristiky úložiska, úložného komplexu a okolitej oblasti.</w:t>
      </w:r>
      <w:r w:rsidR="0001047C" w:rsidRPr="009B56D0">
        <w:t xml:space="preserve"> Dôvodom je </w:t>
      </w:r>
      <w:r w:rsidR="002A2238" w:rsidRPr="009B56D0">
        <w:t>upresnená transpozícia článku</w:t>
      </w:r>
      <w:r w:rsidR="0001047C" w:rsidRPr="009B56D0">
        <w:t xml:space="preserve"> 4</w:t>
      </w:r>
      <w:r w:rsidR="002A2238" w:rsidRPr="009B56D0">
        <w:t xml:space="preserve"> ods. 3 smernice.</w:t>
      </w:r>
      <w:r w:rsidR="00F72012" w:rsidRPr="009B56D0">
        <w:t xml:space="preserve"> </w:t>
      </w:r>
    </w:p>
    <w:p w:rsidR="00F72012" w:rsidRPr="009B56D0" w:rsidRDefault="00F72012" w:rsidP="00523033">
      <w:pPr>
        <w:jc w:val="both"/>
      </w:pPr>
    </w:p>
    <w:p w:rsidR="0059719F" w:rsidRPr="009B56D0" w:rsidRDefault="0059719F" w:rsidP="00523033">
      <w:pPr>
        <w:jc w:val="both"/>
      </w:pPr>
      <w:r w:rsidRPr="009B56D0">
        <w:t xml:space="preserve">K bodu </w:t>
      </w:r>
      <w:r w:rsidR="008E4E81" w:rsidRPr="009B56D0">
        <w:t>4</w:t>
      </w:r>
      <w:r w:rsidRPr="009B56D0">
        <w:t>:</w:t>
      </w:r>
    </w:p>
    <w:p w:rsidR="0059719F" w:rsidRPr="009B56D0" w:rsidRDefault="0059719F" w:rsidP="00523033">
      <w:pPr>
        <w:jc w:val="both"/>
      </w:pPr>
      <w:r w:rsidRPr="009B56D0">
        <w:tab/>
      </w:r>
      <w:r w:rsidR="008E4E81" w:rsidRPr="009B56D0">
        <w:t xml:space="preserve">V texte návrhu zákona v § 4 ods. 2 písmeno f) je uvedená formulácia </w:t>
      </w:r>
      <w:r w:rsidR="0007589E" w:rsidRPr="009B56D0">
        <w:t>záverečné stanovisko z posudzovania vplyvov plánovanej činnosti</w:t>
      </w:r>
      <w:r w:rsidR="008E4E81" w:rsidRPr="009B56D0">
        <w:t xml:space="preserve"> na životné prostredie alebo jej zmeny </w:t>
      </w:r>
      <w:r w:rsidR="0007589E" w:rsidRPr="009B56D0">
        <w:t xml:space="preserve">alebo rozhodnutia vydaného v zisťovacom konaní </w:t>
      </w:r>
      <w:r w:rsidR="008E4E81" w:rsidRPr="009B56D0">
        <w:t>aktuálne platného zákona 24/2006 Z. z. o posudzovaní vplyvov na životné prostredie a o zmene a doplnení niektorých zákonov v znení neskorších predpisov.</w:t>
      </w:r>
      <w:r w:rsidR="00DD57B8" w:rsidRPr="009B56D0">
        <w:t xml:space="preserve">  </w:t>
      </w:r>
    </w:p>
    <w:p w:rsidR="00DD57B8" w:rsidRPr="009B56D0" w:rsidRDefault="00DD57B8" w:rsidP="00523033">
      <w:pPr>
        <w:jc w:val="both"/>
      </w:pPr>
    </w:p>
    <w:p w:rsidR="00F72012" w:rsidRPr="009B56D0" w:rsidRDefault="00F72012" w:rsidP="00523033">
      <w:pPr>
        <w:jc w:val="both"/>
      </w:pPr>
      <w:r w:rsidRPr="009B56D0">
        <w:t xml:space="preserve">K bodu </w:t>
      </w:r>
      <w:r w:rsidR="008E4E81" w:rsidRPr="009B56D0">
        <w:t>5</w:t>
      </w:r>
      <w:r w:rsidRPr="009B56D0">
        <w:t>:</w:t>
      </w:r>
    </w:p>
    <w:p w:rsidR="00F72012" w:rsidRPr="009B56D0" w:rsidRDefault="00F72012" w:rsidP="00523033">
      <w:pPr>
        <w:jc w:val="both"/>
      </w:pPr>
      <w:r w:rsidRPr="009B56D0">
        <w:tab/>
        <w:t>Článok 6 ods. 3 (druhá veta) smernice uvádza, že členské štáty</w:t>
      </w:r>
      <w:r w:rsidR="0059719F" w:rsidRPr="009B56D0">
        <w:t xml:space="preserve"> zabezpečia, aby sa počas udeľovania povolenia nepovolilo žiadne konfliktné využívanie komplexu. Uvedená požiadavka je riešená v § 6 ods.</w:t>
      </w:r>
      <w:r w:rsidR="00661339" w:rsidRPr="009B56D0">
        <w:t xml:space="preserve"> 5 návrhu zákona, kde sa ustanovuje</w:t>
      </w:r>
      <w:r w:rsidR="0059719F" w:rsidRPr="009B56D0">
        <w:t>, že  počas vydávania povolenia na ukladanie nesmie byť v úložnom komplexe určené nové prieskumné územie na vybrané geologické práce podľa § 21 zákona č. 569/2007 Z. z. o geologických prácach (geologický zákon) v znení neskorších predpisov.</w:t>
      </w:r>
    </w:p>
    <w:p w:rsidR="0059719F" w:rsidRPr="009B56D0" w:rsidRDefault="0059719F" w:rsidP="00523033">
      <w:pPr>
        <w:jc w:val="both"/>
      </w:pPr>
    </w:p>
    <w:p w:rsidR="0059719F" w:rsidRPr="009B56D0" w:rsidRDefault="0059719F" w:rsidP="00523033">
      <w:pPr>
        <w:jc w:val="both"/>
      </w:pPr>
      <w:r w:rsidRPr="009B56D0">
        <w:t xml:space="preserve">K bodu </w:t>
      </w:r>
      <w:r w:rsidR="008E4E81" w:rsidRPr="009B56D0">
        <w:t>6</w:t>
      </w:r>
      <w:r w:rsidRPr="009B56D0">
        <w:t>:</w:t>
      </w:r>
    </w:p>
    <w:p w:rsidR="0059719F" w:rsidRPr="009B56D0" w:rsidRDefault="0059719F" w:rsidP="00523033">
      <w:pPr>
        <w:jc w:val="both"/>
      </w:pPr>
      <w:r w:rsidRPr="009B56D0">
        <w:tab/>
      </w:r>
      <w:r w:rsidR="00661339" w:rsidRPr="009B56D0">
        <w:t xml:space="preserve">Podľa článku 7 bod 9 smernice </w:t>
      </w:r>
      <w:r w:rsidR="00D92140" w:rsidRPr="009B56D0">
        <w:t xml:space="preserve">sa k žiadosti o povolenie na ukladanie predkladajú </w:t>
      </w:r>
      <w:r w:rsidR="00D92140" w:rsidRPr="009B56D0">
        <w:lastRenderedPageBreak/>
        <w:t>informácie, ktoré sa poskytujú podľa článku 5 smernice 85/337/EHS. Do návrhu zákona bolo toto ustanovenie premietnuté do § 8 ods. 6, aby vydan</w:t>
      </w:r>
      <w:r w:rsidR="00AD1E5C" w:rsidRPr="009B56D0">
        <w:t>iu nového povolenia na ukladanie</w:t>
      </w:r>
      <w:r w:rsidR="00D92140" w:rsidRPr="009B56D0">
        <w:t xml:space="preserve"> predchádzalo posúdenie predpokladaných vplyvov týchto činností na životné prostredie s poznámkou pod čiarou na príslušné ustanovenie zákona č. 24/2006 Z. z. o posudzovaní vplyvov na životné prostredie a o zmene a doplnení niektorých zákonov v znení neskorších predpisov. </w:t>
      </w:r>
    </w:p>
    <w:p w:rsidR="00523033" w:rsidRPr="009B56D0" w:rsidRDefault="00523033" w:rsidP="00523033">
      <w:pPr>
        <w:jc w:val="both"/>
      </w:pPr>
    </w:p>
    <w:p w:rsidR="00AD1E5C" w:rsidRPr="009B56D0" w:rsidRDefault="00AD1E5C" w:rsidP="00523033">
      <w:pPr>
        <w:jc w:val="both"/>
      </w:pPr>
      <w:r w:rsidRPr="009B56D0">
        <w:t>K</w:t>
      </w:r>
      <w:r w:rsidR="006435FB" w:rsidRPr="009B56D0">
        <w:t> </w:t>
      </w:r>
      <w:r w:rsidR="007E6B74" w:rsidRPr="009B56D0">
        <w:t>bodu</w:t>
      </w:r>
      <w:r w:rsidR="006435FB" w:rsidRPr="009B56D0">
        <w:t xml:space="preserve"> 7</w:t>
      </w:r>
      <w:r w:rsidRPr="009B56D0">
        <w:t>:</w:t>
      </w:r>
    </w:p>
    <w:p w:rsidR="00AD1E5C" w:rsidRPr="009B56D0" w:rsidRDefault="00AD1E5C" w:rsidP="00523033">
      <w:pPr>
        <w:jc w:val="both"/>
      </w:pPr>
      <w:r w:rsidRPr="009B56D0">
        <w:tab/>
        <w:t xml:space="preserve">Ustanovenie článku 13 ods. 1 smernice uvádza, že členské štáty zabezpečia, aby prevádzkovateľ vykonával monitorovanie </w:t>
      </w:r>
      <w:proofErr w:type="spellStart"/>
      <w:r w:rsidRPr="009B56D0">
        <w:t>vtláčacích</w:t>
      </w:r>
      <w:proofErr w:type="spellEnd"/>
      <w:r w:rsidRPr="009B56D0">
        <w:t xml:space="preserve"> zariadení úložného komplexu (vrátane oblaku </w:t>
      </w:r>
      <w:r w:rsidR="00F46090" w:rsidRPr="009B56D0">
        <w:t>oxidu uhličitého</w:t>
      </w:r>
      <w:r w:rsidRPr="009B56D0">
        <w:t xml:space="preserve">, kde je to možné), a kde je to vhodné, aj okolitého </w:t>
      </w:r>
      <w:r w:rsidR="00183E15" w:rsidRPr="009B56D0">
        <w:t>prostredia na účely (</w:t>
      </w:r>
      <w:r w:rsidR="00183E15" w:rsidRPr="009B56D0">
        <w:rPr>
          <w:i/>
        </w:rPr>
        <w:t>okrem iných</w:t>
      </w:r>
      <w:r w:rsidRPr="009B56D0">
        <w:t xml:space="preserve">) zisťovania významných nepriaznivých účinkov na okolité prostredie, najmä na pitnú vodu, na obyvateľstvo alebo na používateľov okolitej biosféry. Toto ustanovenie </w:t>
      </w:r>
      <w:r w:rsidR="00183E15" w:rsidRPr="009B56D0">
        <w:t xml:space="preserve">je uvedené v § 10 </w:t>
      </w:r>
      <w:r w:rsidR="003730CF" w:rsidRPr="009B56D0">
        <w:t xml:space="preserve">v novom odseku 1 a v písm. e) </w:t>
      </w:r>
      <w:r w:rsidR="00183E15" w:rsidRPr="009B56D0">
        <w:t>návrhu zákona.</w:t>
      </w:r>
    </w:p>
    <w:p w:rsidR="008E4E81" w:rsidRPr="009B56D0" w:rsidRDefault="00A05872" w:rsidP="006435FB">
      <w:pPr>
        <w:jc w:val="both"/>
      </w:pPr>
      <w:r w:rsidRPr="009B56D0">
        <w:t xml:space="preserve">Ustanovenia v paragrafe 10, odseku 1 </w:t>
      </w:r>
      <w:r w:rsidR="00664AEF" w:rsidRPr="009B56D0">
        <w:t xml:space="preserve">písm. a) až d) </w:t>
      </w:r>
      <w:r w:rsidRPr="009B56D0">
        <w:t xml:space="preserve">boli doplnené o predmet zisťovania – oxid uhličitý, v zmysle </w:t>
      </w:r>
      <w:r w:rsidR="00B85AF6" w:rsidRPr="009B56D0">
        <w:t>s</w:t>
      </w:r>
      <w:r w:rsidRPr="009B56D0">
        <w:t xml:space="preserve">mernice. </w:t>
      </w:r>
    </w:p>
    <w:p w:rsidR="00D44180" w:rsidRPr="009B56D0" w:rsidRDefault="00D44180" w:rsidP="00523033">
      <w:pPr>
        <w:jc w:val="both"/>
      </w:pPr>
    </w:p>
    <w:p w:rsidR="00A05872" w:rsidRPr="009B56D0" w:rsidRDefault="00A05872" w:rsidP="00A05872">
      <w:pPr>
        <w:jc w:val="both"/>
      </w:pPr>
      <w:r w:rsidRPr="009B56D0">
        <w:t xml:space="preserve">K bodom </w:t>
      </w:r>
      <w:r w:rsidR="000C2474" w:rsidRPr="009B56D0">
        <w:t>8 až 17</w:t>
      </w:r>
      <w:r w:rsidRPr="009B56D0">
        <w:t>:</w:t>
      </w:r>
    </w:p>
    <w:p w:rsidR="00B2498A" w:rsidRPr="009B56D0" w:rsidRDefault="00A05872" w:rsidP="00B2498A">
      <w:pPr>
        <w:jc w:val="both"/>
      </w:pPr>
      <w:r w:rsidRPr="009B56D0">
        <w:tab/>
      </w:r>
      <w:r w:rsidR="002D4F25" w:rsidRPr="009B56D0">
        <w:t xml:space="preserve">Navrhované úpravy platného a účinného znenia zákona predstavujú upresnenia v používanej terminológii tak aby bola preukázateľná zhoda s európskou legislatívou v tejto oblasti. Na nepresnosti </w:t>
      </w:r>
      <w:r w:rsidR="00B2498A" w:rsidRPr="009B56D0">
        <w:t>upozornila Európska komisia v </w:t>
      </w:r>
      <w:proofErr w:type="spellStart"/>
      <w:r w:rsidR="00B2498A" w:rsidRPr="009B56D0">
        <w:t>pilote</w:t>
      </w:r>
      <w:proofErr w:type="spellEnd"/>
      <w:r w:rsidR="00B2498A" w:rsidRPr="009B56D0">
        <w:t xml:space="preserve"> č. 8563/16/CLIM. Ide napr. o pojem „poznatky“, ktoré sa nahrádza slovom „postupy“, slovo „zavretí“ sa nahrádza slovom „uzavretí“. Navrhovanými úpravami sa preberá doslovné znenie smernice, aby nevznikali pochybnosti pri výklade.</w:t>
      </w:r>
    </w:p>
    <w:p w:rsidR="00A05872" w:rsidRPr="009B56D0" w:rsidRDefault="00A05872" w:rsidP="00523033">
      <w:pPr>
        <w:jc w:val="both"/>
      </w:pPr>
    </w:p>
    <w:p w:rsidR="00A05872" w:rsidRPr="009B56D0" w:rsidRDefault="00A05872" w:rsidP="00523033">
      <w:pPr>
        <w:jc w:val="both"/>
      </w:pPr>
    </w:p>
    <w:p w:rsidR="00183E15" w:rsidRPr="009B56D0" w:rsidRDefault="00183E15" w:rsidP="00523033">
      <w:pPr>
        <w:jc w:val="both"/>
      </w:pPr>
      <w:r w:rsidRPr="009B56D0">
        <w:t xml:space="preserve">K bodu </w:t>
      </w:r>
      <w:r w:rsidR="000C2474" w:rsidRPr="009B56D0">
        <w:t>18</w:t>
      </w:r>
      <w:r w:rsidRPr="009B56D0">
        <w:t>:</w:t>
      </w:r>
    </w:p>
    <w:p w:rsidR="00D44180" w:rsidRPr="009B56D0" w:rsidRDefault="003730CF" w:rsidP="003730CF">
      <w:pPr>
        <w:pStyle w:val="tl3"/>
        <w:numPr>
          <w:ilvl w:val="0"/>
          <w:numId w:val="0"/>
        </w:numPr>
        <w:ind w:firstLine="567"/>
      </w:pPr>
      <w:r w:rsidRPr="009B56D0">
        <w:t xml:space="preserve">V článku 18 ods. 3 smernice sa stanovuje, že keď príslušný orgán vypracuje návrh rozhodnutia o schválení prenosu zodpovednosti, uvedie v ňom metódu na stanovenie splnenia podmienok uvedených v odseku 1 písm. d) (úložisko bolo zaplombované a </w:t>
      </w:r>
      <w:proofErr w:type="spellStart"/>
      <w:r w:rsidRPr="009B56D0">
        <w:t>vtláčacie</w:t>
      </w:r>
      <w:proofErr w:type="spellEnd"/>
      <w:r w:rsidRPr="009B56D0">
        <w:t xml:space="preserve"> zariadenia boli odstránené), ako aj všetky aktualizované požiadavky na zaplombovanie úložiska a odstránenie </w:t>
      </w:r>
      <w:proofErr w:type="spellStart"/>
      <w:r w:rsidRPr="009B56D0">
        <w:t>vtláčacích</w:t>
      </w:r>
      <w:proofErr w:type="spellEnd"/>
      <w:r w:rsidRPr="009B56D0">
        <w:t xml:space="preserve"> zariadení). Táto požiadavka je riešená v § 15 ods. 4</w:t>
      </w:r>
      <w:r w:rsidR="00D44180" w:rsidRPr="009B56D0">
        <w:t xml:space="preserve"> písm. e)</w:t>
      </w:r>
      <w:r w:rsidR="007D7224" w:rsidRPr="009B56D0">
        <w:t xml:space="preserve"> návrhu zákona</w:t>
      </w:r>
      <w:r w:rsidR="00D44180" w:rsidRPr="009B56D0">
        <w:t>.</w:t>
      </w:r>
    </w:p>
    <w:p w:rsidR="00D44180" w:rsidRPr="009B56D0" w:rsidRDefault="00D44180" w:rsidP="003730CF">
      <w:pPr>
        <w:pStyle w:val="tl3"/>
        <w:numPr>
          <w:ilvl w:val="0"/>
          <w:numId w:val="0"/>
        </w:numPr>
        <w:ind w:firstLine="567"/>
      </w:pPr>
    </w:p>
    <w:p w:rsidR="00816540" w:rsidRPr="009B56D0" w:rsidRDefault="000C2474" w:rsidP="00816540">
      <w:pPr>
        <w:jc w:val="both"/>
      </w:pPr>
      <w:r w:rsidRPr="009B56D0">
        <w:t>K bodu 19</w:t>
      </w:r>
      <w:r w:rsidR="00816540" w:rsidRPr="009B56D0">
        <w:t>:</w:t>
      </w:r>
    </w:p>
    <w:p w:rsidR="00816540" w:rsidRPr="009B56D0" w:rsidRDefault="00816540" w:rsidP="00816540">
      <w:pPr>
        <w:pStyle w:val="tl3"/>
        <w:numPr>
          <w:ilvl w:val="0"/>
          <w:numId w:val="0"/>
        </w:numPr>
        <w:ind w:firstLine="567"/>
      </w:pPr>
      <w:r w:rsidRPr="009B56D0">
        <w:tab/>
        <w:t>V ustanovení paragrafu 17 sa rozširujú povinnosti po ukončení prechodu povinností o históriu ukladania oxidu uhličitého.</w:t>
      </w:r>
    </w:p>
    <w:p w:rsidR="00816540" w:rsidRPr="009B56D0" w:rsidRDefault="00816540" w:rsidP="003730CF">
      <w:pPr>
        <w:pStyle w:val="tl3"/>
        <w:numPr>
          <w:ilvl w:val="0"/>
          <w:numId w:val="0"/>
        </w:numPr>
        <w:ind w:firstLine="567"/>
      </w:pPr>
    </w:p>
    <w:p w:rsidR="00A05872" w:rsidRPr="009B56D0" w:rsidRDefault="00A05872" w:rsidP="00A05872">
      <w:pPr>
        <w:jc w:val="both"/>
      </w:pPr>
      <w:r w:rsidRPr="009B56D0">
        <w:t xml:space="preserve">K bodu </w:t>
      </w:r>
      <w:r w:rsidR="000C2474" w:rsidRPr="009B56D0">
        <w:t>20</w:t>
      </w:r>
      <w:r w:rsidRPr="009B56D0">
        <w:t>:</w:t>
      </w:r>
    </w:p>
    <w:p w:rsidR="00A05872" w:rsidRPr="009B56D0" w:rsidRDefault="00A05872" w:rsidP="00D44180">
      <w:pPr>
        <w:pStyle w:val="tl3"/>
        <w:numPr>
          <w:ilvl w:val="0"/>
          <w:numId w:val="0"/>
        </w:numPr>
      </w:pPr>
      <w:r w:rsidRPr="009B56D0">
        <w:tab/>
        <w:t>V ustanoveniach paragrafu 18 ods. 4 sú upresnené podmienky prístupu k prepravnej sieti a úložisku podľa</w:t>
      </w:r>
      <w:r w:rsidR="00B85AF6" w:rsidRPr="009B56D0">
        <w:t xml:space="preserve"> možnosti ich kapacít v zmysle s</w:t>
      </w:r>
      <w:r w:rsidRPr="009B56D0">
        <w:t>mernice.</w:t>
      </w:r>
    </w:p>
    <w:p w:rsidR="00A05872" w:rsidRPr="009B56D0" w:rsidRDefault="00A05872" w:rsidP="00D44180">
      <w:pPr>
        <w:pStyle w:val="tl3"/>
        <w:numPr>
          <w:ilvl w:val="0"/>
          <w:numId w:val="0"/>
        </w:numPr>
      </w:pPr>
    </w:p>
    <w:p w:rsidR="00D44180" w:rsidRPr="009B56D0" w:rsidRDefault="00D44180" w:rsidP="00D44180">
      <w:pPr>
        <w:pStyle w:val="tl3"/>
        <w:numPr>
          <w:ilvl w:val="0"/>
          <w:numId w:val="0"/>
        </w:numPr>
      </w:pPr>
      <w:r w:rsidRPr="009B56D0">
        <w:t>K </w:t>
      </w:r>
      <w:r w:rsidR="00A2723D" w:rsidRPr="009B56D0">
        <w:t>bodom</w:t>
      </w:r>
      <w:r w:rsidRPr="009B56D0">
        <w:t xml:space="preserve"> </w:t>
      </w:r>
      <w:r w:rsidR="000C3978" w:rsidRPr="009B56D0">
        <w:t>2</w:t>
      </w:r>
      <w:r w:rsidR="000C2474" w:rsidRPr="009B56D0">
        <w:t>1</w:t>
      </w:r>
      <w:r w:rsidRPr="009B56D0">
        <w:t>:</w:t>
      </w:r>
    </w:p>
    <w:p w:rsidR="004C48A7" w:rsidRPr="009B56D0" w:rsidRDefault="00D44180" w:rsidP="00D44180">
      <w:pPr>
        <w:pStyle w:val="tl3"/>
        <w:numPr>
          <w:ilvl w:val="0"/>
          <w:numId w:val="0"/>
        </w:numPr>
      </w:pPr>
      <w:r w:rsidRPr="009B56D0">
        <w:tab/>
        <w:t xml:space="preserve">Podľa článku 21 ods. 4 smernice </w:t>
      </w:r>
      <w:r w:rsidR="007D7224" w:rsidRPr="009B56D0">
        <w:t xml:space="preserve">týkajúceho sa prístupu k prepravnej sieti a úložiskám </w:t>
      </w:r>
      <w:r w:rsidRPr="009B56D0">
        <w:t xml:space="preserve">sa </w:t>
      </w:r>
      <w:r w:rsidR="00596C90" w:rsidRPr="009B56D0">
        <w:br/>
      </w:r>
      <w:r w:rsidRPr="009B56D0">
        <w:t xml:space="preserve">v § 18 ods. 7 </w:t>
      </w:r>
      <w:r w:rsidR="007D7224" w:rsidRPr="009B56D0">
        <w:t xml:space="preserve">návrhu zákona </w:t>
      </w:r>
      <w:r w:rsidRPr="009B56D0">
        <w:t>nahrádzajú slová „môže nariadiť“ slovom “nariadi“</w:t>
      </w:r>
      <w:r w:rsidR="00762740" w:rsidRPr="009B56D0">
        <w:t>, čím sa toto ustanovenie transponuje nie ako možnosť, ale ako požiadavka.</w:t>
      </w:r>
    </w:p>
    <w:p w:rsidR="004C48A7" w:rsidRPr="009B56D0" w:rsidRDefault="004C48A7" w:rsidP="00D44180">
      <w:pPr>
        <w:pStyle w:val="tl3"/>
        <w:numPr>
          <w:ilvl w:val="0"/>
          <w:numId w:val="0"/>
        </w:numPr>
      </w:pPr>
    </w:p>
    <w:p w:rsidR="004C48A7" w:rsidRPr="009B56D0" w:rsidRDefault="003730CF" w:rsidP="004C48A7">
      <w:pPr>
        <w:pStyle w:val="tl3"/>
        <w:numPr>
          <w:ilvl w:val="0"/>
          <w:numId w:val="0"/>
        </w:numPr>
      </w:pPr>
      <w:r w:rsidRPr="009B56D0">
        <w:t xml:space="preserve"> </w:t>
      </w:r>
      <w:r w:rsidR="004C48A7" w:rsidRPr="009B56D0">
        <w:t xml:space="preserve">K bodom </w:t>
      </w:r>
      <w:r w:rsidR="006435FB" w:rsidRPr="009B56D0">
        <w:t>2</w:t>
      </w:r>
      <w:r w:rsidR="000C2474" w:rsidRPr="009B56D0">
        <w:t>2</w:t>
      </w:r>
      <w:r w:rsidR="004C48A7" w:rsidRPr="009B56D0">
        <w:t>:</w:t>
      </w:r>
    </w:p>
    <w:p w:rsidR="00596C90" w:rsidRPr="009B56D0" w:rsidRDefault="004C48A7" w:rsidP="00D44180">
      <w:pPr>
        <w:pStyle w:val="tl3"/>
        <w:numPr>
          <w:ilvl w:val="0"/>
          <w:numId w:val="0"/>
        </w:numPr>
      </w:pPr>
      <w:r w:rsidRPr="009B56D0">
        <w:lastRenderedPageBreak/>
        <w:tab/>
      </w:r>
      <w:r w:rsidRPr="009B56D0">
        <w:rPr>
          <w:bCs/>
        </w:rPr>
        <w:t>V § 18 ods. 7 v písm. b) sa upresňujú podmienky uhradenia nákladov žiadateľom o prístup k prepravnej sieti a úložiska.</w:t>
      </w:r>
    </w:p>
    <w:p w:rsidR="00026635" w:rsidRPr="009B56D0" w:rsidRDefault="00026635" w:rsidP="00D44180">
      <w:pPr>
        <w:pStyle w:val="tl3"/>
        <w:numPr>
          <w:ilvl w:val="0"/>
          <w:numId w:val="0"/>
        </w:numPr>
      </w:pPr>
    </w:p>
    <w:p w:rsidR="00890501" w:rsidRPr="009B56D0" w:rsidRDefault="00890501" w:rsidP="00D44180">
      <w:pPr>
        <w:pStyle w:val="tl3"/>
        <w:numPr>
          <w:ilvl w:val="0"/>
          <w:numId w:val="0"/>
        </w:numPr>
      </w:pPr>
      <w:r w:rsidRPr="009B56D0">
        <w:t>K bodu 2</w:t>
      </w:r>
      <w:r w:rsidR="000C2474" w:rsidRPr="009B56D0">
        <w:t>3</w:t>
      </w:r>
      <w:r w:rsidRPr="009B56D0">
        <w:t>:</w:t>
      </w:r>
    </w:p>
    <w:p w:rsidR="00890501" w:rsidRPr="009B56D0" w:rsidRDefault="00890501" w:rsidP="00D44180">
      <w:pPr>
        <w:pStyle w:val="tl3"/>
        <w:numPr>
          <w:ilvl w:val="0"/>
          <w:numId w:val="0"/>
        </w:numPr>
      </w:pPr>
      <w:r w:rsidRPr="009B56D0">
        <w:tab/>
        <w:t>Vypúšťa sa legislatívna skratka, nakoľko sa táto zavádza v bode 2 návrhu novely zákona.</w:t>
      </w:r>
    </w:p>
    <w:p w:rsidR="000C2474" w:rsidRPr="009B56D0" w:rsidRDefault="000C2474" w:rsidP="00D44180">
      <w:pPr>
        <w:pStyle w:val="tl3"/>
        <w:numPr>
          <w:ilvl w:val="0"/>
          <w:numId w:val="0"/>
        </w:numPr>
      </w:pPr>
    </w:p>
    <w:p w:rsidR="00762740" w:rsidRPr="009B56D0" w:rsidRDefault="00762740" w:rsidP="00D44180">
      <w:pPr>
        <w:pStyle w:val="tl3"/>
        <w:numPr>
          <w:ilvl w:val="0"/>
          <w:numId w:val="0"/>
        </w:numPr>
      </w:pPr>
      <w:r w:rsidRPr="009B56D0">
        <w:t>K </w:t>
      </w:r>
      <w:r w:rsidR="00A2723D" w:rsidRPr="009B56D0">
        <w:t>bodom</w:t>
      </w:r>
      <w:r w:rsidRPr="009B56D0">
        <w:t xml:space="preserve"> </w:t>
      </w:r>
      <w:r w:rsidR="006435FB" w:rsidRPr="009B56D0">
        <w:t>2</w:t>
      </w:r>
      <w:r w:rsidR="000C2474" w:rsidRPr="009B56D0">
        <w:t>4</w:t>
      </w:r>
      <w:r w:rsidR="006435FB" w:rsidRPr="009B56D0">
        <w:t xml:space="preserve"> a 2</w:t>
      </w:r>
      <w:r w:rsidR="000C2474" w:rsidRPr="009B56D0">
        <w:t>5</w:t>
      </w:r>
      <w:r w:rsidR="006435FB" w:rsidRPr="009B56D0">
        <w:t>:</w:t>
      </w:r>
    </w:p>
    <w:p w:rsidR="00762740" w:rsidRPr="009B56D0" w:rsidRDefault="00762740" w:rsidP="00D44180">
      <w:pPr>
        <w:pStyle w:val="tl3"/>
        <w:numPr>
          <w:ilvl w:val="0"/>
          <w:numId w:val="0"/>
        </w:numPr>
      </w:pPr>
      <w:r w:rsidRPr="009B56D0">
        <w:tab/>
        <w:t>Článok 25 ods. 1 smernice uvádza, že príslušný orgán vytvorí a vedie (</w:t>
      </w:r>
      <w:r w:rsidRPr="009B56D0">
        <w:rPr>
          <w:i/>
        </w:rPr>
        <w:t>okrem iného</w:t>
      </w:r>
      <w:r w:rsidRPr="009B56D0">
        <w:t>) stály</w:t>
      </w:r>
      <w:r w:rsidR="00596C90" w:rsidRPr="009B56D0">
        <w:t xml:space="preserve"> register všetkých uzavretých úložísk a okolitých úložných kom</w:t>
      </w:r>
      <w:r w:rsidR="00BF7845" w:rsidRPr="009B56D0">
        <w:t>p</w:t>
      </w:r>
      <w:r w:rsidR="00596C90" w:rsidRPr="009B56D0">
        <w:t xml:space="preserve">lexov vrátane máp a prierezov ich priestorového rozsahu a dostupných informácií relevantných pre posúdenie úplnej a trvalej izolácie uloženého </w:t>
      </w:r>
      <w:r w:rsidR="00F46090" w:rsidRPr="009B56D0">
        <w:t>oxidu uhličitého</w:t>
      </w:r>
      <w:r w:rsidR="00596C90" w:rsidRPr="009B56D0">
        <w:t>.</w:t>
      </w:r>
      <w:r w:rsidR="005965EA" w:rsidRPr="009B56D0">
        <w:t xml:space="preserve"> Toto ustanovenie je vykonané v § 19 ods.</w:t>
      </w:r>
      <w:r w:rsidR="00A2723D" w:rsidRPr="009B56D0">
        <w:t xml:space="preserve"> 2 písm. c) a</w:t>
      </w:r>
      <w:r w:rsidR="005965EA" w:rsidRPr="009B56D0">
        <w:t xml:space="preserve"> v </w:t>
      </w:r>
      <w:r w:rsidR="00A2723D" w:rsidRPr="009B56D0">
        <w:t>nových</w:t>
      </w:r>
      <w:r w:rsidR="005965EA" w:rsidRPr="009B56D0">
        <w:t xml:space="preserve"> </w:t>
      </w:r>
      <w:r w:rsidR="00A2723D" w:rsidRPr="009B56D0">
        <w:t>písmenách</w:t>
      </w:r>
      <w:r w:rsidR="005965EA" w:rsidRPr="009B56D0">
        <w:t xml:space="preserve"> f) a g)</w:t>
      </w:r>
      <w:r w:rsidR="00A2723D" w:rsidRPr="009B56D0">
        <w:t xml:space="preserve"> </w:t>
      </w:r>
      <w:r w:rsidR="005965EA" w:rsidRPr="009B56D0">
        <w:t>návrhu zákona.</w:t>
      </w:r>
      <w:r w:rsidR="00596C90" w:rsidRPr="009B56D0">
        <w:t xml:space="preserve"> </w:t>
      </w:r>
      <w:r w:rsidRPr="009B56D0">
        <w:t xml:space="preserve"> </w:t>
      </w:r>
    </w:p>
    <w:p w:rsidR="00183E15" w:rsidRPr="009B56D0" w:rsidRDefault="00183E15" w:rsidP="00523033">
      <w:pPr>
        <w:jc w:val="both"/>
      </w:pPr>
    </w:p>
    <w:p w:rsidR="006C03BA" w:rsidRPr="009B56D0" w:rsidRDefault="006C03BA" w:rsidP="00523033">
      <w:pPr>
        <w:jc w:val="both"/>
      </w:pPr>
      <w:r w:rsidRPr="009B56D0">
        <w:t>K</w:t>
      </w:r>
      <w:r w:rsidR="00890501" w:rsidRPr="009B56D0">
        <w:t> bodom 2</w:t>
      </w:r>
      <w:r w:rsidR="000C2474" w:rsidRPr="009B56D0">
        <w:t>6</w:t>
      </w:r>
      <w:r w:rsidRPr="009B56D0">
        <w:t>:</w:t>
      </w:r>
    </w:p>
    <w:p w:rsidR="006C03BA" w:rsidRPr="009B56D0" w:rsidRDefault="006C03BA" w:rsidP="00523033">
      <w:pPr>
        <w:jc w:val="both"/>
      </w:pPr>
      <w:r w:rsidRPr="009B56D0">
        <w:tab/>
        <w:t>V § 19 ods. 3 bol text rozšírený aj o registrácii plánovaných akciách v informačnom systéme ukladania.</w:t>
      </w:r>
    </w:p>
    <w:p w:rsidR="006C03BA" w:rsidRPr="009B56D0" w:rsidRDefault="006C03BA" w:rsidP="00523033">
      <w:pPr>
        <w:jc w:val="both"/>
      </w:pPr>
    </w:p>
    <w:p w:rsidR="002A2238" w:rsidRPr="009B56D0" w:rsidRDefault="002A2238" w:rsidP="00523033">
      <w:pPr>
        <w:jc w:val="both"/>
      </w:pPr>
      <w:r w:rsidRPr="009B56D0">
        <w:t>K </w:t>
      </w:r>
      <w:r w:rsidR="00A2723D" w:rsidRPr="009B56D0">
        <w:t>bodom</w:t>
      </w:r>
      <w:r w:rsidRPr="009B56D0">
        <w:t xml:space="preserve"> </w:t>
      </w:r>
      <w:r w:rsidR="000C2474" w:rsidRPr="009B56D0">
        <w:t>27</w:t>
      </w:r>
      <w:r w:rsidR="00890501" w:rsidRPr="009B56D0">
        <w:t xml:space="preserve"> a </w:t>
      </w:r>
      <w:r w:rsidR="000C2474" w:rsidRPr="009B56D0">
        <w:t>28</w:t>
      </w:r>
      <w:r w:rsidR="004F64D0" w:rsidRPr="009B56D0">
        <w:t>:</w:t>
      </w:r>
    </w:p>
    <w:p w:rsidR="002A2238" w:rsidRPr="009B56D0" w:rsidRDefault="005965EA" w:rsidP="00523033">
      <w:pPr>
        <w:jc w:val="both"/>
      </w:pPr>
      <w:r w:rsidRPr="009B56D0">
        <w:tab/>
      </w:r>
      <w:r w:rsidR="00A2723D" w:rsidRPr="009B56D0">
        <w:t>Podľa prílohy 1 smernice sa dopĺňa názov prílohy č. 1 a jej úvodná veta o okolitú oblasť úložného komplexu.</w:t>
      </w:r>
    </w:p>
    <w:p w:rsidR="00A2723D" w:rsidRPr="009B56D0" w:rsidRDefault="00A2723D" w:rsidP="00523033">
      <w:pPr>
        <w:jc w:val="both"/>
      </w:pPr>
    </w:p>
    <w:p w:rsidR="00A2723D" w:rsidRPr="009B56D0" w:rsidRDefault="00A2723D" w:rsidP="00523033">
      <w:pPr>
        <w:jc w:val="both"/>
      </w:pPr>
      <w:r w:rsidRPr="009B56D0">
        <w:t>K </w:t>
      </w:r>
      <w:r w:rsidR="0075112B" w:rsidRPr="009B56D0">
        <w:t>bodom</w:t>
      </w:r>
      <w:r w:rsidRPr="009B56D0">
        <w:t xml:space="preserve"> </w:t>
      </w:r>
      <w:r w:rsidR="000C2474" w:rsidRPr="009B56D0">
        <w:t>29</w:t>
      </w:r>
      <w:r w:rsidR="006435FB" w:rsidRPr="009B56D0">
        <w:t xml:space="preserve"> a 3</w:t>
      </w:r>
      <w:r w:rsidR="000C2474" w:rsidRPr="009B56D0">
        <w:t>0</w:t>
      </w:r>
      <w:r w:rsidRPr="009B56D0">
        <w:t>:</w:t>
      </w:r>
    </w:p>
    <w:p w:rsidR="00A2723D" w:rsidRDefault="00A2723D" w:rsidP="00D11D28">
      <w:pPr>
        <w:jc w:val="both"/>
      </w:pPr>
      <w:r w:rsidRPr="009B56D0">
        <w:tab/>
      </w:r>
      <w:r w:rsidR="00D11D28" w:rsidRPr="009B56D0">
        <w:t>V druhej vete</w:t>
      </w:r>
      <w:r w:rsidR="003A3024" w:rsidRPr="009B56D0">
        <w:t xml:space="preserve"> prílohy 1 ods. 2 </w:t>
      </w:r>
      <w:r w:rsidR="00D11D28" w:rsidRPr="009B56D0">
        <w:t xml:space="preserve">písm. b) </w:t>
      </w:r>
      <w:r w:rsidR="003A3024" w:rsidRPr="009B56D0">
        <w:t>smernice</w:t>
      </w:r>
      <w:r w:rsidR="0075112B" w:rsidRPr="009B56D0">
        <w:t xml:space="preserve"> </w:t>
      </w:r>
      <w:r w:rsidR="00D11D28" w:rsidRPr="009B56D0">
        <w:t xml:space="preserve">sa </w:t>
      </w:r>
      <w:r w:rsidR="0075112B" w:rsidRPr="009B56D0">
        <w:t xml:space="preserve">uvádza, že </w:t>
      </w:r>
      <w:r w:rsidR="00D11D28" w:rsidRPr="009B56D0">
        <w:t>staticko-geologický(-é) zemský(-é) model(-y) charakterizuje(-ú) úložný komplex na základe (</w:t>
      </w:r>
      <w:r w:rsidR="00D11D28" w:rsidRPr="009B56D0">
        <w:rPr>
          <w:i/>
        </w:rPr>
        <w:t>okrem iného</w:t>
      </w:r>
      <w:r w:rsidR="00D11D28" w:rsidRPr="009B56D0">
        <w:t xml:space="preserve">) </w:t>
      </w:r>
      <w:proofErr w:type="spellStart"/>
      <w:r w:rsidR="00D11D28" w:rsidRPr="009B56D0">
        <w:t>geomechanických</w:t>
      </w:r>
      <w:proofErr w:type="spellEnd"/>
      <w:r w:rsidR="00D11D28" w:rsidRPr="009B56D0">
        <w:t>, geochemických a prúdových vlastností nadložia zásobníka (krycej horniny, zaplombovania, poréznych a priepustných vrstiev) a okolitých jednotiek. Toto ustanovenie je premietnuté do prílohy č. 1</w:t>
      </w:r>
      <w:r w:rsidR="00214EDB" w:rsidRPr="009B56D0">
        <w:t xml:space="preserve">, úvodnej vety bodu 2, do bodu 2.3 a do poslednej vety. </w:t>
      </w:r>
      <w:r w:rsidR="00D11D28" w:rsidRPr="009B56D0">
        <w:t xml:space="preserve"> </w:t>
      </w:r>
      <w:r w:rsidR="003A3024" w:rsidRPr="009B56D0">
        <w:t xml:space="preserve">  </w:t>
      </w:r>
    </w:p>
    <w:p w:rsidR="001D5D5D" w:rsidRDefault="001D5D5D" w:rsidP="00D11D28">
      <w:pPr>
        <w:jc w:val="both"/>
      </w:pPr>
    </w:p>
    <w:p w:rsidR="001D5D5D" w:rsidRDefault="001D5D5D" w:rsidP="00D11D28">
      <w:pPr>
        <w:jc w:val="both"/>
      </w:pPr>
      <w:r>
        <w:t xml:space="preserve">K bodu 31: </w:t>
      </w:r>
    </w:p>
    <w:p w:rsidR="001D5D5D" w:rsidRPr="009B56D0" w:rsidRDefault="001D5D5D" w:rsidP="001D5D5D">
      <w:pPr>
        <w:ind w:firstLine="567"/>
        <w:jc w:val="both"/>
      </w:pPr>
      <w:r>
        <w:t>Navrhuje sa doplnenie transpozičného odkazu o smernicu EP a Rady 2011/92/EÚ.</w:t>
      </w:r>
    </w:p>
    <w:p w:rsidR="000C2474" w:rsidRPr="009B56D0" w:rsidRDefault="000C2474" w:rsidP="00D11D28">
      <w:pPr>
        <w:jc w:val="both"/>
      </w:pPr>
    </w:p>
    <w:p w:rsidR="000C2474" w:rsidRPr="009B56D0" w:rsidRDefault="000C2474" w:rsidP="00D11D28">
      <w:pPr>
        <w:jc w:val="both"/>
      </w:pPr>
      <w:r w:rsidRPr="009B56D0">
        <w:t>K bodu 3</w:t>
      </w:r>
      <w:r w:rsidR="001D5D5D">
        <w:t>2</w:t>
      </w:r>
      <w:r w:rsidRPr="009B56D0">
        <w:t xml:space="preserve">: </w:t>
      </w:r>
    </w:p>
    <w:p w:rsidR="000C2474" w:rsidRPr="009B56D0" w:rsidRDefault="000C2474" w:rsidP="009B56D0">
      <w:pPr>
        <w:ind w:firstLine="567"/>
        <w:jc w:val="both"/>
      </w:pPr>
      <w:r w:rsidRPr="009B56D0">
        <w:t>Navrhuje sa spoločný bod pre zmenu ustanovení, v ktorých sa používa spojenie „dodatočné nápravné opatrenia“. Navrhuje sa úprava na „potrebné nápravné opatrenia.“ Odstraňuje sa nedostatočná transpozícia.</w:t>
      </w:r>
    </w:p>
    <w:p w:rsidR="00E36352" w:rsidRPr="009B56D0" w:rsidRDefault="00523033" w:rsidP="00D92140">
      <w:pPr>
        <w:widowControl/>
        <w:autoSpaceDE w:val="0"/>
        <w:autoSpaceDN w:val="0"/>
      </w:pPr>
      <w:r w:rsidRPr="009B56D0">
        <w:tab/>
      </w: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FA15EC" w:rsidRDefault="00FA15EC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6435FB" w:rsidRPr="009B56D0" w:rsidRDefault="00A2723D" w:rsidP="00550DA8">
      <w:pPr>
        <w:pStyle w:val="Default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9B56D0">
        <w:rPr>
          <w:rFonts w:ascii="Times New Roman" w:hAnsi="Times New Roman" w:cs="Times New Roman"/>
          <w:b/>
          <w:bCs/>
          <w:color w:val="auto"/>
        </w:rPr>
        <w:lastRenderedPageBreak/>
        <w:t>Čl. II</w:t>
      </w:r>
    </w:p>
    <w:p w:rsidR="00C0489E" w:rsidRDefault="00251B85" w:rsidP="00EB2B76">
      <w:pPr>
        <w:pStyle w:val="Default"/>
        <w:jc w:val="both"/>
        <w:outlineLvl w:val="0"/>
        <w:rPr>
          <w:rFonts w:ascii="Times New Roman" w:hAnsi="Times New Roman"/>
          <w:color w:val="auto"/>
        </w:rPr>
      </w:pPr>
      <w:r w:rsidRPr="009B56D0">
        <w:rPr>
          <w:rFonts w:ascii="Times New Roman" w:hAnsi="Times New Roman"/>
          <w:color w:val="auto"/>
        </w:rPr>
        <w:tab/>
        <w:t xml:space="preserve">Navrhuje sa, aby návrh zákona nadobudol účinnosť </w:t>
      </w:r>
      <w:r w:rsidR="000C2474" w:rsidRPr="009B56D0">
        <w:rPr>
          <w:rFonts w:ascii="Times New Roman" w:hAnsi="Times New Roman"/>
          <w:color w:val="auto"/>
        </w:rPr>
        <w:t>1. júla 2017.</w:t>
      </w:r>
      <w:r w:rsidRPr="00B2498A">
        <w:rPr>
          <w:rFonts w:ascii="Times New Roman" w:hAnsi="Times New Roman"/>
          <w:color w:val="auto"/>
        </w:rPr>
        <w:t xml:space="preserve">  </w:t>
      </w:r>
      <w:r w:rsidR="00214EDB" w:rsidRPr="00B2498A">
        <w:rPr>
          <w:rFonts w:ascii="Times New Roman" w:hAnsi="Times New Roman"/>
          <w:color w:val="auto"/>
        </w:rPr>
        <w:t xml:space="preserve"> </w:t>
      </w:r>
    </w:p>
    <w:p w:rsidR="0056653D" w:rsidRDefault="0056653D" w:rsidP="00EB2B76">
      <w:pPr>
        <w:pStyle w:val="Default"/>
        <w:jc w:val="both"/>
        <w:outlineLvl w:val="0"/>
        <w:rPr>
          <w:rFonts w:ascii="Times New Roman" w:hAnsi="Times New Roman"/>
          <w:color w:val="auto"/>
        </w:rPr>
      </w:pPr>
    </w:p>
    <w:p w:rsidR="0056653D" w:rsidRDefault="0056653D" w:rsidP="0056653D">
      <w:pPr>
        <w:jc w:val="both"/>
        <w:rPr>
          <w:rStyle w:val="Zstupntext"/>
          <w:color w:val="000000"/>
          <w:lang w:val="en-US"/>
        </w:rPr>
      </w:pPr>
    </w:p>
    <w:p w:rsidR="0056653D" w:rsidRPr="00B2498A" w:rsidRDefault="0056653D" w:rsidP="00EB2B76">
      <w:pPr>
        <w:pStyle w:val="Default"/>
        <w:jc w:val="both"/>
        <w:outlineLvl w:val="0"/>
        <w:rPr>
          <w:rStyle w:val="Zstupntext"/>
          <w:bCs/>
          <w:color w:val="auto"/>
        </w:rPr>
      </w:pPr>
      <w:bookmarkStart w:id="0" w:name="_GoBack"/>
      <w:bookmarkEnd w:id="0"/>
    </w:p>
    <w:sectPr w:rsidR="0056653D" w:rsidRPr="00B2498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34" w:rsidRDefault="00790634" w:rsidP="00E300EA">
      <w:r>
        <w:separator/>
      </w:r>
    </w:p>
  </w:endnote>
  <w:endnote w:type="continuationSeparator" w:id="0">
    <w:p w:rsidR="00790634" w:rsidRDefault="00790634" w:rsidP="00E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0EA" w:rsidRDefault="00E300E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05A3E">
      <w:rPr>
        <w:noProof/>
      </w:rPr>
      <w:t>4</w:t>
    </w:r>
    <w:r>
      <w:fldChar w:fldCharType="end"/>
    </w:r>
  </w:p>
  <w:p w:rsidR="00E300EA" w:rsidRDefault="00E300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34" w:rsidRDefault="00790634" w:rsidP="00E300EA">
      <w:r>
        <w:separator/>
      </w:r>
    </w:p>
  </w:footnote>
  <w:footnote w:type="continuationSeparator" w:id="0">
    <w:p w:rsidR="00790634" w:rsidRDefault="00790634" w:rsidP="00E3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036BE7"/>
    <w:multiLevelType w:val="hybridMultilevel"/>
    <w:tmpl w:val="077C6A2A"/>
    <w:lvl w:ilvl="0" w:tplc="CBEC9F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567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02"/>
    <w:rsid w:val="0001047C"/>
    <w:rsid w:val="00011589"/>
    <w:rsid w:val="00026635"/>
    <w:rsid w:val="000307F7"/>
    <w:rsid w:val="0007589E"/>
    <w:rsid w:val="00097305"/>
    <w:rsid w:val="000C2474"/>
    <w:rsid w:val="000C3978"/>
    <w:rsid w:val="001142D9"/>
    <w:rsid w:val="00183E15"/>
    <w:rsid w:val="001C2BCB"/>
    <w:rsid w:val="001D5D5D"/>
    <w:rsid w:val="002107A0"/>
    <w:rsid w:val="00214EDB"/>
    <w:rsid w:val="00251B85"/>
    <w:rsid w:val="00264D0C"/>
    <w:rsid w:val="00283554"/>
    <w:rsid w:val="00286770"/>
    <w:rsid w:val="002A2238"/>
    <w:rsid w:val="002D4F25"/>
    <w:rsid w:val="00324AAA"/>
    <w:rsid w:val="003361F7"/>
    <w:rsid w:val="00357AC6"/>
    <w:rsid w:val="003730CF"/>
    <w:rsid w:val="003A3024"/>
    <w:rsid w:val="00404253"/>
    <w:rsid w:val="004775F1"/>
    <w:rsid w:val="004A6A55"/>
    <w:rsid w:val="004A71CB"/>
    <w:rsid w:val="004B2F39"/>
    <w:rsid w:val="004C48A7"/>
    <w:rsid w:val="004E647D"/>
    <w:rsid w:val="004F64D0"/>
    <w:rsid w:val="005164C1"/>
    <w:rsid w:val="00523033"/>
    <w:rsid w:val="005502E2"/>
    <w:rsid w:val="00550DA8"/>
    <w:rsid w:val="0056653D"/>
    <w:rsid w:val="005965EA"/>
    <w:rsid w:val="00596C90"/>
    <w:rsid w:val="0059719F"/>
    <w:rsid w:val="00635CA9"/>
    <w:rsid w:val="006435FB"/>
    <w:rsid w:val="00656E4A"/>
    <w:rsid w:val="00661339"/>
    <w:rsid w:val="00664AEF"/>
    <w:rsid w:val="006C03BA"/>
    <w:rsid w:val="006D303E"/>
    <w:rsid w:val="00712C05"/>
    <w:rsid w:val="0075112B"/>
    <w:rsid w:val="00762740"/>
    <w:rsid w:val="00762A4D"/>
    <w:rsid w:val="00790634"/>
    <w:rsid w:val="007B7037"/>
    <w:rsid w:val="007B7991"/>
    <w:rsid w:val="007D7224"/>
    <w:rsid w:val="007E6B74"/>
    <w:rsid w:val="00801910"/>
    <w:rsid w:val="0080794A"/>
    <w:rsid w:val="00816540"/>
    <w:rsid w:val="00831E20"/>
    <w:rsid w:val="00847802"/>
    <w:rsid w:val="0085151C"/>
    <w:rsid w:val="00857928"/>
    <w:rsid w:val="00861AA2"/>
    <w:rsid w:val="00890501"/>
    <w:rsid w:val="008B25A6"/>
    <w:rsid w:val="008D683D"/>
    <w:rsid w:val="008E4E81"/>
    <w:rsid w:val="00911C48"/>
    <w:rsid w:val="00921F38"/>
    <w:rsid w:val="0096475B"/>
    <w:rsid w:val="00994395"/>
    <w:rsid w:val="009B56D0"/>
    <w:rsid w:val="00A05872"/>
    <w:rsid w:val="00A2723D"/>
    <w:rsid w:val="00A64D2D"/>
    <w:rsid w:val="00AD1E5C"/>
    <w:rsid w:val="00B2498A"/>
    <w:rsid w:val="00B8029E"/>
    <w:rsid w:val="00B85AF6"/>
    <w:rsid w:val="00BF7845"/>
    <w:rsid w:val="00C0489E"/>
    <w:rsid w:val="00C9316F"/>
    <w:rsid w:val="00D049BC"/>
    <w:rsid w:val="00D11D28"/>
    <w:rsid w:val="00D44180"/>
    <w:rsid w:val="00D92140"/>
    <w:rsid w:val="00DD57B8"/>
    <w:rsid w:val="00E05CC8"/>
    <w:rsid w:val="00E300EA"/>
    <w:rsid w:val="00E36352"/>
    <w:rsid w:val="00EB09E9"/>
    <w:rsid w:val="00EB2B76"/>
    <w:rsid w:val="00EC1095"/>
    <w:rsid w:val="00F05A3E"/>
    <w:rsid w:val="00F46090"/>
    <w:rsid w:val="00F72012"/>
    <w:rsid w:val="00FA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7B130D-3C41-4C21-BB53-0D6FBE7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550DA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30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300EA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30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00EA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rsid w:val="003730CF"/>
    <w:pPr>
      <w:widowControl/>
      <w:numPr>
        <w:numId w:val="2"/>
      </w:numPr>
      <w:tabs>
        <w:tab w:val="left" w:pos="454"/>
      </w:tabs>
      <w:adjustRightInd/>
      <w:jc w:val="both"/>
    </w:pPr>
  </w:style>
  <w:style w:type="paragraph" w:customStyle="1" w:styleId="tl3">
    <w:name w:val="Štýl3"/>
    <w:basedOn w:val="Normlny"/>
    <w:link w:val="tl3CharChar"/>
    <w:rsid w:val="003730CF"/>
    <w:pPr>
      <w:widowControl/>
      <w:numPr>
        <w:ilvl w:val="1"/>
        <w:numId w:val="2"/>
      </w:numPr>
      <w:tabs>
        <w:tab w:val="clear" w:pos="1440"/>
        <w:tab w:val="num" w:pos="-360"/>
      </w:tabs>
      <w:adjustRightInd/>
      <w:ind w:left="738" w:hanging="284"/>
      <w:jc w:val="both"/>
    </w:pPr>
  </w:style>
  <w:style w:type="character" w:customStyle="1" w:styleId="tl3CharChar">
    <w:name w:val="Štýl3 Char Char"/>
    <w:basedOn w:val="Predvolenpsmoodseku"/>
    <w:link w:val="tl3"/>
    <w:rsid w:val="00373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05_Dôvodová-správa_osobitná-časť"/>
    <f:field ref="objsubject" par="" edit="true" text=""/>
    <f:field ref="objcreatedby" par="" text="Rozborilová, Monika, JUDr."/>
    <f:field ref="objcreatedat" par="" text="28.9.2016 9:48:14"/>
    <f:field ref="objchangedby" par="" text="Administrator, System"/>
    <f:field ref="objmodifiedat" par="" text="28.9.2016 9:48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https://ovdmasv601/sites/DMS/_layouts/15/DocIdRedir.aspx?ID=WKX3UHSAJ2R6-2-768551</Url>
      <Description>WKX3UHSAJ2R6-2-768551</Description>
    </_dlc_DocIdUrl>
    <_dlc_DocId xmlns="e60a29af-d413-48d4-bd90-fe9d2a897e4b">WKX3UHSAJ2R6-2-768551</_dlc_DocId>
  </documentManagement>
</p:properties>
</file>

<file path=customXml/itemProps1.xml><?xml version="1.0" encoding="utf-8"?>
<ds:datastoreItem xmlns:ds="http://schemas.openxmlformats.org/officeDocument/2006/customXml" ds:itemID="{1C5624CF-B0B0-4A46-9CC8-D55D80CBEEC9}"/>
</file>

<file path=customXml/itemProps2.xml><?xml version="1.0" encoding="utf-8"?>
<ds:datastoreItem xmlns:ds="http://schemas.openxmlformats.org/officeDocument/2006/customXml" ds:itemID="{12C34047-3483-4A76-993B-C6CF1F702821}"/>
</file>

<file path=customXml/itemProps3.xml><?xml version="1.0" encoding="utf-8"?>
<ds:datastoreItem xmlns:ds="http://schemas.openxmlformats.org/officeDocument/2006/customXml" ds:itemID="{A3430C2C-A101-47C4-ACAE-496C384F6ED4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8701D4E3-512D-4207-B1BC-A6E4BF628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Rozborilová Monika</cp:lastModifiedBy>
  <cp:revision>3</cp:revision>
  <cp:lastPrinted>2016-11-23T09:25:00Z</cp:lastPrinted>
  <dcterms:created xsi:type="dcterms:W3CDTF">2017-03-02T07:48:00Z</dcterms:created>
  <dcterms:modified xsi:type="dcterms:W3CDTF">2017-03-02T07:48:00Z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border="0" cellpadding="0" cellspacing="0" style="width: 99%;" width="99%"&gt;	&lt;tbody&gt;		&lt;tr&gt;			&lt;td colspan="5" style="height: 36px;"&gt;			&lt;p align="center"&gt;&lt;strong&gt;Správa o účasti verejnosti na tvorbe právneho predpisu&lt;/strong&gt;&lt;/p&gt;			&lt;p&gt;&lt;st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Monika Rozborilová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5" name="FSC#SKEDITIONSLOVLEX@103.510:nazovpredpis1">
    <vt:lpwstr> znečisťovania životného prostredia a o zmene a doplnení niektorých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24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7745/2016-9.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LP/2016/898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258/2011 Z. z. o trvalom ukladaní oxidu uhličitého do geologického prostredia a o zmene a doplnení niektorých 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50" name="FSC#COOSYSTEM@1.1:Container">
    <vt:lpwstr>COO.2145.1000.3.1629232</vt:lpwstr>
  </property>
  <property fmtid="{D5CDD505-2E9C-101B-9397-08002B2CF9AE}" pid="151" name="FSC#FSCFOLIO@1.1001:docpropproject">
    <vt:lpwstr/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1bd1150e-31ba-450c-b1c8-57ba143c5038</vt:lpwstr>
  </property>
</Properties>
</file>