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10A5" w:rsidRPr="00661635" w:rsidRDefault="00D710A5" w:rsidP="00D710A5">
      <w:pPr>
        <w:widowControl/>
        <w:spacing w:after="0" w:line="240" w:lineRule="auto"/>
        <w:jc w:val="center"/>
        <w:rPr>
          <w:rFonts w:ascii="Times New Roman" w:hAnsi="Times New Roman" w:cs="Calibri"/>
          <w:b/>
          <w:caps/>
          <w:sz w:val="28"/>
          <w:szCs w:val="28"/>
        </w:rPr>
      </w:pPr>
      <w:bookmarkStart w:id="0" w:name="_GoBack"/>
      <w:bookmarkEnd w:id="0"/>
      <w:r w:rsidRPr="00661635">
        <w:rPr>
          <w:rFonts w:ascii="Times New Roman" w:hAnsi="Times New Roman" w:cs="Calibri"/>
          <w:b/>
          <w:caps/>
          <w:sz w:val="28"/>
          <w:szCs w:val="28"/>
        </w:rPr>
        <w:t>vznesené Pripomienky v rámci medzirezortného pripomienkového konania</w:t>
      </w:r>
    </w:p>
    <w:p w:rsidR="002F00DB" w:rsidRPr="005A1161" w:rsidRDefault="002F00DB" w:rsidP="00D710A5">
      <w:pPr>
        <w:widowControl/>
        <w:spacing w:after="0" w:line="240" w:lineRule="auto"/>
        <w:jc w:val="center"/>
        <w:rPr>
          <w:rFonts w:ascii="Times New Roman" w:hAnsi="Times New Roman" w:cs="Calibri"/>
          <w:b/>
          <w:caps/>
          <w:sz w:val="20"/>
          <w:szCs w:val="20"/>
        </w:rPr>
      </w:pPr>
    </w:p>
    <w:p w:rsidR="005464E1" w:rsidRDefault="005464E1">
      <w:pPr>
        <w:jc w:val="center"/>
        <w:divId w:val="1019771312"/>
        <w:rPr>
          <w:rFonts w:ascii="Times" w:hAnsi="Times" w:cs="Times"/>
          <w:sz w:val="25"/>
          <w:szCs w:val="25"/>
        </w:rPr>
      </w:pPr>
      <w:r>
        <w:rPr>
          <w:rFonts w:ascii="Times" w:hAnsi="Times" w:cs="Times"/>
          <w:sz w:val="25"/>
          <w:szCs w:val="25"/>
        </w:rPr>
        <w:t>Návrh na ratifikáciu Minamatského dohovoru o ortuti</w:t>
      </w:r>
    </w:p>
    <w:p w:rsidR="00D710A5" w:rsidRPr="005A1161" w:rsidRDefault="00D710A5" w:rsidP="00D710A5">
      <w:pPr>
        <w:widowControl/>
        <w:spacing w:after="0" w:line="240" w:lineRule="auto"/>
        <w:rPr>
          <w:rFonts w:ascii="Times New Roman" w:hAnsi="Times New Roman" w:cs="Calibri"/>
          <w:sz w:val="20"/>
          <w:szCs w:val="20"/>
        </w:rPr>
      </w:pPr>
    </w:p>
    <w:p w:rsidR="00BA14D6" w:rsidRPr="005A1161" w:rsidRDefault="00BA14D6" w:rsidP="00D710A5">
      <w:pPr>
        <w:widowControl/>
        <w:spacing w:after="0" w:line="240" w:lineRule="auto"/>
        <w:rPr>
          <w:rFonts w:ascii="Times New Roman" w:hAnsi="Times New Roman" w:cs="Calibri"/>
          <w:sz w:val="20"/>
          <w:szCs w:val="20"/>
        </w:rPr>
      </w:pPr>
    </w:p>
    <w:tbl>
      <w:tblPr>
        <w:tblW w:w="14322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9"/>
        <w:gridCol w:w="7943"/>
      </w:tblGrid>
      <w:tr w:rsidR="00D710A5" w:rsidRPr="005A1161" w:rsidTr="00087ADB"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D710A5" w:rsidRPr="00772C99" w:rsidRDefault="0087529A" w:rsidP="00F10D72">
            <w:pPr>
              <w:widowControl/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772C99">
              <w:rPr>
                <w:rFonts w:ascii="Times New Roman" w:hAnsi="Times New Roman" w:cs="Calibri"/>
                <w:sz w:val="25"/>
                <w:szCs w:val="25"/>
              </w:rPr>
              <w:t>Počet vznesených pripomienok, z toho zásadných</w:t>
            </w:r>
          </w:p>
        </w:tc>
        <w:tc>
          <w:tcPr>
            <w:tcW w:w="7943" w:type="dxa"/>
            <w:tcBorders>
              <w:top w:val="nil"/>
              <w:left w:val="nil"/>
              <w:bottom w:val="nil"/>
              <w:right w:val="nil"/>
            </w:tcBorders>
          </w:tcPr>
          <w:p w:rsidR="00D710A5" w:rsidRPr="005A1161" w:rsidRDefault="005464E1" w:rsidP="005464E1">
            <w:pPr>
              <w:widowControl/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" w:hAnsi="Times" w:cs="Times"/>
                <w:sz w:val="25"/>
                <w:szCs w:val="25"/>
              </w:rPr>
              <w:t>34 / 0</w:t>
            </w:r>
          </w:p>
        </w:tc>
      </w:tr>
    </w:tbl>
    <w:p w:rsidR="00D710A5" w:rsidRPr="005A1161" w:rsidRDefault="00D710A5" w:rsidP="00D710A5">
      <w:pPr>
        <w:pStyle w:val="Zkladntext"/>
        <w:widowControl/>
        <w:jc w:val="both"/>
        <w:rPr>
          <w:b w:val="0"/>
          <w:bCs w:val="0"/>
          <w:color w:val="000000"/>
          <w:sz w:val="20"/>
          <w:szCs w:val="20"/>
        </w:rPr>
      </w:pPr>
    </w:p>
    <w:p w:rsidR="005464E1" w:rsidRDefault="005464E1" w:rsidP="00D710A5">
      <w:pPr>
        <w:widowControl/>
        <w:spacing w:after="0" w:line="240" w:lineRule="auto"/>
        <w:rPr>
          <w:rFonts w:ascii="Times New Roman" w:hAnsi="Times New Roman" w:cs="Calibri"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6"/>
        <w:gridCol w:w="5434"/>
        <w:gridCol w:w="906"/>
      </w:tblGrid>
      <w:tr w:rsidR="005464E1">
        <w:trPr>
          <w:divId w:val="1793089955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464E1" w:rsidRDefault="005464E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Subjekt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464E1" w:rsidRDefault="005464E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Pripomienka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464E1" w:rsidRDefault="005464E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Typ</w:t>
            </w:r>
          </w:p>
        </w:tc>
      </w:tr>
      <w:tr w:rsidR="005464E1">
        <w:trPr>
          <w:divId w:val="1793089955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464E1" w:rsidRDefault="005464E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GPSR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464E1" w:rsidRDefault="005464E1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Bez pripomienok.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464E1" w:rsidRDefault="005464E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5464E1">
        <w:trPr>
          <w:divId w:val="1793089955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464E1" w:rsidRDefault="005464E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MDaVSR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464E1" w:rsidRDefault="005464E1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 xml:space="preserve">1. v návrhu predkladacej správy na rokovanie vlády SR odporúčame doplniť informácie týkajúce sa prepravy nebezpečného tovaru, medzi ktoré kategoricky patrí aj ortuť vzhľadom na obsah vlastného materiálu, ktorý hovorí o jej preprave. Slovenská republika je viazaná v rámci prepravy nebezpečného tovaru nasledovnými medzinárodnými zmluvami, ktoré vzhľadom na svoju povahu možno kategorizovať podľa článku 7 ods. 5 Ústavy Slovenskej republiky a majú prednosť pred zákonmi: a) „Preprava nebezpečného tovaru po železnici sa riadi „Poriadkom pre medzinárodnú železničnú prepravu nebezpečného tovaru (RID)“ (oznámenie MZVaEZ SR č. 52/2017 Z. z., anglické znenie „The Regulation concerning the International Carriage of Dangerous Goods by Rail (RID)“ (ďalej len „poriadok RID”), ktorý je dodatkom C „Dohovoru o medzinárodnej železničnej preprave (COTIF)“ (Bern 9. mája 1980, vyhláška č. 8/1985 Zb.) v znení Protokolu 1999 (Vilnius 3. júna 1999), v zmysle ktorého sa preprava ortuti a výrobkov obsahujúcich ortuť (UN 2809 a UN 3506) riadi predpisom RID, b) „Európska dohoda o medzinárodnej cestnej preprave nebezpečných vecí (ADR)“ (oznámenie MZVaEZ SR č. 53/2017 Z. z., anglické znenie „The European Agreement concerning the International Carriage of Dangerous Goods by Road“, ďalej len „dohoda ADR”), kde v prípade, že bude nebezpečná látka zatriedená v tabuľke 3.2 A, je povinnosťou odosielateľa, dopravcu, príjemcu a iných subjektov podieľajúcich sa na preprave, aby sa riadili ustanoveniami dohody ADR, c) preprava, nakládka a vykládka ortuti a jej zlúčenín je v súčasnosti upravená „Európskou dohodou o medzinárodnej preprave nebezpečných tovarov po vnútrozemských vodných cestách (ADN)“ (oznámenie MZVaEZ SR č. 9/2017 Z. z., anglické znenie: „The European Agreement concerning the International Carriage of Dangerous Goods by Inland Waterways“), ktorá je obsiahnutá v práve EÚ smernicou Európskeho parlamentu a Rady 2008/68/ES z 24. septembra 2008 o vnútrozemskej preprave nebezpečného tovaru v platnom znení.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464E1" w:rsidRDefault="005464E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5464E1">
        <w:trPr>
          <w:divId w:val="1793089955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464E1" w:rsidRDefault="005464E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MFSR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464E1" w:rsidRDefault="005464E1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K celému materiálu - bez pripomienok.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464E1" w:rsidRDefault="005464E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5464E1">
        <w:trPr>
          <w:divId w:val="1793089955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464E1" w:rsidRDefault="005464E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MHSR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464E1" w:rsidRDefault="005464E1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464E1" w:rsidRDefault="005464E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5464E1">
        <w:trPr>
          <w:divId w:val="1793089955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464E1" w:rsidRDefault="005464E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MKSR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464E1" w:rsidRDefault="005464E1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Všeobecne:</w:t>
            </w:r>
            <w:r>
              <w:rPr>
                <w:rFonts w:ascii="Times" w:hAnsi="Times" w:cs="Times"/>
                <w:sz w:val="25"/>
                <w:szCs w:val="25"/>
              </w:rPr>
              <w:br/>
              <w:t>Odporúčame celý text jazykovo a gramaticky upraviť.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464E1" w:rsidRDefault="005464E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5464E1">
        <w:trPr>
          <w:divId w:val="1793089955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464E1" w:rsidRDefault="005464E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MKSR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464E1" w:rsidRDefault="005464E1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 xml:space="preserve">V čl. 11 odporúčame. 1. V ods. 3 za slovom "aby" vypustiť dvojbodku a pripojiť slovo "sa" a slovo "sa" vypustiť na začiatku písm.a) až c). 2. V ods. 3 písm. b) vypustiť slová "odseku 3", v písm. c) slová "V prípade, keď" nahradiť slovom "Ak".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464E1" w:rsidRDefault="005464E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5464E1">
        <w:trPr>
          <w:divId w:val="1793089955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464E1" w:rsidRDefault="005464E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MKSR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464E1" w:rsidRDefault="005464E1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V čl. 12 odporúčame v ods. 4 slová "ako aj" nahradiť slovom "a".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464E1" w:rsidRDefault="005464E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5464E1">
        <w:trPr>
          <w:divId w:val="1793089955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464E1" w:rsidRDefault="005464E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MKSR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464E1" w:rsidRDefault="005464E1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V čl. 13 odporúčame: 1. V ods. 6 slovo "zahrnuje" nahradiť slovom "zahŕňa". 2. V ods. 10 slová "uvedené odseky" nahradiť presným označením odsekov.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464E1" w:rsidRDefault="005464E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5464E1">
        <w:trPr>
          <w:divId w:val="1793089955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464E1" w:rsidRDefault="005464E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MKSR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464E1" w:rsidRDefault="005464E1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 xml:space="preserve">V čl. 15 odporúčame: 1.V ods. 1 za slovo "výboru" vložiť slová "pre vykonávanie a dodržiavanie predpisov (ďalej len " výbor"). 2. V ods. 5 slovo "zostaví" nahradiť slovom "vypracuje".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464E1" w:rsidRDefault="005464E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5464E1">
        <w:trPr>
          <w:divId w:val="1793089955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464E1" w:rsidRDefault="005464E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MKSR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464E1" w:rsidRDefault="005464E1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V čl. 16 odporúčame v ods. 2 za slovami "by mala" vypustiť dvojbodku a pripojiť slová "podľa potreby" a slová "podľa potreby" na začiatku písm. a) a b) vypustiť.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464E1" w:rsidRDefault="005464E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5464E1">
        <w:trPr>
          <w:divId w:val="1793089955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464E1" w:rsidRDefault="005464E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MKSR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464E1" w:rsidRDefault="005464E1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 xml:space="preserve">V čl. 18 odporúčame v ods. 1 písm.a) bode iii) slová "témach uvedených" nahradiť slovami "informácie uvedené".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464E1" w:rsidRDefault="005464E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5464E1">
        <w:trPr>
          <w:divId w:val="1793089955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464E1" w:rsidRDefault="005464E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MKSR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464E1" w:rsidRDefault="005464E1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V čl. 19 odporúčame v ods. 2 vypustiť slovo "prípadne".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464E1" w:rsidRDefault="005464E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5464E1">
        <w:trPr>
          <w:divId w:val="1793089955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464E1" w:rsidRDefault="005464E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MKSR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464E1" w:rsidRDefault="005464E1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V čl. 22 odporúčame v ods. 3 písm. c) slovo "informácií" nahradiť slovami "národných správ".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464E1" w:rsidRDefault="005464E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5464E1">
        <w:trPr>
          <w:divId w:val="1793089955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464E1" w:rsidRDefault="005464E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MKSR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464E1" w:rsidRDefault="005464E1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V čl. 23 ods. 6 poslednej vete odporúčame slová "prijatým konferenciou" nahradiť slovom "konferencie".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464E1" w:rsidRDefault="005464E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5464E1">
        <w:trPr>
          <w:divId w:val="1793089955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464E1" w:rsidRDefault="005464E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MKSR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464E1" w:rsidRDefault="005464E1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V čl. 24 odporúčame: 1.V názve pod čl. 24 odporúčame za slovo "sekretariát" pripojiť slová "konferencie zmluvných strán" a legislatívnu skratku pre sekretariát zaviesť v odseku1. 2. V ods. 2 písm. e) slová "založené na základe informácií" nahradiť slovami " na základe informácií".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464E1" w:rsidRDefault="005464E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5464E1">
        <w:trPr>
          <w:divId w:val="1793089955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464E1" w:rsidRDefault="005464E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MKSR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464E1" w:rsidRDefault="005464E1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V čl. 3 odporúčame: 1. V ods. 5 písm. a) za slovom "ortuti" bodku nahradiť čiarkou. 2. V ods. 6 písm. a) slová "vyvážajúcej zmluvnej strane" nahradiť slovami "zmluvnej strane, ktorá vyváža ortuť (ďalej len "vyvážajúca strana"). Obdobne odporúčame upraviť aj znenie bodu i), v bode ii) slovo "stanovuje" nahradiť slovom "ustanovuje". Táto pripomienka sa vzťahuje na celý text dohovoru. 3. V ods. 9 za slovami "odsek 8" vypustiť čiarku.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464E1" w:rsidRDefault="005464E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5464E1">
        <w:trPr>
          <w:divId w:val="1793089955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464E1" w:rsidRDefault="005464E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MKSR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464E1" w:rsidRDefault="005464E1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V čl. 4 odporúčame: 1. V ods. 2 poslednej vete číslicu "5" nahradiť slovom "päť". To isté sa vzťahuje na celý text dohovoru pri uvádzaní číslic do 10. 2. V ods. 3 slová "tam uvedenými" nahradiť slovami "tejto prílohy". Obdobnú úpravu odporúčame aj v čl. 5 ods. 3. 3. V ods. 9 slovo "aspoň" nahradiť slovom "najmenej".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464E1" w:rsidRDefault="005464E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5464E1">
        <w:trPr>
          <w:divId w:val="1793089955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464E1" w:rsidRDefault="005464E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MKSR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464E1" w:rsidRDefault="005464E1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V čl. 6 odporúčame: 1. V ods. 1 na konci uvádzacej vety vypustiť dvojbodku a vložiť slovo "v" a v písm. a) a b) na začiatku textu vypustiť slovo "v". 2. V ods. 6 a 8 slovo "pokiaľ" nahradiť slovom "ak".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464E1" w:rsidRDefault="005464E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5464E1">
        <w:trPr>
          <w:divId w:val="1793089955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464E1" w:rsidRDefault="005464E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MKSR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464E1" w:rsidRDefault="005464E1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V čl. 7 odporúčame v ods. 3 druhej uvádzacej vete za slovom "zisteniu" vypustiť čiarku a slovo "tak" a dvojbodku na konci uvádzacej vety. Táto pripomienka platí aj pre ods. 4, čl. 8 ods. 2, čl. 9 ods. 2 a ďalšie.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464E1" w:rsidRDefault="005464E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5464E1">
        <w:trPr>
          <w:divId w:val="1793089955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464E1" w:rsidRDefault="005464E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MKSR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464E1" w:rsidRDefault="005464E1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V čl. 8 odporúčame: 1. V ods. 2 písm. c) bode ii) slovo "danú" nahradiť slovom "príslušnú". 2. V ods. 5 uvádzaciu vetu odporúčame preformulovať takto: "Ak ide o existujúce zdroje, každá zmluvná strana s prihliadnutím na vnútroštátnu situáciu, ekonomickú a technickú vykonateľnosť a dostupnosť opatrení čo najskôr, najneskôr do desiatich rokov od dátumu, keď dohovor nadobudne platnosť pre príslušnú zmluvnú stranu, zahrnie a zavedie do akéhokoľvek národného plánu jedno alebo viacero z týchto opatrení:".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464E1" w:rsidRDefault="005464E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5464E1">
        <w:trPr>
          <w:divId w:val="1793089955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464E1" w:rsidRDefault="005464E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MKSR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464E1" w:rsidRDefault="005464E1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V článku 2 odporúčame: 1. V písm. b) vnútorné členenie na písm. i) až ii) nahradiť členením na body. To isté sa vzťahuje na celý materiál. 2. V písm. f) slovo "zložku" nahradiť slovom "zložka". 3. V písm. j) pred slovom "a" na konci textu vypustiť bodkočiarku. To isté sa vžahuje na celý materiál.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464E1" w:rsidRDefault="005464E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5464E1">
        <w:trPr>
          <w:divId w:val="1793089955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464E1" w:rsidRDefault="005464E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MOSR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464E1" w:rsidRDefault="005464E1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Bez pripomienky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464E1" w:rsidRDefault="005464E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5464E1">
        <w:trPr>
          <w:divId w:val="1793089955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464E1" w:rsidRDefault="005464E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MPRVSR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464E1" w:rsidRDefault="005464E1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464E1" w:rsidRDefault="005464E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5464E1">
        <w:trPr>
          <w:divId w:val="1793089955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464E1" w:rsidRDefault="005464E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MPSVRSR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464E1" w:rsidRDefault="005464E1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 xml:space="preserve">Bez pripomienok.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464E1" w:rsidRDefault="005464E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5464E1">
        <w:trPr>
          <w:divId w:val="1793089955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464E1" w:rsidRDefault="005464E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MVSR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464E1" w:rsidRDefault="005464E1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464E1" w:rsidRDefault="005464E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5464E1">
        <w:trPr>
          <w:divId w:val="1793089955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464E1" w:rsidRDefault="005464E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MZSR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464E1" w:rsidRDefault="005464E1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464E1" w:rsidRDefault="005464E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5464E1">
        <w:trPr>
          <w:divId w:val="1793089955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464E1" w:rsidRDefault="005464E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MZVaEZSR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464E1" w:rsidRDefault="005464E1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464E1" w:rsidRDefault="005464E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5464E1">
        <w:trPr>
          <w:divId w:val="1793089955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464E1" w:rsidRDefault="005464E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MZVaEZSR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464E1" w:rsidRDefault="005464E1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 xml:space="preserve">Navrhujeme v celom texte upraviť názov materiálu „Návrh na uzatvorenie Minamatského dohovoru o ortuti“ Zdôvodnenie: nejde o návrh na ratifikáciu, ale návrh na uzatvorenie zmluvy v zmysle čl. 9 ods. 1 Pravidiel pre uzatváranie medzinárodných zmlúv a zmluvnú prax schválených uznesením vlády č. 743 z 21. 10. 2009. V súlade s touto pripomienkou navrhujeme v bode A.1. upraviť text nasledovne: „s uzatvorením Minamatského dohovoru o ortuti (ďalej len „dohovor“)“ V bode D.2 navrhujeme spojenie „po nadobudnutí jeho platnosti pre Slovenskú republiku“ nahradiť spojením „najneskôr v deň nadobudnutia jeho platnosti pre Slovenskú republiku“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464E1" w:rsidRDefault="005464E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5464E1">
        <w:trPr>
          <w:divId w:val="1793089955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464E1" w:rsidRDefault="005464E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NBS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464E1" w:rsidRDefault="005464E1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Bez pripomienok.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464E1" w:rsidRDefault="005464E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5464E1">
        <w:trPr>
          <w:divId w:val="1793089955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464E1" w:rsidRDefault="005464E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PMÚSR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464E1" w:rsidRDefault="005464E1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464E1" w:rsidRDefault="005464E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5464E1">
        <w:trPr>
          <w:divId w:val="1793089955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464E1" w:rsidRDefault="005464E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ÚJDSR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464E1" w:rsidRDefault="005464E1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k celému materiálu - 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464E1" w:rsidRDefault="005464E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5464E1">
        <w:trPr>
          <w:divId w:val="1793089955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464E1" w:rsidRDefault="005464E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ÚNMSSR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464E1" w:rsidRDefault="005464E1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V prílohe A písm. b) vlastného materiálu odporúčame slovo "štandard" nahradiť slovom "materiál", nakoľko sa domnievame, že predkladateľ mal na mysli referenčný materiál podľa § 2 písm. h) zákona č. 142/2000 Z. z. o metrológii a o zmene a doplnení niektorých zákonov v znení neskorších predpisov.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464E1" w:rsidRDefault="005464E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5464E1">
        <w:trPr>
          <w:divId w:val="1793089955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464E1" w:rsidRDefault="005464E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ÚPPVII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464E1" w:rsidRDefault="005464E1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pripomienok.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464E1" w:rsidRDefault="005464E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5464E1">
        <w:trPr>
          <w:divId w:val="1793089955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464E1" w:rsidRDefault="005464E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ÚPVSR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464E1" w:rsidRDefault="005464E1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Bez pripomienok.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464E1" w:rsidRDefault="005464E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5464E1">
        <w:trPr>
          <w:divId w:val="1793089955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464E1" w:rsidRDefault="005464E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NBÚSR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464E1" w:rsidRDefault="005464E1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Odoslané 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464E1" w:rsidRDefault="005464E1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5464E1">
        <w:trPr>
          <w:divId w:val="1793089955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464E1" w:rsidRDefault="005464E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ŠÚSR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464E1" w:rsidRDefault="005464E1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Odoslané 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464E1" w:rsidRDefault="005464E1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5464E1">
        <w:trPr>
          <w:divId w:val="1793089955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464E1" w:rsidRDefault="005464E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MŠVVaŠSR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464E1" w:rsidRDefault="005464E1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Odoslané 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464E1" w:rsidRDefault="005464E1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</w:tbl>
    <w:p w:rsidR="00DD1B41" w:rsidRDefault="00DD1B41" w:rsidP="00D710A5">
      <w:pPr>
        <w:widowControl/>
        <w:spacing w:after="0" w:line="240" w:lineRule="auto"/>
        <w:rPr>
          <w:rFonts w:ascii="Times New Roman" w:hAnsi="Times New Roman" w:cs="Calibri"/>
          <w:sz w:val="20"/>
          <w:szCs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928"/>
      </w:tblGrid>
      <w:tr w:rsidR="006173E4" w:rsidRPr="00F44C37" w:rsidTr="00C27ACD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6173E4" w:rsidRPr="00772C99" w:rsidRDefault="006173E4" w:rsidP="00C27ACD">
            <w:pPr>
              <w:pStyle w:val="Zkladntext"/>
              <w:widowControl/>
              <w:jc w:val="both"/>
              <w:rPr>
                <w:b w:val="0"/>
                <w:color w:val="000000"/>
                <w:sz w:val="22"/>
                <w:szCs w:val="22"/>
              </w:rPr>
            </w:pPr>
          </w:p>
          <w:p w:rsidR="006173E4" w:rsidRPr="00772C99" w:rsidRDefault="006173E4" w:rsidP="00C27ACD">
            <w:pPr>
              <w:pStyle w:val="Zkladntext"/>
              <w:widowControl/>
              <w:jc w:val="both"/>
              <w:rPr>
                <w:b w:val="0"/>
                <w:color w:val="000000"/>
                <w:sz w:val="22"/>
                <w:szCs w:val="22"/>
              </w:rPr>
            </w:pPr>
            <w:r w:rsidRPr="00772C99">
              <w:rPr>
                <w:b w:val="0"/>
                <w:color w:val="000000"/>
                <w:sz w:val="22"/>
                <w:szCs w:val="22"/>
              </w:rPr>
              <w:t>Vysvetlivky  k použitým skratkám v tabuľke:</w:t>
            </w:r>
          </w:p>
        </w:tc>
      </w:tr>
      <w:tr w:rsidR="006173E4" w:rsidRPr="00F44C37" w:rsidTr="00C27ACD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6173E4" w:rsidRPr="00772C99" w:rsidRDefault="006173E4" w:rsidP="00C27ACD">
            <w:pPr>
              <w:pStyle w:val="Zkladntext"/>
              <w:widowControl/>
              <w:jc w:val="both"/>
              <w:rPr>
                <w:b w:val="0"/>
                <w:color w:val="000000"/>
                <w:sz w:val="22"/>
                <w:szCs w:val="22"/>
              </w:rPr>
            </w:pPr>
            <w:r w:rsidRPr="00772C99">
              <w:rPr>
                <w:b w:val="0"/>
                <w:color w:val="000000"/>
                <w:sz w:val="22"/>
                <w:szCs w:val="22"/>
              </w:rPr>
              <w:t>O – obyčajná</w:t>
            </w:r>
          </w:p>
        </w:tc>
      </w:tr>
      <w:tr w:rsidR="006173E4" w:rsidRPr="00F44C37" w:rsidTr="00C27ACD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6173E4" w:rsidRPr="00772C99" w:rsidRDefault="006173E4" w:rsidP="00C27ACD">
            <w:pPr>
              <w:pStyle w:val="Zkladntext"/>
              <w:widowControl/>
              <w:jc w:val="both"/>
              <w:rPr>
                <w:b w:val="0"/>
                <w:color w:val="000000"/>
                <w:sz w:val="22"/>
                <w:szCs w:val="22"/>
              </w:rPr>
            </w:pPr>
            <w:r w:rsidRPr="00772C99">
              <w:rPr>
                <w:b w:val="0"/>
                <w:color w:val="000000"/>
                <w:sz w:val="22"/>
                <w:szCs w:val="22"/>
              </w:rPr>
              <w:t>Z – zásadná</w:t>
            </w:r>
          </w:p>
        </w:tc>
      </w:tr>
    </w:tbl>
    <w:p w:rsidR="006173E4" w:rsidRPr="005A1161" w:rsidRDefault="006173E4" w:rsidP="00D710A5">
      <w:pPr>
        <w:widowControl/>
        <w:spacing w:after="0" w:line="240" w:lineRule="auto"/>
        <w:rPr>
          <w:rFonts w:ascii="Times New Roman" w:hAnsi="Times New Roman" w:cs="Calibri"/>
          <w:sz w:val="20"/>
          <w:szCs w:val="20"/>
        </w:rPr>
      </w:pPr>
    </w:p>
    <w:sectPr w:rsidR="006173E4" w:rsidRPr="005A1161">
      <w:pgSz w:w="15840" w:h="12240" w:orient="landscape"/>
      <w:pgMar w:top="1418" w:right="851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3B0"/>
    <w:rsid w:val="000144C3"/>
    <w:rsid w:val="000B3F57"/>
    <w:rsid w:val="002C2B40"/>
    <w:rsid w:val="002F00DB"/>
    <w:rsid w:val="00327A2D"/>
    <w:rsid w:val="003A35EB"/>
    <w:rsid w:val="003C009A"/>
    <w:rsid w:val="004C083B"/>
    <w:rsid w:val="005464E1"/>
    <w:rsid w:val="005A1161"/>
    <w:rsid w:val="006173E4"/>
    <w:rsid w:val="00661635"/>
    <w:rsid w:val="006A0E56"/>
    <w:rsid w:val="00761851"/>
    <w:rsid w:val="00772C99"/>
    <w:rsid w:val="00773CE7"/>
    <w:rsid w:val="008461A5"/>
    <w:rsid w:val="0087529A"/>
    <w:rsid w:val="008F1A80"/>
    <w:rsid w:val="00A56287"/>
    <w:rsid w:val="00AA4FD0"/>
    <w:rsid w:val="00B3505E"/>
    <w:rsid w:val="00B50E2A"/>
    <w:rsid w:val="00B51490"/>
    <w:rsid w:val="00BA14D6"/>
    <w:rsid w:val="00D02827"/>
    <w:rsid w:val="00D17ED7"/>
    <w:rsid w:val="00D463B0"/>
    <w:rsid w:val="00D710A5"/>
    <w:rsid w:val="00DD1B41"/>
    <w:rsid w:val="00DF7EB5"/>
    <w:rsid w:val="00F10D72"/>
    <w:rsid w:val="00F44C37"/>
    <w:rsid w:val="00FE2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DBD255-B1F0-4ECC-A3D0-F0E8E3FBB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710A5"/>
    <w:pPr>
      <w:widowControl w:val="0"/>
      <w:adjustRightInd w:val="0"/>
    </w:pPr>
    <w:rPr>
      <w:rFonts w:ascii="Calibri" w:eastAsia="Times New Roman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D710A5"/>
    <w:rPr>
      <w:rFonts w:ascii="Times New Roman" w:hAnsi="Times New Roman" w:cs="Times New Roman"/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710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710A5"/>
    <w:rPr>
      <w:rFonts w:ascii="Tahoma" w:eastAsia="Times New Roman" w:hAnsi="Tahoma" w:cs="Tahoma"/>
      <w:sz w:val="16"/>
      <w:szCs w:val="16"/>
      <w:lang w:val="en-US"/>
    </w:rPr>
  </w:style>
  <w:style w:type="table" w:styleId="Mriekatabuky">
    <w:name w:val="Table Grid"/>
    <w:basedOn w:val="Normlnatabuka"/>
    <w:uiPriority w:val="59"/>
    <w:rsid w:val="00D710A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4"/>
      <w:szCs w:val="24"/>
      <w:lang w:eastAsia="sk-S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Siln">
    <w:name w:val="Strong"/>
    <w:basedOn w:val="Predvolenpsmoodseku"/>
    <w:uiPriority w:val="22"/>
    <w:qFormat/>
    <w:rsid w:val="00D710A5"/>
    <w:rPr>
      <w:rFonts w:ascii="Times New Roman" w:hAnsi="Times New Roman" w:cs="Times New Roman"/>
      <w:b/>
      <w:bCs/>
    </w:rPr>
  </w:style>
  <w:style w:type="paragraph" w:styleId="Zkladntext">
    <w:name w:val="Body Text"/>
    <w:basedOn w:val="Normlny"/>
    <w:link w:val="ZkladntextChar"/>
    <w:uiPriority w:val="99"/>
    <w:semiHidden/>
    <w:rsid w:val="00D710A5"/>
    <w:pPr>
      <w:spacing w:after="0" w:line="240" w:lineRule="auto"/>
      <w:jc w:val="center"/>
    </w:pPr>
    <w:rPr>
      <w:rFonts w:ascii="Times New Roman" w:hAnsi="Times New Roman"/>
      <w:b/>
      <w:bCs/>
      <w:sz w:val="28"/>
      <w:szCs w:val="28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D710A5"/>
    <w:rPr>
      <w:rFonts w:ascii="Times New Roman" w:eastAsia="Times New Roman" w:hAnsi="Times New Roman" w:cs="Times New Roman"/>
      <w:b/>
      <w:bCs/>
      <w:sz w:val="28"/>
      <w:szCs w:val="28"/>
      <w:lang w:eastAsia="sk-SK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D710A5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D710A5"/>
    <w:rPr>
      <w:rFonts w:ascii="Calibri" w:eastAsia="Times New Roman" w:hAnsi="Calibri" w:cs="Times New Roman"/>
      <w:lang w:val="en-US"/>
    </w:rPr>
  </w:style>
  <w:style w:type="character" w:styleId="Odkaznakomentr">
    <w:name w:val="annotation reference"/>
    <w:basedOn w:val="Predvolenpsmoodseku"/>
    <w:uiPriority w:val="99"/>
    <w:semiHidden/>
    <w:unhideWhenUsed/>
    <w:rsid w:val="006A0E5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6A0E56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6A0E56"/>
    <w:rPr>
      <w:rFonts w:ascii="Calibri" w:eastAsia="Times New Roman" w:hAnsi="Calibri" w:cs="Times New Roman"/>
      <w:sz w:val="20"/>
      <w:szCs w:val="20"/>
      <w:lang w:val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A0E5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A0E56"/>
    <w:rPr>
      <w:rFonts w:ascii="Calibri" w:eastAsia="Times New Roman" w:hAnsi="Calibri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977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0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8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openxmlformats.org/officeDocument/2006/relationships/customXml" Target="../customXml/item6.xml"/><Relationship Id="rId5" Type="http://schemas.openxmlformats.org/officeDocument/2006/relationships/webSettings" Target="webSettings.xml"/><Relationship Id="rId10" Type="http://schemas.openxmlformats.org/officeDocument/2006/relationships/customXml" Target="../customXml/item5.xml"/><Relationship Id="rId4" Type="http://schemas.openxmlformats.org/officeDocument/2006/relationships/settings" Target="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f:fields xmlns:f="http://schemas.fabasoft.com/folio/2007/fields">
  <f:record ref="">
    <f:field ref="objname" par="" edit="true" text="Vznesené pripomienky v ramci medzirezortného pripomienkového konania"/>
    <f:field ref="objsubject" par="" edit="true" text="Vznesené pripomienky v ramci medzirezortného pripomienkového konania"/>
    <f:field ref="objcreatedby" par="" text="Fscclone"/>
    <f:field ref="objcreatedat" par="" text="24.3.2017 5:48:12"/>
    <f:field ref="objchangedby" par="" text="Fscclone"/>
    <f:field ref="objmodifiedat" par="" text="24.3.2017 5:48:14"/>
    <f:field ref="doc_FSCFOLIO_1_1001_FieldDocumentNumber" par="" text=""/>
    <f:field ref="doc_FSCFOLIO_1_1001_FieldSubject" par="" edit="true" text="Vznesené pripomienky v ramci medzirezortného pripomienkového konania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https://ovdmasv601/sites/DMS/_layouts/15/DocIdRedir.aspx?ID=WKX3UHSAJ2R6-2-771812</Url>
      <Description>WKX3UHSAJ2R6-2-771812</Description>
    </_dlc_DocIdUrl>
    <_dlc_DocId xmlns="e60a29af-d413-48d4-bd90-fe9d2a897e4b">WKX3UHSAJ2R6-2-771812</_dlc_DocId>
  </documentManagement>
</p:properties>
</file>

<file path=customXml/itemProps1.xml><?xml version="1.0" encoding="utf-8"?>
<ds:datastoreItem xmlns:ds="http://schemas.openxmlformats.org/officeDocument/2006/customXml" ds:itemID="{10BD8718-00EA-4811-A02D-BDA232D2C969}"/>
</file>

<file path=customXml/itemProps2.xml><?xml version="1.0" encoding="utf-8"?>
<ds:datastoreItem xmlns:ds="http://schemas.openxmlformats.org/officeDocument/2006/customXml" ds:itemID="{4E8A9591-F074-446B-902F-511FF79C122F}"/>
</file>

<file path=customXml/itemProps3.xml><?xml version="1.0" encoding="utf-8"?>
<ds:datastoreItem xmlns:ds="http://schemas.openxmlformats.org/officeDocument/2006/customXml" ds:itemID="{FE783303-E36D-4E25-B9DD-29B83D51175B}"/>
</file>

<file path=customXml/itemProps4.xml><?xml version="1.0" encoding="utf-8"?>
<ds:datastoreItem xmlns:ds="http://schemas.openxmlformats.org/officeDocument/2006/customXml" ds:itemID="{57782061-D736-4A94-9CD5-7B231F96DF55}"/>
</file>

<file path=customXml/itemProps5.xml><?xml version="1.0" encoding="utf-8"?>
<ds:datastoreItem xmlns:ds="http://schemas.openxmlformats.org/officeDocument/2006/customXml" ds:itemID="{155F0975-F474-4234-90DE-E05014E28837}"/>
</file>

<file path=customXml/itemProps6.xml><?xml version="1.0" encoding="utf-8"?>
<ds:datastoreItem xmlns:ds="http://schemas.openxmlformats.org/officeDocument/2006/customXml" ds:itemID="{9B4C835A-7308-477B-AB5B-161EA9D6C51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1107</Words>
  <Characters>6316</Characters>
  <Application>Microsoft Office Word</Application>
  <DocSecurity>4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Lubos Kubus</dc:creator>
  <cp:lastModifiedBy>ms.slx.P.fscsrv</cp:lastModifiedBy>
  <cp:revision>2</cp:revision>
  <dcterms:created xsi:type="dcterms:W3CDTF">2017-03-24T04:48:00Z</dcterms:created>
  <dcterms:modified xsi:type="dcterms:W3CDTF">2017-03-24T04:48:00Z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/>
  </property>
  <property fmtid="{D5CDD505-2E9C-101B-9397-08002B2CF9AE}" pid="3" name="FSC#SKEDITIONSLOVLEX@103.510:typpredpis">
    <vt:lpwstr>Akt medzinárodného práva</vt:lpwstr>
  </property>
  <property fmtid="{D5CDD505-2E9C-101B-9397-08002B2CF9AE}" pid="4" name="FSC#SKEDITIONSLOVLEX@103.510:cisloparlamenttlac">
    <vt:lpwstr/>
  </property>
  <property fmtid="{D5CDD505-2E9C-101B-9397-08002B2CF9AE}" pid="5" name="FSC#SKEDITIONSLOVLEX@103.510:stavpredpis">
    <vt:lpwstr>Pred rokovaním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Medzinárodné zmluvy, dohody, dohovory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Ing. Jana Mičáková</vt:lpwstr>
  </property>
  <property fmtid="{D5CDD505-2E9C-101B-9397-08002B2CF9AE}" pid="11" name="FSC#SKEDITIONSLOVLEX@103.510:zodppredkladatel">
    <vt:lpwstr>László Sólymos</vt:lpwstr>
  </property>
  <property fmtid="{D5CDD505-2E9C-101B-9397-08002B2CF9AE}" pid="12" name="FSC#SKEDITIONSLOVLEX@103.510:dalsipredkladatel">
    <vt:lpwstr>Miroslav Lajčák</vt:lpwstr>
  </property>
  <property fmtid="{D5CDD505-2E9C-101B-9397-08002B2CF9AE}" pid="13" name="FSC#SKEDITIONSLOVLEX@103.510:nazovpredpis">
    <vt:lpwstr> Návrh na ratifikáciu Minamatského dohovoru o ortuti</vt:lpwstr>
  </property>
  <property fmtid="{D5CDD505-2E9C-101B-9397-08002B2CF9AE}" pid="14" name="FSC#SKEDITIONSLOVLEX@103.510:nazovpredpis1">
    <vt:lpwstr/>
  </property>
  <property fmtid="{D5CDD505-2E9C-101B-9397-08002B2CF9AE}" pid="15" name="FSC#SKEDITIONSLOVLEX@103.510:nazovpredpis2">
    <vt:lpwstr/>
  </property>
  <property fmtid="{D5CDD505-2E9C-101B-9397-08002B2CF9AE}" pid="16" name="FSC#SKEDITIONSLOVLEX@103.510:nazovpredpis3">
    <vt:lpwstr/>
  </property>
  <property fmtid="{D5CDD505-2E9C-101B-9397-08002B2CF9AE}" pid="17" name="FSC#SKEDITIONSLOVLEX@103.510:cislopredpis">
    <vt:lpwstr/>
  </property>
  <property fmtid="{D5CDD505-2E9C-101B-9397-08002B2CF9AE}" pid="18" name="FSC#SKEDITIONSLOVLEX@103.510:zodpinstitucia">
    <vt:lpwstr>Ministerstvo životného prostredia Slovenskej republiky</vt:lpwstr>
  </property>
  <property fmtid="{D5CDD505-2E9C-101B-9397-08002B2CF9AE}" pid="19" name="FSC#SKEDITIONSLOVLEX@103.510:pripomienkovatelia">
    <vt:lpwstr/>
  </property>
  <property fmtid="{D5CDD505-2E9C-101B-9397-08002B2CF9AE}" pid="20" name="FSC#SKEDITIONSLOVLEX@103.510:autorpredpis">
    <vt:lpwstr/>
  </property>
  <property fmtid="{D5CDD505-2E9C-101B-9397-08002B2CF9AE}" pid="21" name="FSC#SKEDITIONSLOVLEX@103.510:podnetpredpis">
    <vt:lpwstr>bod A.4. uznesenia vlády Slovenskej republiky č. 522 zo dňa 4. septembra 2013</vt:lpwstr>
  </property>
  <property fmtid="{D5CDD505-2E9C-101B-9397-08002B2CF9AE}" pid="22" name="FSC#SKEDITIONSLOVLEX@103.510:plnynazovpredpis">
    <vt:lpwstr> Návrh na ratifikáciu Minamatského dohovoru o ortuti</vt:lpwstr>
  </property>
  <property fmtid="{D5CDD505-2E9C-101B-9397-08002B2CF9AE}" pid="23" name="FSC#SKEDITIONSLOVLEX@103.510:plnynazovpredpis1">
    <vt:lpwstr/>
  </property>
  <property fmtid="{D5CDD505-2E9C-101B-9397-08002B2CF9AE}" pid="24" name="FSC#SKEDITIONSLOVLEX@103.510:plnynazovpredpis2">
    <vt:lpwstr/>
  </property>
  <property fmtid="{D5CDD505-2E9C-101B-9397-08002B2CF9AE}" pid="25" name="FSC#SKEDITIONSLOVLEX@103.510:plnynazovpredpis3">
    <vt:lpwstr/>
  </property>
  <property fmtid="{D5CDD505-2E9C-101B-9397-08002B2CF9AE}" pid="26" name="FSC#SKEDITIONSLOVLEX@103.510:rezortcislopredpis">
    <vt:lpwstr>4504/2017-min.</vt:lpwstr>
  </property>
  <property fmtid="{D5CDD505-2E9C-101B-9397-08002B2CF9AE}" pid="27" name="FSC#SKEDITIONSLOVLEX@103.510:citaciapredpis">
    <vt:lpwstr/>
  </property>
  <property fmtid="{D5CDD505-2E9C-101B-9397-08002B2CF9AE}" pid="28" name="FSC#SKEDITIONSLOVLEX@103.510:spiscislouv">
    <vt:lpwstr/>
  </property>
  <property fmtid="{D5CDD505-2E9C-101B-9397-08002B2CF9AE}" pid="29" name="FSC#SKEDITIONSLOVLEX@103.510:datumschvalpredpis">
    <vt:lpwstr/>
  </property>
  <property fmtid="{D5CDD505-2E9C-101B-9397-08002B2CF9AE}" pid="30" name="FSC#SKEDITIONSLOVLEX@103.510:platneod">
    <vt:lpwstr/>
  </property>
  <property fmtid="{D5CDD505-2E9C-101B-9397-08002B2CF9AE}" pid="31" name="FSC#SKEDITIONSLOVLEX@103.510:platnedo">
    <vt:lpwstr/>
  </property>
  <property fmtid="{D5CDD505-2E9C-101B-9397-08002B2CF9AE}" pid="32" name="FSC#SKEDITIONSLOVLEX@103.510:ucinnostod">
    <vt:lpwstr/>
  </property>
  <property fmtid="{D5CDD505-2E9C-101B-9397-08002B2CF9AE}" pid="33" name="FSC#SKEDITIONSLOVLEX@103.510:ucinnostdo">
    <vt:lpwstr/>
  </property>
  <property fmtid="{D5CDD505-2E9C-101B-9397-08002B2CF9AE}" pid="34" name="FSC#SKEDITIONSLOVLEX@103.510:datumplatnosti">
    <vt:lpwstr/>
  </property>
  <property fmtid="{D5CDD505-2E9C-101B-9397-08002B2CF9AE}" pid="35" name="FSC#SKEDITIONSLOVLEX@103.510:cislolp">
    <vt:lpwstr>LP/2017/156</vt:lpwstr>
  </property>
  <property fmtid="{D5CDD505-2E9C-101B-9397-08002B2CF9AE}" pid="36" name="FSC#SKEDITIONSLOVLEX@103.510:typsprievdok">
    <vt:lpwstr>Vznesené pripomienky v rámci medzirezortného pripomienkového konania</vt:lpwstr>
  </property>
  <property fmtid="{D5CDD505-2E9C-101B-9397-08002B2CF9AE}" pid="37" name="FSC#SKEDITIONSLOVLEX@103.510:cislopartlac">
    <vt:lpwstr/>
  </property>
  <property fmtid="{D5CDD505-2E9C-101B-9397-08002B2CF9AE}" pid="38" name="FSC#SKEDITIONSLOVLEX@103.510:AttrStrListDocPropUcelPredmetZmluvy">
    <vt:lpwstr/>
  </property>
  <property fmtid="{D5CDD505-2E9C-101B-9397-08002B2CF9AE}" pid="39" name="FSC#SKEDITIONSLOVLEX@103.510:AttrStrListDocPropUpravaPravFOPRO">
    <vt:lpwstr/>
  </property>
  <property fmtid="{D5CDD505-2E9C-101B-9397-08002B2CF9AE}" pid="40" name="FSC#SKEDITIONSLOVLEX@103.510:AttrStrListDocPropUpravaPredmetuZmluvy">
    <vt:lpwstr/>
  </property>
  <property fmtid="{D5CDD505-2E9C-101B-9397-08002B2CF9AE}" pid="41" name="FSC#SKEDITIONSLOVLEX@103.510:AttrStrListDocPropKategoriaZmluvy74">
    <vt:lpwstr/>
  </property>
  <property fmtid="{D5CDD505-2E9C-101B-9397-08002B2CF9AE}" pid="42" name="FSC#SKEDITIONSLOVLEX@103.510:AttrStrListDocPropKategoriaZmluvy75">
    <vt:lpwstr/>
  </property>
  <property fmtid="{D5CDD505-2E9C-101B-9397-08002B2CF9AE}" pid="43" name="FSC#SKEDITIONSLOVLEX@103.510:AttrStrListDocPropDopadyPrijatiaZmluvy">
    <vt:lpwstr/>
  </property>
  <property fmtid="{D5CDD505-2E9C-101B-9397-08002B2CF9AE}" pid="44" name="FSC#SKEDITIONSLOVLEX@103.510:AttrStrListDocPropProblematikaPPa">
    <vt:lpwstr/>
  </property>
  <property fmtid="{D5CDD505-2E9C-101B-9397-08002B2CF9AE}" pid="45" name="FSC#SKEDITIONSLOVLEX@103.510:AttrStrListDocPropPrimarnePravoEU">
    <vt:lpwstr/>
  </property>
  <property fmtid="{D5CDD505-2E9C-101B-9397-08002B2CF9AE}" pid="46" name="FSC#SKEDITIONSLOVLEX@103.510:AttrStrListDocPropSekundarneLegPravoPO">
    <vt:lpwstr/>
  </property>
  <property fmtid="{D5CDD505-2E9C-101B-9397-08002B2CF9AE}" pid="47" name="FSC#SKEDITIONSLOVLEX@103.510:AttrStrListDocPropSekundarneNelegPravoPO">
    <vt:lpwstr/>
  </property>
  <property fmtid="{D5CDD505-2E9C-101B-9397-08002B2CF9AE}" pid="48" name="FSC#SKEDITIONSLOVLEX@103.510:AttrStrListDocPropSekundarneLegPravoDO">
    <vt:lpwstr/>
  </property>
  <property fmtid="{D5CDD505-2E9C-101B-9397-08002B2CF9AE}" pid="49" name="FSC#SKEDITIONSLOVLEX@103.510:AttrStrListDocPropProblematikaPPb">
    <vt:lpwstr/>
  </property>
  <property fmtid="{D5CDD505-2E9C-101B-9397-08002B2CF9AE}" pid="50" name="FSC#SKEDITIONSLOVLEX@103.510:AttrStrListDocPropNazovPredpisuEU">
    <vt:lpwstr/>
  </property>
  <property fmtid="{D5CDD505-2E9C-101B-9397-08002B2CF9AE}" pid="51" name="FSC#SKEDITIONSLOVLEX@103.510:AttrStrListDocPropLehotaPrebratieSmernice">
    <vt:lpwstr/>
  </property>
  <property fmtid="{D5CDD505-2E9C-101B-9397-08002B2CF9AE}" pid="52" name="FSC#SKEDITIONSLOVLEX@103.510:AttrStrListDocPropLehotaNaPredlozenie">
    <vt:lpwstr/>
  </property>
  <property fmtid="{D5CDD505-2E9C-101B-9397-08002B2CF9AE}" pid="53" name="FSC#SKEDITIONSLOVLEX@103.510:AttrStrListDocPropInfoZaciatokKonania">
    <vt:lpwstr/>
  </property>
  <property fmtid="{D5CDD505-2E9C-101B-9397-08002B2CF9AE}" pid="54" name="FSC#SKEDITIONSLOVLEX@103.510:AttrStrListDocPropInfoUzPreberanePP">
    <vt:lpwstr/>
  </property>
  <property fmtid="{D5CDD505-2E9C-101B-9397-08002B2CF9AE}" pid="55" name="FSC#SKEDITIONSLOVLEX@103.510:AttrStrListDocPropStupenZlucitelnostiPP">
    <vt:lpwstr/>
  </property>
  <property fmtid="{D5CDD505-2E9C-101B-9397-08002B2CF9AE}" pid="56" name="FSC#SKEDITIONSLOVLEX@103.510:AttrStrListDocPropGestorSpolupRezorty">
    <vt:lpwstr/>
  </property>
  <property fmtid="{D5CDD505-2E9C-101B-9397-08002B2CF9AE}" pid="57" name="FSC#SKEDITIONSLOVLEX@103.510:AttrDateDocPropZaciatokPKK">
    <vt:lpwstr/>
  </property>
  <property fmtid="{D5CDD505-2E9C-101B-9397-08002B2CF9AE}" pid="58" name="FSC#SKEDITIONSLOVLEX@103.510:AttrDateDocPropUkonceniePKK">
    <vt:lpwstr/>
  </property>
  <property fmtid="{D5CDD505-2E9C-101B-9397-08002B2CF9AE}" pid="59" name="FSC#SKEDITIONSLOVLEX@103.510:AttrStrDocPropVplyvRozpocetVS">
    <vt:lpwstr>Žiadne</vt:lpwstr>
  </property>
  <property fmtid="{D5CDD505-2E9C-101B-9397-08002B2CF9AE}" pid="60" name="FSC#SKEDITIONSLOVLEX@103.510:AttrStrDocPropVplyvPodnikatelskeProstr">
    <vt:lpwstr>Žiadne</vt:lpwstr>
  </property>
  <property fmtid="{D5CDD505-2E9C-101B-9397-08002B2CF9AE}" pid="61" name="FSC#SKEDITIONSLOVLEX@103.510:AttrStrDocPropVplyvSocialny">
    <vt:lpwstr>Žiadne</vt:lpwstr>
  </property>
  <property fmtid="{D5CDD505-2E9C-101B-9397-08002B2CF9AE}" pid="62" name="FSC#SKEDITIONSLOVLEX@103.510:AttrStrDocPropVplyvNaZivotProstr">
    <vt:lpwstr>Žiadne</vt:lpwstr>
  </property>
  <property fmtid="{D5CDD505-2E9C-101B-9397-08002B2CF9AE}" pid="63" name="FSC#SKEDITIONSLOVLEX@103.510:AttrStrDocPropVplyvNaInformatizaciu">
    <vt:lpwstr>Žiadne</vt:lpwstr>
  </property>
  <property fmtid="{D5CDD505-2E9C-101B-9397-08002B2CF9AE}" pid="64" name="FSC#SKEDITIONSLOVLEX@103.510:AttrStrListDocPropPoznamkaVplyv">
    <vt:lpwstr/>
  </property>
  <property fmtid="{D5CDD505-2E9C-101B-9397-08002B2CF9AE}" pid="65" name="FSC#SKEDITIONSLOVLEX@103.510:AttrStrListDocPropAltRiesenia">
    <vt:lpwstr>Alternatívne riešenia sa nenavrhujú.</vt:lpwstr>
  </property>
  <property fmtid="{D5CDD505-2E9C-101B-9397-08002B2CF9AE}" pid="66" name="FSC#SKEDITIONSLOVLEX@103.510:AttrStrListDocPropStanoviskoGest">
    <vt:lpwstr>Návrh na ratifikáciu Minamatského dohovoru o ortuti nemá vplyvy na rozpočet verejnej správy, na podnikateľské prostredie, na sociálne vplyvy, vplyvy na životné prostredie, vplyvy na informatizáciu, preto nie je predmetom PPK.</vt:lpwstr>
  </property>
  <property fmtid="{D5CDD505-2E9C-101B-9397-08002B2CF9AE}" pid="67" name="FSC#SKEDITIONSLOVLEX@103.510:AttrStrListDocPropTextKomunike">
    <vt:lpwstr>Vláda Slovenskej republiky na svojom rokovaní dňa ....................... prerokovala a schválila materiál Návrh na ratifikáciu Minamatského dohovoru o ortuti.</vt:lpwstr>
  </property>
  <property fmtid="{D5CDD505-2E9C-101B-9397-08002B2CF9AE}" pid="68" name="FSC#SKEDITIONSLOVLEX@103.510:AttrStrListDocPropUznesenieCastA">
    <vt:lpwstr/>
  </property>
  <property fmtid="{D5CDD505-2E9C-101B-9397-08002B2CF9AE}" pid="69" name="FSC#SKEDITIONSLOVLEX@103.510:AttrStrListDocPropUznesenieZodpovednyA1">
    <vt:lpwstr/>
  </property>
  <property fmtid="{D5CDD505-2E9C-101B-9397-08002B2CF9AE}" pid="70" name="FSC#SKEDITIONSLOVLEX@103.510:AttrStrListDocPropUznesenieTextA1">
    <vt:lpwstr/>
  </property>
  <property fmtid="{D5CDD505-2E9C-101B-9397-08002B2CF9AE}" pid="71" name="FSC#SKEDITIONSLOVLEX@103.510:AttrStrListDocPropUznesenieTerminA1">
    <vt:lpwstr/>
  </property>
  <property fmtid="{D5CDD505-2E9C-101B-9397-08002B2CF9AE}" pid="72" name="FSC#SKEDITIONSLOVLEX@103.510:AttrStrListDocPropUznesenieBODA1">
    <vt:lpwstr/>
  </property>
  <property fmtid="{D5CDD505-2E9C-101B-9397-08002B2CF9AE}" pid="73" name="FSC#SKEDITIONSLOVLEX@103.510:AttrStrListDocPropUznesenieZodpovednyA2">
    <vt:lpwstr/>
  </property>
  <property fmtid="{D5CDD505-2E9C-101B-9397-08002B2CF9AE}" pid="74" name="FSC#SKEDITIONSLOVLEX@103.510:AttrStrListDocPropUznesenieTextA2">
    <vt:lpwstr/>
  </property>
  <property fmtid="{D5CDD505-2E9C-101B-9397-08002B2CF9AE}" pid="75" name="FSC#SKEDITIONSLOVLEX@103.510:AttrStrListDocPropUznesenieTerminA2">
    <vt:lpwstr/>
  </property>
  <property fmtid="{D5CDD505-2E9C-101B-9397-08002B2CF9AE}" pid="76" name="FSC#SKEDITIONSLOVLEX@103.510:AttrStrListDocPropUznesenieBODA3">
    <vt:lpwstr/>
  </property>
  <property fmtid="{D5CDD505-2E9C-101B-9397-08002B2CF9AE}" pid="77" name="FSC#SKEDITIONSLOVLEX@103.510:AttrStrListDocPropUznesenieZodpovednyA3">
    <vt:lpwstr/>
  </property>
  <property fmtid="{D5CDD505-2E9C-101B-9397-08002B2CF9AE}" pid="78" name="FSC#SKEDITIONSLOVLEX@103.510:AttrStrListDocPropUznesenieTextA3">
    <vt:lpwstr/>
  </property>
  <property fmtid="{D5CDD505-2E9C-101B-9397-08002B2CF9AE}" pid="79" name="FSC#SKEDITIONSLOVLEX@103.510:AttrStrListDocPropUznesenieTerminA3">
    <vt:lpwstr/>
  </property>
  <property fmtid="{D5CDD505-2E9C-101B-9397-08002B2CF9AE}" pid="80" name="FSC#SKEDITIONSLOVLEX@103.510:AttrStrListDocPropUznesenieBODA4">
    <vt:lpwstr/>
  </property>
  <property fmtid="{D5CDD505-2E9C-101B-9397-08002B2CF9AE}" pid="81" name="FSC#SKEDITIONSLOVLEX@103.510:AttrStrListDocPropUznesenieZodpovednyA4">
    <vt:lpwstr/>
  </property>
  <property fmtid="{D5CDD505-2E9C-101B-9397-08002B2CF9AE}" pid="82" name="FSC#SKEDITIONSLOVLEX@103.510:AttrStrListDocPropUznesenieTextA4">
    <vt:lpwstr/>
  </property>
  <property fmtid="{D5CDD505-2E9C-101B-9397-08002B2CF9AE}" pid="83" name="FSC#SKEDITIONSLOVLEX@103.510:AttrStrListDocPropUznesenieTerminA4">
    <vt:lpwstr/>
  </property>
  <property fmtid="{D5CDD505-2E9C-101B-9397-08002B2CF9AE}" pid="84" name="FSC#SKEDITIONSLOVLEX@103.510:AttrStrListDocPropUznesenieCastB">
    <vt:lpwstr/>
  </property>
  <property fmtid="{D5CDD505-2E9C-101B-9397-08002B2CF9AE}" pid="85" name="FSC#SKEDITIONSLOVLEX@103.510:AttrStrListDocPropUznesenieBODB1">
    <vt:lpwstr/>
  </property>
  <property fmtid="{D5CDD505-2E9C-101B-9397-08002B2CF9AE}" pid="86" name="FSC#SKEDITIONSLOVLEX@103.510:AttrStrListDocPropUznesenieZodpovednyB1">
    <vt:lpwstr/>
  </property>
  <property fmtid="{D5CDD505-2E9C-101B-9397-08002B2CF9AE}" pid="87" name="FSC#SKEDITIONSLOVLEX@103.510:AttrStrListDocPropUznesenieTextB1">
    <vt:lpwstr/>
  </property>
  <property fmtid="{D5CDD505-2E9C-101B-9397-08002B2CF9AE}" pid="88" name="FSC#SKEDITIONSLOVLEX@103.510:AttrStrListDocPropUznesenieTerminB1">
    <vt:lpwstr/>
  </property>
  <property fmtid="{D5CDD505-2E9C-101B-9397-08002B2CF9AE}" pid="89" name="FSC#SKEDITIONSLOVLEX@103.510:AttrStrListDocPropUznesenieBODB2">
    <vt:lpwstr/>
  </property>
  <property fmtid="{D5CDD505-2E9C-101B-9397-08002B2CF9AE}" pid="90" name="FSC#SKEDITIONSLOVLEX@103.510:AttrStrListDocPropUznesenieZodpovednyB2">
    <vt:lpwstr/>
  </property>
  <property fmtid="{D5CDD505-2E9C-101B-9397-08002B2CF9AE}" pid="91" name="FSC#SKEDITIONSLOVLEX@103.510:AttrStrListDocPropUznesenieTextB2">
    <vt:lpwstr/>
  </property>
  <property fmtid="{D5CDD505-2E9C-101B-9397-08002B2CF9AE}" pid="92" name="FSC#SKEDITIONSLOVLEX@103.510:AttrStrListDocPropUznesenieTerminB2">
    <vt:lpwstr/>
  </property>
  <property fmtid="{D5CDD505-2E9C-101B-9397-08002B2CF9AE}" pid="93" name="FSC#SKEDITIONSLOVLEX@103.510:AttrStrListDocPropUznesenieBODB3">
    <vt:lpwstr/>
  </property>
  <property fmtid="{D5CDD505-2E9C-101B-9397-08002B2CF9AE}" pid="94" name="FSC#SKEDITIONSLOVLEX@103.510:AttrStrListDocPropUznesenieZodpovednyB3">
    <vt:lpwstr/>
  </property>
  <property fmtid="{D5CDD505-2E9C-101B-9397-08002B2CF9AE}" pid="95" name="FSC#SKEDITIONSLOVLEX@103.510:AttrStrListDocPropUznesenieTextB3">
    <vt:lpwstr/>
  </property>
  <property fmtid="{D5CDD505-2E9C-101B-9397-08002B2CF9AE}" pid="96" name="FSC#SKEDITIONSLOVLEX@103.510:AttrStrListDocPropUznesenieTerminB3">
    <vt:lpwstr/>
  </property>
  <property fmtid="{D5CDD505-2E9C-101B-9397-08002B2CF9AE}" pid="97" name="FSC#SKEDITIONSLOVLEX@103.510:AttrStrListDocPropUznesenieBODB4">
    <vt:lpwstr/>
  </property>
  <property fmtid="{D5CDD505-2E9C-101B-9397-08002B2CF9AE}" pid="98" name="FSC#SKEDITIONSLOVLEX@103.510:AttrStrListDocPropUznesenieZodpovednyB4">
    <vt:lpwstr/>
  </property>
  <property fmtid="{D5CDD505-2E9C-101B-9397-08002B2CF9AE}" pid="99" name="FSC#SKEDITIONSLOVLEX@103.510:AttrStrListDocPropUznesenieTextB4">
    <vt:lpwstr/>
  </property>
  <property fmtid="{D5CDD505-2E9C-101B-9397-08002B2CF9AE}" pid="100" name="FSC#SKEDITIONSLOVLEX@103.510:AttrStrListDocPropUznesenieTerminB4">
    <vt:lpwstr/>
  </property>
  <property fmtid="{D5CDD505-2E9C-101B-9397-08002B2CF9AE}" pid="101" name="FSC#SKEDITIONSLOVLEX@103.510:AttrStrListDocPropUznesenieCastC">
    <vt:lpwstr/>
  </property>
  <property fmtid="{D5CDD505-2E9C-101B-9397-08002B2CF9AE}" pid="102" name="FSC#SKEDITIONSLOVLEX@103.510:AttrStrListDocPropUznesenieBODC1">
    <vt:lpwstr/>
  </property>
  <property fmtid="{D5CDD505-2E9C-101B-9397-08002B2CF9AE}" pid="103" name="FSC#SKEDITIONSLOVLEX@103.510:AttrStrListDocPropUznesenieZodpovednyC1">
    <vt:lpwstr/>
  </property>
  <property fmtid="{D5CDD505-2E9C-101B-9397-08002B2CF9AE}" pid="104" name="FSC#SKEDITIONSLOVLEX@103.510:AttrStrListDocPropUznesenieTextC1">
    <vt:lpwstr/>
  </property>
  <property fmtid="{D5CDD505-2E9C-101B-9397-08002B2CF9AE}" pid="105" name="FSC#SKEDITIONSLOVLEX@103.510:AttrStrListDocPropUznesenieTerminC1">
    <vt:lpwstr/>
  </property>
  <property fmtid="{D5CDD505-2E9C-101B-9397-08002B2CF9AE}" pid="106" name="FSC#SKEDITIONSLOVLEX@103.510:AttrStrListDocPropUznesenieBODC2">
    <vt:lpwstr/>
  </property>
  <property fmtid="{D5CDD505-2E9C-101B-9397-08002B2CF9AE}" pid="107" name="FSC#SKEDITIONSLOVLEX@103.510:AttrStrListDocPropUznesenieZodpovednyC2">
    <vt:lpwstr/>
  </property>
  <property fmtid="{D5CDD505-2E9C-101B-9397-08002B2CF9AE}" pid="108" name="FSC#SKEDITIONSLOVLEX@103.510:AttrStrListDocPropUznesenieTextC2">
    <vt:lpwstr/>
  </property>
  <property fmtid="{D5CDD505-2E9C-101B-9397-08002B2CF9AE}" pid="109" name="FSC#SKEDITIONSLOVLEX@103.510:AttrStrListDocPropUznesenieTerminC2">
    <vt:lpwstr/>
  </property>
  <property fmtid="{D5CDD505-2E9C-101B-9397-08002B2CF9AE}" pid="110" name="FSC#SKEDITIONSLOVLEX@103.510:AttrStrListDocPropUznesenieBODC3">
    <vt:lpwstr/>
  </property>
  <property fmtid="{D5CDD505-2E9C-101B-9397-08002B2CF9AE}" pid="111" name="FSC#SKEDITIONSLOVLEX@103.510:AttrStrListDocPropUznesenieZodpovednyC3">
    <vt:lpwstr/>
  </property>
  <property fmtid="{D5CDD505-2E9C-101B-9397-08002B2CF9AE}" pid="112" name="FSC#SKEDITIONSLOVLEX@103.510:AttrStrListDocPropUznesenieTextC3">
    <vt:lpwstr/>
  </property>
  <property fmtid="{D5CDD505-2E9C-101B-9397-08002B2CF9AE}" pid="113" name="FSC#SKEDITIONSLOVLEX@103.510:AttrStrListDocPropUznesenieTerminC3">
    <vt:lpwstr/>
  </property>
  <property fmtid="{D5CDD505-2E9C-101B-9397-08002B2CF9AE}" pid="114" name="FSC#SKEDITIONSLOVLEX@103.510:AttrStrListDocPropUznesenieBODC4">
    <vt:lpwstr/>
  </property>
  <property fmtid="{D5CDD505-2E9C-101B-9397-08002B2CF9AE}" pid="115" name="FSC#SKEDITIONSLOVLEX@103.510:AttrStrListDocPropUznesenieZodpovednyC4">
    <vt:lpwstr/>
  </property>
  <property fmtid="{D5CDD505-2E9C-101B-9397-08002B2CF9AE}" pid="116" name="FSC#SKEDITIONSLOVLEX@103.510:AttrStrListDocPropUznesenieTextC4">
    <vt:lpwstr/>
  </property>
  <property fmtid="{D5CDD505-2E9C-101B-9397-08002B2CF9AE}" pid="117" name="FSC#SKEDITIONSLOVLEX@103.510:AttrStrListDocPropUznesenieTerminC4">
    <vt:lpwstr/>
  </property>
  <property fmtid="{D5CDD505-2E9C-101B-9397-08002B2CF9AE}" pid="118" name="FSC#SKEDITIONSLOVLEX@103.510:AttrStrListDocPropUznesenieCastD">
    <vt:lpwstr/>
  </property>
  <property fmtid="{D5CDD505-2E9C-101B-9397-08002B2CF9AE}" pid="119" name="FSC#SKEDITIONSLOVLEX@103.510:AttrStrListDocPropUznesenieBODD1">
    <vt:lpwstr/>
  </property>
  <property fmtid="{D5CDD505-2E9C-101B-9397-08002B2CF9AE}" pid="120" name="FSC#SKEDITIONSLOVLEX@103.510:AttrStrListDocPropUznesenieZodpovednyD1">
    <vt:lpwstr/>
  </property>
  <property fmtid="{D5CDD505-2E9C-101B-9397-08002B2CF9AE}" pid="121" name="FSC#SKEDITIONSLOVLEX@103.510:AttrStrListDocPropUznesenieTextD1">
    <vt:lpwstr/>
  </property>
  <property fmtid="{D5CDD505-2E9C-101B-9397-08002B2CF9AE}" pid="122" name="FSC#SKEDITIONSLOVLEX@103.510:AttrStrListDocPropUznesenieTerminD1">
    <vt:lpwstr/>
  </property>
  <property fmtid="{D5CDD505-2E9C-101B-9397-08002B2CF9AE}" pid="123" name="FSC#SKEDITIONSLOVLEX@103.510:AttrStrListDocPropUznesenieBODD2">
    <vt:lpwstr/>
  </property>
  <property fmtid="{D5CDD505-2E9C-101B-9397-08002B2CF9AE}" pid="124" name="FSC#SKEDITIONSLOVLEX@103.510:AttrStrListDocPropUznesenieZodpovednyD2">
    <vt:lpwstr/>
  </property>
  <property fmtid="{D5CDD505-2E9C-101B-9397-08002B2CF9AE}" pid="125" name="FSC#SKEDITIONSLOVLEX@103.510:AttrStrListDocPropUznesenieTextD2">
    <vt:lpwstr/>
  </property>
  <property fmtid="{D5CDD505-2E9C-101B-9397-08002B2CF9AE}" pid="126" name="FSC#SKEDITIONSLOVLEX@103.510:AttrStrListDocPropUznesenieTerminD2">
    <vt:lpwstr/>
  </property>
  <property fmtid="{D5CDD505-2E9C-101B-9397-08002B2CF9AE}" pid="127" name="FSC#SKEDITIONSLOVLEX@103.510:AttrStrListDocPropUznesenieBODD3">
    <vt:lpwstr/>
  </property>
  <property fmtid="{D5CDD505-2E9C-101B-9397-08002B2CF9AE}" pid="128" name="FSC#SKEDITIONSLOVLEX@103.510:AttrStrListDocPropUznesenieZodpovednyD3">
    <vt:lpwstr/>
  </property>
  <property fmtid="{D5CDD505-2E9C-101B-9397-08002B2CF9AE}" pid="129" name="FSC#SKEDITIONSLOVLEX@103.510:AttrStrListDocPropUznesenieTextD3">
    <vt:lpwstr/>
  </property>
  <property fmtid="{D5CDD505-2E9C-101B-9397-08002B2CF9AE}" pid="130" name="FSC#SKEDITIONSLOVLEX@103.510:AttrStrListDocPropUznesenieTerminD3">
    <vt:lpwstr/>
  </property>
  <property fmtid="{D5CDD505-2E9C-101B-9397-08002B2CF9AE}" pid="131" name="FSC#SKEDITIONSLOVLEX@103.510:AttrStrListDocPropUznesenieBODD4">
    <vt:lpwstr/>
  </property>
  <property fmtid="{D5CDD505-2E9C-101B-9397-08002B2CF9AE}" pid="132" name="FSC#SKEDITIONSLOVLEX@103.510:AttrStrListDocPropUznesenieZodpovednyD4">
    <vt:lpwstr/>
  </property>
  <property fmtid="{D5CDD505-2E9C-101B-9397-08002B2CF9AE}" pid="133" name="FSC#SKEDITIONSLOVLEX@103.510:AttrStrListDocPropUznesenieTextD4">
    <vt:lpwstr/>
  </property>
  <property fmtid="{D5CDD505-2E9C-101B-9397-08002B2CF9AE}" pid="134" name="FSC#SKEDITIONSLOVLEX@103.510:AttrStrListDocPropUznesenieTerminD4">
    <vt:lpwstr/>
  </property>
  <property fmtid="{D5CDD505-2E9C-101B-9397-08002B2CF9AE}" pid="135" name="FSC#SKEDITIONSLOVLEX@103.510:AttrStrListDocPropUznesenieVykonaju">
    <vt:lpwstr>predseda vlády_x000d_
minister životného prostredia _x000d_
minister zahraničných vecí a európskych záležitostí _x000d_
minister hospodárstva_x000d_
minister zdravotníctva </vt:lpwstr>
  </property>
  <property fmtid="{D5CDD505-2E9C-101B-9397-08002B2CF9AE}" pid="136" name="FSC#SKEDITIONSLOVLEX@103.510:AttrStrListDocPropUznesenieNaVedomie">
    <vt:lpwstr>prezident SR_x000d_
predseda Národnej rady SR</vt:lpwstr>
  </property>
  <property fmtid="{D5CDD505-2E9C-101B-9397-08002B2CF9AE}" pid="137" name="FSC#SKEDITIONSLOVLEX@103.510:funkciaPred">
    <vt:lpwstr/>
  </property>
  <property fmtid="{D5CDD505-2E9C-101B-9397-08002B2CF9AE}" pid="138" name="FSC#SKEDITIONSLOVLEX@103.510:funkciaPredAkuzativ">
    <vt:lpwstr/>
  </property>
  <property fmtid="{D5CDD505-2E9C-101B-9397-08002B2CF9AE}" pid="139" name="FSC#SKEDITIONSLOVLEX@103.510:funkciaPredDativ">
    <vt:lpwstr/>
  </property>
  <property fmtid="{D5CDD505-2E9C-101B-9397-08002B2CF9AE}" pid="140" name="FSC#SKEDITIONSLOVLEX@103.510:funkciaZodpPred">
    <vt:lpwstr>minister životného prostredia Slovenskej republiky</vt:lpwstr>
  </property>
  <property fmtid="{D5CDD505-2E9C-101B-9397-08002B2CF9AE}" pid="141" name="FSC#SKEDITIONSLOVLEX@103.510:funkciaZodpPredAkuzativ">
    <vt:lpwstr>ministerovi životného prostredia Slovenskej republiky</vt:lpwstr>
  </property>
  <property fmtid="{D5CDD505-2E9C-101B-9397-08002B2CF9AE}" pid="142" name="FSC#SKEDITIONSLOVLEX@103.510:funkciaZodpPredDativ">
    <vt:lpwstr>ministera životného prostredia Slovenskej republiky</vt:lpwstr>
  </property>
  <property fmtid="{D5CDD505-2E9C-101B-9397-08002B2CF9AE}" pid="143" name="FSC#SKEDITIONSLOVLEX@103.510:funkciaDalsiPred">
    <vt:lpwstr>minister zahraničných vecí a európskych záležitostí Slovenskej republiky, </vt:lpwstr>
  </property>
  <property fmtid="{D5CDD505-2E9C-101B-9397-08002B2CF9AE}" pid="144" name="FSC#SKEDITIONSLOVLEX@103.510:funkciaDalsiPredAkuzativ">
    <vt:lpwstr>ministrovi zahraničných vecí a európskych záležitostí Slovenskej republiky, </vt:lpwstr>
  </property>
  <property fmtid="{D5CDD505-2E9C-101B-9397-08002B2CF9AE}" pid="145" name="FSC#SKEDITIONSLOVLEX@103.510:funkciaDalsiPredDativ">
    <vt:lpwstr>ministra zahraničných vecí a európskych záležitostí Slovenskej republiky, </vt:lpwstr>
  </property>
  <property fmtid="{D5CDD505-2E9C-101B-9397-08002B2CF9AE}" pid="146" name="FSC#SKEDITIONSLOVLEX@103.510:predkladateliaObalSD">
    <vt:lpwstr>László Sólymos_x000d_
minister životného prostredia Slovenskej republiky_x000d_
Miroslav Lajčák_x000d_
minister zahraničných vecí a európskych záležitostí Slovenskej republiky</vt:lpwstr>
  </property>
  <property fmtid="{D5CDD505-2E9C-101B-9397-08002B2CF9AE}" pid="147" name="FSC#SKEDITIONSLOVLEX@103.510:AttrStrListDocPropTextVseobPrilohy">
    <vt:lpwstr/>
  </property>
  <property fmtid="{D5CDD505-2E9C-101B-9397-08002B2CF9AE}" pid="148" name="FSC#SKEDITIONSLOVLEX@103.510:AttrStrListDocPropTextPredklSpravy">
    <vt:lpwstr>&lt;p style="text-align: justify;"&gt;Materiál &lt;em&gt;„Návrh na ratifikáciu Minamatského dohovoru o&amp;nbsp;ortuti“&lt;/em&gt; sa predkladá v&amp;nbsp;súlade s&amp;nbsp;bodom A.4. uznesenia vlády Slovenskej republiky č. 522 zo dňa 4. septembra 2013 &amp;nbsp;k&amp;nbsp;materiálu „Návrh na účasť delegácie SR na diplomatickej konferencii Minamatského dohovoru o&amp;nbsp;ortuti, Japonsko, 7. -11. október 2013 a&amp;nbsp;návrh na podpis Minamatského dohovoru o ortuti“, na základe ktorého vláda Slovenskej republiky súhlasila s&amp;nbsp;tým, že jej Minamatský dohovor o&amp;nbsp;ortuti bude po podpise za účelom jeho ratifikácie znovu predložený.&lt;/p&gt;&lt;p style="text-align: justify;"&gt;Minamatský dohovor o&amp;nbsp;ortuti (ďalej len „Minamatský dohovor“) bol dojednaný pod záštitou&amp;nbsp; Programu OSN pre životné prostredie (UNEP) v Ženeve 19. januára 2013. Európska únia spolu s&amp;nbsp;najvyššími predstaviteľmi členských štátov, vrátane Slovenskej republiky, podpísali Minamatský dohovor na slávnostnej ceremónii, ktorá sa konala v&amp;nbsp;rámci diplomatickej konferencie v&amp;nbsp;Kumamoto v októbri 2013. Doteraz podpísalo Minamatský dohovor 128 krajín a&amp;nbsp;bolo uložených 38 ratifikačných listín.&lt;/p&gt;&lt;p style="text-align: justify;"&gt;Minamatský dohovor predstavuje hlavný medzinárodný právny rámec na ochranu ľudského zdravia a životného prostredia na celosvetovej úrovni pred emisiami ortuti pochádzajúcich z&amp;nbsp;antropogénnych činností do životného prostredia. Ortuť sa považuje za globálnu hrozbu&lt;br /&gt;pre ľudské zdravie a životné prostredie. Človeku môže vystavenie vysokým hladinám ortuti, kam patrí aj konzumácia kontaminovaných rýb a morských plodov, spôsobiť poškodenie mozgu, pľúc, obličiek a imunitného systému. Pre ortuť je charakteristické, že pôsobí&lt;br /&gt;bez ohľadu na hranice, keďže emisie sa z miesta pôvodu dokážu prostredníctvom vzduchu&lt;br /&gt;a vody šíriť tisícky kilometrov. Odhaduje sa, že 40 % až 80 % celkovej depozície ortuti v&amp;nbsp;Európskej únii pochádza z tretích krajín mimo Únie.&lt;/p&gt;&lt;p style="text-align: justify;"&gt;Cieľom Minamatského dohovoru je zabezpečiť postupné znižovanie a&amp;nbsp;v&amp;nbsp;dlhodobom horizonte elimináciu emisií ortuti, pričom sa Minamatský dohovor zaoberá celým životným cyklom ortuti. S&amp;nbsp;ohľadom na tento cieľ, Minamatský dohovor pokrýva všetky významné oblasti použitia ortuti, od ťažby surovín cez výrobu ortuti, jej dovoz a&amp;nbsp;vývoz, technologické procesy používajúce a&amp;nbsp;emitujúce ortuť a&amp;nbsp;jej zlúčeniny, až po výrobky obsahujúce ortuť a&amp;nbsp;rieši&lt;br /&gt;aj problémy dočasného a&amp;nbsp;dlhodobého uskladňovania odpadovej ortuti a&amp;nbsp;jej zlúčenín.&lt;br /&gt;Pri tvorbe Minamatského dohovoru v oblasti výrobkov s obsahom ortuti sa prijala filozofia, že všade tam, kde je možné plnohodnotne nahradiť výrobky s obsahom ortuti inými výrobkami bez obsahu ortuti, sa v strednodobom horizonte tieto výrobky nahradia a výroba výrobkov s obsahom ortuti sa ukončí. Jedná sa o vybrané výrobky, ako sú napríklad niektoré teplomery, tlakomery a zariadenia na meranie krvného tlaku a podobne. Pri iných výrobkoch, ako sú napr. gombíkové batérie, fluorescenčné žiarivky, sa v strednodobom horizonte zavádzajú znížené maximálne limity obsahu ortuti vo výrobkoch. A v neposlednom rade, Minamatský dohovor zavádza aj výnimky pre niektoré výrobky, ktoré budú vyrábané&lt;br /&gt;i naďalej, pretože ich v súčasnosti nie je možné alebo je veľmi problematické nahradiť adekvátnymi výrobkami bez obsahu ortuti, ako napríklad liečivá pre humánnu a veterinárnu medicínu, výrobky s obsahom ortuti používané v&amp;nbsp;oblasti civilnej ochrany a&amp;nbsp;vo vojenských zariadeniach, výrobky pre vedu a výskum a výrobky používané ako referenčné štandardy.&lt;/p&gt;&lt;p style="text-align: justify;"&gt;Popri vecnej problematike, Minamatský dohovor rieši aj problematiku spojenú s finančnými zdrojmi a finančnými mechanizmami orientovanými na pomoc pre rozvojové štáty, technickú asistenciu a transfer technológií, zdravotné aspekty ortuti a jej zlúčenín, výmenu informácii, vzdelávanie, vedu, výskum a potrebu monitorovania dosiahnutých výsledkov.&lt;/p&gt;&lt;p style="text-align: justify;"&gt;Minamatský dohovor nadobudne platnosť v&amp;nbsp;90. deň po dni, keď najmenej 50 zmluvných strán Minamatského dohovoru uloží svoje listiny o&amp;nbsp;ratifikácii, prijatí, schválení alebo pristúpení u&amp;nbsp;depozitára. Prioritou medzinárodného spoločenstva je, aby Minamatský dohovor nadobudol platnosť v&amp;nbsp;prvom polroku 2017 tak, aby sa mohla v&amp;nbsp;septembri 2017 konať prvá Konferencia zmluvných strán Minamatského dohovoru.&lt;/p&gt;&lt;p style="text-align: justify;"&gt;Medzi kľúčové subjekty, ktoré by mali ratifikovať Minamatský dohovor v&amp;nbsp;tomto termíne, patrí aj Európska únia a&amp;nbsp;jej členské štáty. Európska únia dosiahla za posledných desať rokov významný pokrok pri riešení problematiky ortuti v rámci Únie v nadväznosti na prijatie stratégie Spoločenstva, týkajúcej sa ortuti v roku 2005,&amp;nbsp; ktorú podporili Rada Európskej únie&amp;nbsp; a Európsky parlament.&lt;/p&gt;&lt;p style="text-align: justify;"&gt;Dňa 4. februára 2016 Európska komisia predložila „Návrh rozhodnutia Rady o&amp;nbsp;uzavretí Minamatského dohovoru o&amp;nbsp;ortuti“ (ďalej len „návrh rozhodnutia“). Uloženie listín&lt;br /&gt;o ratifikácii, prijatí alebo schválení Minamatského dohovoru Európskou úniou a jej členskými štátmi by sa malo vykonať spoločne a koordinovaným spôsobom tak, aby sa zabezpečilo, pokiaľ to bude možné, že Minamatský dohovor nadobudne platnosť pre Európsku úniu a jej členské štáty v rovnakom čase. Ak by sa prvá Konferencia zmluvných strán Minamatského dohovoru konala predtým, ako ho Európska únia ratifikuje, nebude sa môcť podieľať&lt;br /&gt;na rozhodovaní o&amp;nbsp;dôležitých otázkach súvisiacich s&amp;nbsp;implementáciou, nehovoriac o&amp;nbsp;negatívnom signáli, ktorý by týmto Únia vyslala. Preto patrí skorá ratifikácia Minamatského dohovoru Európskou úniou a&amp;nbsp;jej členskými štátmi medzi priority Únie. Návrh rozhodnutia&lt;br /&gt;je v&amp;nbsp;súčasnosti prerokovávaný v&amp;nbsp;pracovných skupinách Rady EÚ a na schválenie bude potrebná dohoda v&amp;nbsp;Rade ako aj súhlas Európskeho parlamentu.&lt;/p&gt;&lt;p style="text-align: justify;"&gt;Minamatský dohovor sa bude implementovať prostredníctvom už platnej ale aj novej legislatívy. Veľkú časť Minamatského dohovoru už právne predpisy Únie pokrývajú.&lt;br /&gt;Ako základ, a doteraz jediný právny akt Únie venovaný problematike ortuti, slúži nariadenie Európskeho parlamentu a Rady (ES) č. 1102/2008 o zákaze vývozu kovovej ortuti&lt;br /&gt;a niektorých zlúčenín a zmesí ortuti a o bezpečnom uskladnení kovovej ortuti.&amp;nbsp; Posúdením acquis Únie sa zistilo, že existuje istý obmedzený počet regulačných medzier, ktoré&lt;br /&gt;je potrebné vyplniť na úplné zosúladenie právnych predpisov Únie s&amp;nbsp;Minamatským dohovorom. Z tohto dôvodu Európska komisia predložila 2. februára 2016 „Návrh Nariadenia Európskeho parlamentu a Rady o ortuti a o zrušení nariadenia (ES) č. 1102/2008“ &amp;nbsp;&lt;br /&gt;(č. 2016/0023 (COD) zo dňa 2. februára 2016, ďalej len „návrh nariadenia o ortuti“).&lt;br /&gt;Novým nariadením o ortuti, ktoré by malo nadobudnúť účinnosť 1. januára 2018,&lt;br /&gt;sa zabezpečí úplná implementácia Minamatského dohovoru v podmienkach Únie&lt;br /&gt;a jej členských štátov. Jeho cieľom je riešiť nedostatky, ktoré sa týkajú dovozu ortuti, vývozu určitých výrobkov s prídavkom ortuti, používania ortuti v určitých výrobných procesoch, nových metód použitia ortuti vo výrobkoch a výrobných procesoch, používania ortuti&lt;br /&gt;v remeselnej a drobnej ťažbe zlata a používania ortuti v zubnom amalgáme.&lt;/p&gt;&lt;p style="text-align: justify;"&gt;Keďže návrh nariadenia o ortuti zachádza v&amp;nbsp;určitých oblastiach (zubný amalgám, priemyselná výroba) nad rámec Minamatského dohovoru, rokovania v&amp;nbsp;pracovnej skupine Rady EÚ&lt;br /&gt;pre životné prostredie, ako aj s&amp;nbsp;Európskym parlamentom, ktorý mal snahu byť ešte viac ambicióznejší, ako bol pôvodný návrh Komisie, boli náročné. Napriek tomu, počas slovenského predsedníctva v&amp;nbsp;Rade EÚ sa v&amp;nbsp;decembri 2016 podarilo dosiahnuť k&amp;nbsp;návrhu nariadenia medziinštitucionálnu dohodu medzi Radou EÚ a&amp;nbsp;Európskym parlamentom. Schválenie návrhu nariadenia o&amp;nbsp;ortuti oboma inštitúciami sa očakáva v&amp;nbsp;priebehu mesiacov marec - máj 2017.&lt;/p&gt;&lt;p style="text-align: justify;"&gt;V&amp;nbsp;nadväznosti na tento proces, bude v&amp;nbsp;Slovenskej republike potrebné vykonať legislatívne opatrenia, ktoré zabezpečia vykonávanie nariadenia o&amp;nbsp;ortuti v&amp;nbsp;praxi (výkon štátneho dozoru, sankcie a&amp;nbsp;pod.). Predpokladajú sa legislatívne úpravy predovšetkým v&amp;nbsp;oblasti používania zubného amalgámu, keďže sa nariadením o&amp;nbsp;ortuti zavádzajú požiadavky, ktoré doteraz nebolo povinné uplatňovať &amp;nbsp;(napr. povinné vybavenie zubných ambulancií odlučovačmi na zachytávanie častíc amalgámu, používanie pred-dávkovaných amalgámových kapsúl, obmedzené použitie amalgámových výplní pre zraniteľné skupiny) a&amp;nbsp;v&amp;nbsp;oblasti odpadového hospodárstva (dočasné a&amp;nbsp;trvalé ukladanie odpadovej ortuti). &amp;nbsp;&lt;/p&gt;&lt;p style="text-align: justify;"&gt;V&amp;nbsp;súvislosti s&amp;nbsp;implementáciou nového nariadenia o&amp;nbsp;ortuti predpokladáme pozitívne&lt;br /&gt;aj negatívne dopady na verejnú správu, podnikateľské prostredie, životné prostredie, informatizáciu a sociálne vplyvy. Tieto bude ale možné &amp;nbsp;kvantifikovať a&amp;nbsp;konkretizovať&lt;br /&gt;až pri implementácii nariadenia v&amp;nbsp;našom právnom poriadku. Najväčšie negatívne dopady v&amp;nbsp;súvislosti s&amp;nbsp;prijatím nariadenia o&amp;nbsp;ortuti sa očakávajú pri opatreniach týkajúcich&lt;br /&gt;sa priemyselnej výroby (výroba vinylchloridu, výroba chlóru a&amp;nbsp;alkalických hydroxidov) &amp;nbsp;a&amp;nbsp;v&amp;nbsp;oblasti zubného amalgámu.&amp;nbsp; &amp;nbsp;&amp;nbsp;&amp;nbsp;&lt;/p&gt;&lt;p style="text-align: justify;"&gt;Ako je vyššie uvedené, Minamatský dohovor sa bude implementovať už aj existujúcim právnym rámcom – nariadenie Európskeho parlamentu a&amp;nbsp;Rady (EÚ) zo 4. júla 2012&lt;br /&gt;č. 649/2012 o vývoze a dovoze nebezpečných chemikálií, nariadenie Európskeho parlamentu a Rady (ES) č. 1907/2006 z 18. decembra 2006 o registrácii, hodnotení, autorizácii&lt;br /&gt;a obmedzovaní chemikálií (REACH) a o zriadení Európskej chemickej agentúry, o zmene&lt;br /&gt;a doplnení smernice 1999/45/ES a o zrušení nariadenia Rady (EHS) č. 793/93 a nariadenia Komisie (ES) č. 1488/94, smernice Rady 76/769/EHS a smerníc Komisie 91/155/EHS, 93/67/EHS, 93/105/ES a 2000/21/ES, smernica Európskeho parlamentu a Rady 2010/75/EÚ&lt;br /&gt;z&amp;nbsp; 24. novembra 2010 o priemyselných emisiách (integrovaná prevencia a kontrola znečisťovania životného prostredia), smernica Európskeho parlamentu a&amp;nbsp;Rady z&amp;nbsp;19. novembra 2008 č. 2008/98/ES o&amp;nbsp;odpade a&amp;nbsp;o&amp;nbsp;zrušení určitých smerníc, smernica Rady 1999/31/ES&lt;br /&gt;z 26. apríla 1999 o skládkach odpadov, smernica Európskeho parlamentu a Rady 2012/18/EÚ zo 4. júla 2012 o kontrole nebezpečenstiev závažných havárií s prítomnosťou nebezpečných látok, ktorou sa mení a dopĺňa a následne zrušuje smernica Rady 96/82/ES a&amp;nbsp;ďalšie súvisiace predpisy týkajúce sa výrobkov s&amp;nbsp;prídavkom ortuti (baterky, lampy, kozmetika, pesticídy, biocídy, neelektronické zariadenia a&amp;nbsp;pod.). Všetky tieto právne predpisy sú v&amp;nbsp;legislatíve Slovenskej republiky transponované a&amp;nbsp;implementované (napr. zákon č. 67/2010 Z. z.&lt;br /&gt;o podmienkach uvedenia chemických látok a chemických zmesí na trh a o zmene a doplnení niektorých zákonov (chemický zákon) v&amp;nbsp;znení neskorších predpisov, zákon č. 39/2013 Z. z.&lt;br /&gt;o integrovanej prevencii a kontrole znečisťovania životného prostredia a o zmene a&amp;nbsp;doplnení niektorých zákonov v&amp;nbsp;znení neskorších predpisov, zákon č. 79/2015 Z. z. o odpadoch&lt;br /&gt;a o zmene a doplnení niektorých zákonov v&amp;nbsp;znení neskorších predpisov, zákon č. 346/2013&lt;br /&gt;Z. z. o obmedzení používania určitých nebezpečných látok v elektrických zariadeniach&lt;br /&gt;a elektronických zariadeniach a ktorým sa mení zákon č. 223/2001 Z. z. o odpadoch&lt;br /&gt;a o zmene a doplnení niektorých zákonov v znení neskorších predpisov, zákon č. 128/2015&lt;br /&gt;Z. z. o&amp;nbsp;prevencii závažných priemyselných havárií a&amp;nbsp;o&amp;nbsp;zmene a&amp;nbsp;doplnení niektorých zákonov v&amp;nbsp;znení neskorších predpisov, zákon č. 319/2013 Z. z. o pôsobnosti orgánov štátnej správy pre sprístupňovanie biocídnych výrobkov na trh a ich používanie a o zmene a doplnení niektorých zákonov, nariadenie vlády Slovenskej republiky č. 658/2005 Z. z., ktorým sa ustanovujú požiadavky na kozmetické výrobky v znení neskorších predpisov). &amp;nbsp;&lt;/p&gt;&lt;p style="text-align: justify;"&gt;Ratifikáciou Minamatského dohovoru nebude dotknuté vykonávanie medzinárodných zmlúv, ktorými je Slovenská republika viazaná v rámci prepravy nebezpečného tovaru po železnici, na cestách a vnútrozemských vodných cestách.&lt;/p&gt;&lt;p style="text-align: justify;"&gt;Vykonávanie Minamatského dohovoru bude mať v&amp;nbsp;Európskej únii značný prínos pre životné prostredie a ľudské zdravie, najmä vzhľadom na očakávané zníženie emisií ortuti s pôvodom v iných častiach sveta.&lt;/p&gt;&lt;p style="text-align: justify;"&gt;Z vyššie uvedeného vyplýva, že Slovenská republika má vytvorené podmienky na plnenie záväzkov vyplývajúcich z&amp;nbsp;Minamatského dohovoru a Slovenská republika je pripravená&lt;br /&gt;na jeho ratifikáciu.&lt;/p&gt;&lt;p style="text-align: justify;"&gt;Samotná ratifikácia Minamatského dohovoru nebude mať vplyv na rozpočet verejnej správy, podnikateľské prostredie, životné prostredie, informatizáciu a&amp;nbsp;nebude mať sociálne vplyvy.&lt;/p&gt;&lt;p style="text-align: justify;"&gt;Minamatský dohovor nie je zmluvou o&amp;nbsp;ľudských právach a&amp;nbsp;základných slobodách, medzinárodnou zmluvou, na ktorej vykonanie nie je potrebný zákon a&amp;nbsp;ani medzinárodnou zmluvou, ktorá priamo zakladá práva alebo povinnosti fyzických osôb alebo právnických osôb. Minamatský dohovor tak nemá prednosť pred zákonmi.&lt;/p&gt;&lt;p style="text-align: justify;"&gt;Minamatský dohovor je podľa článku 7 ods. 4 Ústavy Slovenskej republiky medzinárodnou zmluvou, na ktorej vykonanie je potrebný zákon, a preto v súlade s článkom 86 písm. d) Ústavy Slovenskej republiky podlieha vysloveniu súhlasu Národnej rady Slovenskej republiky a následnej ratifikácii prezidentom Slovenskej republiky.&lt;/p&gt;&lt;p style="text-align: justify;"&gt;Minamatský dohovor je v&amp;nbsp;súlade s&amp;nbsp;Ústavou Slovenskej republiky, s ústavnými zákonmi, zákonmi,&amp;nbsp;s ostatnými všeobecne záväznými predpismi a&amp;nbsp;medzinárodnými zmluvami, ktorými je Slovenská republika viazaná.&lt;/p&gt;&lt;p style="text-align: justify;"&gt;&amp;nbsp;&lt;/p&gt;&lt;p style="text-align: justify;"&gt;Súčasťou predkladaného materiálu je slovenský a&amp;nbsp;anglický text Minamatského dohovoru.&amp;nbsp;&lt;/p&gt;</vt:lpwstr>
  </property>
  <property fmtid="{D5CDD505-2E9C-101B-9397-08002B2CF9AE}" pid="149" name="FSC#COOSYSTEM@1.1:Container">
    <vt:lpwstr>COO.2145.1000.3.1891866</vt:lpwstr>
  </property>
  <property fmtid="{D5CDD505-2E9C-101B-9397-08002B2CF9AE}" pid="150" name="FSC#FSCFOLIO@1.1001:docpropproject">
    <vt:lpwstr/>
  </property>
  <property fmtid="{D5CDD505-2E9C-101B-9397-08002B2CF9AE}" pid="151" name="FSC#SKEDITIONSLOVLEX@103.510:aktualnyrok">
    <vt:lpwstr>2017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d48fa938-1a1f-405e-b93e-cb7b929a76c2</vt:lpwstr>
  </property>
</Properties>
</file>