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D8B9B" w14:textId="03319CBE" w:rsidR="00B54788" w:rsidRPr="00B54788" w:rsidRDefault="00BB1D61" w:rsidP="00B54788">
      <w:pPr>
        <w:spacing w:before="100" w:beforeAutospacing="1" w:after="100" w:afterAutospacing="1" w:line="240" w:lineRule="auto"/>
        <w:jc w:val="center"/>
        <w:outlineLvl w:val="1"/>
        <w:rPr>
          <w:rFonts w:ascii="Times New Roman" w:eastAsia="Times New Roman" w:hAnsi="Times New Roman" w:cs="Times New Roman"/>
          <w:b/>
          <w:bCs/>
          <w:sz w:val="24"/>
          <w:szCs w:val="24"/>
          <w:lang w:eastAsia="sk-SK"/>
        </w:rPr>
      </w:pPr>
      <w:r w:rsidRPr="00D975A3">
        <w:rPr>
          <w:rFonts w:ascii="Times New Roman" w:eastAsia="Times New Roman" w:hAnsi="Times New Roman" w:cs="Times New Roman"/>
          <w:b/>
          <w:bCs/>
          <w:sz w:val="24"/>
          <w:szCs w:val="24"/>
          <w:lang w:eastAsia="sk-SK"/>
        </w:rPr>
        <w:t xml:space="preserve">NÁVRH </w:t>
      </w:r>
    </w:p>
    <w:p w14:paraId="5B03412A" w14:textId="70647FF3" w:rsidR="00D975A3" w:rsidRDefault="00BB1D61" w:rsidP="00BB1D6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sk-SK"/>
        </w:rPr>
      </w:pPr>
      <w:r w:rsidRPr="00D975A3">
        <w:rPr>
          <w:rFonts w:ascii="Times New Roman" w:eastAsia="Times New Roman" w:hAnsi="Times New Roman" w:cs="Times New Roman"/>
          <w:b/>
          <w:bCs/>
          <w:sz w:val="28"/>
          <w:szCs w:val="28"/>
          <w:lang w:eastAsia="sk-SK"/>
        </w:rPr>
        <w:t>VYHLÁŠ</w:t>
      </w:r>
      <w:r w:rsidR="00D975A3" w:rsidRPr="00D975A3">
        <w:rPr>
          <w:rFonts w:ascii="Times New Roman" w:eastAsia="Times New Roman" w:hAnsi="Times New Roman" w:cs="Times New Roman"/>
          <w:b/>
          <w:bCs/>
          <w:sz w:val="28"/>
          <w:szCs w:val="28"/>
          <w:lang w:eastAsia="sk-SK"/>
        </w:rPr>
        <w:t>KA</w:t>
      </w:r>
      <w:r w:rsidR="007F2A05" w:rsidRPr="00D975A3">
        <w:rPr>
          <w:rFonts w:ascii="Times New Roman" w:eastAsia="Times New Roman" w:hAnsi="Times New Roman" w:cs="Times New Roman"/>
          <w:b/>
          <w:bCs/>
          <w:sz w:val="28"/>
          <w:szCs w:val="28"/>
          <w:lang w:eastAsia="sk-SK"/>
        </w:rPr>
        <w:t xml:space="preserve"> </w:t>
      </w:r>
    </w:p>
    <w:p w14:paraId="550E9F88" w14:textId="77777777" w:rsidR="00EE7383" w:rsidRPr="00EE7383" w:rsidRDefault="00EE7383" w:rsidP="00EE738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sk-SK"/>
        </w:rPr>
      </w:pPr>
      <w:r w:rsidRPr="00EE7383">
        <w:rPr>
          <w:rFonts w:ascii="Times New Roman" w:eastAsia="Times New Roman" w:hAnsi="Times New Roman" w:cs="Times New Roman"/>
          <w:b/>
          <w:bCs/>
          <w:sz w:val="24"/>
          <w:szCs w:val="24"/>
          <w:lang w:eastAsia="sk-SK"/>
        </w:rPr>
        <w:t>Úradu pre reguláciu sieťových odvetví</w:t>
      </w:r>
    </w:p>
    <w:p w14:paraId="2D0B17B9" w14:textId="5C899728" w:rsidR="00EE7383" w:rsidRPr="00EE7383" w:rsidRDefault="00EE7383" w:rsidP="00EE7383">
      <w:pPr>
        <w:spacing w:before="100" w:beforeAutospacing="1" w:after="100" w:afterAutospacing="1" w:line="240" w:lineRule="auto"/>
        <w:jc w:val="center"/>
        <w:outlineLvl w:val="1"/>
        <w:rPr>
          <w:rFonts w:ascii="Times New Roman" w:eastAsia="Times New Roman" w:hAnsi="Times New Roman" w:cs="Times New Roman"/>
          <w:b/>
          <w:bCs/>
          <w:sz w:val="28"/>
          <w:szCs w:val="28"/>
          <w:lang w:eastAsia="sk-SK"/>
        </w:rPr>
      </w:pPr>
      <w:r w:rsidRPr="00EE7383">
        <w:rPr>
          <w:rFonts w:ascii="Times New Roman" w:eastAsia="Times New Roman" w:hAnsi="Times New Roman" w:cs="Times New Roman"/>
          <w:b/>
          <w:bCs/>
          <w:sz w:val="28"/>
          <w:szCs w:val="28"/>
          <w:lang w:eastAsia="sk-SK"/>
        </w:rPr>
        <w:t xml:space="preserve">z </w:t>
      </w:r>
      <w:r>
        <w:rPr>
          <w:rFonts w:ascii="Times New Roman" w:eastAsia="Times New Roman" w:hAnsi="Times New Roman" w:cs="Times New Roman"/>
          <w:b/>
          <w:bCs/>
          <w:sz w:val="28"/>
          <w:szCs w:val="28"/>
          <w:lang w:eastAsia="sk-SK"/>
        </w:rPr>
        <w:t xml:space="preserve">.... </w:t>
      </w:r>
      <w:r w:rsidRPr="00EE7383">
        <w:rPr>
          <w:rFonts w:ascii="Times New Roman" w:eastAsia="Times New Roman" w:hAnsi="Times New Roman" w:cs="Times New Roman"/>
          <w:b/>
          <w:bCs/>
          <w:sz w:val="28"/>
          <w:szCs w:val="28"/>
          <w:lang w:eastAsia="sk-SK"/>
        </w:rPr>
        <w:t>202</w:t>
      </w:r>
      <w:r>
        <w:rPr>
          <w:rFonts w:ascii="Times New Roman" w:eastAsia="Times New Roman" w:hAnsi="Times New Roman" w:cs="Times New Roman"/>
          <w:b/>
          <w:bCs/>
          <w:sz w:val="28"/>
          <w:szCs w:val="28"/>
          <w:lang w:eastAsia="sk-SK"/>
        </w:rPr>
        <w:t>6</w:t>
      </w:r>
      <w:r w:rsidRPr="00EE7383">
        <w:rPr>
          <w:rFonts w:ascii="Times New Roman" w:eastAsia="Times New Roman" w:hAnsi="Times New Roman" w:cs="Times New Roman"/>
          <w:b/>
          <w:bCs/>
          <w:sz w:val="28"/>
          <w:szCs w:val="28"/>
          <w:lang w:eastAsia="sk-SK"/>
        </w:rPr>
        <w:t>,</w:t>
      </w:r>
    </w:p>
    <w:p w14:paraId="6CEF54B4" w14:textId="77777777" w:rsidR="009468AF" w:rsidRPr="009468AF" w:rsidRDefault="009468AF" w:rsidP="009468AF">
      <w:pPr>
        <w:spacing w:before="100" w:beforeAutospacing="1" w:after="100" w:afterAutospacing="1" w:line="240" w:lineRule="auto"/>
        <w:jc w:val="center"/>
        <w:outlineLvl w:val="1"/>
        <w:rPr>
          <w:rFonts w:ascii="Times New Roman" w:eastAsia="Times New Roman" w:hAnsi="Times New Roman" w:cs="Times New Roman"/>
          <w:b/>
          <w:bCs/>
          <w:sz w:val="24"/>
          <w:szCs w:val="24"/>
          <w:lang w:eastAsia="sk-SK"/>
        </w:rPr>
      </w:pPr>
      <w:r w:rsidRPr="009468AF">
        <w:rPr>
          <w:rFonts w:ascii="Times New Roman" w:eastAsia="Times New Roman" w:hAnsi="Times New Roman" w:cs="Times New Roman"/>
          <w:b/>
          <w:bCs/>
          <w:sz w:val="24"/>
          <w:szCs w:val="24"/>
          <w:lang w:eastAsia="sk-SK"/>
        </w:rPr>
        <w:t>ktorou sa ustanovujú podrobnosti o identifikácií domácností postihnutých energetickou chudobou a domácností ohrozených energetickou chudobou,</w:t>
      </w:r>
    </w:p>
    <w:p w14:paraId="0FAEA2A1" w14:textId="2E391229" w:rsidR="00EE7383" w:rsidRPr="00D241FF" w:rsidRDefault="00EE7383" w:rsidP="00D241FF">
      <w:pPr>
        <w:spacing w:before="100" w:beforeAutospacing="1" w:after="100" w:afterAutospacing="1" w:line="240" w:lineRule="auto"/>
        <w:jc w:val="center"/>
        <w:outlineLvl w:val="1"/>
        <w:rPr>
          <w:rFonts w:ascii="Times New Roman" w:eastAsia="Times New Roman" w:hAnsi="Times New Roman" w:cs="Times New Roman"/>
          <w:sz w:val="24"/>
          <w:szCs w:val="24"/>
          <w:lang w:eastAsia="sk-SK"/>
        </w:rPr>
      </w:pPr>
      <w:r w:rsidRPr="00D241FF">
        <w:rPr>
          <w:rFonts w:ascii="Times New Roman" w:eastAsia="Times New Roman" w:hAnsi="Times New Roman" w:cs="Times New Roman"/>
          <w:sz w:val="24"/>
          <w:szCs w:val="24"/>
          <w:lang w:eastAsia="sk-SK"/>
        </w:rPr>
        <w:t>Úrad pre reguláciu sieťových odvetví (ďalej len „úrad“) podľa </w:t>
      </w:r>
      <w:hyperlink r:id="rId8" w:anchor="paragraf-40.odsek-1.pismeno-a" w:tgtFrame="_blank" w:tooltip="Odkaz na predpis alebo ustanovenie" w:history="1">
        <w:r w:rsidRPr="00D241FF">
          <w:rPr>
            <w:rStyle w:val="Hypertextovprepojenie"/>
            <w:rFonts w:ascii="Times New Roman" w:eastAsia="Times New Roman" w:hAnsi="Times New Roman" w:cs="Times New Roman"/>
            <w:sz w:val="24"/>
            <w:szCs w:val="24"/>
            <w:lang w:eastAsia="sk-SK"/>
          </w:rPr>
          <w:t xml:space="preserve">§ 40 ods. </w:t>
        </w:r>
        <w:r w:rsidR="00D241FF">
          <w:rPr>
            <w:rStyle w:val="Hypertextovprepojenie"/>
            <w:rFonts w:ascii="Times New Roman" w:eastAsia="Times New Roman" w:hAnsi="Times New Roman" w:cs="Times New Roman"/>
            <w:sz w:val="24"/>
            <w:szCs w:val="24"/>
            <w:lang w:eastAsia="sk-SK"/>
          </w:rPr>
          <w:t xml:space="preserve">7 </w:t>
        </w:r>
      </w:hyperlink>
      <w:r w:rsidRPr="00D241FF">
        <w:rPr>
          <w:rFonts w:ascii="Times New Roman" w:eastAsia="Times New Roman" w:hAnsi="Times New Roman" w:cs="Times New Roman"/>
          <w:sz w:val="24"/>
          <w:szCs w:val="24"/>
          <w:lang w:eastAsia="sk-SK"/>
        </w:rPr>
        <w:t> zákona č. </w:t>
      </w:r>
      <w:hyperlink r:id="rId9" w:tgtFrame="_blank" w:tooltip="Odkaz na predpis alebo ustanovenie" w:history="1">
        <w:r w:rsidRPr="00D241FF">
          <w:rPr>
            <w:rStyle w:val="Hypertextovprepojenie"/>
            <w:rFonts w:ascii="Times New Roman" w:eastAsia="Times New Roman" w:hAnsi="Times New Roman" w:cs="Times New Roman"/>
            <w:sz w:val="24"/>
            <w:szCs w:val="24"/>
            <w:lang w:eastAsia="sk-SK"/>
          </w:rPr>
          <w:t>250/2012 Z. z.</w:t>
        </w:r>
      </w:hyperlink>
      <w:r w:rsidRPr="00D241FF">
        <w:rPr>
          <w:rFonts w:ascii="Times New Roman" w:eastAsia="Times New Roman" w:hAnsi="Times New Roman" w:cs="Times New Roman"/>
          <w:sz w:val="24"/>
          <w:szCs w:val="24"/>
          <w:lang w:eastAsia="sk-SK"/>
        </w:rPr>
        <w:t> o regulácii v sieťových odvetviach v znení neskorších predpisov (ďalej len „zákon“) ustanovuje:</w:t>
      </w:r>
    </w:p>
    <w:p w14:paraId="642C29F9" w14:textId="77777777" w:rsidR="00744E3A" w:rsidRPr="00744E3A" w:rsidRDefault="00744E3A" w:rsidP="00744E3A">
      <w:pPr>
        <w:spacing w:before="100" w:beforeAutospacing="1" w:after="100" w:afterAutospacing="1" w:line="240" w:lineRule="auto"/>
        <w:jc w:val="center"/>
        <w:rPr>
          <w:rFonts w:ascii="Times New Roman" w:eastAsia="Times New Roman" w:hAnsi="Times New Roman" w:cs="Times New Roman"/>
          <w:sz w:val="24"/>
          <w:szCs w:val="24"/>
          <w:lang w:eastAsia="sk-SK"/>
        </w:rPr>
      </w:pPr>
    </w:p>
    <w:p w14:paraId="399A68AC"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1 Predmet úpravy</w:t>
      </w:r>
    </w:p>
    <w:p w14:paraId="73AE5FA1" w14:textId="77777777" w:rsidR="00B32827" w:rsidRPr="00433EED" w:rsidRDefault="00B32827" w:rsidP="00B32827">
      <w:pPr>
        <w:pStyle w:val="Normlnywebov"/>
      </w:pPr>
      <w:r w:rsidRPr="00433EED">
        <w:t>Táto vyhláška ustanovuje:</w:t>
      </w:r>
    </w:p>
    <w:p w14:paraId="039798D4" w14:textId="77777777" w:rsidR="00B32827" w:rsidRPr="00433EED" w:rsidRDefault="00B32827" w:rsidP="00B32827">
      <w:pPr>
        <w:pStyle w:val="Normlnywebov"/>
        <w:numPr>
          <w:ilvl w:val="0"/>
          <w:numId w:val="21"/>
        </w:numPr>
      </w:pPr>
      <w:r w:rsidRPr="00433EED">
        <w:t>kritériá pre stanovenie úrovne zraniteľnosti domácností postihnutých energetickou chudobou</w:t>
      </w:r>
      <w:r w:rsidRPr="00433EED" w:rsidDel="00C059C0">
        <w:t xml:space="preserve"> </w:t>
      </w:r>
      <w:r w:rsidRPr="00433EED">
        <w:t xml:space="preserve">a domácností ohrozených energetickou chudobou, </w:t>
      </w:r>
    </w:p>
    <w:p w14:paraId="69CEC1DF" w14:textId="77777777" w:rsidR="00B32827" w:rsidRPr="00433EED" w:rsidRDefault="00B32827" w:rsidP="00B32827">
      <w:pPr>
        <w:pStyle w:val="Normlnywebov"/>
        <w:numPr>
          <w:ilvl w:val="0"/>
          <w:numId w:val="21"/>
        </w:numPr>
      </w:pPr>
      <w:r w:rsidRPr="00433EED">
        <w:t>postup identifikácie a overovania domácností postihnutých energetickou chudobou</w:t>
      </w:r>
      <w:r w:rsidRPr="00433EED" w:rsidDel="00B82DF0">
        <w:t xml:space="preserve"> </w:t>
      </w:r>
      <w:r w:rsidRPr="00433EED">
        <w:t>a domácností ohrozených energetickou chudobou a,</w:t>
      </w:r>
    </w:p>
    <w:p w14:paraId="3BF08571" w14:textId="77777777" w:rsidR="00B32827" w:rsidRPr="00433EED" w:rsidRDefault="00B32827" w:rsidP="00B32827">
      <w:pPr>
        <w:pStyle w:val="Normlnywebov"/>
        <w:numPr>
          <w:ilvl w:val="0"/>
          <w:numId w:val="21"/>
        </w:numPr>
      </w:pPr>
      <w:r w:rsidRPr="00433EED">
        <w:t>zaradenie domácností do kategórie zraniteľnosti z hľadiska ohrozenia energetickou chudobou.</w:t>
      </w:r>
    </w:p>
    <w:p w14:paraId="153C1C71" w14:textId="77777777" w:rsidR="00B32827" w:rsidRPr="00433EED" w:rsidRDefault="00B32827" w:rsidP="00B32827">
      <w:pPr>
        <w:pStyle w:val="Normlnywebov"/>
        <w:ind w:left="720"/>
      </w:pPr>
      <w:r w:rsidRPr="00433EED">
        <w:t>.</w:t>
      </w:r>
    </w:p>
    <w:p w14:paraId="3E1BCD1A"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2 Základné pojmy</w:t>
      </w:r>
    </w:p>
    <w:p w14:paraId="4B98452C" w14:textId="77777777" w:rsidR="00B32827" w:rsidRPr="00433EED" w:rsidRDefault="00B32827" w:rsidP="00B32827">
      <w:pPr>
        <w:jc w:val="both"/>
        <w:rPr>
          <w:rFonts w:ascii="Times New Roman" w:eastAsia="Times New Roman" w:hAnsi="Times New Roman" w:cs="Times New Roman"/>
          <w:bCs/>
          <w:sz w:val="24"/>
          <w:szCs w:val="24"/>
          <w:lang w:eastAsia="sk-SK"/>
        </w:rPr>
      </w:pPr>
      <w:r w:rsidRPr="00433EED">
        <w:rPr>
          <w:rFonts w:ascii="Times New Roman" w:eastAsia="Times New Roman" w:hAnsi="Times New Roman" w:cs="Times New Roman"/>
          <w:bCs/>
          <w:sz w:val="24"/>
          <w:szCs w:val="24"/>
          <w:lang w:eastAsia="sk-SK"/>
        </w:rPr>
        <w:t xml:space="preserve">Na účely tejto vyhlášky je </w:t>
      </w:r>
    </w:p>
    <w:p w14:paraId="2BA283F3" w14:textId="77777777" w:rsidR="00B32827" w:rsidRPr="00433EED" w:rsidRDefault="00B32827" w:rsidP="00B32827">
      <w:pPr>
        <w:pStyle w:val="Odsekzoznamu"/>
        <w:numPr>
          <w:ilvl w:val="0"/>
          <w:numId w:val="7"/>
        </w:numPr>
        <w:jc w:val="both"/>
        <w:rPr>
          <w:rFonts w:ascii="Times New Roman" w:hAnsi="Times New Roman" w:cs="Times New Roman"/>
          <w:sz w:val="24"/>
          <w:szCs w:val="24"/>
        </w:rPr>
      </w:pPr>
      <w:r w:rsidRPr="00433EED">
        <w:rPr>
          <w:rStyle w:val="Vrazn"/>
          <w:rFonts w:ascii="Times New Roman" w:hAnsi="Times New Roman" w:cs="Times New Roman"/>
          <w:sz w:val="24"/>
          <w:szCs w:val="24"/>
        </w:rPr>
        <w:t>Energetickou chudobou</w:t>
      </w:r>
      <w:r w:rsidRPr="00433EED">
        <w:rPr>
          <w:rFonts w:ascii="Times New Roman" w:hAnsi="Times New Roman" w:cs="Times New Roman"/>
          <w:sz w:val="24"/>
          <w:szCs w:val="24"/>
        </w:rPr>
        <w:t xml:space="preserve"> nedostatočný prístup domácnosti k základným energetickým službám, ktoré poskytujú dôstojné štandardy pre život a zdravie, vrátane primeraného vykurovania, teplej vody, chladenia, osvetlenia a elektrickej energie pre spotrebiče spôsobený kombináciou faktorov, najmä finančná nedostupnosť, nedostatočný disponibilný príjem, vysoké výdavky na energie a nízka energetická efektívnosť obydlí.</w:t>
      </w:r>
    </w:p>
    <w:p w14:paraId="14ACC863" w14:textId="77777777" w:rsidR="00B32827" w:rsidRPr="00433EED" w:rsidRDefault="00B32827" w:rsidP="00B32827">
      <w:pPr>
        <w:pStyle w:val="Odsekzoznamu"/>
        <w:ind w:left="390"/>
        <w:jc w:val="both"/>
        <w:rPr>
          <w:rFonts w:ascii="Times New Roman" w:hAnsi="Times New Roman" w:cs="Times New Roman"/>
          <w:sz w:val="24"/>
          <w:szCs w:val="24"/>
        </w:rPr>
      </w:pPr>
    </w:p>
    <w:p w14:paraId="43903FE7" w14:textId="77777777" w:rsidR="00B32827" w:rsidRPr="00433EED" w:rsidRDefault="00B32827" w:rsidP="00B32827">
      <w:pPr>
        <w:pStyle w:val="Odsekzoznamu"/>
        <w:numPr>
          <w:ilvl w:val="0"/>
          <w:numId w:val="7"/>
        </w:numPr>
        <w:jc w:val="both"/>
        <w:rPr>
          <w:rFonts w:ascii="Times New Roman" w:hAnsi="Times New Roman" w:cs="Times New Roman"/>
          <w:sz w:val="24"/>
          <w:szCs w:val="24"/>
        </w:rPr>
      </w:pPr>
      <w:r w:rsidRPr="00433EED">
        <w:rPr>
          <w:rStyle w:val="Vrazn"/>
          <w:rFonts w:ascii="Times New Roman" w:hAnsi="Times New Roman" w:cs="Times New Roman"/>
          <w:sz w:val="24"/>
          <w:szCs w:val="24"/>
        </w:rPr>
        <w:t xml:space="preserve">Obydlím </w:t>
      </w:r>
      <w:r w:rsidRPr="00433EED">
        <w:rPr>
          <w:rStyle w:val="Vrazn"/>
          <w:rFonts w:ascii="Times New Roman" w:hAnsi="Times New Roman" w:cs="Times New Roman"/>
          <w:b w:val="0"/>
          <w:bCs w:val="0"/>
          <w:sz w:val="24"/>
          <w:szCs w:val="24"/>
        </w:rPr>
        <w:t>rodinný dom, byt v bytovej budove</w:t>
      </w:r>
      <w:r w:rsidRPr="00433EED">
        <w:rPr>
          <w:rStyle w:val="Odkaznapoznmkupodiarou"/>
          <w:rFonts w:ascii="Times New Roman" w:hAnsi="Times New Roman" w:cs="Times New Roman"/>
          <w:sz w:val="24"/>
          <w:szCs w:val="24"/>
        </w:rPr>
        <w:footnoteReference w:id="1"/>
      </w:r>
      <w:r w:rsidRPr="00433EED">
        <w:rPr>
          <w:rStyle w:val="Vrazn"/>
          <w:rFonts w:ascii="Times New Roman" w:hAnsi="Times New Roman" w:cs="Times New Roman"/>
          <w:b w:val="0"/>
          <w:bCs w:val="0"/>
          <w:sz w:val="24"/>
          <w:szCs w:val="24"/>
        </w:rPr>
        <w:t>) a byt v nebytovej budove.</w:t>
      </w:r>
      <w:r w:rsidRPr="00433EED">
        <w:rPr>
          <w:rStyle w:val="Odkaznapoznmkupodiarou"/>
          <w:rFonts w:ascii="Times New Roman" w:hAnsi="Times New Roman" w:cs="Times New Roman"/>
          <w:sz w:val="24"/>
          <w:szCs w:val="24"/>
        </w:rPr>
        <w:footnoteReference w:id="2"/>
      </w:r>
      <w:r w:rsidRPr="00433EED">
        <w:rPr>
          <w:rStyle w:val="Vrazn"/>
          <w:rFonts w:ascii="Times New Roman" w:hAnsi="Times New Roman" w:cs="Times New Roman"/>
          <w:b w:val="0"/>
          <w:bCs w:val="0"/>
          <w:sz w:val="24"/>
          <w:szCs w:val="24"/>
        </w:rPr>
        <w:t>)</w:t>
      </w:r>
    </w:p>
    <w:p w14:paraId="0FF054C4" w14:textId="77777777" w:rsidR="00B32827" w:rsidRPr="00433EED" w:rsidRDefault="00B32827" w:rsidP="00B32827">
      <w:pPr>
        <w:pStyle w:val="Normlnywebov"/>
        <w:numPr>
          <w:ilvl w:val="0"/>
          <w:numId w:val="7"/>
        </w:numPr>
        <w:spacing w:before="0" w:beforeAutospacing="0" w:after="0" w:afterAutospacing="0"/>
        <w:jc w:val="both"/>
      </w:pPr>
      <w:r w:rsidRPr="00433EED">
        <w:rPr>
          <w:rStyle w:val="Vrazn"/>
        </w:rPr>
        <w:t xml:space="preserve">Domácnosťou </w:t>
      </w:r>
      <w:r w:rsidRPr="00433EED">
        <w:rPr>
          <w:rStyle w:val="Vrazn"/>
          <w:b w:val="0"/>
          <w:bCs w:val="0"/>
        </w:rPr>
        <w:t>jednotlivec</w:t>
      </w:r>
      <w:r w:rsidRPr="00433EED">
        <w:rPr>
          <w:bCs/>
        </w:rPr>
        <w:t xml:space="preserve"> alebo skupina osôb, ktoré spolu trvale žijú a spoločne uhrádzajú náklady na svoje potreby.</w:t>
      </w:r>
    </w:p>
    <w:p w14:paraId="11F0A07F" w14:textId="77777777" w:rsidR="00B32827" w:rsidRPr="00433EED" w:rsidRDefault="00B32827" w:rsidP="00B32827">
      <w:pPr>
        <w:pStyle w:val="Normlnywebov"/>
        <w:spacing w:before="0" w:beforeAutospacing="0" w:after="0" w:afterAutospacing="0"/>
        <w:jc w:val="both"/>
        <w:rPr>
          <w:rStyle w:val="Vrazn"/>
          <w:b w:val="0"/>
          <w:bCs w:val="0"/>
        </w:rPr>
      </w:pPr>
    </w:p>
    <w:p w14:paraId="5749F1F1" w14:textId="77777777" w:rsidR="00B32827" w:rsidRPr="00433EED" w:rsidRDefault="00B32827" w:rsidP="00B32827">
      <w:pPr>
        <w:pStyle w:val="Normlnywebov"/>
        <w:numPr>
          <w:ilvl w:val="0"/>
          <w:numId w:val="7"/>
        </w:numPr>
        <w:spacing w:before="0" w:beforeAutospacing="0" w:after="0" w:afterAutospacing="0"/>
        <w:jc w:val="both"/>
        <w:rPr>
          <w:rStyle w:val="Vrazn"/>
          <w:b w:val="0"/>
          <w:bCs w:val="0"/>
        </w:rPr>
      </w:pPr>
      <w:r w:rsidRPr="00433EED">
        <w:rPr>
          <w:rStyle w:val="Vrazn"/>
        </w:rPr>
        <w:lastRenderedPageBreak/>
        <w:t xml:space="preserve">Výdavkami na energiu </w:t>
      </w:r>
      <w:r w:rsidRPr="00433EED">
        <w:rPr>
          <w:rStyle w:val="Vrazn"/>
          <w:b w:val="0"/>
        </w:rPr>
        <w:t>výdavky domácnosti na nákup elektriny, plynu, tepla dodávaného zo systému centralizovaného zásobovania teplom</w:t>
      </w:r>
      <w:r w:rsidRPr="00433EED">
        <w:rPr>
          <w:rStyle w:val="Odkaznapoznmkupodiarou"/>
          <w:bCs/>
        </w:rPr>
        <w:footnoteReference w:id="3"/>
      </w:r>
      <w:r w:rsidRPr="00433EED">
        <w:rPr>
          <w:rStyle w:val="Vrazn"/>
          <w:b w:val="0"/>
        </w:rPr>
        <w:t xml:space="preserve">) alebo z </w:t>
      </w:r>
      <w:r w:rsidRPr="00433EED">
        <w:rPr>
          <w:bCs/>
        </w:rPr>
        <w:t>decentralizovaného zdroja tepla</w:t>
      </w:r>
      <w:r w:rsidRPr="00433EED">
        <w:rPr>
          <w:rStyle w:val="Odkaznapoznmkupodiarou"/>
          <w:bCs/>
        </w:rPr>
        <w:footnoteReference w:id="4"/>
      </w:r>
      <w:r w:rsidRPr="00433EED">
        <w:rPr>
          <w:bCs/>
        </w:rPr>
        <w:t>)</w:t>
      </w:r>
      <w:r w:rsidRPr="00433EED">
        <w:rPr>
          <w:rStyle w:val="Vrazn"/>
          <w:b w:val="0"/>
        </w:rPr>
        <w:t xml:space="preserve"> a výdavky domácnosti na nákup paliva potrebného na vykurovanie alebo prípravu teplej vody</w:t>
      </w:r>
      <w:r w:rsidRPr="00433EED">
        <w:rPr>
          <w:b/>
        </w:rPr>
        <w:t>.</w:t>
      </w:r>
    </w:p>
    <w:p w14:paraId="4AD3812B" w14:textId="77777777" w:rsidR="00B32827" w:rsidRPr="00433EED" w:rsidRDefault="00B32827" w:rsidP="00B32827">
      <w:pPr>
        <w:pStyle w:val="Normlnywebov"/>
        <w:numPr>
          <w:ilvl w:val="0"/>
          <w:numId w:val="7"/>
        </w:numPr>
        <w:spacing w:before="0" w:beforeAutospacing="0" w:after="0" w:afterAutospacing="0"/>
        <w:jc w:val="both"/>
        <w:rPr>
          <w:rStyle w:val="Vrazn"/>
          <w:rFonts w:asciiTheme="minorHAnsi" w:eastAsiaTheme="minorHAnsi" w:hAnsiTheme="minorHAnsi" w:cstheme="minorBidi"/>
          <w:b w:val="0"/>
          <w:bCs w:val="0"/>
          <w:sz w:val="22"/>
          <w:szCs w:val="22"/>
          <w:lang w:eastAsia="en-US"/>
        </w:rPr>
      </w:pPr>
      <w:r w:rsidRPr="00433EED">
        <w:rPr>
          <w:b/>
        </w:rPr>
        <w:t xml:space="preserve">Disponibilným príjmom domácnosti </w:t>
      </w:r>
      <w:r w:rsidRPr="00433EED">
        <w:rPr>
          <w:rStyle w:val="Vrazn"/>
          <w:b w:val="0"/>
        </w:rPr>
        <w:t>suma zložiek príjmu všetkých členov domácnosti. Za príjem sú považované dôchodkové dávky, príjem zo závislej činnosti, príjem z podnikania a inej samostatne zárobkovej činnosti a ďalšie príjmy podľa osobitného predpisu</w:t>
      </w:r>
      <w:r w:rsidRPr="00433EED">
        <w:rPr>
          <w:rStyle w:val="Odkaznapoznmkupodiarou"/>
          <w:bCs/>
        </w:rPr>
        <w:footnoteReference w:id="5"/>
      </w:r>
      <w:r w:rsidRPr="00433EED">
        <w:rPr>
          <w:rStyle w:val="Vrazn"/>
          <w:b w:val="0"/>
        </w:rPr>
        <w:t xml:space="preserve">) po zdanení a odpočítaní povinných odvodov do sociálnej a zdravotnej poisťovne. </w:t>
      </w:r>
    </w:p>
    <w:p w14:paraId="2F0F2790" w14:textId="77777777" w:rsidR="00B32827" w:rsidRPr="00433EED" w:rsidRDefault="00B32827" w:rsidP="00B32827">
      <w:pPr>
        <w:pStyle w:val="Normlnywebov"/>
        <w:spacing w:before="0" w:beforeAutospacing="0" w:after="0" w:afterAutospacing="0"/>
        <w:ind w:left="390"/>
        <w:jc w:val="both"/>
        <w:rPr>
          <w:rStyle w:val="Vrazn"/>
          <w:rFonts w:asciiTheme="minorHAnsi" w:eastAsiaTheme="minorHAnsi" w:hAnsiTheme="minorHAnsi" w:cstheme="minorBidi"/>
          <w:b w:val="0"/>
          <w:bCs w:val="0"/>
          <w:sz w:val="22"/>
          <w:szCs w:val="22"/>
          <w:lang w:eastAsia="en-US"/>
        </w:rPr>
      </w:pPr>
    </w:p>
    <w:p w14:paraId="736D8A17" w14:textId="77777777" w:rsidR="00B32827" w:rsidRPr="00433EED" w:rsidRDefault="00B32827" w:rsidP="00B32827">
      <w:pPr>
        <w:pStyle w:val="Normlnywebov"/>
        <w:numPr>
          <w:ilvl w:val="0"/>
          <w:numId w:val="7"/>
        </w:numPr>
        <w:spacing w:before="0" w:beforeAutospacing="0" w:after="0" w:afterAutospacing="0"/>
        <w:jc w:val="both"/>
        <w:rPr>
          <w:rStyle w:val="Vrazn"/>
          <w:b w:val="0"/>
        </w:rPr>
      </w:pPr>
      <w:r w:rsidRPr="00433EED">
        <w:rPr>
          <w:b/>
        </w:rPr>
        <w:t xml:space="preserve">Ekvivalentným disponibilným príjmom domácnosti </w:t>
      </w:r>
      <w:r w:rsidRPr="00433EED">
        <w:t>disponibilný príjem domácnosti vydelený ekvivalentnou veľkosťou domácnosti</w:t>
      </w:r>
      <w:r w:rsidRPr="00433EED">
        <w:rPr>
          <w:rStyle w:val="Vrazn"/>
          <w:b w:val="0"/>
        </w:rPr>
        <w:t xml:space="preserve">. </w:t>
      </w:r>
    </w:p>
    <w:p w14:paraId="4C5778D5" w14:textId="77777777" w:rsidR="00B32827" w:rsidRPr="00433EED" w:rsidRDefault="00B32827" w:rsidP="00B32827">
      <w:pPr>
        <w:pStyle w:val="Normlnywebov"/>
        <w:spacing w:before="0" w:beforeAutospacing="0" w:after="0" w:afterAutospacing="0"/>
        <w:ind w:left="390"/>
        <w:jc w:val="both"/>
        <w:rPr>
          <w:rStyle w:val="Vrazn"/>
          <w:b w:val="0"/>
        </w:rPr>
      </w:pPr>
    </w:p>
    <w:p w14:paraId="52C3738C" w14:textId="77777777" w:rsidR="00B32827" w:rsidRPr="00433EED" w:rsidRDefault="00B32827" w:rsidP="00B32827">
      <w:pPr>
        <w:pStyle w:val="Normlnywebov"/>
        <w:numPr>
          <w:ilvl w:val="0"/>
          <w:numId w:val="7"/>
        </w:numPr>
        <w:spacing w:before="0" w:beforeAutospacing="0" w:after="0" w:afterAutospacing="0"/>
        <w:jc w:val="both"/>
        <w:rPr>
          <w:rStyle w:val="Vrazn"/>
          <w:b w:val="0"/>
          <w:bCs w:val="0"/>
        </w:rPr>
      </w:pPr>
      <w:r w:rsidRPr="00433EED">
        <w:rPr>
          <w:rStyle w:val="Vrazn"/>
          <w:bCs w:val="0"/>
        </w:rPr>
        <w:t xml:space="preserve">Úrovňou zraniteľnosti </w:t>
      </w:r>
      <w:r w:rsidRPr="00433EED">
        <w:rPr>
          <w:rStyle w:val="Vrazn"/>
          <w:b w:val="0"/>
          <w:bCs w:val="0"/>
        </w:rPr>
        <w:t>domácnosti ukazovateľ ohrozenia domácnosti energetickou chudobou.</w:t>
      </w:r>
    </w:p>
    <w:p w14:paraId="2F34987A" w14:textId="77777777" w:rsidR="00B32827" w:rsidRPr="00433EED" w:rsidRDefault="00B32827" w:rsidP="00B32827">
      <w:pPr>
        <w:pStyle w:val="Normlnywebov"/>
        <w:spacing w:before="0" w:beforeAutospacing="0" w:after="0" w:afterAutospacing="0"/>
        <w:ind w:left="750"/>
        <w:jc w:val="both"/>
        <w:rPr>
          <w:rStyle w:val="Vrazn"/>
          <w:b w:val="0"/>
          <w:bCs w:val="0"/>
        </w:rPr>
      </w:pPr>
    </w:p>
    <w:p w14:paraId="0FCA5943" w14:textId="77777777" w:rsidR="00B32827" w:rsidRPr="00433EED" w:rsidRDefault="00B32827" w:rsidP="00B32827">
      <w:pPr>
        <w:pStyle w:val="Normlnywebov"/>
        <w:numPr>
          <w:ilvl w:val="0"/>
          <w:numId w:val="7"/>
        </w:numPr>
        <w:spacing w:before="0" w:beforeAutospacing="0" w:after="0" w:afterAutospacing="0"/>
        <w:jc w:val="both"/>
        <w:rPr>
          <w:rStyle w:val="Vrazn"/>
          <w:b w:val="0"/>
          <w:bCs w:val="0"/>
        </w:rPr>
      </w:pPr>
      <w:r w:rsidRPr="00433EED">
        <w:rPr>
          <w:rStyle w:val="Vrazn"/>
          <w:bCs w:val="0"/>
        </w:rPr>
        <w:t xml:space="preserve">Zraniteľnou domácnosťou </w:t>
      </w:r>
      <w:r w:rsidRPr="00433EED">
        <w:rPr>
          <w:rStyle w:val="Vrazn"/>
          <w:b w:val="0"/>
          <w:bCs w:val="0"/>
        </w:rPr>
        <w:t xml:space="preserve"> každá domácnosť, ktorá je v energetickej chudobe alebo je ohrozená energetickou chudobou.</w:t>
      </w:r>
    </w:p>
    <w:p w14:paraId="60CF2A1E" w14:textId="77777777" w:rsidR="00B32827" w:rsidRPr="00433EED" w:rsidRDefault="00B32827" w:rsidP="00B32827">
      <w:pPr>
        <w:pStyle w:val="Odsekzoznamu"/>
        <w:rPr>
          <w:rStyle w:val="Vrazn"/>
          <w:b w:val="0"/>
          <w:bCs w:val="0"/>
        </w:rPr>
      </w:pPr>
    </w:p>
    <w:p w14:paraId="068FA562"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3 Stanovenie hranice príjmu domácnosti</w:t>
      </w:r>
    </w:p>
    <w:p w14:paraId="4FC843F8" w14:textId="77777777" w:rsidR="00B32827" w:rsidRPr="00433EED" w:rsidRDefault="00B32827" w:rsidP="00B32827">
      <w:pPr>
        <w:pStyle w:val="Normlnywebov"/>
        <w:numPr>
          <w:ilvl w:val="0"/>
          <w:numId w:val="29"/>
        </w:numPr>
        <w:spacing w:before="0" w:beforeAutospacing="0" w:after="0" w:afterAutospacing="0"/>
        <w:jc w:val="both"/>
        <w:rPr>
          <w:rStyle w:val="Vrazn"/>
          <w:b w:val="0"/>
          <w:bCs w:val="0"/>
        </w:rPr>
      </w:pPr>
      <w:r w:rsidRPr="00433EED">
        <w:rPr>
          <w:rStyle w:val="Vrazn"/>
          <w:b w:val="0"/>
          <w:bCs w:val="0"/>
        </w:rPr>
        <w:t xml:space="preserve">Hranica príjmu domácnosti, sa určí ako súčin mediánu národného ekvivalentného ročného disponibilného príjmu domácnosti a ekvivalentnej veľkosti domácnosti. </w:t>
      </w:r>
    </w:p>
    <w:p w14:paraId="50E450BE" w14:textId="77777777" w:rsidR="00B32827" w:rsidRPr="00433EED" w:rsidRDefault="00B32827" w:rsidP="00B32827">
      <w:pPr>
        <w:pStyle w:val="Normlnywebov"/>
        <w:numPr>
          <w:ilvl w:val="0"/>
          <w:numId w:val="29"/>
        </w:numPr>
        <w:spacing w:before="0" w:beforeAutospacing="0" w:after="0" w:afterAutospacing="0"/>
        <w:jc w:val="both"/>
        <w:rPr>
          <w:rStyle w:val="Vrazn"/>
          <w:b w:val="0"/>
          <w:bCs w:val="0"/>
        </w:rPr>
      </w:pPr>
      <w:r w:rsidRPr="00433EED">
        <w:rPr>
          <w:rStyle w:val="Vrazn"/>
          <w:b w:val="0"/>
          <w:bCs w:val="0"/>
        </w:rPr>
        <w:t>Medián národného ekvivalentného disponibilného príjmu domácnosti každoročne zverejňuje Ministerstvo hospodárstva Slovenskej republiky (ďalej len „ministerstvo“) na základe údajov Štatistického úradu Slovenskej republiky najneskôr 30. júna.</w:t>
      </w:r>
    </w:p>
    <w:p w14:paraId="61FA6615" w14:textId="77777777" w:rsidR="00B32827" w:rsidRPr="00433EED" w:rsidRDefault="00B32827" w:rsidP="00B32827">
      <w:pPr>
        <w:pStyle w:val="Normlnywebov"/>
        <w:numPr>
          <w:ilvl w:val="0"/>
          <w:numId w:val="29"/>
        </w:numPr>
        <w:spacing w:before="0" w:beforeAutospacing="0" w:after="0" w:afterAutospacing="0"/>
        <w:jc w:val="both"/>
        <w:rPr>
          <w:rStyle w:val="Vrazn"/>
          <w:b w:val="0"/>
          <w:bCs w:val="0"/>
        </w:rPr>
      </w:pPr>
      <w:bookmarkStart w:id="0" w:name="_Hlk219459999"/>
      <w:r w:rsidRPr="00433EED">
        <w:rPr>
          <w:rStyle w:val="Vrazn"/>
          <w:b w:val="0"/>
          <w:bCs w:val="0"/>
        </w:rPr>
        <w:t xml:space="preserve">Ekvivalentná veľkosť domácností </w:t>
      </w:r>
      <w:bookmarkEnd w:id="0"/>
      <w:r w:rsidRPr="00433EED">
        <w:rPr>
          <w:rStyle w:val="Vrazn"/>
          <w:b w:val="0"/>
          <w:bCs w:val="0"/>
        </w:rPr>
        <w:t>sa určí podľa prílohy č. 1.</w:t>
      </w:r>
    </w:p>
    <w:p w14:paraId="5E2B2465" w14:textId="77777777" w:rsidR="00B32827" w:rsidRPr="00433EED" w:rsidRDefault="00B32827" w:rsidP="00B32827">
      <w:pPr>
        <w:pStyle w:val="Normlnywebov"/>
        <w:spacing w:before="0" w:beforeAutospacing="0" w:after="0" w:afterAutospacing="0"/>
        <w:jc w:val="both"/>
        <w:rPr>
          <w:rStyle w:val="Vrazn"/>
          <w:b w:val="0"/>
          <w:bCs w:val="0"/>
        </w:rPr>
      </w:pPr>
    </w:p>
    <w:p w14:paraId="38201EB1"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4 Stanovenie úrovne zraniteľnosti domácnosti</w:t>
      </w:r>
    </w:p>
    <w:p w14:paraId="43464AA3" w14:textId="77777777" w:rsidR="00B32827" w:rsidRPr="00433EED" w:rsidRDefault="00B32827" w:rsidP="00B32827">
      <w:pPr>
        <w:pStyle w:val="Odsekzoznamu"/>
        <w:numPr>
          <w:ilvl w:val="0"/>
          <w:numId w:val="35"/>
        </w:numPr>
        <w:spacing w:before="100" w:beforeAutospacing="1" w:after="100" w:afterAutospacing="1" w:line="240" w:lineRule="auto"/>
        <w:ind w:left="426"/>
        <w:jc w:val="both"/>
        <w:rPr>
          <w:rFonts w:ascii="Times New Roman" w:eastAsia="Times New Roman" w:hAnsi="Times New Roman" w:cs="Times New Roman"/>
          <w:bCs/>
          <w:sz w:val="24"/>
          <w:szCs w:val="24"/>
          <w:lang w:eastAsia="sk-SK"/>
        </w:rPr>
      </w:pPr>
      <w:r w:rsidRPr="00433EED">
        <w:rPr>
          <w:rFonts w:ascii="Times New Roman" w:eastAsia="Times New Roman" w:hAnsi="Times New Roman" w:cs="Times New Roman"/>
          <w:bCs/>
          <w:sz w:val="24"/>
          <w:szCs w:val="24"/>
          <w:lang w:eastAsia="sk-SK"/>
        </w:rPr>
        <w:t>Úroveň zraniteľnosti domácnosti sa stanovuje z nasledujúcich kritérií:</w:t>
      </w:r>
    </w:p>
    <w:p w14:paraId="7AAA1CFD" w14:textId="77777777" w:rsidR="00B32827" w:rsidRPr="00433EED" w:rsidRDefault="00B32827" w:rsidP="00B32827">
      <w:pPr>
        <w:pStyle w:val="Odsekzoznamu"/>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bCs/>
          <w:sz w:val="24"/>
          <w:szCs w:val="24"/>
          <w:lang w:eastAsia="sk-SK"/>
        </w:rPr>
        <w:t>príjmové,</w:t>
      </w:r>
    </w:p>
    <w:p w14:paraId="6B270494" w14:textId="77777777" w:rsidR="00B32827" w:rsidRPr="00433EED" w:rsidRDefault="00B32827" w:rsidP="00B32827">
      <w:pPr>
        <w:pStyle w:val="Odsekzoznamu"/>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bCs/>
          <w:sz w:val="24"/>
          <w:szCs w:val="24"/>
          <w:lang w:eastAsia="sk-SK"/>
        </w:rPr>
        <w:t>výdavkové,</w:t>
      </w:r>
    </w:p>
    <w:p w14:paraId="52E7868B" w14:textId="77777777" w:rsidR="00B32827" w:rsidRPr="00433EED" w:rsidRDefault="00B32827" w:rsidP="00B32827">
      <w:pPr>
        <w:pStyle w:val="Odsekzoznamu"/>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bCs/>
          <w:sz w:val="24"/>
          <w:szCs w:val="24"/>
          <w:lang w:eastAsia="sk-SK"/>
        </w:rPr>
        <w:t>technické</w:t>
      </w:r>
      <w:r w:rsidRPr="00433EED">
        <w:rPr>
          <w:rFonts w:ascii="Times New Roman" w:eastAsia="Times New Roman" w:hAnsi="Times New Roman" w:cs="Times New Roman"/>
          <w:sz w:val="24"/>
          <w:szCs w:val="24"/>
          <w:lang w:eastAsia="sk-SK"/>
        </w:rPr>
        <w:t>.</w:t>
      </w:r>
      <w:r w:rsidRPr="00433EED">
        <w:rPr>
          <w:rFonts w:ascii="Times New Roman" w:eastAsia="Times New Roman" w:hAnsi="Times New Roman" w:cs="Times New Roman"/>
          <w:sz w:val="24"/>
          <w:szCs w:val="24"/>
          <w:lang w:eastAsia="sk-SK"/>
        </w:rPr>
        <w:br/>
      </w:r>
    </w:p>
    <w:p w14:paraId="1721682D" w14:textId="77777777" w:rsidR="00B32827" w:rsidRPr="00433EED" w:rsidRDefault="00B32827" w:rsidP="00B32827">
      <w:pPr>
        <w:pStyle w:val="Odsekzoznamu"/>
        <w:numPr>
          <w:ilvl w:val="0"/>
          <w:numId w:val="34"/>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Príjmové kritérium posudzuje zistený disponibilný príjem domácnosti vzhľadom na hranicu príjmu domácnosti určenej podľa § 3. Obdobím pre stanovenie disponibilného príjmu domácnosti je predchádzajúci kalendárny rok. V prípade, že v čase hodnotenia zraniteľnosti domácnosti nie je dispozícií disponibilný príjem domácnosti za predchádzajúci kalendárny rok, použije sa disponibilný príjem domácnosti za obdobie t-2.</w:t>
      </w:r>
    </w:p>
    <w:p w14:paraId="77A64C7A" w14:textId="77777777" w:rsidR="00B32827" w:rsidRPr="00433EED" w:rsidRDefault="00B32827" w:rsidP="00B32827">
      <w:pPr>
        <w:pStyle w:val="Odsekzoznamu"/>
        <w:numPr>
          <w:ilvl w:val="0"/>
          <w:numId w:val="34"/>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Kritérium výdavkov na energiu posudzuje výdavky domácnosti na energiu vzhľadom na jej disponibilný príjem. Obdobím pre stanovenie výdavkov na energiu je posledné riadne ukončené zúčtovacie obdobie, alebo súčet nákladov za dvanásť mesiacov bezprostredne predchádzajúcich čas hodnotenia zraniteľnosti domácnosti.</w:t>
      </w:r>
    </w:p>
    <w:p w14:paraId="41D0E51F" w14:textId="77777777" w:rsidR="00B32827" w:rsidRPr="00433EED" w:rsidRDefault="00B32827" w:rsidP="00B32827">
      <w:pPr>
        <w:pStyle w:val="Odsekzoznamu"/>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lastRenderedPageBreak/>
        <w:t>Technické kritérium posudzuje domácnosť z hľadiska aktuálneho stavu obydlia v čase hodnotenia zraniteľnosti domácnosti. Predmetom posudzovania je miera zateplenia obvodového plášťa obydlia, miera výmeny otvorových konštrukcií, izolácie strechy a izolácie nevykurovaných častí obydlia od vykurovaných častí.</w:t>
      </w:r>
    </w:p>
    <w:p w14:paraId="05F2B965" w14:textId="77777777" w:rsidR="00B32827" w:rsidRPr="00433EED" w:rsidRDefault="00B32827" w:rsidP="00B32827">
      <w:pPr>
        <w:pStyle w:val="Odsekzoznamu"/>
        <w:spacing w:before="100" w:beforeAutospacing="1" w:after="100" w:afterAutospacing="1" w:line="240" w:lineRule="auto"/>
        <w:jc w:val="both"/>
        <w:rPr>
          <w:rFonts w:ascii="Times New Roman" w:eastAsia="Times New Roman" w:hAnsi="Times New Roman" w:cs="Times New Roman"/>
          <w:sz w:val="24"/>
          <w:szCs w:val="24"/>
          <w:lang w:eastAsia="sk-SK"/>
        </w:rPr>
      </w:pPr>
    </w:p>
    <w:p w14:paraId="4BBF1715" w14:textId="77777777" w:rsidR="00B32827" w:rsidRPr="00433EED" w:rsidRDefault="00B32827" w:rsidP="00B32827">
      <w:pPr>
        <w:pStyle w:val="Odsekzoznamu"/>
        <w:spacing w:before="100" w:beforeAutospacing="1" w:after="100" w:afterAutospacing="1" w:line="240" w:lineRule="auto"/>
        <w:jc w:val="both"/>
        <w:rPr>
          <w:rFonts w:ascii="Times New Roman" w:eastAsia="Times New Roman" w:hAnsi="Times New Roman" w:cs="Times New Roman"/>
          <w:sz w:val="24"/>
          <w:szCs w:val="24"/>
          <w:lang w:eastAsia="sk-SK"/>
        </w:rPr>
      </w:pPr>
    </w:p>
    <w:p w14:paraId="7CE54DBA" w14:textId="77777777" w:rsidR="00B32827" w:rsidRPr="00433EED" w:rsidRDefault="00B32827" w:rsidP="00B32827">
      <w:pPr>
        <w:pStyle w:val="Odsekzoznamu"/>
        <w:spacing w:before="100" w:beforeAutospacing="1" w:after="100" w:afterAutospacing="1" w:line="240" w:lineRule="auto"/>
        <w:jc w:val="both"/>
        <w:rPr>
          <w:rFonts w:ascii="Times New Roman" w:eastAsia="Times New Roman" w:hAnsi="Times New Roman" w:cs="Times New Roman"/>
          <w:sz w:val="24"/>
          <w:szCs w:val="24"/>
          <w:lang w:eastAsia="sk-SK"/>
        </w:rPr>
      </w:pPr>
    </w:p>
    <w:p w14:paraId="03E3D541"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5 Metodika hodnotenia</w:t>
      </w:r>
      <w:r w:rsidRPr="00433EED">
        <w:t xml:space="preserve"> </w:t>
      </w:r>
      <w:r w:rsidRPr="00433EED">
        <w:rPr>
          <w:rFonts w:ascii="Times New Roman" w:eastAsia="Times New Roman" w:hAnsi="Times New Roman" w:cs="Times New Roman"/>
          <w:b/>
          <w:sz w:val="28"/>
          <w:szCs w:val="28"/>
          <w:lang w:eastAsia="sk-SK"/>
        </w:rPr>
        <w:t>zraniteľnosti domácnosti</w:t>
      </w:r>
    </w:p>
    <w:p w14:paraId="5678DBAE" w14:textId="77777777" w:rsidR="00B32827" w:rsidRPr="00433EED" w:rsidRDefault="00B32827" w:rsidP="00B32827">
      <w:pPr>
        <w:pStyle w:val="Odsekzoznamu"/>
        <w:numPr>
          <w:ilvl w:val="0"/>
          <w:numId w:val="24"/>
        </w:numPr>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Hodnotenie úrovne zraniteľnosti domácnosti (ďalej len „úroveň zraniteľnosti“) z hľadiska energetickej chudoby je založené na posudzovaní kritérií podľa § 4. Pre účely hodnotenia zraniteľnosti má každé kritérium priradenú váhu, parameter a váhu parametra. Úroveň zraniteľnosti sa vypočíta podľa prílohy č. 2.</w:t>
      </w:r>
    </w:p>
    <w:p w14:paraId="75907D78" w14:textId="77777777" w:rsidR="00B32827" w:rsidRPr="00433EED" w:rsidRDefault="00B32827" w:rsidP="00B32827">
      <w:pPr>
        <w:pStyle w:val="Odsekzoznamu"/>
        <w:numPr>
          <w:ilvl w:val="0"/>
          <w:numId w:val="24"/>
        </w:numPr>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Za domácnosť v energetickej chudobe a domácnosť ohrozenú energetickou chudobou sa považuje domácnosť s hodnotou ukazovateľa úrovne zraniteľnosti podľa tabuľky č. 1.</w:t>
      </w:r>
    </w:p>
    <w:p w14:paraId="432A6DF0" w14:textId="77777777" w:rsidR="00B32827" w:rsidRPr="00433EED" w:rsidRDefault="00B32827" w:rsidP="00B32827">
      <w:pPr>
        <w:pStyle w:val="Odsekzoznamu"/>
        <w:rPr>
          <w:rFonts w:ascii="Times New Roman" w:eastAsia="Times New Roman" w:hAnsi="Times New Roman" w:cs="Times New Roman"/>
          <w:sz w:val="24"/>
          <w:szCs w:val="24"/>
          <w:lang w:eastAsia="sk-SK"/>
        </w:rPr>
      </w:pPr>
    </w:p>
    <w:p w14:paraId="4DC86814" w14:textId="77777777" w:rsidR="00B32827" w:rsidRPr="00433EED" w:rsidRDefault="00B32827" w:rsidP="00B32827">
      <w:pPr>
        <w:pStyle w:val="Odsekzoznamu"/>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Tabuľka č. 1</w:t>
      </w:r>
    </w:p>
    <w:tbl>
      <w:tblPr>
        <w:tblStyle w:val="Mriekatabuky"/>
        <w:tblW w:w="8590" w:type="dxa"/>
        <w:jc w:val="center"/>
        <w:tblLook w:val="04A0" w:firstRow="1" w:lastRow="0" w:firstColumn="1" w:lastColumn="0" w:noHBand="0" w:noVBand="1"/>
      </w:tblPr>
      <w:tblGrid>
        <w:gridCol w:w="5641"/>
        <w:gridCol w:w="2949"/>
      </w:tblGrid>
      <w:tr w:rsidR="00B32827" w:rsidRPr="00433EED" w14:paraId="4FF1A077" w14:textId="77777777" w:rsidTr="00B1645C">
        <w:trPr>
          <w:trHeight w:val="284"/>
          <w:jc w:val="center"/>
        </w:trPr>
        <w:tc>
          <w:tcPr>
            <w:tcW w:w="5641" w:type="dxa"/>
          </w:tcPr>
          <w:p w14:paraId="1C4DA394" w14:textId="77777777" w:rsidR="00B32827" w:rsidRPr="00433EED" w:rsidRDefault="00B32827" w:rsidP="00B1645C">
            <w:pPr>
              <w:pStyle w:val="Odsekzoznamu"/>
              <w:ind w:left="0"/>
              <w:jc w:val="center"/>
              <w:rPr>
                <w:rFonts w:ascii="Times New Roman" w:eastAsia="Times New Roman" w:hAnsi="Times New Roman" w:cs="Times New Roman"/>
                <w:b/>
                <w:sz w:val="24"/>
                <w:szCs w:val="24"/>
                <w:lang w:eastAsia="sk-SK"/>
              </w:rPr>
            </w:pPr>
            <w:r w:rsidRPr="00433EED">
              <w:rPr>
                <w:rFonts w:ascii="Times New Roman" w:eastAsia="Times New Roman" w:hAnsi="Times New Roman" w:cs="Times New Roman"/>
                <w:b/>
                <w:sz w:val="24"/>
                <w:szCs w:val="24"/>
                <w:lang w:eastAsia="sk-SK"/>
              </w:rPr>
              <w:t>Kategória zraniteľnosti domácnosti</w:t>
            </w:r>
          </w:p>
        </w:tc>
        <w:tc>
          <w:tcPr>
            <w:tcW w:w="2949" w:type="dxa"/>
          </w:tcPr>
          <w:p w14:paraId="69893636" w14:textId="77777777" w:rsidR="00B32827" w:rsidRPr="00433EED" w:rsidRDefault="00B32827" w:rsidP="00B1645C">
            <w:pPr>
              <w:pStyle w:val="Odsekzoznamu"/>
              <w:ind w:left="0"/>
              <w:jc w:val="center"/>
              <w:rPr>
                <w:rFonts w:ascii="Times New Roman" w:eastAsia="Times New Roman" w:hAnsi="Times New Roman" w:cs="Times New Roman"/>
                <w:b/>
                <w:sz w:val="24"/>
                <w:szCs w:val="24"/>
                <w:lang w:eastAsia="sk-SK"/>
              </w:rPr>
            </w:pPr>
            <w:r w:rsidRPr="00433EED">
              <w:rPr>
                <w:rFonts w:ascii="Times New Roman" w:eastAsia="Times New Roman" w:hAnsi="Times New Roman" w:cs="Times New Roman"/>
                <w:b/>
                <w:sz w:val="24"/>
                <w:szCs w:val="24"/>
                <w:lang w:eastAsia="sk-SK"/>
              </w:rPr>
              <w:t xml:space="preserve">Úroveň zraniteľnosti </w:t>
            </w:r>
          </w:p>
        </w:tc>
      </w:tr>
      <w:tr w:rsidR="00B32827" w:rsidRPr="00433EED" w14:paraId="44128EEA" w14:textId="77777777" w:rsidTr="00B1645C">
        <w:trPr>
          <w:trHeight w:val="299"/>
          <w:jc w:val="center"/>
        </w:trPr>
        <w:tc>
          <w:tcPr>
            <w:tcW w:w="5641" w:type="dxa"/>
          </w:tcPr>
          <w:p w14:paraId="03A5CFD3" w14:textId="77777777" w:rsidR="00B32827" w:rsidRPr="00433EED" w:rsidRDefault="00B32827" w:rsidP="00B1645C">
            <w:pPr>
              <w:pStyle w:val="Odsekzoznamu"/>
              <w:ind w:left="0"/>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Domácnosť v energetickej chudobe</w:t>
            </w:r>
          </w:p>
        </w:tc>
        <w:tc>
          <w:tcPr>
            <w:tcW w:w="2949" w:type="dxa"/>
          </w:tcPr>
          <w:p w14:paraId="0B2275EC" w14:textId="77777777" w:rsidR="00B32827" w:rsidRPr="00433EED" w:rsidRDefault="00B32827" w:rsidP="00B1645C">
            <w:pPr>
              <w:ind w:left="360"/>
              <w:jc w:val="right"/>
              <w:rPr>
                <w:rFonts w:ascii="Times New Roman" w:eastAsia="Times New Roman" w:hAnsi="Times New Roman" w:cs="Times New Roman"/>
                <w:sz w:val="24"/>
                <w:szCs w:val="24"/>
                <w:lang w:eastAsia="sk-SK"/>
              </w:rPr>
            </w:pPr>
            <w:r w:rsidRPr="00433EED">
              <w:rPr>
                <w:rFonts w:ascii="Calibri" w:eastAsia="Times New Roman" w:hAnsi="Calibri" w:cs="Calibri"/>
                <w:sz w:val="24"/>
                <w:szCs w:val="24"/>
                <w:lang w:eastAsia="sk-SK"/>
              </w:rPr>
              <w:t>ÚZD &gt;</w:t>
            </w:r>
            <w:r w:rsidRPr="00433EED">
              <w:rPr>
                <w:rFonts w:ascii="Wingdings" w:eastAsia="Times New Roman" w:hAnsi="Wingdings" w:cs="Times New Roman"/>
                <w:sz w:val="24"/>
                <w:szCs w:val="24"/>
                <w:lang w:eastAsia="sk-SK"/>
              </w:rPr>
              <w:t></w:t>
            </w:r>
            <w:r w:rsidRPr="00433EED">
              <w:rPr>
                <w:rFonts w:ascii="Times New Roman" w:eastAsia="Times New Roman" w:hAnsi="Times New Roman" w:cs="Times New Roman"/>
                <w:sz w:val="24"/>
                <w:szCs w:val="24"/>
                <w:lang w:eastAsia="sk-SK"/>
              </w:rPr>
              <w:t>80 %</w:t>
            </w:r>
          </w:p>
        </w:tc>
      </w:tr>
      <w:tr w:rsidR="00B32827" w:rsidRPr="00433EED" w14:paraId="26287DBC" w14:textId="77777777" w:rsidTr="00B1645C">
        <w:trPr>
          <w:trHeight w:val="284"/>
          <w:jc w:val="center"/>
        </w:trPr>
        <w:tc>
          <w:tcPr>
            <w:tcW w:w="5641" w:type="dxa"/>
          </w:tcPr>
          <w:p w14:paraId="170178FB" w14:textId="77777777" w:rsidR="00B32827" w:rsidRPr="00433EED" w:rsidRDefault="00B32827" w:rsidP="00B1645C">
            <w:pPr>
              <w:pStyle w:val="Odsekzoznamu"/>
              <w:ind w:left="0"/>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Domácnosť vážne ohrozená energetickou chudobou</w:t>
            </w:r>
          </w:p>
        </w:tc>
        <w:tc>
          <w:tcPr>
            <w:tcW w:w="2949" w:type="dxa"/>
          </w:tcPr>
          <w:p w14:paraId="2E8B0416" w14:textId="77777777" w:rsidR="00B32827" w:rsidRPr="00433EED" w:rsidRDefault="00B32827" w:rsidP="00B1645C">
            <w:pPr>
              <w:pStyle w:val="Odsekzoznamu"/>
              <w:ind w:left="0"/>
              <w:jc w:val="right"/>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 xml:space="preserve">60 % &lt; </w:t>
            </w:r>
            <w:r w:rsidRPr="00433EED">
              <w:rPr>
                <w:rFonts w:ascii="Calibri" w:eastAsia="Times New Roman" w:hAnsi="Calibri" w:cs="Calibri"/>
                <w:sz w:val="24"/>
                <w:szCs w:val="24"/>
                <w:lang w:eastAsia="sk-SK"/>
              </w:rPr>
              <w:t>ÚZD</w:t>
            </w:r>
            <w:r w:rsidRPr="00433EED">
              <w:rPr>
                <w:rFonts w:ascii="Times New Roman" w:eastAsia="Times New Roman" w:hAnsi="Times New Roman" w:cs="Times New Roman"/>
                <w:sz w:val="24"/>
                <w:szCs w:val="24"/>
                <w:lang w:eastAsia="sk-SK"/>
              </w:rPr>
              <w:t xml:space="preserve"> ≤ 80 %</w:t>
            </w:r>
          </w:p>
        </w:tc>
      </w:tr>
      <w:tr w:rsidR="00B32827" w:rsidRPr="00433EED" w14:paraId="3EEC28E0" w14:textId="77777777" w:rsidTr="00B1645C">
        <w:trPr>
          <w:trHeight w:val="284"/>
          <w:jc w:val="center"/>
        </w:trPr>
        <w:tc>
          <w:tcPr>
            <w:tcW w:w="5641" w:type="dxa"/>
          </w:tcPr>
          <w:p w14:paraId="7A6C628B" w14:textId="77777777" w:rsidR="00B32827" w:rsidRPr="00433EED" w:rsidRDefault="00B32827" w:rsidP="00B1645C">
            <w:pPr>
              <w:pStyle w:val="Odsekzoznamu"/>
              <w:ind w:left="0"/>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Domácnosť stredne ohrozená energetickou chudobou</w:t>
            </w:r>
          </w:p>
        </w:tc>
        <w:tc>
          <w:tcPr>
            <w:tcW w:w="2949" w:type="dxa"/>
          </w:tcPr>
          <w:p w14:paraId="2B0D791D" w14:textId="77777777" w:rsidR="00B32827" w:rsidRPr="00433EED" w:rsidRDefault="00B32827" w:rsidP="00B1645C">
            <w:pPr>
              <w:pStyle w:val="Odsekzoznamu"/>
              <w:ind w:left="0"/>
              <w:jc w:val="right"/>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 xml:space="preserve">40% &lt; </w:t>
            </w:r>
            <w:r w:rsidRPr="00433EED">
              <w:rPr>
                <w:rFonts w:ascii="Calibri" w:eastAsia="Times New Roman" w:hAnsi="Calibri" w:cs="Calibri"/>
                <w:sz w:val="24"/>
                <w:szCs w:val="24"/>
                <w:lang w:eastAsia="sk-SK"/>
              </w:rPr>
              <w:t>ÚZD</w:t>
            </w:r>
            <w:r w:rsidRPr="00433EED">
              <w:rPr>
                <w:rFonts w:ascii="Times New Roman" w:eastAsia="Times New Roman" w:hAnsi="Times New Roman" w:cs="Times New Roman"/>
                <w:sz w:val="24"/>
                <w:szCs w:val="24"/>
                <w:lang w:eastAsia="sk-SK"/>
              </w:rPr>
              <w:t xml:space="preserve">  ≤ 60 %</w:t>
            </w:r>
          </w:p>
        </w:tc>
      </w:tr>
      <w:tr w:rsidR="00B32827" w:rsidRPr="00433EED" w14:paraId="45A34488" w14:textId="77777777" w:rsidTr="00B1645C">
        <w:trPr>
          <w:trHeight w:val="284"/>
          <w:jc w:val="center"/>
        </w:trPr>
        <w:tc>
          <w:tcPr>
            <w:tcW w:w="5641" w:type="dxa"/>
          </w:tcPr>
          <w:p w14:paraId="04E8DCF7" w14:textId="77777777" w:rsidR="00B32827" w:rsidRPr="00433EED" w:rsidRDefault="00B32827" w:rsidP="00B1645C">
            <w:pPr>
              <w:pStyle w:val="Odsekzoznamu"/>
              <w:ind w:left="0"/>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Domácnosť mierne ohrozená energetickou chudobou</w:t>
            </w:r>
          </w:p>
        </w:tc>
        <w:tc>
          <w:tcPr>
            <w:tcW w:w="2949" w:type="dxa"/>
          </w:tcPr>
          <w:p w14:paraId="74719D0F" w14:textId="77777777" w:rsidR="00B32827" w:rsidRPr="00433EED" w:rsidRDefault="00B32827" w:rsidP="00B1645C">
            <w:pPr>
              <w:pStyle w:val="Odsekzoznamu"/>
              <w:ind w:left="0"/>
              <w:jc w:val="right"/>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 xml:space="preserve">20 % ≤  </w:t>
            </w:r>
            <w:r w:rsidRPr="00433EED">
              <w:rPr>
                <w:rFonts w:ascii="Calibri" w:eastAsia="Times New Roman" w:hAnsi="Calibri" w:cs="Calibri"/>
                <w:sz w:val="24"/>
                <w:szCs w:val="24"/>
                <w:lang w:eastAsia="sk-SK"/>
              </w:rPr>
              <w:t>ÚZD</w:t>
            </w:r>
            <w:r w:rsidRPr="00433EED">
              <w:rPr>
                <w:rFonts w:ascii="Times New Roman" w:eastAsia="Times New Roman" w:hAnsi="Times New Roman" w:cs="Times New Roman"/>
                <w:sz w:val="24"/>
                <w:szCs w:val="24"/>
                <w:lang w:eastAsia="sk-SK"/>
              </w:rPr>
              <w:t xml:space="preserve">  ≤ 40 %</w:t>
            </w:r>
          </w:p>
        </w:tc>
      </w:tr>
    </w:tbl>
    <w:p w14:paraId="2388E774" w14:textId="77777777" w:rsidR="00B32827" w:rsidRPr="00433EED" w:rsidRDefault="00B32827" w:rsidP="00B32827">
      <w:pPr>
        <w:pStyle w:val="Odsekzoznamu"/>
        <w:rPr>
          <w:rFonts w:ascii="Times New Roman" w:eastAsia="Times New Roman" w:hAnsi="Times New Roman" w:cs="Times New Roman"/>
          <w:sz w:val="24"/>
          <w:szCs w:val="24"/>
          <w:lang w:eastAsia="sk-SK"/>
        </w:rPr>
      </w:pPr>
    </w:p>
    <w:p w14:paraId="56242302" w14:textId="77777777" w:rsidR="00B32827" w:rsidRPr="00433EED" w:rsidRDefault="00B32827" w:rsidP="00B32827">
      <w:pPr>
        <w:pStyle w:val="Odsekzoznamu"/>
        <w:numPr>
          <w:ilvl w:val="0"/>
          <w:numId w:val="24"/>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Domácnosť, ktorá spĺňa podmienky priznania dávky v hmotnej núdzi z dôvodu, že nedisponuje majetkom, ktorého využívaním alebo správou, predajom alebo prenájmom si môže zabezpečiť dostatok finančných prostriedkov na to, aby nebola v stave hmotnej núdze, alebo aby si mohla dovoliť platiť za energiu na zabezpečenie svojich základných životných potrieb sa zaradí do kategórie zraniteľnosti domácnosti „Domácnosť v energetickej chudobe“ bez hodnotenia úrovne zraniteľnosti.</w:t>
      </w:r>
    </w:p>
    <w:p w14:paraId="435FE3B6"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xml:space="preserve">§  6 Postup na zaradenie do kategórie zraniteľnosti domácnosti </w:t>
      </w:r>
    </w:p>
    <w:p w14:paraId="50AF8ABE" w14:textId="77777777" w:rsidR="00B32827" w:rsidRPr="00433EED" w:rsidRDefault="00B32827" w:rsidP="00B32827">
      <w:pPr>
        <w:pStyle w:val="Odsekzoznamu"/>
        <w:numPr>
          <w:ilvl w:val="0"/>
          <w:numId w:val="17"/>
        </w:numPr>
        <w:ind w:left="360"/>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 xml:space="preserve">Domácnosť sa zaraďuje do kategórie zraniteľnosti na základe žiadosti o zaradenie do kategórie zraniteľnosti domácnosti (ďalej len „žiadosť“) alebo automatizovaným spôsobom. </w:t>
      </w:r>
    </w:p>
    <w:p w14:paraId="796A7BC1" w14:textId="77777777" w:rsidR="00B32827" w:rsidRPr="00433EED" w:rsidRDefault="00B32827" w:rsidP="00B32827">
      <w:pPr>
        <w:pStyle w:val="Odsekzoznamu"/>
        <w:numPr>
          <w:ilvl w:val="0"/>
          <w:numId w:val="17"/>
        </w:numPr>
        <w:ind w:left="360"/>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Žiadosť podáva domácnosť komu? písomne, alebo elektronicky.</w:t>
      </w:r>
    </w:p>
    <w:p w14:paraId="051A8810" w14:textId="77777777" w:rsidR="00B32827" w:rsidRPr="00433EED" w:rsidRDefault="00B32827" w:rsidP="00B32827">
      <w:pPr>
        <w:pStyle w:val="Odsekzoznamu"/>
        <w:numPr>
          <w:ilvl w:val="0"/>
          <w:numId w:val="17"/>
        </w:numPr>
        <w:ind w:left="360"/>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Súčasťou žiadosti sú:</w:t>
      </w:r>
    </w:p>
    <w:p w14:paraId="65E2857B"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list vlastníctva k nehnuteľnosti, nájomná zmluva alebo iný doklad o legálnom užívaní nehnuteľnosti,</w:t>
      </w:r>
    </w:p>
    <w:p w14:paraId="3E27BE50"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platné zmluvy o dodávke elektriny, plynu a tepla alebo predpis zálohových platieb,</w:t>
      </w:r>
    </w:p>
    <w:p w14:paraId="15BCDBDB"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 doklady preukazujúce výdavky za energiu za obdobie podľa § 4 odsek 3.</w:t>
      </w:r>
    </w:p>
    <w:p w14:paraId="094B1D67"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doklady o príjmoch členov domácnosti podľa § 2 odsek 5) za obdobie podľa § 4 odsek 2 ,</w:t>
      </w:r>
    </w:p>
    <w:p w14:paraId="21B3BEC7"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lastRenderedPageBreak/>
        <w:t>rozhodnutie súdu vydané na základe podania žiadateľa alebo obce o výške výživného pre každého člena domácnosti, ktorý si mohol uplatniť právo na výživné podľa osobitného predpisu</w:t>
      </w:r>
      <w:r w:rsidRPr="00433EED">
        <w:rPr>
          <w:rStyle w:val="Odkaznapoznmkupodiarou"/>
          <w:rFonts w:ascii="Times New Roman" w:eastAsia="Times New Roman" w:hAnsi="Times New Roman" w:cs="Times New Roman"/>
          <w:sz w:val="24"/>
          <w:szCs w:val="24"/>
          <w:lang w:eastAsia="sk-SK"/>
        </w:rPr>
        <w:footnoteReference w:id="6"/>
      </w:r>
      <w:r w:rsidRPr="00433EED">
        <w:rPr>
          <w:rFonts w:ascii="Times New Roman" w:eastAsia="Times New Roman" w:hAnsi="Times New Roman" w:cs="Times New Roman"/>
          <w:sz w:val="24"/>
          <w:szCs w:val="24"/>
          <w:lang w:eastAsia="sk-SK"/>
        </w:rPr>
        <w:t xml:space="preserve"> </w:t>
      </w:r>
    </w:p>
    <w:p w14:paraId="07AAA147"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doklad o počte osôb prihlásených k trvalému alebo prechodnému pobytu na adrese  odberateľa energií,</w:t>
      </w:r>
    </w:p>
    <w:p w14:paraId="37F9D11F"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fotodokumentácia obydlia pre účely vyhodnotenia technického kritéria zachytávajúca stav bezprostredne pred podaním písomnej žiadosti,</w:t>
      </w:r>
    </w:p>
    <w:p w14:paraId="05D8722C"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čestné vyhlásenie o  pravdivosti údajov,</w:t>
      </w:r>
    </w:p>
    <w:p w14:paraId="5BA0C8A4" w14:textId="77777777" w:rsidR="00B32827" w:rsidRPr="00433EED" w:rsidRDefault="00B32827" w:rsidP="00B32827">
      <w:pPr>
        <w:pStyle w:val="Odsekzoznamu"/>
        <w:numPr>
          <w:ilvl w:val="0"/>
          <w:numId w:val="13"/>
        </w:numPr>
        <w:ind w:left="708"/>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súhlas dotknutej osoby so spracovaním osobných údajov pre účely získania dát o príjmoch za všetkých členov domácnosti.</w:t>
      </w:r>
    </w:p>
    <w:p w14:paraId="423E206F" w14:textId="77777777" w:rsidR="00B32827" w:rsidRPr="00433EED" w:rsidRDefault="00B32827" w:rsidP="00B32827">
      <w:pPr>
        <w:pStyle w:val="Odsekzoznamu"/>
        <w:ind w:left="708"/>
        <w:jc w:val="both"/>
        <w:rPr>
          <w:rFonts w:ascii="Times New Roman" w:eastAsia="Times New Roman" w:hAnsi="Times New Roman" w:cs="Times New Roman"/>
          <w:sz w:val="24"/>
          <w:szCs w:val="24"/>
          <w:lang w:eastAsia="sk-SK"/>
        </w:rPr>
      </w:pPr>
    </w:p>
    <w:p w14:paraId="646F0888" w14:textId="77777777" w:rsidR="00B32827" w:rsidRPr="00433EED" w:rsidRDefault="00B32827" w:rsidP="00B32827">
      <w:pPr>
        <w:pStyle w:val="Odsekzoznamu"/>
        <w:numPr>
          <w:ilvl w:val="0"/>
          <w:numId w:val="17"/>
        </w:numPr>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Príjemca žiadosti nemusí požadovať tie súčasti žiadosti podľa odseku 3, ku ktorým má zabezpečený prístup.</w:t>
      </w:r>
    </w:p>
    <w:p w14:paraId="12A72AD1" w14:textId="77777777" w:rsidR="00B32827" w:rsidRPr="00433EED" w:rsidRDefault="00B32827" w:rsidP="00B32827">
      <w:pPr>
        <w:pStyle w:val="Odsekzoznamu"/>
        <w:numPr>
          <w:ilvl w:val="0"/>
          <w:numId w:val="17"/>
        </w:numPr>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Automatizovaným spôsobom....</w:t>
      </w:r>
    </w:p>
    <w:p w14:paraId="32224C7F" w14:textId="77777777" w:rsidR="00B32827" w:rsidRPr="00433EED" w:rsidRDefault="00B32827" w:rsidP="00B32827">
      <w:pPr>
        <w:pStyle w:val="Odsekzoznamu"/>
        <w:numPr>
          <w:ilvl w:val="0"/>
          <w:numId w:val="17"/>
        </w:numPr>
        <w:jc w:val="both"/>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Preukázanie (vyhodnotenie) skutočnosti, že ročný ekvivalentný disponibilný mesačný príjem domácnosti žiadateľa zodpovedá hraničnému ekvivalentnému disponibilnému mesačnému príjmu domácnosti podľa schválených hodnotiacich kritérií,</w:t>
      </w:r>
    </w:p>
    <w:p w14:paraId="68DD834B"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7 Postup identifikácie a overovania</w:t>
      </w:r>
    </w:p>
    <w:p w14:paraId="1502C850" w14:textId="77777777" w:rsidR="00B32827" w:rsidRPr="00433EED" w:rsidRDefault="00B32827" w:rsidP="00B32827">
      <w:pPr>
        <w:pStyle w:val="Odsekzoznamu"/>
        <w:numPr>
          <w:ilvl w:val="0"/>
          <w:numId w:val="27"/>
        </w:numPr>
        <w:rPr>
          <w:rFonts w:ascii="Times New Roman" w:eastAsia="Times New Roman" w:hAnsi="Times New Roman" w:cs="Times New Roman"/>
          <w:bCs/>
          <w:sz w:val="24"/>
          <w:szCs w:val="24"/>
          <w:lang w:eastAsia="sk-SK"/>
        </w:rPr>
      </w:pPr>
      <w:r w:rsidRPr="00433EED">
        <w:rPr>
          <w:rFonts w:ascii="Times New Roman" w:eastAsia="Times New Roman" w:hAnsi="Times New Roman" w:cs="Times New Roman"/>
          <w:bCs/>
          <w:sz w:val="24"/>
          <w:szCs w:val="24"/>
          <w:lang w:eastAsia="sk-SK"/>
        </w:rPr>
        <w:t>Na základe vyhodnotenia podanej žiadosti v súlade s § 6 , ods. 1 príjemca žiadosti domácnosť zaradí do príslušnej kategórie podľa § 5, ods. 2.</w:t>
      </w:r>
    </w:p>
    <w:p w14:paraId="26CB6667" w14:textId="77777777" w:rsidR="00B32827" w:rsidRPr="00433EED" w:rsidRDefault="00B32827" w:rsidP="00B32827">
      <w:pPr>
        <w:pStyle w:val="Odsekzoznamu"/>
        <w:numPr>
          <w:ilvl w:val="0"/>
          <w:numId w:val="27"/>
        </w:numPr>
        <w:rPr>
          <w:bCs/>
          <w:sz w:val="24"/>
          <w:szCs w:val="24"/>
          <w:lang w:eastAsia="sk-SK"/>
        </w:rPr>
      </w:pPr>
      <w:r w:rsidRPr="00433EED">
        <w:rPr>
          <w:rFonts w:ascii="Times New Roman" w:eastAsia="Times New Roman" w:hAnsi="Times New Roman" w:cs="Times New Roman"/>
          <w:bCs/>
          <w:sz w:val="24"/>
          <w:szCs w:val="24"/>
          <w:lang w:eastAsia="sk-SK"/>
        </w:rPr>
        <w:t>Splnenie podmienok podľa § 5, overuje príjemca žiadosti nasledovne:</w:t>
      </w:r>
    </w:p>
    <w:p w14:paraId="64243FE1" w14:textId="77777777" w:rsidR="00B32827" w:rsidRPr="00433EED" w:rsidRDefault="00B32827" w:rsidP="00B32827">
      <w:pPr>
        <w:pStyle w:val="Normlnywebov"/>
        <w:numPr>
          <w:ilvl w:val="0"/>
          <w:numId w:val="15"/>
        </w:numPr>
        <w:jc w:val="both"/>
        <w:rPr>
          <w:rStyle w:val="Vrazn"/>
          <w:b w:val="0"/>
        </w:rPr>
      </w:pPr>
      <w:r w:rsidRPr="00433EED">
        <w:rPr>
          <w:rStyle w:val="Vrazn"/>
          <w:b w:val="0"/>
        </w:rPr>
        <w:t>Disponibilný príjem domácnosti príjemca žiadosti overí automatizovaným spôsobom voči hodnotám príslušných údajov evidovaných v informačných systémoch podľa osobitného predpisu</w:t>
      </w:r>
      <w:r w:rsidRPr="00433EED">
        <w:rPr>
          <w:rStyle w:val="Odkaznapoznmkupodiarou"/>
          <w:b/>
          <w:bCs/>
        </w:rPr>
        <w:footnoteReference w:id="7"/>
      </w:r>
      <w:r w:rsidRPr="00433EED">
        <w:rPr>
          <w:rStyle w:val="Vrazn"/>
          <w:b w:val="0"/>
        </w:rPr>
        <w:t xml:space="preserve">). </w:t>
      </w:r>
    </w:p>
    <w:p w14:paraId="5DB378FF" w14:textId="77777777" w:rsidR="00B32827" w:rsidRPr="00433EED" w:rsidRDefault="00B32827" w:rsidP="00B32827">
      <w:pPr>
        <w:pStyle w:val="Normlnywebov"/>
        <w:numPr>
          <w:ilvl w:val="0"/>
          <w:numId w:val="15"/>
        </w:numPr>
        <w:jc w:val="both"/>
        <w:rPr>
          <w:rStyle w:val="Vrazn"/>
          <w:b w:val="0"/>
        </w:rPr>
      </w:pPr>
      <w:r w:rsidRPr="00433EED">
        <w:rPr>
          <w:rStyle w:val="Vrazn"/>
          <w:b w:val="0"/>
        </w:rPr>
        <w:t>Výdavky na energiu sa overujú len ak existujú dôvodné pochybnosti o vyúčtovacích dokladoch žiadateľa.</w:t>
      </w:r>
    </w:p>
    <w:p w14:paraId="4935BBCF" w14:textId="77777777" w:rsidR="00B32827" w:rsidRPr="00433EED" w:rsidRDefault="00B32827" w:rsidP="00B32827">
      <w:pPr>
        <w:pStyle w:val="Normlnywebov"/>
        <w:numPr>
          <w:ilvl w:val="0"/>
          <w:numId w:val="15"/>
        </w:numPr>
        <w:jc w:val="both"/>
        <w:rPr>
          <w:b/>
          <w:bCs/>
        </w:rPr>
      </w:pPr>
      <w:r w:rsidRPr="00433EED">
        <w:rPr>
          <w:rStyle w:val="Vrazn"/>
          <w:b w:val="0"/>
        </w:rPr>
        <w:t>Technické kritérium sa overuje obhliadkou na mieste, alebo stanoviskom OSO. Overovanie kritéria je povinné len v prípade, ak priznaná investičná podpora presahuje sumu  10 000 €.</w:t>
      </w:r>
    </w:p>
    <w:p w14:paraId="2D72C0A1"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8 Evidencia a aktualizácia zoznamu domácností</w:t>
      </w:r>
    </w:p>
    <w:p w14:paraId="26549E75" w14:textId="77777777" w:rsidR="00B32827" w:rsidRPr="00433EED" w:rsidRDefault="00B32827" w:rsidP="00B32827">
      <w:pPr>
        <w:pStyle w:val="Normlnywebov"/>
        <w:rPr>
          <w:rStyle w:val="Vrazn"/>
        </w:rPr>
      </w:pPr>
      <w:r w:rsidRPr="00433EED">
        <w:rPr>
          <w:rStyle w:val="Vrazn"/>
        </w:rPr>
        <w:t>Vedenie registra zraniteľných domácností</w:t>
      </w:r>
    </w:p>
    <w:p w14:paraId="174FAA4D" w14:textId="77777777" w:rsidR="00B32827" w:rsidRPr="00433EED" w:rsidRDefault="00B32827" w:rsidP="00B32827">
      <w:pPr>
        <w:pStyle w:val="Normlnywebov"/>
      </w:pPr>
      <w:r w:rsidRPr="00433EED">
        <w:rPr>
          <w:rStyle w:val="Vrazn"/>
        </w:rPr>
        <w:t>Periodická aktualizácia (ak je potrebné)</w:t>
      </w:r>
    </w:p>
    <w:p w14:paraId="6644FD80" w14:textId="77777777" w:rsidR="00B32827" w:rsidRPr="00433EED" w:rsidRDefault="00B32827" w:rsidP="00B32827">
      <w:pPr>
        <w:jc w:val="cente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t>§  9 Prechodné a záverečné ustanovenia</w:t>
      </w:r>
    </w:p>
    <w:p w14:paraId="7FBDF3CF" w14:textId="77777777" w:rsidR="00B32827" w:rsidRPr="00433EED" w:rsidRDefault="00B32827" w:rsidP="00B32827">
      <w:pPr>
        <w:pStyle w:val="Normlnywebov"/>
      </w:pPr>
      <w:r w:rsidRPr="00433EED">
        <w:rPr>
          <w:rStyle w:val="Vrazn"/>
        </w:rPr>
        <w:t xml:space="preserve">Prechodné obdobie na implementáciu </w:t>
      </w:r>
    </w:p>
    <w:p w14:paraId="353F4403" w14:textId="77777777" w:rsidR="00B32827" w:rsidRPr="00433EED" w:rsidRDefault="00B32827" w:rsidP="00B32827">
      <w:pPr>
        <w:pStyle w:val="Normlnywebov"/>
      </w:pPr>
      <w:r w:rsidRPr="00433EED">
        <w:rPr>
          <w:rStyle w:val="Vrazn"/>
        </w:rPr>
        <w:t>Účinnosť vyhlášky</w:t>
      </w:r>
    </w:p>
    <w:p w14:paraId="5720EBA6" w14:textId="77777777" w:rsidR="00B32827" w:rsidRPr="00433EED" w:rsidRDefault="00B32827" w:rsidP="00B32827">
      <w:pPr>
        <w:rPr>
          <w:rFonts w:ascii="Times New Roman" w:eastAsia="Times New Roman" w:hAnsi="Times New Roman" w:cs="Times New Roman"/>
          <w:b/>
          <w:sz w:val="28"/>
          <w:szCs w:val="28"/>
          <w:lang w:eastAsia="sk-SK"/>
        </w:rPr>
      </w:pPr>
      <w:r w:rsidRPr="00433EED">
        <w:rPr>
          <w:rFonts w:ascii="Times New Roman" w:eastAsia="Times New Roman" w:hAnsi="Times New Roman" w:cs="Times New Roman"/>
          <w:b/>
          <w:sz w:val="28"/>
          <w:szCs w:val="28"/>
          <w:lang w:eastAsia="sk-SK"/>
        </w:rPr>
        <w:lastRenderedPageBreak/>
        <w:br w:type="page"/>
      </w:r>
    </w:p>
    <w:p w14:paraId="24FD20DD" w14:textId="77777777" w:rsidR="00B32827" w:rsidRPr="00433EED" w:rsidRDefault="00B32827" w:rsidP="00B32827">
      <w:pPr>
        <w:jc w:val="right"/>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lastRenderedPageBreak/>
        <w:t>Príloha č. 1 k vyhláške č. xx/2026</w:t>
      </w:r>
    </w:p>
    <w:p w14:paraId="1DE284CC" w14:textId="77777777" w:rsidR="00B32827" w:rsidRPr="00433EED" w:rsidRDefault="00B32827" w:rsidP="00B32827">
      <w:pPr>
        <w:jc w:val="center"/>
        <w:rPr>
          <w:rFonts w:ascii="Times New Roman" w:eastAsia="Times New Roman" w:hAnsi="Times New Roman" w:cs="Times New Roman"/>
          <w:b/>
          <w:bCs/>
          <w:sz w:val="24"/>
          <w:szCs w:val="24"/>
          <w:lang w:eastAsia="sk-SK"/>
        </w:rPr>
      </w:pPr>
      <w:r w:rsidRPr="00433EED">
        <w:rPr>
          <w:rFonts w:ascii="Times New Roman" w:eastAsia="Times New Roman" w:hAnsi="Times New Roman" w:cs="Times New Roman"/>
          <w:b/>
          <w:bCs/>
          <w:sz w:val="24"/>
          <w:szCs w:val="24"/>
          <w:lang w:eastAsia="sk-SK"/>
        </w:rPr>
        <w:t>Ekvivalentná veľkosť domácnosti</w:t>
      </w:r>
    </w:p>
    <w:p w14:paraId="160D36AA" w14:textId="77777777" w:rsidR="00B32827" w:rsidRPr="00433EED" w:rsidRDefault="00B32827" w:rsidP="00B32827">
      <w:pPr>
        <w:rPr>
          <w:rFonts w:ascii="Times New Roman" w:eastAsia="Times New Roman" w:hAnsi="Times New Roman" w:cs="Times New Roman"/>
          <w:b/>
          <w:bCs/>
          <w:sz w:val="24"/>
          <w:szCs w:val="24"/>
          <w:lang w:eastAsia="sk-SK"/>
        </w:rPr>
      </w:pPr>
    </w:p>
    <w:p w14:paraId="13F6E636"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Ekvivalentná veľkosti domácnosti E sa vypočíta podľa vzorca:</w:t>
      </w:r>
    </w:p>
    <w:p w14:paraId="01EA5FEA" w14:textId="77777777" w:rsidR="00B32827" w:rsidRPr="00433EED" w:rsidRDefault="00B32827" w:rsidP="00B32827">
      <w:pPr>
        <w:jc w:val="center"/>
        <w:rPr>
          <w:rFonts w:ascii="Times New Roman" w:eastAsia="Times New Roman" w:hAnsi="Times New Roman" w:cs="Times New Roman"/>
          <w:sz w:val="24"/>
          <w:szCs w:val="24"/>
          <w:lang w:eastAsia="sk-SK"/>
        </w:rPr>
      </w:pPr>
      <m:oMath>
        <m:r>
          <w:rPr>
            <w:rFonts w:ascii="Cambria Math" w:eastAsia="Times New Roman" w:hAnsi="Cambria Math" w:cs="Times New Roman"/>
            <w:sz w:val="40"/>
            <w:szCs w:val="40"/>
            <w:lang w:eastAsia="sk-SK"/>
          </w:rPr>
          <m:t xml:space="preserve">E= </m:t>
        </m:r>
        <m:nary>
          <m:naryPr>
            <m:chr m:val="∑"/>
            <m:limLoc m:val="undOvr"/>
            <m:ctrlPr>
              <w:rPr>
                <w:rFonts w:ascii="Cambria Math" w:eastAsia="Times New Roman" w:hAnsi="Cambria Math" w:cs="Times New Roman"/>
                <w:i/>
                <w:sz w:val="40"/>
                <w:szCs w:val="40"/>
                <w:lang w:eastAsia="sk-SK"/>
              </w:rPr>
            </m:ctrlPr>
          </m:naryPr>
          <m:sub>
            <m:r>
              <w:rPr>
                <w:rFonts w:ascii="Cambria Math" w:eastAsia="Times New Roman" w:hAnsi="Cambria Math" w:cs="Times New Roman"/>
                <w:sz w:val="40"/>
                <w:szCs w:val="40"/>
                <w:lang w:eastAsia="sk-SK"/>
              </w:rPr>
              <m:t>i=1</m:t>
            </m:r>
          </m:sub>
          <m:sup>
            <m:r>
              <w:rPr>
                <w:rFonts w:ascii="Cambria Math" w:eastAsia="Times New Roman" w:hAnsi="Cambria Math" w:cs="Times New Roman"/>
                <w:sz w:val="40"/>
                <w:szCs w:val="40"/>
                <w:lang w:eastAsia="sk-SK"/>
              </w:rPr>
              <m:t>n</m:t>
            </m:r>
          </m:sup>
          <m:e>
            <m:sSub>
              <m:sSubPr>
                <m:ctrlPr>
                  <w:rPr>
                    <w:rFonts w:ascii="Cambria Math" w:eastAsia="Times New Roman" w:hAnsi="Cambria Math" w:cs="Times New Roman"/>
                    <w:i/>
                    <w:sz w:val="40"/>
                    <w:szCs w:val="40"/>
                    <w:lang w:eastAsia="sk-SK"/>
                  </w:rPr>
                </m:ctrlPr>
              </m:sSubPr>
              <m:e>
                <m:r>
                  <w:rPr>
                    <w:rFonts w:ascii="Cambria Math" w:eastAsia="Times New Roman" w:hAnsi="Cambria Math" w:cs="Times New Roman"/>
                    <w:sz w:val="40"/>
                    <w:szCs w:val="40"/>
                    <w:lang w:eastAsia="sk-SK"/>
                  </w:rPr>
                  <m:t>EV</m:t>
                </m:r>
              </m:e>
              <m:sub>
                <m:r>
                  <w:rPr>
                    <w:rFonts w:ascii="Cambria Math" w:eastAsia="Times New Roman" w:hAnsi="Cambria Math" w:cs="Times New Roman"/>
                    <w:sz w:val="40"/>
                    <w:szCs w:val="40"/>
                    <w:lang w:eastAsia="sk-SK"/>
                  </w:rPr>
                  <m:t>i</m:t>
                </m:r>
              </m:sub>
            </m:sSub>
          </m:e>
        </m:nary>
      </m:oMath>
      <w:r w:rsidRPr="00433EED">
        <w:rPr>
          <w:rFonts w:ascii="Times New Roman" w:eastAsia="Times New Roman" w:hAnsi="Times New Roman" w:cs="Times New Roman"/>
          <w:sz w:val="24"/>
          <w:szCs w:val="24"/>
          <w:lang w:eastAsia="sk-SK"/>
        </w:rPr>
        <w:t>,</w:t>
      </w:r>
    </w:p>
    <w:p w14:paraId="176E53A0"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kde je</w:t>
      </w:r>
    </w:p>
    <w:p w14:paraId="7E8ADCC4"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n počet členov domácnosti</w:t>
      </w:r>
    </w:p>
    <w:p w14:paraId="30445286"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Cambria Math" w:eastAsia="Times New Roman" w:hAnsi="Cambria Math" w:cs="Cambria Math"/>
          <w:sz w:val="24"/>
          <w:szCs w:val="24"/>
          <w:lang w:eastAsia="sk-SK"/>
        </w:rPr>
        <w:t>𝐸𝑉</w:t>
      </w:r>
      <w:r w:rsidRPr="00433EED">
        <w:rPr>
          <w:rFonts w:ascii="Cambria Math" w:eastAsia="Times New Roman" w:hAnsi="Cambria Math" w:cs="Cambria Math"/>
          <w:sz w:val="24"/>
          <w:szCs w:val="24"/>
          <w:vertAlign w:val="subscript"/>
          <w:lang w:eastAsia="sk-SK"/>
        </w:rPr>
        <w:t>i</w:t>
      </w:r>
      <w:r w:rsidRPr="00433EED">
        <w:rPr>
          <w:rFonts w:ascii="Times New Roman" w:eastAsia="Times New Roman" w:hAnsi="Times New Roman" w:cs="Times New Roman"/>
          <w:sz w:val="24"/>
          <w:szCs w:val="24"/>
          <w:lang w:eastAsia="sk-SK"/>
        </w:rPr>
        <w:t xml:space="preserve"> koeficient každého člena domácnosti i</w:t>
      </w:r>
      <w:r w:rsidRPr="00433EED">
        <w:rPr>
          <w:rFonts w:ascii="Times New Roman" w:eastAsia="Times New Roman" w:hAnsi="Times New Roman" w:cs="Times New Roman"/>
          <w:i/>
          <w:iCs/>
          <w:sz w:val="24"/>
          <w:szCs w:val="24"/>
          <w:lang w:eastAsia="sk-SK"/>
        </w:rPr>
        <w:t xml:space="preserve"> </w:t>
      </w:r>
      <w:r w:rsidRPr="00433EED">
        <w:rPr>
          <w:rFonts w:ascii="Times New Roman" w:eastAsia="Times New Roman" w:hAnsi="Times New Roman" w:cs="Times New Roman"/>
          <w:sz w:val="24"/>
          <w:szCs w:val="24"/>
          <w:lang w:eastAsia="sk-SK"/>
        </w:rPr>
        <w:t>v tejto hodnote:</w:t>
      </w:r>
    </w:p>
    <w:p w14:paraId="481EBA51" w14:textId="77777777" w:rsidR="00B32827" w:rsidRPr="00433EED" w:rsidRDefault="00B32827" w:rsidP="00B32827">
      <w:pPr>
        <w:pStyle w:val="Odsekzoznamu"/>
        <w:numPr>
          <w:ilvl w:val="0"/>
          <w:numId w:val="31"/>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hodnota 1 pre člena domácnosti, ktorý dosiahol 14 rokov veku, ak len jeden člen domácnosti dosiahol 14 rokov veku,</w:t>
      </w:r>
    </w:p>
    <w:p w14:paraId="5DDE94E2" w14:textId="77777777" w:rsidR="00B32827" w:rsidRPr="00433EED" w:rsidRDefault="00B32827" w:rsidP="00B32827">
      <w:pPr>
        <w:pStyle w:val="Odsekzoznamu"/>
        <w:numPr>
          <w:ilvl w:val="0"/>
          <w:numId w:val="31"/>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hodnota 1 pre jedného člena domácnosti, ktorý dosiahol 14 rokov veku a hodnota 0,7 pre každého ďalšieho člena domácnosti, ktorý dosiahol 14 rokov veku, ak sú aspoň dvaja členovia domácnosti, ktorí dosiahli 14 rokov veku,</w:t>
      </w:r>
    </w:p>
    <w:p w14:paraId="3F028BAD" w14:textId="77777777" w:rsidR="00B32827" w:rsidRPr="00433EED" w:rsidRDefault="00B32827" w:rsidP="00B32827">
      <w:pPr>
        <w:pStyle w:val="Odsekzoznamu"/>
        <w:numPr>
          <w:ilvl w:val="0"/>
          <w:numId w:val="31"/>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hodnota 1 pre jedného člena domácnosti, ktorý nedosiahol 14 rokov veku, a hodnota 0,5 pre každého ďalšieho člena domácnosti, ktorý nedosiahol 14 rokov veku, ak domácnosť nemá člena, ktorý dosiahol 14 rokov veku,</w:t>
      </w:r>
    </w:p>
    <w:p w14:paraId="5FB54310" w14:textId="77777777" w:rsidR="00B32827" w:rsidRPr="00433EED" w:rsidRDefault="00B32827" w:rsidP="00B32827">
      <w:pPr>
        <w:pStyle w:val="Odsekzoznamu"/>
        <w:numPr>
          <w:ilvl w:val="0"/>
          <w:numId w:val="31"/>
        </w:num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hodnota 0,5 pre každého člena domácnosti, ktorý nedosiahol 14 rokov veku, ak domácnosť má aspoň jedného člena, ktorý dosiahol 14 rokov veku.</w:t>
      </w:r>
    </w:p>
    <w:p w14:paraId="47DAA723"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br w:type="page"/>
      </w:r>
    </w:p>
    <w:p w14:paraId="2A4AB9E4" w14:textId="77777777" w:rsidR="00B32827" w:rsidRPr="00433EED" w:rsidRDefault="00B32827" w:rsidP="00B32827">
      <w:pPr>
        <w:jc w:val="right"/>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lastRenderedPageBreak/>
        <w:t>Príloha č. 2 k vyhláške č. xx/2026</w:t>
      </w:r>
    </w:p>
    <w:p w14:paraId="0FCA20F2" w14:textId="77777777" w:rsidR="00B32827" w:rsidRPr="00433EED" w:rsidRDefault="00B32827" w:rsidP="00B32827">
      <w:pPr>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Úroveň zraniteľnosti domácnosti</w:t>
      </w:r>
    </w:p>
    <w:p w14:paraId="585E9178" w14:textId="77777777" w:rsidR="00B32827" w:rsidRPr="00433EED" w:rsidRDefault="00B32827" w:rsidP="00B32827">
      <w:pPr>
        <w:rPr>
          <w:rFonts w:ascii="Times New Roman" w:eastAsia="Times New Roman" w:hAnsi="Times New Roman" w:cs="Times New Roman"/>
          <w:sz w:val="36"/>
          <w:szCs w:val="36"/>
          <w:vertAlign w:val="subscript"/>
          <w:lang w:eastAsia="sk-SK"/>
        </w:rPr>
      </w:pPr>
      <w:r w:rsidRPr="00433EED">
        <w:rPr>
          <w:rFonts w:ascii="Times New Roman" w:eastAsia="Times New Roman" w:hAnsi="Times New Roman" w:cs="Times New Roman"/>
          <w:sz w:val="36"/>
          <w:szCs w:val="36"/>
          <w:lang w:eastAsia="sk-SK"/>
        </w:rPr>
        <w:t>ÚZD = P</w:t>
      </w:r>
      <w:r w:rsidRPr="00433EED">
        <w:rPr>
          <w:rFonts w:ascii="Times New Roman" w:eastAsia="Times New Roman" w:hAnsi="Times New Roman" w:cs="Times New Roman"/>
          <w:sz w:val="36"/>
          <w:szCs w:val="36"/>
          <w:vertAlign w:val="subscript"/>
          <w:lang w:eastAsia="sk-SK"/>
        </w:rPr>
        <w:t>VPK*VK</w:t>
      </w:r>
      <w:r w:rsidRPr="00433EED">
        <w:rPr>
          <w:rFonts w:ascii="Times New Roman" w:eastAsia="Times New Roman" w:hAnsi="Times New Roman" w:cs="Times New Roman"/>
          <w:sz w:val="36"/>
          <w:szCs w:val="36"/>
          <w:lang w:eastAsia="sk-SK"/>
        </w:rPr>
        <w:t xml:space="preserve"> + VE</w:t>
      </w:r>
      <w:r w:rsidRPr="00433EED">
        <w:rPr>
          <w:rFonts w:ascii="Times New Roman" w:eastAsia="Times New Roman" w:hAnsi="Times New Roman" w:cs="Times New Roman"/>
          <w:sz w:val="36"/>
          <w:szCs w:val="36"/>
          <w:vertAlign w:val="subscript"/>
          <w:lang w:eastAsia="sk-SK"/>
        </w:rPr>
        <w:t>VPK*VK</w:t>
      </w:r>
      <w:r w:rsidRPr="00433EED">
        <w:rPr>
          <w:rFonts w:ascii="Times New Roman" w:eastAsia="Times New Roman" w:hAnsi="Times New Roman" w:cs="Times New Roman"/>
          <w:sz w:val="36"/>
          <w:szCs w:val="36"/>
          <w:lang w:eastAsia="sk-SK"/>
        </w:rPr>
        <w:t xml:space="preserve"> + T(</w:t>
      </w:r>
      <w:r w:rsidRPr="00433EED">
        <w:rPr>
          <w:rFonts w:ascii="Times New Roman" w:eastAsia="Times New Roman" w:hAnsi="Times New Roman" w:cs="Times New Roman"/>
          <w:sz w:val="36"/>
          <w:szCs w:val="36"/>
          <w:vertAlign w:val="subscript"/>
          <w:lang w:eastAsia="sk-SK"/>
        </w:rPr>
        <w:t>VPK1 + VPK2 + VPKx..)*VK</w:t>
      </w:r>
    </w:p>
    <w:p w14:paraId="3EFF9338" w14:textId="77777777" w:rsidR="00B32827" w:rsidRPr="00433EED" w:rsidRDefault="00B32827" w:rsidP="00B32827">
      <w:pPr>
        <w:rPr>
          <w:rFonts w:ascii="Times New Roman" w:eastAsia="Times New Roman" w:hAnsi="Times New Roman" w:cs="Times New Roman"/>
          <w:sz w:val="36"/>
          <w:szCs w:val="36"/>
          <w:vertAlign w:val="subscript"/>
          <w:lang w:eastAsia="sk-SK"/>
        </w:rPr>
      </w:pPr>
      <w:r w:rsidRPr="00433EED">
        <w:rPr>
          <w:rFonts w:ascii="Times New Roman" w:eastAsia="Times New Roman" w:hAnsi="Times New Roman" w:cs="Times New Roman"/>
          <w:sz w:val="36"/>
          <w:szCs w:val="36"/>
          <w:vertAlign w:val="subscript"/>
          <w:lang w:eastAsia="sk-SK"/>
        </w:rPr>
        <w:t>kde:</w:t>
      </w:r>
    </w:p>
    <w:p w14:paraId="6DBF9106"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ÚZD je úroveň zraniteľnosti domácnosti z hľadiska energetickej chudoby</w:t>
      </w:r>
    </w:p>
    <w:p w14:paraId="692B9088"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P je kritérium „príjem“</w:t>
      </w:r>
    </w:p>
    <w:p w14:paraId="4754AD43"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VE je kritérium „podiel výdavkov na energie na disponibilnom príjme domácnosti“</w:t>
      </w:r>
    </w:p>
    <w:p w14:paraId="1687C6D9"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T je kritérium „Technické“</w:t>
      </w:r>
    </w:p>
    <w:p w14:paraId="71E42EB2"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PK je parameter kritéria</w:t>
      </w:r>
    </w:p>
    <w:p w14:paraId="59E067E3"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VPK je váha parametra kritéria</w:t>
      </w:r>
    </w:p>
    <w:p w14:paraId="10FE47CF"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r w:rsidRPr="00433EED">
        <w:rPr>
          <w:rFonts w:ascii="Times New Roman" w:eastAsia="Times New Roman" w:hAnsi="Times New Roman" w:cs="Times New Roman"/>
          <w:i/>
          <w:sz w:val="20"/>
          <w:szCs w:val="20"/>
          <w:lang w:eastAsia="sk-SK"/>
        </w:rPr>
        <w:t>VK je váha kritéria</w:t>
      </w:r>
    </w:p>
    <w:p w14:paraId="06158999" w14:textId="77777777" w:rsidR="00B32827" w:rsidRPr="00433EED" w:rsidRDefault="00B32827" w:rsidP="00B32827">
      <w:pPr>
        <w:spacing w:after="0" w:line="240" w:lineRule="auto"/>
        <w:rPr>
          <w:rFonts w:ascii="Times New Roman" w:eastAsia="Times New Roman" w:hAnsi="Times New Roman" w:cs="Times New Roman"/>
          <w:i/>
          <w:sz w:val="20"/>
          <w:szCs w:val="20"/>
          <w:lang w:eastAsia="sk-SK"/>
        </w:rPr>
      </w:pPr>
    </w:p>
    <w:p w14:paraId="034C6B4F" w14:textId="77777777" w:rsidR="00B32827" w:rsidRPr="00433EED" w:rsidRDefault="00B32827" w:rsidP="00B32827">
      <w:pPr>
        <w:spacing w:after="0" w:line="240" w:lineRule="auto"/>
        <w:rPr>
          <w:rFonts w:ascii="Times New Roman" w:eastAsia="Times New Roman" w:hAnsi="Times New Roman" w:cs="Times New Roman"/>
          <w:sz w:val="24"/>
          <w:szCs w:val="24"/>
          <w:lang w:eastAsia="sk-SK"/>
        </w:rPr>
      </w:pPr>
      <w:r w:rsidRPr="00433EED">
        <w:rPr>
          <w:rFonts w:ascii="Times New Roman" w:eastAsia="Times New Roman" w:hAnsi="Times New Roman" w:cs="Times New Roman"/>
          <w:sz w:val="24"/>
          <w:szCs w:val="24"/>
          <w:lang w:eastAsia="sk-SK"/>
        </w:rPr>
        <w:t>Parametre kritérií, váhy parametrov kritérií a váhy kritérií sú uvedené v tabuľke č. 1.</w:t>
      </w:r>
    </w:p>
    <w:p w14:paraId="25BD5612" w14:textId="77777777" w:rsidR="00B32827" w:rsidRPr="00433EED" w:rsidRDefault="00B32827" w:rsidP="00B32827">
      <w:pPr>
        <w:spacing w:after="0" w:line="240" w:lineRule="auto"/>
        <w:rPr>
          <w:rFonts w:ascii="Times New Roman" w:eastAsia="Times New Roman" w:hAnsi="Times New Roman" w:cs="Times New Roman"/>
          <w:sz w:val="24"/>
          <w:szCs w:val="24"/>
          <w:lang w:eastAsia="sk-SK"/>
        </w:rPr>
      </w:pPr>
    </w:p>
    <w:p w14:paraId="6B9BB5FF" w14:textId="77777777" w:rsidR="00B32827" w:rsidRPr="00433EED" w:rsidRDefault="00B32827" w:rsidP="00B32827">
      <w:pPr>
        <w:spacing w:after="0" w:line="240" w:lineRule="auto"/>
        <w:rPr>
          <w:rFonts w:ascii="Times New Roman" w:eastAsia="Times New Roman" w:hAnsi="Times New Roman" w:cs="Times New Roman"/>
          <w:i/>
          <w:sz w:val="24"/>
          <w:szCs w:val="24"/>
          <w:lang w:eastAsia="sk-SK"/>
        </w:rPr>
      </w:pPr>
      <w:r w:rsidRPr="00433EED">
        <w:rPr>
          <w:rFonts w:ascii="Times New Roman" w:eastAsia="Times New Roman" w:hAnsi="Times New Roman" w:cs="Times New Roman"/>
          <w:i/>
          <w:sz w:val="24"/>
          <w:szCs w:val="24"/>
          <w:lang w:eastAsia="sk-SK"/>
        </w:rPr>
        <w:t>Tab. č. 1</w:t>
      </w:r>
    </w:p>
    <w:tbl>
      <w:tblPr>
        <w:tblW w:w="8840" w:type="dxa"/>
        <w:tblCellMar>
          <w:left w:w="70" w:type="dxa"/>
          <w:right w:w="70" w:type="dxa"/>
        </w:tblCellMar>
        <w:tblLook w:val="04A0" w:firstRow="1" w:lastRow="0" w:firstColumn="1" w:lastColumn="0" w:noHBand="0" w:noVBand="1"/>
      </w:tblPr>
      <w:tblGrid>
        <w:gridCol w:w="1420"/>
        <w:gridCol w:w="5040"/>
        <w:gridCol w:w="1420"/>
        <w:gridCol w:w="960"/>
      </w:tblGrid>
      <w:tr w:rsidR="00B32827" w:rsidRPr="00433EED" w14:paraId="1DAB0CBE" w14:textId="77777777" w:rsidTr="00B1645C">
        <w:trPr>
          <w:trHeight w:val="915"/>
        </w:trPr>
        <w:tc>
          <w:tcPr>
            <w:tcW w:w="1420" w:type="dxa"/>
            <w:tcBorders>
              <w:top w:val="single" w:sz="8" w:space="0" w:color="auto"/>
              <w:left w:val="single" w:sz="8" w:space="0" w:color="auto"/>
              <w:bottom w:val="single" w:sz="8" w:space="0" w:color="auto"/>
              <w:right w:val="nil"/>
            </w:tcBorders>
            <w:vAlign w:val="center"/>
            <w:hideMark/>
          </w:tcPr>
          <w:p w14:paraId="4FA1F717" w14:textId="77777777" w:rsidR="00B32827" w:rsidRPr="00433EED" w:rsidRDefault="00B32827" w:rsidP="00B1645C">
            <w:pPr>
              <w:spacing w:after="0" w:line="240" w:lineRule="auto"/>
              <w:jc w:val="center"/>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Kritérium</w:t>
            </w:r>
          </w:p>
        </w:tc>
        <w:tc>
          <w:tcPr>
            <w:tcW w:w="5040" w:type="dxa"/>
            <w:tcBorders>
              <w:top w:val="single" w:sz="8" w:space="0" w:color="auto"/>
              <w:left w:val="single" w:sz="8" w:space="0" w:color="auto"/>
              <w:bottom w:val="single" w:sz="8" w:space="0" w:color="auto"/>
              <w:right w:val="single" w:sz="8" w:space="0" w:color="auto"/>
            </w:tcBorders>
            <w:vAlign w:val="center"/>
            <w:hideMark/>
          </w:tcPr>
          <w:p w14:paraId="13910626" w14:textId="77777777" w:rsidR="00B32827" w:rsidRPr="00433EED" w:rsidRDefault="00B32827" w:rsidP="00B1645C">
            <w:pPr>
              <w:spacing w:after="0" w:line="240" w:lineRule="auto"/>
              <w:jc w:val="center"/>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Parameter kritéria (PK)</w:t>
            </w:r>
          </w:p>
        </w:tc>
        <w:tc>
          <w:tcPr>
            <w:tcW w:w="1420" w:type="dxa"/>
            <w:tcBorders>
              <w:top w:val="single" w:sz="8" w:space="0" w:color="auto"/>
              <w:left w:val="nil"/>
              <w:bottom w:val="single" w:sz="8" w:space="0" w:color="auto"/>
              <w:right w:val="nil"/>
            </w:tcBorders>
            <w:vAlign w:val="center"/>
            <w:hideMark/>
          </w:tcPr>
          <w:p w14:paraId="3DA59CA6" w14:textId="77777777" w:rsidR="00B32827" w:rsidRPr="00433EED" w:rsidRDefault="00B32827" w:rsidP="00B1645C">
            <w:pPr>
              <w:spacing w:after="0" w:line="240" w:lineRule="auto"/>
              <w:jc w:val="center"/>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Váha parametra kritéria (VPK)</w:t>
            </w:r>
          </w:p>
        </w:tc>
        <w:tc>
          <w:tcPr>
            <w:tcW w:w="960" w:type="dxa"/>
            <w:tcBorders>
              <w:top w:val="single" w:sz="8" w:space="0" w:color="auto"/>
              <w:left w:val="single" w:sz="8" w:space="0" w:color="auto"/>
              <w:bottom w:val="single" w:sz="8" w:space="0" w:color="auto"/>
              <w:right w:val="single" w:sz="8" w:space="0" w:color="auto"/>
            </w:tcBorders>
            <w:vAlign w:val="center"/>
            <w:hideMark/>
          </w:tcPr>
          <w:p w14:paraId="157752AA" w14:textId="77777777" w:rsidR="00B32827" w:rsidRPr="00433EED" w:rsidRDefault="00B32827" w:rsidP="00B1645C">
            <w:pPr>
              <w:spacing w:after="0" w:line="240" w:lineRule="auto"/>
              <w:jc w:val="center"/>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Váha kritéria (VK)</w:t>
            </w:r>
          </w:p>
        </w:tc>
      </w:tr>
      <w:tr w:rsidR="00B32827" w:rsidRPr="00433EED" w14:paraId="539FE9B3" w14:textId="77777777" w:rsidTr="00B1645C">
        <w:trPr>
          <w:trHeight w:val="300"/>
        </w:trPr>
        <w:tc>
          <w:tcPr>
            <w:tcW w:w="1420" w:type="dxa"/>
            <w:vMerge w:val="restart"/>
            <w:tcBorders>
              <w:top w:val="nil"/>
              <w:left w:val="single" w:sz="8" w:space="0" w:color="auto"/>
              <w:bottom w:val="nil"/>
              <w:right w:val="nil"/>
            </w:tcBorders>
            <w:vAlign w:val="center"/>
            <w:hideMark/>
          </w:tcPr>
          <w:p w14:paraId="4614855A" w14:textId="77777777" w:rsidR="00B32827" w:rsidRPr="00433EED" w:rsidRDefault="00B32827" w:rsidP="00B1645C">
            <w:pPr>
              <w:spacing w:after="0" w:line="240" w:lineRule="auto"/>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 xml:space="preserve">Príjem </w:t>
            </w:r>
          </w:p>
        </w:tc>
        <w:tc>
          <w:tcPr>
            <w:tcW w:w="5040" w:type="dxa"/>
            <w:tcBorders>
              <w:top w:val="nil"/>
              <w:left w:val="single" w:sz="8" w:space="0" w:color="auto"/>
              <w:bottom w:val="nil"/>
              <w:right w:val="single" w:sz="8" w:space="0" w:color="auto"/>
            </w:tcBorders>
            <w:noWrap/>
            <w:vAlign w:val="bottom"/>
            <w:hideMark/>
          </w:tcPr>
          <w:p w14:paraId="1C4CAD9B"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menej ako 60 % EDP*</w:t>
            </w:r>
          </w:p>
        </w:tc>
        <w:tc>
          <w:tcPr>
            <w:tcW w:w="1420" w:type="dxa"/>
            <w:tcBorders>
              <w:top w:val="nil"/>
              <w:left w:val="nil"/>
              <w:bottom w:val="nil"/>
              <w:right w:val="nil"/>
            </w:tcBorders>
            <w:noWrap/>
            <w:vAlign w:val="bottom"/>
          </w:tcPr>
          <w:p w14:paraId="44ACD9F7"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1</w:t>
            </w:r>
          </w:p>
        </w:tc>
        <w:tc>
          <w:tcPr>
            <w:tcW w:w="960" w:type="dxa"/>
            <w:vMerge w:val="restart"/>
            <w:tcBorders>
              <w:top w:val="nil"/>
              <w:left w:val="single" w:sz="8" w:space="0" w:color="auto"/>
              <w:bottom w:val="nil"/>
              <w:right w:val="single" w:sz="8" w:space="0" w:color="auto"/>
            </w:tcBorders>
            <w:noWrap/>
            <w:vAlign w:val="center"/>
            <w:hideMark/>
          </w:tcPr>
          <w:p w14:paraId="3632BD96" w14:textId="77777777" w:rsidR="00B32827" w:rsidRPr="00433EED" w:rsidRDefault="00B32827" w:rsidP="00B1645C">
            <w:pPr>
              <w:spacing w:after="0" w:line="240" w:lineRule="auto"/>
              <w:jc w:val="center"/>
              <w:rPr>
                <w:rFonts w:ascii="Calibri" w:eastAsia="Times New Roman" w:hAnsi="Calibri" w:cs="Calibri"/>
                <w:color w:val="000000"/>
                <w:lang w:eastAsia="sk-SK"/>
              </w:rPr>
            </w:pPr>
            <w:r w:rsidRPr="00433EED">
              <w:rPr>
                <w:rFonts w:ascii="Calibri" w:eastAsia="Times New Roman" w:hAnsi="Calibri" w:cs="Calibri"/>
                <w:color w:val="000000"/>
                <w:lang w:eastAsia="sk-SK"/>
              </w:rPr>
              <w:t>0,4</w:t>
            </w:r>
          </w:p>
        </w:tc>
      </w:tr>
      <w:tr w:rsidR="00B32827" w:rsidRPr="00433EED" w14:paraId="72A72EF2" w14:textId="77777777" w:rsidTr="00B1645C">
        <w:trPr>
          <w:trHeight w:val="300"/>
        </w:trPr>
        <w:tc>
          <w:tcPr>
            <w:tcW w:w="1420" w:type="dxa"/>
            <w:vMerge/>
            <w:tcBorders>
              <w:top w:val="nil"/>
              <w:left w:val="single" w:sz="8" w:space="0" w:color="auto"/>
              <w:bottom w:val="nil"/>
              <w:right w:val="nil"/>
            </w:tcBorders>
            <w:vAlign w:val="center"/>
            <w:hideMark/>
          </w:tcPr>
          <w:p w14:paraId="38D5596F"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6BD4D642"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60 - 69% EDP</w:t>
            </w:r>
          </w:p>
        </w:tc>
        <w:tc>
          <w:tcPr>
            <w:tcW w:w="1420" w:type="dxa"/>
            <w:tcBorders>
              <w:top w:val="nil"/>
              <w:left w:val="nil"/>
              <w:bottom w:val="nil"/>
              <w:right w:val="nil"/>
            </w:tcBorders>
            <w:noWrap/>
            <w:vAlign w:val="bottom"/>
          </w:tcPr>
          <w:p w14:paraId="5F2C8122"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0,9</w:t>
            </w:r>
          </w:p>
        </w:tc>
        <w:tc>
          <w:tcPr>
            <w:tcW w:w="960" w:type="dxa"/>
            <w:vMerge/>
            <w:tcBorders>
              <w:top w:val="nil"/>
              <w:left w:val="single" w:sz="8" w:space="0" w:color="auto"/>
              <w:bottom w:val="nil"/>
              <w:right w:val="single" w:sz="8" w:space="0" w:color="auto"/>
            </w:tcBorders>
            <w:vAlign w:val="center"/>
            <w:hideMark/>
          </w:tcPr>
          <w:p w14:paraId="4962E991"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0F1A9AAE" w14:textId="77777777" w:rsidTr="00B1645C">
        <w:trPr>
          <w:trHeight w:val="300"/>
        </w:trPr>
        <w:tc>
          <w:tcPr>
            <w:tcW w:w="1420" w:type="dxa"/>
            <w:vMerge/>
            <w:tcBorders>
              <w:top w:val="nil"/>
              <w:left w:val="single" w:sz="8" w:space="0" w:color="auto"/>
              <w:bottom w:val="nil"/>
              <w:right w:val="nil"/>
            </w:tcBorders>
            <w:vAlign w:val="center"/>
            <w:hideMark/>
          </w:tcPr>
          <w:p w14:paraId="12C100DD"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114AD702"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70 - 79% EDP</w:t>
            </w:r>
          </w:p>
        </w:tc>
        <w:tc>
          <w:tcPr>
            <w:tcW w:w="1420" w:type="dxa"/>
            <w:tcBorders>
              <w:top w:val="nil"/>
              <w:left w:val="nil"/>
              <w:bottom w:val="nil"/>
              <w:right w:val="nil"/>
            </w:tcBorders>
            <w:noWrap/>
            <w:vAlign w:val="bottom"/>
          </w:tcPr>
          <w:p w14:paraId="7F272E75"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0,8</w:t>
            </w:r>
          </w:p>
        </w:tc>
        <w:tc>
          <w:tcPr>
            <w:tcW w:w="960" w:type="dxa"/>
            <w:vMerge/>
            <w:tcBorders>
              <w:top w:val="nil"/>
              <w:left w:val="single" w:sz="8" w:space="0" w:color="auto"/>
              <w:bottom w:val="nil"/>
              <w:right w:val="single" w:sz="8" w:space="0" w:color="auto"/>
            </w:tcBorders>
            <w:vAlign w:val="center"/>
            <w:hideMark/>
          </w:tcPr>
          <w:p w14:paraId="1D2E2A54"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6AAD50D0" w14:textId="77777777" w:rsidTr="00B1645C">
        <w:trPr>
          <w:trHeight w:val="300"/>
        </w:trPr>
        <w:tc>
          <w:tcPr>
            <w:tcW w:w="1420" w:type="dxa"/>
            <w:vMerge/>
            <w:tcBorders>
              <w:top w:val="nil"/>
              <w:left w:val="single" w:sz="8" w:space="0" w:color="auto"/>
              <w:bottom w:val="nil"/>
              <w:right w:val="nil"/>
            </w:tcBorders>
            <w:vAlign w:val="center"/>
            <w:hideMark/>
          </w:tcPr>
          <w:p w14:paraId="0AACC79A"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21720FE0"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80 - 89% EDP</w:t>
            </w:r>
          </w:p>
        </w:tc>
        <w:tc>
          <w:tcPr>
            <w:tcW w:w="1420" w:type="dxa"/>
            <w:tcBorders>
              <w:top w:val="nil"/>
              <w:left w:val="nil"/>
              <w:bottom w:val="nil"/>
              <w:right w:val="nil"/>
            </w:tcBorders>
            <w:noWrap/>
            <w:vAlign w:val="bottom"/>
          </w:tcPr>
          <w:p w14:paraId="2FD7CF4E"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0,7</w:t>
            </w:r>
          </w:p>
        </w:tc>
        <w:tc>
          <w:tcPr>
            <w:tcW w:w="960" w:type="dxa"/>
            <w:vMerge/>
            <w:tcBorders>
              <w:top w:val="nil"/>
              <w:left w:val="single" w:sz="8" w:space="0" w:color="auto"/>
              <w:bottom w:val="nil"/>
              <w:right w:val="single" w:sz="8" w:space="0" w:color="auto"/>
            </w:tcBorders>
            <w:vAlign w:val="center"/>
            <w:hideMark/>
          </w:tcPr>
          <w:p w14:paraId="0538AF64"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758BD516" w14:textId="77777777" w:rsidTr="00B1645C">
        <w:trPr>
          <w:trHeight w:val="300"/>
        </w:trPr>
        <w:tc>
          <w:tcPr>
            <w:tcW w:w="1420" w:type="dxa"/>
            <w:vMerge/>
            <w:tcBorders>
              <w:top w:val="nil"/>
              <w:left w:val="single" w:sz="8" w:space="0" w:color="auto"/>
              <w:bottom w:val="nil"/>
              <w:right w:val="nil"/>
            </w:tcBorders>
            <w:vAlign w:val="center"/>
            <w:hideMark/>
          </w:tcPr>
          <w:p w14:paraId="16023254"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6D51702B"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90 - 99% EDP</w:t>
            </w:r>
          </w:p>
        </w:tc>
        <w:tc>
          <w:tcPr>
            <w:tcW w:w="1420" w:type="dxa"/>
            <w:tcBorders>
              <w:top w:val="nil"/>
              <w:left w:val="nil"/>
              <w:bottom w:val="nil"/>
              <w:right w:val="nil"/>
            </w:tcBorders>
            <w:noWrap/>
            <w:vAlign w:val="bottom"/>
          </w:tcPr>
          <w:p w14:paraId="68490F8A"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0,6</w:t>
            </w:r>
          </w:p>
        </w:tc>
        <w:tc>
          <w:tcPr>
            <w:tcW w:w="960" w:type="dxa"/>
            <w:vMerge/>
            <w:tcBorders>
              <w:top w:val="nil"/>
              <w:left w:val="single" w:sz="8" w:space="0" w:color="auto"/>
              <w:bottom w:val="nil"/>
              <w:right w:val="single" w:sz="8" w:space="0" w:color="auto"/>
            </w:tcBorders>
            <w:vAlign w:val="center"/>
            <w:hideMark/>
          </w:tcPr>
          <w:p w14:paraId="55E60CF4"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21504FD6" w14:textId="77777777" w:rsidTr="00B1645C">
        <w:trPr>
          <w:trHeight w:val="300"/>
        </w:trPr>
        <w:tc>
          <w:tcPr>
            <w:tcW w:w="1420" w:type="dxa"/>
            <w:vMerge/>
            <w:tcBorders>
              <w:top w:val="nil"/>
              <w:left w:val="single" w:sz="8" w:space="0" w:color="auto"/>
              <w:bottom w:val="nil"/>
              <w:right w:val="nil"/>
            </w:tcBorders>
            <w:vAlign w:val="center"/>
            <w:hideMark/>
          </w:tcPr>
          <w:p w14:paraId="107AB524"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4E83DB34"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100 - 109% EDP</w:t>
            </w:r>
          </w:p>
        </w:tc>
        <w:tc>
          <w:tcPr>
            <w:tcW w:w="1420" w:type="dxa"/>
            <w:tcBorders>
              <w:top w:val="nil"/>
              <w:left w:val="nil"/>
              <w:bottom w:val="nil"/>
              <w:right w:val="nil"/>
            </w:tcBorders>
            <w:noWrap/>
            <w:vAlign w:val="bottom"/>
          </w:tcPr>
          <w:p w14:paraId="337D2B6A"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0,5</w:t>
            </w:r>
          </w:p>
        </w:tc>
        <w:tc>
          <w:tcPr>
            <w:tcW w:w="960" w:type="dxa"/>
            <w:vMerge/>
            <w:tcBorders>
              <w:top w:val="nil"/>
              <w:left w:val="single" w:sz="8" w:space="0" w:color="auto"/>
              <w:bottom w:val="nil"/>
              <w:right w:val="single" w:sz="8" w:space="0" w:color="auto"/>
            </w:tcBorders>
            <w:vAlign w:val="center"/>
            <w:hideMark/>
          </w:tcPr>
          <w:p w14:paraId="63F74CF5"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7AE02647" w14:textId="77777777" w:rsidTr="00B1645C">
        <w:trPr>
          <w:trHeight w:val="300"/>
        </w:trPr>
        <w:tc>
          <w:tcPr>
            <w:tcW w:w="1420" w:type="dxa"/>
            <w:vMerge/>
            <w:tcBorders>
              <w:top w:val="nil"/>
              <w:left w:val="single" w:sz="8" w:space="0" w:color="auto"/>
              <w:bottom w:val="nil"/>
              <w:right w:val="nil"/>
            </w:tcBorders>
            <w:vAlign w:val="center"/>
            <w:hideMark/>
          </w:tcPr>
          <w:p w14:paraId="21138FBF"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067E6569"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110 - 119% EDP</w:t>
            </w:r>
          </w:p>
        </w:tc>
        <w:tc>
          <w:tcPr>
            <w:tcW w:w="1420" w:type="dxa"/>
            <w:tcBorders>
              <w:top w:val="nil"/>
              <w:left w:val="nil"/>
              <w:bottom w:val="nil"/>
              <w:right w:val="nil"/>
            </w:tcBorders>
            <w:noWrap/>
            <w:vAlign w:val="bottom"/>
          </w:tcPr>
          <w:p w14:paraId="3A052A83"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0,4</w:t>
            </w:r>
          </w:p>
        </w:tc>
        <w:tc>
          <w:tcPr>
            <w:tcW w:w="960" w:type="dxa"/>
            <w:vMerge/>
            <w:tcBorders>
              <w:top w:val="nil"/>
              <w:left w:val="single" w:sz="8" w:space="0" w:color="auto"/>
              <w:bottom w:val="nil"/>
              <w:right w:val="single" w:sz="8" w:space="0" w:color="auto"/>
            </w:tcBorders>
            <w:vAlign w:val="center"/>
            <w:hideMark/>
          </w:tcPr>
          <w:p w14:paraId="733CB45C"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35EF3CDF" w14:textId="77777777" w:rsidTr="00B1645C">
        <w:trPr>
          <w:trHeight w:val="300"/>
        </w:trPr>
        <w:tc>
          <w:tcPr>
            <w:tcW w:w="1420" w:type="dxa"/>
            <w:vMerge/>
            <w:tcBorders>
              <w:top w:val="nil"/>
              <w:left w:val="single" w:sz="8" w:space="0" w:color="auto"/>
              <w:bottom w:val="nil"/>
              <w:right w:val="nil"/>
            </w:tcBorders>
            <w:vAlign w:val="center"/>
            <w:hideMark/>
          </w:tcPr>
          <w:p w14:paraId="0429718D"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44F5D629"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120 - 139% EDP</w:t>
            </w:r>
          </w:p>
        </w:tc>
        <w:tc>
          <w:tcPr>
            <w:tcW w:w="1420" w:type="dxa"/>
            <w:tcBorders>
              <w:top w:val="nil"/>
              <w:left w:val="nil"/>
              <w:bottom w:val="nil"/>
              <w:right w:val="nil"/>
            </w:tcBorders>
            <w:noWrap/>
            <w:vAlign w:val="bottom"/>
          </w:tcPr>
          <w:p w14:paraId="2625B59E"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0,3</w:t>
            </w:r>
          </w:p>
        </w:tc>
        <w:tc>
          <w:tcPr>
            <w:tcW w:w="960" w:type="dxa"/>
            <w:vMerge/>
            <w:tcBorders>
              <w:top w:val="nil"/>
              <w:left w:val="single" w:sz="8" w:space="0" w:color="auto"/>
              <w:bottom w:val="nil"/>
              <w:right w:val="single" w:sz="8" w:space="0" w:color="auto"/>
            </w:tcBorders>
            <w:vAlign w:val="center"/>
            <w:hideMark/>
          </w:tcPr>
          <w:p w14:paraId="0FB53642"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3F758122" w14:textId="77777777" w:rsidTr="00B1645C">
        <w:trPr>
          <w:trHeight w:val="300"/>
        </w:trPr>
        <w:tc>
          <w:tcPr>
            <w:tcW w:w="1420" w:type="dxa"/>
            <w:vMerge/>
            <w:tcBorders>
              <w:top w:val="nil"/>
              <w:left w:val="single" w:sz="8" w:space="0" w:color="auto"/>
              <w:bottom w:val="nil"/>
              <w:right w:val="nil"/>
            </w:tcBorders>
            <w:vAlign w:val="center"/>
            <w:hideMark/>
          </w:tcPr>
          <w:p w14:paraId="35FF0803"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13E31C21"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140 - 159% EDP</w:t>
            </w:r>
          </w:p>
        </w:tc>
        <w:tc>
          <w:tcPr>
            <w:tcW w:w="1420" w:type="dxa"/>
            <w:tcBorders>
              <w:top w:val="nil"/>
              <w:left w:val="nil"/>
              <w:bottom w:val="nil"/>
              <w:right w:val="nil"/>
            </w:tcBorders>
            <w:noWrap/>
            <w:vAlign w:val="bottom"/>
          </w:tcPr>
          <w:p w14:paraId="0ABAEAF1"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0,2</w:t>
            </w:r>
          </w:p>
        </w:tc>
        <w:tc>
          <w:tcPr>
            <w:tcW w:w="960" w:type="dxa"/>
            <w:vMerge/>
            <w:tcBorders>
              <w:top w:val="nil"/>
              <w:left w:val="single" w:sz="8" w:space="0" w:color="auto"/>
              <w:bottom w:val="nil"/>
              <w:right w:val="single" w:sz="8" w:space="0" w:color="auto"/>
            </w:tcBorders>
            <w:vAlign w:val="center"/>
            <w:hideMark/>
          </w:tcPr>
          <w:p w14:paraId="3FD3E7EF"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5D3E7EC3" w14:textId="77777777" w:rsidTr="00B1645C">
        <w:trPr>
          <w:trHeight w:val="315"/>
        </w:trPr>
        <w:tc>
          <w:tcPr>
            <w:tcW w:w="1420" w:type="dxa"/>
            <w:vMerge/>
            <w:tcBorders>
              <w:top w:val="nil"/>
              <w:left w:val="single" w:sz="8" w:space="0" w:color="auto"/>
              <w:bottom w:val="nil"/>
              <w:right w:val="nil"/>
            </w:tcBorders>
            <w:vAlign w:val="center"/>
            <w:hideMark/>
          </w:tcPr>
          <w:p w14:paraId="19E7CFDE"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6D1E3B4E"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viac ako 160% EDP</w:t>
            </w:r>
          </w:p>
        </w:tc>
        <w:tc>
          <w:tcPr>
            <w:tcW w:w="1420" w:type="dxa"/>
            <w:tcBorders>
              <w:top w:val="nil"/>
              <w:left w:val="nil"/>
              <w:bottom w:val="nil"/>
              <w:right w:val="nil"/>
            </w:tcBorders>
            <w:noWrap/>
            <w:vAlign w:val="bottom"/>
          </w:tcPr>
          <w:p w14:paraId="3BD6205D"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tcBorders>
              <w:top w:val="nil"/>
              <w:left w:val="single" w:sz="8" w:space="0" w:color="auto"/>
              <w:bottom w:val="nil"/>
              <w:right w:val="single" w:sz="8" w:space="0" w:color="auto"/>
            </w:tcBorders>
            <w:vAlign w:val="center"/>
            <w:hideMark/>
          </w:tcPr>
          <w:p w14:paraId="20A46189"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65124830" w14:textId="77777777" w:rsidTr="00B1645C">
        <w:trPr>
          <w:trHeight w:val="300"/>
        </w:trPr>
        <w:tc>
          <w:tcPr>
            <w:tcW w:w="1420" w:type="dxa"/>
            <w:vMerge w:val="restart"/>
            <w:tcBorders>
              <w:top w:val="single" w:sz="8" w:space="0" w:color="auto"/>
              <w:left w:val="single" w:sz="8" w:space="0" w:color="auto"/>
              <w:bottom w:val="single" w:sz="8" w:space="0" w:color="000000"/>
              <w:right w:val="nil"/>
            </w:tcBorders>
            <w:vAlign w:val="center"/>
            <w:hideMark/>
          </w:tcPr>
          <w:p w14:paraId="4191EF4F" w14:textId="77777777" w:rsidR="00B32827" w:rsidRPr="00433EED" w:rsidRDefault="00B32827" w:rsidP="00B1645C">
            <w:pPr>
              <w:spacing w:after="0" w:line="240" w:lineRule="auto"/>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Výdavky na energiu</w:t>
            </w:r>
          </w:p>
        </w:tc>
        <w:tc>
          <w:tcPr>
            <w:tcW w:w="5040" w:type="dxa"/>
            <w:tcBorders>
              <w:top w:val="single" w:sz="8" w:space="0" w:color="auto"/>
              <w:left w:val="single" w:sz="8" w:space="0" w:color="auto"/>
              <w:bottom w:val="nil"/>
              <w:right w:val="single" w:sz="8" w:space="0" w:color="auto"/>
            </w:tcBorders>
            <w:noWrap/>
            <w:vAlign w:val="bottom"/>
            <w:hideMark/>
          </w:tcPr>
          <w:p w14:paraId="169675D4"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menej ako 10 %</w:t>
            </w:r>
          </w:p>
        </w:tc>
        <w:tc>
          <w:tcPr>
            <w:tcW w:w="1420" w:type="dxa"/>
            <w:tcBorders>
              <w:top w:val="single" w:sz="8" w:space="0" w:color="auto"/>
              <w:left w:val="nil"/>
              <w:bottom w:val="nil"/>
              <w:right w:val="nil"/>
            </w:tcBorders>
            <w:noWrap/>
            <w:vAlign w:val="bottom"/>
            <w:hideMark/>
          </w:tcPr>
          <w:p w14:paraId="25330E79"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32BF043C" w14:textId="77777777" w:rsidR="00B32827" w:rsidRPr="00433EED" w:rsidRDefault="00B32827" w:rsidP="00B1645C">
            <w:pPr>
              <w:spacing w:after="0" w:line="240" w:lineRule="auto"/>
              <w:jc w:val="center"/>
              <w:rPr>
                <w:rFonts w:ascii="Calibri" w:eastAsia="Times New Roman" w:hAnsi="Calibri" w:cs="Calibri"/>
                <w:color w:val="000000"/>
                <w:lang w:eastAsia="sk-SK"/>
              </w:rPr>
            </w:pPr>
            <w:r w:rsidRPr="00433EED">
              <w:rPr>
                <w:rFonts w:ascii="Calibri" w:eastAsia="Times New Roman" w:hAnsi="Calibri" w:cs="Calibri"/>
                <w:color w:val="000000"/>
                <w:lang w:eastAsia="sk-SK"/>
              </w:rPr>
              <w:t>0,3</w:t>
            </w:r>
          </w:p>
        </w:tc>
      </w:tr>
      <w:tr w:rsidR="00B32827" w:rsidRPr="00433EED" w14:paraId="28476907" w14:textId="77777777" w:rsidTr="00B1645C">
        <w:trPr>
          <w:trHeight w:val="300"/>
        </w:trPr>
        <w:tc>
          <w:tcPr>
            <w:tcW w:w="1420" w:type="dxa"/>
            <w:vMerge/>
            <w:tcBorders>
              <w:top w:val="single" w:sz="8" w:space="0" w:color="auto"/>
              <w:left w:val="single" w:sz="8" w:space="0" w:color="auto"/>
              <w:bottom w:val="single" w:sz="8" w:space="0" w:color="000000"/>
              <w:right w:val="nil"/>
            </w:tcBorders>
            <w:vAlign w:val="center"/>
            <w:hideMark/>
          </w:tcPr>
          <w:p w14:paraId="096843D7"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7FFF3FE1"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10 - 15%</w:t>
            </w:r>
          </w:p>
        </w:tc>
        <w:tc>
          <w:tcPr>
            <w:tcW w:w="1420" w:type="dxa"/>
            <w:tcBorders>
              <w:top w:val="nil"/>
              <w:left w:val="nil"/>
              <w:bottom w:val="nil"/>
              <w:right w:val="nil"/>
            </w:tcBorders>
            <w:noWrap/>
            <w:vAlign w:val="bottom"/>
            <w:hideMark/>
          </w:tcPr>
          <w:p w14:paraId="7E42A474"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0,5</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DABF0F2"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500DCEA0" w14:textId="77777777" w:rsidTr="00B1645C">
        <w:trPr>
          <w:trHeight w:val="300"/>
        </w:trPr>
        <w:tc>
          <w:tcPr>
            <w:tcW w:w="1420" w:type="dxa"/>
            <w:vMerge/>
            <w:tcBorders>
              <w:top w:val="single" w:sz="8" w:space="0" w:color="auto"/>
              <w:left w:val="single" w:sz="8" w:space="0" w:color="auto"/>
              <w:bottom w:val="single" w:sz="8" w:space="0" w:color="000000"/>
              <w:right w:val="nil"/>
            </w:tcBorders>
            <w:vAlign w:val="center"/>
            <w:hideMark/>
          </w:tcPr>
          <w:p w14:paraId="569507B6"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2E55A69D"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16 - 20 %</w:t>
            </w:r>
          </w:p>
        </w:tc>
        <w:tc>
          <w:tcPr>
            <w:tcW w:w="1420" w:type="dxa"/>
            <w:tcBorders>
              <w:top w:val="nil"/>
              <w:left w:val="nil"/>
              <w:bottom w:val="nil"/>
              <w:right w:val="nil"/>
            </w:tcBorders>
            <w:noWrap/>
            <w:vAlign w:val="bottom"/>
            <w:hideMark/>
          </w:tcPr>
          <w:p w14:paraId="26E5922E"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0,8</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025AA94"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6F4AF061" w14:textId="77777777" w:rsidTr="00B1645C">
        <w:trPr>
          <w:trHeight w:val="300"/>
        </w:trPr>
        <w:tc>
          <w:tcPr>
            <w:tcW w:w="1420" w:type="dxa"/>
            <w:vMerge/>
            <w:tcBorders>
              <w:top w:val="single" w:sz="8" w:space="0" w:color="auto"/>
              <w:left w:val="single" w:sz="8" w:space="0" w:color="auto"/>
              <w:bottom w:val="single" w:sz="8" w:space="0" w:color="000000"/>
              <w:right w:val="nil"/>
            </w:tcBorders>
            <w:vAlign w:val="center"/>
            <w:hideMark/>
          </w:tcPr>
          <w:p w14:paraId="3CBCA851"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2C91FD40"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21 - 30 %</w:t>
            </w:r>
          </w:p>
        </w:tc>
        <w:tc>
          <w:tcPr>
            <w:tcW w:w="1420" w:type="dxa"/>
            <w:tcBorders>
              <w:top w:val="nil"/>
              <w:left w:val="nil"/>
              <w:bottom w:val="nil"/>
              <w:right w:val="nil"/>
            </w:tcBorders>
            <w:noWrap/>
            <w:vAlign w:val="bottom"/>
            <w:hideMark/>
          </w:tcPr>
          <w:p w14:paraId="77AD4136"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0,9</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CABA0F7"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23868E0B" w14:textId="77777777" w:rsidTr="00B1645C">
        <w:trPr>
          <w:trHeight w:val="315"/>
        </w:trPr>
        <w:tc>
          <w:tcPr>
            <w:tcW w:w="1420" w:type="dxa"/>
            <w:vMerge/>
            <w:tcBorders>
              <w:top w:val="single" w:sz="8" w:space="0" w:color="auto"/>
              <w:left w:val="single" w:sz="8" w:space="0" w:color="auto"/>
              <w:bottom w:val="single" w:sz="8" w:space="0" w:color="000000"/>
              <w:right w:val="nil"/>
            </w:tcBorders>
            <w:vAlign w:val="center"/>
            <w:hideMark/>
          </w:tcPr>
          <w:p w14:paraId="28F4B279"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single" w:sz="8" w:space="0" w:color="auto"/>
              <w:right w:val="single" w:sz="8" w:space="0" w:color="auto"/>
            </w:tcBorders>
            <w:noWrap/>
            <w:vAlign w:val="bottom"/>
            <w:hideMark/>
          </w:tcPr>
          <w:p w14:paraId="4E6FA1E6"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31 % a viac</w:t>
            </w:r>
          </w:p>
        </w:tc>
        <w:tc>
          <w:tcPr>
            <w:tcW w:w="1420" w:type="dxa"/>
            <w:tcBorders>
              <w:top w:val="nil"/>
              <w:left w:val="nil"/>
              <w:bottom w:val="single" w:sz="8" w:space="0" w:color="auto"/>
              <w:right w:val="nil"/>
            </w:tcBorders>
            <w:noWrap/>
            <w:vAlign w:val="bottom"/>
            <w:hideMark/>
          </w:tcPr>
          <w:p w14:paraId="2BA2DB82"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1CBD3BC"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37C05004" w14:textId="77777777" w:rsidTr="00B1645C">
        <w:trPr>
          <w:trHeight w:val="300"/>
        </w:trPr>
        <w:tc>
          <w:tcPr>
            <w:tcW w:w="1420" w:type="dxa"/>
            <w:vMerge w:val="restart"/>
            <w:tcBorders>
              <w:top w:val="nil"/>
              <w:left w:val="single" w:sz="8" w:space="0" w:color="auto"/>
              <w:bottom w:val="single" w:sz="8" w:space="0" w:color="000000"/>
              <w:right w:val="nil"/>
            </w:tcBorders>
            <w:vAlign w:val="center"/>
            <w:hideMark/>
          </w:tcPr>
          <w:p w14:paraId="7C03FF0E" w14:textId="77777777" w:rsidR="00B32827" w:rsidRPr="00433EED" w:rsidRDefault="00B32827" w:rsidP="00B1645C">
            <w:pPr>
              <w:spacing w:after="0" w:line="240" w:lineRule="auto"/>
              <w:rPr>
                <w:rFonts w:ascii="Calibri" w:eastAsia="Times New Roman" w:hAnsi="Calibri" w:cs="Calibri"/>
                <w:b/>
                <w:bCs/>
                <w:color w:val="000000"/>
                <w:lang w:eastAsia="sk-SK"/>
              </w:rPr>
            </w:pPr>
            <w:r w:rsidRPr="00433EED">
              <w:rPr>
                <w:rFonts w:ascii="Calibri" w:eastAsia="Times New Roman" w:hAnsi="Calibri" w:cs="Calibri"/>
                <w:b/>
                <w:bCs/>
                <w:color w:val="000000"/>
                <w:lang w:eastAsia="sk-SK"/>
              </w:rPr>
              <w:t>Technické</w:t>
            </w:r>
          </w:p>
        </w:tc>
        <w:tc>
          <w:tcPr>
            <w:tcW w:w="5040" w:type="dxa"/>
            <w:tcBorders>
              <w:top w:val="nil"/>
              <w:left w:val="single" w:sz="8" w:space="0" w:color="auto"/>
              <w:bottom w:val="nil"/>
              <w:right w:val="single" w:sz="8" w:space="0" w:color="auto"/>
            </w:tcBorders>
            <w:noWrap/>
            <w:vAlign w:val="bottom"/>
            <w:hideMark/>
          </w:tcPr>
          <w:p w14:paraId="405CABBB"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zateplených viac ako 50 % obvodového plášťa</w:t>
            </w:r>
          </w:p>
        </w:tc>
        <w:tc>
          <w:tcPr>
            <w:tcW w:w="1420" w:type="dxa"/>
            <w:tcBorders>
              <w:top w:val="nil"/>
              <w:left w:val="nil"/>
              <w:bottom w:val="nil"/>
              <w:right w:val="nil"/>
            </w:tcBorders>
            <w:noWrap/>
            <w:vAlign w:val="bottom"/>
            <w:hideMark/>
          </w:tcPr>
          <w:p w14:paraId="3E34F149"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val="restart"/>
            <w:tcBorders>
              <w:top w:val="nil"/>
              <w:left w:val="single" w:sz="8" w:space="0" w:color="auto"/>
              <w:bottom w:val="single" w:sz="8" w:space="0" w:color="000000"/>
              <w:right w:val="single" w:sz="8" w:space="0" w:color="auto"/>
            </w:tcBorders>
            <w:noWrap/>
            <w:vAlign w:val="center"/>
            <w:hideMark/>
          </w:tcPr>
          <w:p w14:paraId="10195AE2" w14:textId="77777777" w:rsidR="00B32827" w:rsidRPr="00433EED" w:rsidRDefault="00B32827" w:rsidP="00B1645C">
            <w:pPr>
              <w:spacing w:after="0" w:line="240" w:lineRule="auto"/>
              <w:jc w:val="center"/>
              <w:rPr>
                <w:rFonts w:ascii="Calibri" w:eastAsia="Times New Roman" w:hAnsi="Calibri" w:cs="Calibri"/>
                <w:color w:val="000000"/>
                <w:lang w:eastAsia="sk-SK"/>
              </w:rPr>
            </w:pPr>
            <w:r w:rsidRPr="00433EED">
              <w:rPr>
                <w:rFonts w:ascii="Calibri" w:eastAsia="Times New Roman" w:hAnsi="Calibri" w:cs="Calibri"/>
                <w:color w:val="000000"/>
                <w:lang w:eastAsia="sk-SK"/>
              </w:rPr>
              <w:t>0,3</w:t>
            </w:r>
          </w:p>
        </w:tc>
      </w:tr>
      <w:tr w:rsidR="00B32827" w:rsidRPr="00433EED" w14:paraId="20E2977E"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67CA80F8"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5EC289ED"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zateplených menej  ako 50 % obvodového plášťa</w:t>
            </w:r>
          </w:p>
        </w:tc>
        <w:tc>
          <w:tcPr>
            <w:tcW w:w="1420" w:type="dxa"/>
            <w:tcBorders>
              <w:top w:val="nil"/>
              <w:left w:val="nil"/>
              <w:bottom w:val="nil"/>
              <w:right w:val="nil"/>
            </w:tcBorders>
            <w:noWrap/>
            <w:vAlign w:val="bottom"/>
            <w:hideMark/>
          </w:tcPr>
          <w:p w14:paraId="68322F26"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0,5</w:t>
            </w:r>
          </w:p>
        </w:tc>
        <w:tc>
          <w:tcPr>
            <w:tcW w:w="960" w:type="dxa"/>
            <w:vMerge/>
            <w:tcBorders>
              <w:top w:val="nil"/>
              <w:left w:val="single" w:sz="8" w:space="0" w:color="auto"/>
              <w:bottom w:val="single" w:sz="8" w:space="0" w:color="000000"/>
              <w:right w:val="single" w:sz="8" w:space="0" w:color="auto"/>
            </w:tcBorders>
            <w:vAlign w:val="center"/>
            <w:hideMark/>
          </w:tcPr>
          <w:p w14:paraId="6847ADC7"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11D31582"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2FDA7B57"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6BBA85C7"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vymenených viac ako 50 % otvorových konštrukcií</w:t>
            </w:r>
          </w:p>
        </w:tc>
        <w:tc>
          <w:tcPr>
            <w:tcW w:w="1420" w:type="dxa"/>
            <w:tcBorders>
              <w:top w:val="nil"/>
              <w:left w:val="nil"/>
              <w:bottom w:val="nil"/>
              <w:right w:val="nil"/>
            </w:tcBorders>
            <w:noWrap/>
            <w:vAlign w:val="bottom"/>
            <w:hideMark/>
          </w:tcPr>
          <w:p w14:paraId="6DAB26F1"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tcBorders>
              <w:top w:val="nil"/>
              <w:left w:val="single" w:sz="8" w:space="0" w:color="auto"/>
              <w:bottom w:val="single" w:sz="8" w:space="0" w:color="000000"/>
              <w:right w:val="single" w:sz="8" w:space="0" w:color="auto"/>
            </w:tcBorders>
            <w:vAlign w:val="center"/>
            <w:hideMark/>
          </w:tcPr>
          <w:p w14:paraId="5A01CAEF"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7FBA5D6B"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69ECD82B"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3E2DCF73"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vymenených menej ako 50 % otvorových konštrukcií</w:t>
            </w:r>
          </w:p>
        </w:tc>
        <w:tc>
          <w:tcPr>
            <w:tcW w:w="1420" w:type="dxa"/>
            <w:tcBorders>
              <w:top w:val="nil"/>
              <w:left w:val="nil"/>
              <w:bottom w:val="nil"/>
              <w:right w:val="nil"/>
            </w:tcBorders>
            <w:noWrap/>
            <w:vAlign w:val="bottom"/>
            <w:hideMark/>
          </w:tcPr>
          <w:p w14:paraId="7E7C42D8"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0,2</w:t>
            </w:r>
          </w:p>
        </w:tc>
        <w:tc>
          <w:tcPr>
            <w:tcW w:w="960" w:type="dxa"/>
            <w:vMerge/>
            <w:tcBorders>
              <w:top w:val="nil"/>
              <w:left w:val="single" w:sz="8" w:space="0" w:color="auto"/>
              <w:bottom w:val="single" w:sz="8" w:space="0" w:color="000000"/>
              <w:right w:val="single" w:sz="8" w:space="0" w:color="auto"/>
            </w:tcBorders>
            <w:vAlign w:val="center"/>
            <w:hideMark/>
          </w:tcPr>
          <w:p w14:paraId="001D5108"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5F764B33"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2B9ED6F2"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07A8DA8F"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zaizolovaný pivničný strop</w:t>
            </w:r>
          </w:p>
        </w:tc>
        <w:tc>
          <w:tcPr>
            <w:tcW w:w="1420" w:type="dxa"/>
            <w:tcBorders>
              <w:top w:val="nil"/>
              <w:left w:val="nil"/>
              <w:bottom w:val="nil"/>
              <w:right w:val="nil"/>
            </w:tcBorders>
            <w:noWrap/>
            <w:vAlign w:val="bottom"/>
            <w:hideMark/>
          </w:tcPr>
          <w:p w14:paraId="73D54EDA"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tcBorders>
              <w:top w:val="nil"/>
              <w:left w:val="single" w:sz="8" w:space="0" w:color="auto"/>
              <w:bottom w:val="single" w:sz="8" w:space="0" w:color="000000"/>
              <w:right w:val="single" w:sz="8" w:space="0" w:color="auto"/>
            </w:tcBorders>
            <w:vAlign w:val="center"/>
            <w:hideMark/>
          </w:tcPr>
          <w:p w14:paraId="593EF628"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4058B6F2"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582FC83B"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3C215E12"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nezaizolovaný pivničný strop</w:t>
            </w:r>
          </w:p>
        </w:tc>
        <w:tc>
          <w:tcPr>
            <w:tcW w:w="1420" w:type="dxa"/>
            <w:tcBorders>
              <w:top w:val="nil"/>
              <w:left w:val="nil"/>
              <w:bottom w:val="nil"/>
              <w:right w:val="nil"/>
            </w:tcBorders>
            <w:noWrap/>
            <w:vAlign w:val="bottom"/>
            <w:hideMark/>
          </w:tcPr>
          <w:p w14:paraId="67229BD3"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0,1</w:t>
            </w:r>
          </w:p>
        </w:tc>
        <w:tc>
          <w:tcPr>
            <w:tcW w:w="960" w:type="dxa"/>
            <w:vMerge/>
            <w:tcBorders>
              <w:top w:val="nil"/>
              <w:left w:val="single" w:sz="8" w:space="0" w:color="auto"/>
              <w:bottom w:val="single" w:sz="8" w:space="0" w:color="000000"/>
              <w:right w:val="single" w:sz="8" w:space="0" w:color="auto"/>
            </w:tcBorders>
            <w:vAlign w:val="center"/>
            <w:hideMark/>
          </w:tcPr>
          <w:p w14:paraId="35C0CBD7"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7CE66C81" w14:textId="77777777" w:rsidTr="00B1645C">
        <w:trPr>
          <w:trHeight w:val="300"/>
        </w:trPr>
        <w:tc>
          <w:tcPr>
            <w:tcW w:w="1420" w:type="dxa"/>
            <w:vMerge/>
            <w:tcBorders>
              <w:top w:val="nil"/>
              <w:left w:val="single" w:sz="8" w:space="0" w:color="auto"/>
              <w:bottom w:val="single" w:sz="8" w:space="0" w:color="000000"/>
              <w:right w:val="nil"/>
            </w:tcBorders>
            <w:vAlign w:val="center"/>
            <w:hideMark/>
          </w:tcPr>
          <w:p w14:paraId="266F3277"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nil"/>
              <w:right w:val="single" w:sz="8" w:space="0" w:color="auto"/>
            </w:tcBorders>
            <w:noWrap/>
            <w:vAlign w:val="bottom"/>
            <w:hideMark/>
          </w:tcPr>
          <w:p w14:paraId="12EFBCD3"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zaizolovaná strecha</w:t>
            </w:r>
          </w:p>
        </w:tc>
        <w:tc>
          <w:tcPr>
            <w:tcW w:w="1420" w:type="dxa"/>
            <w:tcBorders>
              <w:top w:val="nil"/>
              <w:left w:val="nil"/>
              <w:bottom w:val="nil"/>
              <w:right w:val="nil"/>
            </w:tcBorders>
            <w:noWrap/>
            <w:vAlign w:val="bottom"/>
            <w:hideMark/>
          </w:tcPr>
          <w:p w14:paraId="122BA9F8"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w:t>
            </w:r>
          </w:p>
        </w:tc>
        <w:tc>
          <w:tcPr>
            <w:tcW w:w="960" w:type="dxa"/>
            <w:vMerge/>
            <w:tcBorders>
              <w:top w:val="nil"/>
              <w:left w:val="single" w:sz="8" w:space="0" w:color="auto"/>
              <w:bottom w:val="single" w:sz="8" w:space="0" w:color="000000"/>
              <w:right w:val="single" w:sz="8" w:space="0" w:color="auto"/>
            </w:tcBorders>
            <w:vAlign w:val="center"/>
            <w:hideMark/>
          </w:tcPr>
          <w:p w14:paraId="3024553A" w14:textId="77777777" w:rsidR="00B32827" w:rsidRPr="00433EED" w:rsidRDefault="00B32827" w:rsidP="00B1645C">
            <w:pPr>
              <w:spacing w:after="0" w:line="240" w:lineRule="auto"/>
              <w:rPr>
                <w:rFonts w:ascii="Calibri" w:eastAsia="Times New Roman" w:hAnsi="Calibri" w:cs="Calibri"/>
                <w:color w:val="000000"/>
                <w:lang w:eastAsia="sk-SK"/>
              </w:rPr>
            </w:pPr>
          </w:p>
        </w:tc>
      </w:tr>
      <w:tr w:rsidR="00B32827" w:rsidRPr="00433EED" w14:paraId="0115AF5F" w14:textId="77777777" w:rsidTr="00B1645C">
        <w:trPr>
          <w:trHeight w:val="315"/>
        </w:trPr>
        <w:tc>
          <w:tcPr>
            <w:tcW w:w="1420" w:type="dxa"/>
            <w:vMerge/>
            <w:tcBorders>
              <w:top w:val="nil"/>
              <w:left w:val="single" w:sz="8" w:space="0" w:color="auto"/>
              <w:bottom w:val="single" w:sz="8" w:space="0" w:color="000000"/>
              <w:right w:val="nil"/>
            </w:tcBorders>
            <w:vAlign w:val="center"/>
            <w:hideMark/>
          </w:tcPr>
          <w:p w14:paraId="2EDD9A48" w14:textId="77777777" w:rsidR="00B32827" w:rsidRPr="00433EED" w:rsidRDefault="00B32827" w:rsidP="00B1645C">
            <w:pPr>
              <w:spacing w:after="0" w:line="240" w:lineRule="auto"/>
              <w:rPr>
                <w:rFonts w:ascii="Calibri" w:eastAsia="Times New Roman" w:hAnsi="Calibri" w:cs="Calibri"/>
                <w:b/>
                <w:bCs/>
                <w:color w:val="000000"/>
                <w:lang w:eastAsia="sk-SK"/>
              </w:rPr>
            </w:pPr>
          </w:p>
        </w:tc>
        <w:tc>
          <w:tcPr>
            <w:tcW w:w="5040" w:type="dxa"/>
            <w:tcBorders>
              <w:top w:val="nil"/>
              <w:left w:val="single" w:sz="8" w:space="0" w:color="auto"/>
              <w:bottom w:val="single" w:sz="8" w:space="0" w:color="auto"/>
              <w:right w:val="single" w:sz="8" w:space="0" w:color="auto"/>
            </w:tcBorders>
            <w:noWrap/>
            <w:vAlign w:val="bottom"/>
            <w:hideMark/>
          </w:tcPr>
          <w:p w14:paraId="06749B18" w14:textId="77777777" w:rsidR="00B32827" w:rsidRPr="00433EED" w:rsidRDefault="00B32827" w:rsidP="00B1645C">
            <w:pPr>
              <w:spacing w:after="0" w:line="240" w:lineRule="auto"/>
              <w:rPr>
                <w:rFonts w:ascii="Calibri" w:eastAsia="Times New Roman" w:hAnsi="Calibri" w:cs="Calibri"/>
                <w:color w:val="000000"/>
                <w:lang w:eastAsia="sk-SK"/>
              </w:rPr>
            </w:pPr>
            <w:r w:rsidRPr="00433EED">
              <w:rPr>
                <w:rFonts w:ascii="Calibri" w:eastAsia="Times New Roman" w:hAnsi="Calibri" w:cs="Calibri"/>
                <w:color w:val="000000"/>
                <w:lang w:eastAsia="sk-SK"/>
              </w:rPr>
              <w:t>nezaizolovaná strecha</w:t>
            </w:r>
          </w:p>
        </w:tc>
        <w:tc>
          <w:tcPr>
            <w:tcW w:w="1420" w:type="dxa"/>
            <w:tcBorders>
              <w:top w:val="nil"/>
              <w:left w:val="nil"/>
              <w:bottom w:val="single" w:sz="8" w:space="0" w:color="auto"/>
              <w:right w:val="nil"/>
            </w:tcBorders>
            <w:noWrap/>
            <w:vAlign w:val="bottom"/>
            <w:hideMark/>
          </w:tcPr>
          <w:p w14:paraId="426EA084" w14:textId="77777777" w:rsidR="00B32827" w:rsidRPr="00433EED" w:rsidRDefault="00B32827" w:rsidP="00B1645C">
            <w:pPr>
              <w:spacing w:after="0" w:line="240" w:lineRule="auto"/>
              <w:jc w:val="right"/>
              <w:rPr>
                <w:rFonts w:ascii="Calibri" w:eastAsia="Times New Roman" w:hAnsi="Calibri" w:cs="Calibri"/>
                <w:color w:val="000000"/>
                <w:lang w:eastAsia="sk-SK"/>
              </w:rPr>
            </w:pPr>
            <w:r w:rsidRPr="00433EED">
              <w:rPr>
                <w:rFonts w:ascii="Calibri" w:eastAsia="Times New Roman" w:hAnsi="Calibri" w:cs="Calibri"/>
                <w:color w:val="000000"/>
                <w:lang w:eastAsia="sk-SK"/>
              </w:rPr>
              <w:t>0,2</w:t>
            </w:r>
          </w:p>
        </w:tc>
        <w:tc>
          <w:tcPr>
            <w:tcW w:w="960" w:type="dxa"/>
            <w:vMerge/>
            <w:tcBorders>
              <w:top w:val="nil"/>
              <w:left w:val="single" w:sz="8" w:space="0" w:color="auto"/>
              <w:bottom w:val="single" w:sz="8" w:space="0" w:color="000000"/>
              <w:right w:val="single" w:sz="8" w:space="0" w:color="auto"/>
            </w:tcBorders>
            <w:vAlign w:val="center"/>
            <w:hideMark/>
          </w:tcPr>
          <w:p w14:paraId="2910B5A8" w14:textId="77777777" w:rsidR="00B32827" w:rsidRPr="00433EED" w:rsidRDefault="00B32827" w:rsidP="00B1645C">
            <w:pPr>
              <w:spacing w:after="0" w:line="240" w:lineRule="auto"/>
              <w:rPr>
                <w:rFonts w:ascii="Calibri" w:eastAsia="Times New Roman" w:hAnsi="Calibri" w:cs="Calibri"/>
                <w:color w:val="000000"/>
                <w:lang w:eastAsia="sk-SK"/>
              </w:rPr>
            </w:pPr>
          </w:p>
        </w:tc>
      </w:tr>
    </w:tbl>
    <w:p w14:paraId="37F591F9" w14:textId="77777777" w:rsidR="00B32827" w:rsidRPr="00F813F5" w:rsidRDefault="00B32827" w:rsidP="00B32827">
      <w:pPr>
        <w:rPr>
          <w:rFonts w:ascii="Times New Roman" w:eastAsia="Times New Roman" w:hAnsi="Times New Roman" w:cs="Times New Roman"/>
          <w:sz w:val="20"/>
          <w:szCs w:val="20"/>
          <w:lang w:eastAsia="sk-SK"/>
        </w:rPr>
      </w:pPr>
      <w:r w:rsidRPr="00433EED">
        <w:rPr>
          <w:rFonts w:ascii="Times New Roman" w:eastAsia="Times New Roman" w:hAnsi="Times New Roman" w:cs="Times New Roman"/>
          <w:sz w:val="20"/>
          <w:szCs w:val="20"/>
          <w:lang w:eastAsia="sk-SK"/>
        </w:rPr>
        <w:t>*Ekvivalentný disponibilný príjem</w:t>
      </w:r>
    </w:p>
    <w:p w14:paraId="49A8B6A1" w14:textId="70AD0B60" w:rsidR="00775296" w:rsidRPr="00F813F5" w:rsidRDefault="00775296" w:rsidP="00B32827">
      <w:pPr>
        <w:jc w:val="center"/>
        <w:rPr>
          <w:rFonts w:ascii="Times New Roman" w:eastAsia="Times New Roman" w:hAnsi="Times New Roman" w:cs="Times New Roman"/>
          <w:sz w:val="20"/>
          <w:szCs w:val="20"/>
          <w:lang w:eastAsia="sk-SK"/>
        </w:rPr>
      </w:pPr>
    </w:p>
    <w:sectPr w:rsidR="00775296" w:rsidRPr="00F813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F50D" w14:textId="77777777" w:rsidR="0037697B" w:rsidRDefault="0037697B" w:rsidP="006D7E4C">
      <w:pPr>
        <w:spacing w:after="0" w:line="240" w:lineRule="auto"/>
      </w:pPr>
      <w:r>
        <w:separator/>
      </w:r>
    </w:p>
  </w:endnote>
  <w:endnote w:type="continuationSeparator" w:id="0">
    <w:p w14:paraId="50F3DC11" w14:textId="77777777" w:rsidR="0037697B" w:rsidRDefault="0037697B" w:rsidP="006D7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DD8C" w14:textId="77777777" w:rsidR="0037697B" w:rsidRDefault="0037697B" w:rsidP="006D7E4C">
      <w:pPr>
        <w:spacing w:after="0" w:line="240" w:lineRule="auto"/>
      </w:pPr>
      <w:r>
        <w:separator/>
      </w:r>
    </w:p>
  </w:footnote>
  <w:footnote w:type="continuationSeparator" w:id="0">
    <w:p w14:paraId="25F30FA4" w14:textId="77777777" w:rsidR="0037697B" w:rsidRDefault="0037697B" w:rsidP="006D7E4C">
      <w:pPr>
        <w:spacing w:after="0" w:line="240" w:lineRule="auto"/>
      </w:pPr>
      <w:r>
        <w:continuationSeparator/>
      </w:r>
    </w:p>
  </w:footnote>
  <w:footnote w:id="1">
    <w:p w14:paraId="62EDDBB7" w14:textId="77777777" w:rsidR="00B32827" w:rsidRPr="004E6620" w:rsidRDefault="00B32827" w:rsidP="00B32827">
      <w:pPr>
        <w:pStyle w:val="Textpoznmkypodiarou"/>
      </w:pPr>
      <w:r>
        <w:rPr>
          <w:rStyle w:val="Odkaznapoznmkupodiarou"/>
        </w:rPr>
        <w:footnoteRef/>
      </w:r>
      <w:r>
        <w:t>) § 3 odsek 2 zákona č. 25/2025 Z. z</w:t>
      </w:r>
      <w:r w:rsidRPr="004E6620">
        <w:t xml:space="preserve">. </w:t>
      </w:r>
      <w:r w:rsidRPr="002055F1">
        <w:t>Stavebný zákon a o zmene a doplnení niektorých zákonov (Stavebný zákon)</w:t>
      </w:r>
    </w:p>
  </w:footnote>
  <w:footnote w:id="2">
    <w:p w14:paraId="5A12F41D" w14:textId="77777777" w:rsidR="00B32827" w:rsidRDefault="00B32827" w:rsidP="00B32827">
      <w:pPr>
        <w:pStyle w:val="Textpoznmkypodiarou"/>
      </w:pPr>
      <w:r>
        <w:rPr>
          <w:rStyle w:val="Odkaznapoznmkupodiarou"/>
        </w:rPr>
        <w:footnoteRef/>
      </w:r>
      <w:r>
        <w:t xml:space="preserve"> </w:t>
      </w:r>
      <w:r>
        <w:t>) § 3 odsek 3 zákona č. 25/2025 Z. z</w:t>
      </w:r>
      <w:r w:rsidRPr="004E6620">
        <w:t>.</w:t>
      </w:r>
    </w:p>
  </w:footnote>
  <w:footnote w:id="3">
    <w:p w14:paraId="242BE74F" w14:textId="77777777" w:rsidR="00B32827" w:rsidRDefault="00B32827" w:rsidP="00B32827">
      <w:pPr>
        <w:pStyle w:val="Textpoznmkypodiarou"/>
      </w:pPr>
      <w:r>
        <w:rPr>
          <w:rStyle w:val="Odkaznapoznmkupodiarou"/>
        </w:rPr>
        <w:footnoteRef/>
      </w:r>
      <w:r>
        <w:t xml:space="preserve"> </w:t>
      </w:r>
      <w:r>
        <w:t>§ 2 písm. y) zákona č. 657/2004 Z. z. o tepelnej energetike v znení neskorších predpisov</w:t>
      </w:r>
    </w:p>
  </w:footnote>
  <w:footnote w:id="4">
    <w:p w14:paraId="43559552" w14:textId="77777777" w:rsidR="00B32827" w:rsidRDefault="00B32827" w:rsidP="00B32827">
      <w:pPr>
        <w:pStyle w:val="Textpoznmkypodiarou"/>
      </w:pPr>
      <w:r>
        <w:rPr>
          <w:rStyle w:val="Odkaznapoznmkupodiarou"/>
        </w:rPr>
        <w:footnoteRef/>
      </w:r>
      <w:r>
        <w:t xml:space="preserve"> </w:t>
      </w:r>
      <w:r>
        <w:t xml:space="preserve">§ 2 písm. v) zákona č. 657/2004 Z. z. </w:t>
      </w:r>
    </w:p>
  </w:footnote>
  <w:footnote w:id="5">
    <w:p w14:paraId="454E398A" w14:textId="77777777" w:rsidR="00B32827" w:rsidRDefault="00B32827" w:rsidP="00B32827">
      <w:pPr>
        <w:pStyle w:val="Textpoznmkypodiarou"/>
      </w:pPr>
      <w:r>
        <w:rPr>
          <w:rStyle w:val="Odkaznapoznmkupodiarou"/>
        </w:rPr>
        <w:footnoteRef/>
      </w:r>
      <w:r>
        <w:t xml:space="preserve"> </w:t>
      </w:r>
      <w:r w:rsidRPr="00680B93">
        <w:t>§5, §6, §7, §8, §51e zákona č. 595/2003 Z. z. o dani z</w:t>
      </w:r>
      <w:r>
        <w:t> </w:t>
      </w:r>
      <w:r w:rsidRPr="00680B93">
        <w:t>príjmov</w:t>
      </w:r>
      <w:r>
        <w:t xml:space="preserve"> v znení neskorších predpisov</w:t>
      </w:r>
    </w:p>
  </w:footnote>
  <w:footnote w:id="6">
    <w:p w14:paraId="6502394C" w14:textId="77777777" w:rsidR="00B32827" w:rsidRDefault="00B32827" w:rsidP="00B32827">
      <w:pPr>
        <w:pStyle w:val="Textpoznmkypodiarou"/>
      </w:pPr>
      <w:r>
        <w:rPr>
          <w:rStyle w:val="Odkaznapoznmkupodiarou"/>
        </w:rPr>
        <w:footnoteRef/>
      </w:r>
      <w:r>
        <w:t xml:space="preserve"> </w:t>
      </w:r>
      <w:r w:rsidRPr="00AC47A5">
        <w:t>zákon č. 36/2005 Z. z. o rodine a o zmene a doplnení niektorých zákonov v znení neskorších predpisov (vyživovacia povinnosť je upravená v  prvej hlave  tretej časti zákona o rodine),</w:t>
      </w:r>
      <w:r>
        <w:t xml:space="preserve"> </w:t>
      </w:r>
    </w:p>
  </w:footnote>
  <w:footnote w:id="7">
    <w:p w14:paraId="215D1478" w14:textId="77777777" w:rsidR="00B32827" w:rsidRDefault="00B32827" w:rsidP="00B32827">
      <w:pPr>
        <w:pStyle w:val="Textpoznmkypodiarou"/>
      </w:pPr>
      <w:r>
        <w:rPr>
          <w:rStyle w:val="Odkaznapoznmkupodiarou"/>
        </w:rPr>
        <w:footnoteRef/>
      </w:r>
      <w:r>
        <w:t xml:space="preserve"> </w:t>
      </w:r>
      <w:r w:rsidRPr="006D7E4C">
        <w:t>§ 13 ods. 3</w:t>
      </w:r>
      <w:r>
        <w:t xml:space="preserve"> zákona 260/2025 o adresnej energopomoci a o zmene á doplnení niektorých zákonov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0570"/>
    <w:multiLevelType w:val="hybridMultilevel"/>
    <w:tmpl w:val="FCFCE0C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BD51638"/>
    <w:multiLevelType w:val="multilevel"/>
    <w:tmpl w:val="53DA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6542C"/>
    <w:multiLevelType w:val="hybridMultilevel"/>
    <w:tmpl w:val="CA329D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123C04"/>
    <w:multiLevelType w:val="hybridMultilevel"/>
    <w:tmpl w:val="310883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B316E6"/>
    <w:multiLevelType w:val="hybridMultilevel"/>
    <w:tmpl w:val="6EB456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6A0629"/>
    <w:multiLevelType w:val="hybridMultilevel"/>
    <w:tmpl w:val="D61C68E6"/>
    <w:lvl w:ilvl="0" w:tplc="057CAD7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7EE29E9"/>
    <w:multiLevelType w:val="hybridMultilevel"/>
    <w:tmpl w:val="1884DB1C"/>
    <w:lvl w:ilvl="0" w:tplc="33EC6546">
      <w:start w:val="1"/>
      <w:numFmt w:val="decimal"/>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C039AE"/>
    <w:multiLevelType w:val="hybridMultilevel"/>
    <w:tmpl w:val="FD3443F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CFB7C0F"/>
    <w:multiLevelType w:val="hybridMultilevel"/>
    <w:tmpl w:val="19A66CD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D2784B"/>
    <w:multiLevelType w:val="hybridMultilevel"/>
    <w:tmpl w:val="5DA88442"/>
    <w:lvl w:ilvl="0" w:tplc="057CAD7A">
      <w:start w:val="1"/>
      <w:numFmt w:val="decimal"/>
      <w:lvlText w:val="(%1)"/>
      <w:lvlJc w:val="left"/>
      <w:pPr>
        <w:ind w:left="501" w:hanging="360"/>
      </w:pPr>
      <w:rPr>
        <w:rFonts w:hint="default"/>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273015BB"/>
    <w:multiLevelType w:val="hybridMultilevel"/>
    <w:tmpl w:val="67967C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4738F7"/>
    <w:multiLevelType w:val="hybridMultilevel"/>
    <w:tmpl w:val="F34A2898"/>
    <w:lvl w:ilvl="0" w:tplc="33EC6546">
      <w:start w:val="1"/>
      <w:numFmt w:val="decimal"/>
      <w:lvlText w:val="(%1)"/>
      <w:lvlJc w:val="left"/>
      <w:pPr>
        <w:ind w:left="390" w:hanging="390"/>
      </w:pPr>
      <w:rPr>
        <w:rFonts w:ascii="Times New Roman" w:hAnsi="Times New Roman" w:cs="Times New Roman" w:hint="default"/>
        <w:sz w:val="24"/>
        <w:szCs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F92715"/>
    <w:multiLevelType w:val="hybridMultilevel"/>
    <w:tmpl w:val="BD842394"/>
    <w:lvl w:ilvl="0" w:tplc="79B47E1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F2EAF"/>
    <w:multiLevelType w:val="hybridMultilevel"/>
    <w:tmpl w:val="73AC150E"/>
    <w:lvl w:ilvl="0" w:tplc="041B0001">
      <w:start w:val="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3E01ED"/>
    <w:multiLevelType w:val="hybridMultilevel"/>
    <w:tmpl w:val="16AE7854"/>
    <w:lvl w:ilvl="0" w:tplc="29923D56">
      <w:start w:val="2"/>
      <w:numFmt w:val="decimal"/>
      <w:lvlText w:val="(%1)"/>
      <w:lvlJc w:val="left"/>
      <w:pPr>
        <w:ind w:left="390" w:hanging="39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8761F6"/>
    <w:multiLevelType w:val="hybridMultilevel"/>
    <w:tmpl w:val="3104E4A6"/>
    <w:lvl w:ilvl="0" w:tplc="FAB0FC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2341C0"/>
    <w:multiLevelType w:val="hybridMultilevel"/>
    <w:tmpl w:val="A992BBD6"/>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4261719"/>
    <w:multiLevelType w:val="hybridMultilevel"/>
    <w:tmpl w:val="886650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B379E2"/>
    <w:multiLevelType w:val="hybridMultilevel"/>
    <w:tmpl w:val="D6389B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161518"/>
    <w:multiLevelType w:val="hybridMultilevel"/>
    <w:tmpl w:val="EDF203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C6527B"/>
    <w:multiLevelType w:val="hybridMultilevel"/>
    <w:tmpl w:val="F5766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096125"/>
    <w:multiLevelType w:val="hybridMultilevel"/>
    <w:tmpl w:val="2BD6FF3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0F2778"/>
    <w:multiLevelType w:val="hybridMultilevel"/>
    <w:tmpl w:val="88D2546A"/>
    <w:lvl w:ilvl="0" w:tplc="041B000B">
      <w:start w:val="3"/>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C44647"/>
    <w:multiLevelType w:val="hybridMultilevel"/>
    <w:tmpl w:val="9DBA540E"/>
    <w:lvl w:ilvl="0" w:tplc="041B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63738A2"/>
    <w:multiLevelType w:val="hybridMultilevel"/>
    <w:tmpl w:val="D89EA502"/>
    <w:lvl w:ilvl="0" w:tplc="33EC6546">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BB675D"/>
    <w:multiLevelType w:val="multilevel"/>
    <w:tmpl w:val="36D2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A97D15"/>
    <w:multiLevelType w:val="hybridMultilevel"/>
    <w:tmpl w:val="D312F664"/>
    <w:lvl w:ilvl="0" w:tplc="057CAD7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DD32D87"/>
    <w:multiLevelType w:val="hybridMultilevel"/>
    <w:tmpl w:val="A992BBD6"/>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80011EC"/>
    <w:multiLevelType w:val="hybridMultilevel"/>
    <w:tmpl w:val="3A96EE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C805E4"/>
    <w:multiLevelType w:val="multilevel"/>
    <w:tmpl w:val="5438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841CC"/>
    <w:multiLevelType w:val="hybridMultilevel"/>
    <w:tmpl w:val="D6389B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3A1728"/>
    <w:multiLevelType w:val="hybridMultilevel"/>
    <w:tmpl w:val="79A63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A34505"/>
    <w:multiLevelType w:val="hybridMultilevel"/>
    <w:tmpl w:val="4AA409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2962A0"/>
    <w:multiLevelType w:val="hybridMultilevel"/>
    <w:tmpl w:val="FA0433B6"/>
    <w:lvl w:ilvl="0" w:tplc="057CAD7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F66E7F"/>
    <w:multiLevelType w:val="multilevel"/>
    <w:tmpl w:val="9F74B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132757">
    <w:abstractNumId w:val="7"/>
  </w:num>
  <w:num w:numId="2" w16cid:durableId="1594632356">
    <w:abstractNumId w:val="27"/>
  </w:num>
  <w:num w:numId="3" w16cid:durableId="1352680789">
    <w:abstractNumId w:val="16"/>
  </w:num>
  <w:num w:numId="4" w16cid:durableId="397288265">
    <w:abstractNumId w:val="30"/>
  </w:num>
  <w:num w:numId="5" w16cid:durableId="318851045">
    <w:abstractNumId w:val="18"/>
  </w:num>
  <w:num w:numId="6" w16cid:durableId="1731031663">
    <w:abstractNumId w:val="17"/>
  </w:num>
  <w:num w:numId="7" w16cid:durableId="908081940">
    <w:abstractNumId w:val="11"/>
  </w:num>
  <w:num w:numId="8" w16cid:durableId="1378747076">
    <w:abstractNumId w:val="1"/>
  </w:num>
  <w:num w:numId="9" w16cid:durableId="886600442">
    <w:abstractNumId w:val="34"/>
  </w:num>
  <w:num w:numId="10" w16cid:durableId="63844760">
    <w:abstractNumId w:val="29"/>
  </w:num>
  <w:num w:numId="11" w16cid:durableId="527836278">
    <w:abstractNumId w:val="25"/>
  </w:num>
  <w:num w:numId="12" w16cid:durableId="2062973020">
    <w:abstractNumId w:val="8"/>
  </w:num>
  <w:num w:numId="13" w16cid:durableId="17390121">
    <w:abstractNumId w:val="0"/>
  </w:num>
  <w:num w:numId="14" w16cid:durableId="1757362271">
    <w:abstractNumId w:val="3"/>
  </w:num>
  <w:num w:numId="15" w16cid:durableId="1880972784">
    <w:abstractNumId w:val="2"/>
  </w:num>
  <w:num w:numId="16" w16cid:durableId="145247259">
    <w:abstractNumId w:val="31"/>
  </w:num>
  <w:num w:numId="17" w16cid:durableId="1485118552">
    <w:abstractNumId w:val="33"/>
  </w:num>
  <w:num w:numId="18" w16cid:durableId="967321335">
    <w:abstractNumId w:val="10"/>
  </w:num>
  <w:num w:numId="19" w16cid:durableId="412748571">
    <w:abstractNumId w:val="32"/>
  </w:num>
  <w:num w:numId="20" w16cid:durableId="696350247">
    <w:abstractNumId w:val="19"/>
  </w:num>
  <w:num w:numId="21" w16cid:durableId="1917980125">
    <w:abstractNumId w:val="4"/>
  </w:num>
  <w:num w:numId="22" w16cid:durableId="836699346">
    <w:abstractNumId w:val="28"/>
  </w:num>
  <w:num w:numId="23" w16cid:durableId="100926704">
    <w:abstractNumId w:val="23"/>
  </w:num>
  <w:num w:numId="24" w16cid:durableId="589390997">
    <w:abstractNumId w:val="5"/>
  </w:num>
  <w:num w:numId="25" w16cid:durableId="1197697616">
    <w:abstractNumId w:val="21"/>
  </w:num>
  <w:num w:numId="26" w16cid:durableId="1945457655">
    <w:abstractNumId w:val="13"/>
  </w:num>
  <w:num w:numId="27" w16cid:durableId="1720399958">
    <w:abstractNumId w:val="9"/>
  </w:num>
  <w:num w:numId="28" w16cid:durableId="1177963737">
    <w:abstractNumId w:val="12"/>
  </w:num>
  <w:num w:numId="29" w16cid:durableId="690453552">
    <w:abstractNumId w:val="26"/>
  </w:num>
  <w:num w:numId="30" w16cid:durableId="114838621">
    <w:abstractNumId w:val="22"/>
  </w:num>
  <w:num w:numId="31" w16cid:durableId="329649457">
    <w:abstractNumId w:val="20"/>
  </w:num>
  <w:num w:numId="32" w16cid:durableId="1712461167">
    <w:abstractNumId w:val="15"/>
  </w:num>
  <w:num w:numId="33" w16cid:durableId="1642148163">
    <w:abstractNumId w:val="6"/>
  </w:num>
  <w:num w:numId="34" w16cid:durableId="1200896104">
    <w:abstractNumId w:val="14"/>
  </w:num>
  <w:num w:numId="35" w16cid:durableId="20221978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D61"/>
    <w:rsid w:val="00020A31"/>
    <w:rsid w:val="00022ED2"/>
    <w:rsid w:val="00026F07"/>
    <w:rsid w:val="00042DD6"/>
    <w:rsid w:val="000603BE"/>
    <w:rsid w:val="00070A48"/>
    <w:rsid w:val="000870F2"/>
    <w:rsid w:val="0009031C"/>
    <w:rsid w:val="000B4250"/>
    <w:rsid w:val="000E720C"/>
    <w:rsid w:val="00104CF3"/>
    <w:rsid w:val="00113AB4"/>
    <w:rsid w:val="00152521"/>
    <w:rsid w:val="0018385A"/>
    <w:rsid w:val="001B4B51"/>
    <w:rsid w:val="001C163D"/>
    <w:rsid w:val="001F3405"/>
    <w:rsid w:val="001F59E6"/>
    <w:rsid w:val="002055F1"/>
    <w:rsid w:val="00210164"/>
    <w:rsid w:val="00227FCD"/>
    <w:rsid w:val="00234845"/>
    <w:rsid w:val="00266D56"/>
    <w:rsid w:val="00266E58"/>
    <w:rsid w:val="00272300"/>
    <w:rsid w:val="002C5EF3"/>
    <w:rsid w:val="002E460F"/>
    <w:rsid w:val="002E5C77"/>
    <w:rsid w:val="002F68CB"/>
    <w:rsid w:val="00302FAB"/>
    <w:rsid w:val="00327E53"/>
    <w:rsid w:val="003328F0"/>
    <w:rsid w:val="00374A1F"/>
    <w:rsid w:val="0037697B"/>
    <w:rsid w:val="0038327D"/>
    <w:rsid w:val="003C2E09"/>
    <w:rsid w:val="003C4269"/>
    <w:rsid w:val="003D508B"/>
    <w:rsid w:val="003E768A"/>
    <w:rsid w:val="003F1840"/>
    <w:rsid w:val="003F4127"/>
    <w:rsid w:val="003F59D1"/>
    <w:rsid w:val="003F6EBD"/>
    <w:rsid w:val="00430281"/>
    <w:rsid w:val="00476BAB"/>
    <w:rsid w:val="00483D95"/>
    <w:rsid w:val="004920C9"/>
    <w:rsid w:val="004A0C99"/>
    <w:rsid w:val="004A5F9F"/>
    <w:rsid w:val="004C274A"/>
    <w:rsid w:val="004D4357"/>
    <w:rsid w:val="004E0783"/>
    <w:rsid w:val="004E6620"/>
    <w:rsid w:val="004F24E8"/>
    <w:rsid w:val="004F3E93"/>
    <w:rsid w:val="004F5FCB"/>
    <w:rsid w:val="005300B4"/>
    <w:rsid w:val="0054047C"/>
    <w:rsid w:val="00560317"/>
    <w:rsid w:val="00584CE9"/>
    <w:rsid w:val="005B0431"/>
    <w:rsid w:val="005B3413"/>
    <w:rsid w:val="005C2E92"/>
    <w:rsid w:val="00622182"/>
    <w:rsid w:val="00622F13"/>
    <w:rsid w:val="00630D8D"/>
    <w:rsid w:val="00661ECE"/>
    <w:rsid w:val="0066283C"/>
    <w:rsid w:val="00670A34"/>
    <w:rsid w:val="006761BB"/>
    <w:rsid w:val="00680B93"/>
    <w:rsid w:val="006A34B5"/>
    <w:rsid w:val="006B19E2"/>
    <w:rsid w:val="006C24B0"/>
    <w:rsid w:val="006D7E4C"/>
    <w:rsid w:val="00732BDD"/>
    <w:rsid w:val="00734267"/>
    <w:rsid w:val="007434A3"/>
    <w:rsid w:val="00744E3A"/>
    <w:rsid w:val="00752873"/>
    <w:rsid w:val="00772A13"/>
    <w:rsid w:val="00775296"/>
    <w:rsid w:val="00777D09"/>
    <w:rsid w:val="007809EF"/>
    <w:rsid w:val="00795767"/>
    <w:rsid w:val="007C2520"/>
    <w:rsid w:val="007E2F1D"/>
    <w:rsid w:val="007F2A05"/>
    <w:rsid w:val="007F2C6C"/>
    <w:rsid w:val="00801218"/>
    <w:rsid w:val="008071B1"/>
    <w:rsid w:val="00832944"/>
    <w:rsid w:val="00845433"/>
    <w:rsid w:val="00850166"/>
    <w:rsid w:val="00864D5B"/>
    <w:rsid w:val="008852F7"/>
    <w:rsid w:val="008A03DA"/>
    <w:rsid w:val="008A4C34"/>
    <w:rsid w:val="008C2890"/>
    <w:rsid w:val="008D7A9E"/>
    <w:rsid w:val="00910370"/>
    <w:rsid w:val="00922B05"/>
    <w:rsid w:val="00940102"/>
    <w:rsid w:val="00940882"/>
    <w:rsid w:val="009468AF"/>
    <w:rsid w:val="00971F71"/>
    <w:rsid w:val="009741FE"/>
    <w:rsid w:val="009A2A09"/>
    <w:rsid w:val="009C40DC"/>
    <w:rsid w:val="009C64F5"/>
    <w:rsid w:val="009D0702"/>
    <w:rsid w:val="009D491C"/>
    <w:rsid w:val="009F0FEA"/>
    <w:rsid w:val="009F6F1E"/>
    <w:rsid w:val="009F71EF"/>
    <w:rsid w:val="00A02979"/>
    <w:rsid w:val="00A156A7"/>
    <w:rsid w:val="00A24A3B"/>
    <w:rsid w:val="00A24AC9"/>
    <w:rsid w:val="00A42DA2"/>
    <w:rsid w:val="00A46988"/>
    <w:rsid w:val="00A5632D"/>
    <w:rsid w:val="00A877C9"/>
    <w:rsid w:val="00A975C5"/>
    <w:rsid w:val="00AA02A1"/>
    <w:rsid w:val="00AA0F2C"/>
    <w:rsid w:val="00AA38D5"/>
    <w:rsid w:val="00AB0D4A"/>
    <w:rsid w:val="00AC20B9"/>
    <w:rsid w:val="00AC47A5"/>
    <w:rsid w:val="00AE3C9D"/>
    <w:rsid w:val="00AF0925"/>
    <w:rsid w:val="00AF44F8"/>
    <w:rsid w:val="00B32827"/>
    <w:rsid w:val="00B432D6"/>
    <w:rsid w:val="00B54788"/>
    <w:rsid w:val="00B6270A"/>
    <w:rsid w:val="00B63EDB"/>
    <w:rsid w:val="00B701BF"/>
    <w:rsid w:val="00B82DF0"/>
    <w:rsid w:val="00BA1AA3"/>
    <w:rsid w:val="00BA7FE7"/>
    <w:rsid w:val="00BB0829"/>
    <w:rsid w:val="00BB1234"/>
    <w:rsid w:val="00BB1D61"/>
    <w:rsid w:val="00BE0A14"/>
    <w:rsid w:val="00C059C0"/>
    <w:rsid w:val="00C4456A"/>
    <w:rsid w:val="00C52297"/>
    <w:rsid w:val="00C80751"/>
    <w:rsid w:val="00C80866"/>
    <w:rsid w:val="00C8194E"/>
    <w:rsid w:val="00C94E3E"/>
    <w:rsid w:val="00CA1693"/>
    <w:rsid w:val="00CE510C"/>
    <w:rsid w:val="00CF5BD5"/>
    <w:rsid w:val="00CF5C36"/>
    <w:rsid w:val="00CF6F07"/>
    <w:rsid w:val="00D023EA"/>
    <w:rsid w:val="00D0393F"/>
    <w:rsid w:val="00D13E03"/>
    <w:rsid w:val="00D21857"/>
    <w:rsid w:val="00D241FF"/>
    <w:rsid w:val="00D30512"/>
    <w:rsid w:val="00D4665C"/>
    <w:rsid w:val="00D472DD"/>
    <w:rsid w:val="00D54F6D"/>
    <w:rsid w:val="00D6447A"/>
    <w:rsid w:val="00D71507"/>
    <w:rsid w:val="00D76BFB"/>
    <w:rsid w:val="00D80B36"/>
    <w:rsid w:val="00D975A3"/>
    <w:rsid w:val="00DB5597"/>
    <w:rsid w:val="00DB7521"/>
    <w:rsid w:val="00DC2CE2"/>
    <w:rsid w:val="00E277EC"/>
    <w:rsid w:val="00E53224"/>
    <w:rsid w:val="00E771EB"/>
    <w:rsid w:val="00E8324A"/>
    <w:rsid w:val="00E8432D"/>
    <w:rsid w:val="00E84A05"/>
    <w:rsid w:val="00E95E5C"/>
    <w:rsid w:val="00EB71F6"/>
    <w:rsid w:val="00EB77B3"/>
    <w:rsid w:val="00EE51AD"/>
    <w:rsid w:val="00EE7383"/>
    <w:rsid w:val="00F613A7"/>
    <w:rsid w:val="00F62ACD"/>
    <w:rsid w:val="00F63195"/>
    <w:rsid w:val="00F813F5"/>
    <w:rsid w:val="00F90E66"/>
    <w:rsid w:val="00F928C9"/>
    <w:rsid w:val="00FB1861"/>
    <w:rsid w:val="00FB2838"/>
    <w:rsid w:val="00FD2C12"/>
    <w:rsid w:val="00FD5B1C"/>
    <w:rsid w:val="00FF6C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4A42"/>
  <w15:chartTrackingRefBased/>
  <w15:docId w15:val="{201B248D-3670-419F-933F-A5E745A4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BB1D61"/>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BB1D61"/>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B1D61"/>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BB1D61"/>
    <w:rPr>
      <w:rFonts w:ascii="Times New Roman" w:eastAsia="Times New Roman" w:hAnsi="Times New Roman" w:cs="Times New Roman"/>
      <w:b/>
      <w:bCs/>
      <w:sz w:val="27"/>
      <w:szCs w:val="27"/>
      <w:lang w:eastAsia="sk-SK"/>
    </w:rPr>
  </w:style>
  <w:style w:type="character" w:styleId="Vrazn">
    <w:name w:val="Strong"/>
    <w:basedOn w:val="Predvolenpsmoodseku"/>
    <w:uiPriority w:val="22"/>
    <w:qFormat/>
    <w:rsid w:val="00BB1D61"/>
    <w:rPr>
      <w:b/>
      <w:bCs/>
    </w:rPr>
  </w:style>
  <w:style w:type="paragraph" w:styleId="Normlnywebov">
    <w:name w:val="Normal (Web)"/>
    <w:basedOn w:val="Normlny"/>
    <w:uiPriority w:val="99"/>
    <w:unhideWhenUsed/>
    <w:rsid w:val="00BB1D6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38327D"/>
    <w:pPr>
      <w:ind w:left="720"/>
      <w:contextualSpacing/>
    </w:pPr>
  </w:style>
  <w:style w:type="character" w:styleId="Odkaznakomentr">
    <w:name w:val="annotation reference"/>
    <w:basedOn w:val="Predvolenpsmoodseku"/>
    <w:uiPriority w:val="99"/>
    <w:semiHidden/>
    <w:unhideWhenUsed/>
    <w:rsid w:val="009741FE"/>
    <w:rPr>
      <w:sz w:val="16"/>
      <w:szCs w:val="16"/>
    </w:rPr>
  </w:style>
  <w:style w:type="paragraph" w:styleId="Textkomentra">
    <w:name w:val="annotation text"/>
    <w:basedOn w:val="Normlny"/>
    <w:link w:val="TextkomentraChar"/>
    <w:uiPriority w:val="99"/>
    <w:unhideWhenUsed/>
    <w:rsid w:val="009741FE"/>
    <w:pPr>
      <w:spacing w:line="240" w:lineRule="auto"/>
    </w:pPr>
    <w:rPr>
      <w:kern w:val="2"/>
      <w:sz w:val="20"/>
      <w:szCs w:val="20"/>
      <w14:ligatures w14:val="standardContextual"/>
    </w:rPr>
  </w:style>
  <w:style w:type="character" w:customStyle="1" w:styleId="TextkomentraChar">
    <w:name w:val="Text komentára Char"/>
    <w:basedOn w:val="Predvolenpsmoodseku"/>
    <w:link w:val="Textkomentra"/>
    <w:uiPriority w:val="99"/>
    <w:rsid w:val="009741FE"/>
    <w:rPr>
      <w:kern w:val="2"/>
      <w:sz w:val="20"/>
      <w:szCs w:val="20"/>
      <w14:ligatures w14:val="standardContextual"/>
    </w:rPr>
  </w:style>
  <w:style w:type="paragraph" w:styleId="Textbubliny">
    <w:name w:val="Balloon Text"/>
    <w:basedOn w:val="Normlny"/>
    <w:link w:val="TextbublinyChar"/>
    <w:uiPriority w:val="99"/>
    <w:semiHidden/>
    <w:unhideWhenUsed/>
    <w:rsid w:val="009741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41FE"/>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6D7E4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D7E4C"/>
    <w:rPr>
      <w:sz w:val="20"/>
      <w:szCs w:val="20"/>
    </w:rPr>
  </w:style>
  <w:style w:type="character" w:styleId="Odkaznapoznmkupodiarou">
    <w:name w:val="footnote reference"/>
    <w:basedOn w:val="Predvolenpsmoodseku"/>
    <w:uiPriority w:val="99"/>
    <w:semiHidden/>
    <w:unhideWhenUsed/>
    <w:rsid w:val="006D7E4C"/>
    <w:rPr>
      <w:vertAlign w:val="superscript"/>
    </w:rPr>
  </w:style>
  <w:style w:type="paragraph" w:styleId="Revzia">
    <w:name w:val="Revision"/>
    <w:hidden/>
    <w:uiPriority w:val="99"/>
    <w:semiHidden/>
    <w:rsid w:val="006A34B5"/>
    <w:pPr>
      <w:spacing w:after="0" w:line="240" w:lineRule="auto"/>
    </w:pPr>
  </w:style>
  <w:style w:type="paragraph" w:styleId="Predmetkomentra">
    <w:name w:val="annotation subject"/>
    <w:basedOn w:val="Textkomentra"/>
    <w:next w:val="Textkomentra"/>
    <w:link w:val="PredmetkomentraChar"/>
    <w:uiPriority w:val="99"/>
    <w:semiHidden/>
    <w:unhideWhenUsed/>
    <w:rsid w:val="007809EF"/>
    <w:rPr>
      <w:b/>
      <w:bCs/>
      <w:kern w:val="0"/>
      <w14:ligatures w14:val="none"/>
    </w:rPr>
  </w:style>
  <w:style w:type="character" w:customStyle="1" w:styleId="PredmetkomentraChar">
    <w:name w:val="Predmet komentára Char"/>
    <w:basedOn w:val="TextkomentraChar"/>
    <w:link w:val="Predmetkomentra"/>
    <w:uiPriority w:val="99"/>
    <w:semiHidden/>
    <w:rsid w:val="007809EF"/>
    <w:rPr>
      <w:b/>
      <w:bCs/>
      <w:kern w:val="2"/>
      <w:sz w:val="20"/>
      <w:szCs w:val="20"/>
      <w14:ligatures w14:val="standardContextual"/>
    </w:rPr>
  </w:style>
  <w:style w:type="table" w:styleId="Mriekatabuky">
    <w:name w:val="Table Grid"/>
    <w:basedOn w:val="Normlnatabuka"/>
    <w:uiPriority w:val="39"/>
    <w:rsid w:val="00205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64D5B"/>
    <w:rPr>
      <w:color w:val="0563C1" w:themeColor="hyperlink"/>
      <w:u w:val="single"/>
    </w:rPr>
  </w:style>
  <w:style w:type="character" w:customStyle="1" w:styleId="Nevyrieenzmienka1">
    <w:name w:val="Nevyriešená zmienka1"/>
    <w:basedOn w:val="Predvolenpsmoodseku"/>
    <w:uiPriority w:val="99"/>
    <w:semiHidden/>
    <w:unhideWhenUsed/>
    <w:rsid w:val="00864D5B"/>
    <w:rPr>
      <w:color w:val="605E5C"/>
      <w:shd w:val="clear" w:color="auto" w:fill="E1DFDD"/>
    </w:rPr>
  </w:style>
  <w:style w:type="character" w:styleId="PouitHypertextovPrepojenie">
    <w:name w:val="FollowedHyperlink"/>
    <w:basedOn w:val="Predvolenpsmoodseku"/>
    <w:uiPriority w:val="99"/>
    <w:semiHidden/>
    <w:unhideWhenUsed/>
    <w:rsid w:val="003F59D1"/>
    <w:rPr>
      <w:color w:val="954F72" w:themeColor="followedHyperlink"/>
      <w:u w:val="single"/>
    </w:rPr>
  </w:style>
  <w:style w:type="character" w:styleId="Zstupntext">
    <w:name w:val="Placeholder Text"/>
    <w:basedOn w:val="Predvolenpsmoodseku"/>
    <w:uiPriority w:val="99"/>
    <w:semiHidden/>
    <w:rsid w:val="00832944"/>
    <w:rPr>
      <w:color w:val="666666"/>
    </w:rPr>
  </w:style>
  <w:style w:type="character" w:styleId="Nevyrieenzmienka">
    <w:name w:val="Unresolved Mention"/>
    <w:basedOn w:val="Predvolenpsmoodseku"/>
    <w:uiPriority w:val="99"/>
    <w:semiHidden/>
    <w:unhideWhenUsed/>
    <w:rsid w:val="00EE7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435">
      <w:bodyDiv w:val="1"/>
      <w:marLeft w:val="0"/>
      <w:marRight w:val="0"/>
      <w:marTop w:val="0"/>
      <w:marBottom w:val="0"/>
      <w:divBdr>
        <w:top w:val="none" w:sz="0" w:space="0" w:color="auto"/>
        <w:left w:val="none" w:sz="0" w:space="0" w:color="auto"/>
        <w:bottom w:val="none" w:sz="0" w:space="0" w:color="auto"/>
        <w:right w:val="none" w:sz="0" w:space="0" w:color="auto"/>
      </w:divBdr>
    </w:div>
    <w:div w:id="10642785">
      <w:bodyDiv w:val="1"/>
      <w:marLeft w:val="0"/>
      <w:marRight w:val="0"/>
      <w:marTop w:val="0"/>
      <w:marBottom w:val="0"/>
      <w:divBdr>
        <w:top w:val="none" w:sz="0" w:space="0" w:color="auto"/>
        <w:left w:val="none" w:sz="0" w:space="0" w:color="auto"/>
        <w:bottom w:val="none" w:sz="0" w:space="0" w:color="auto"/>
        <w:right w:val="none" w:sz="0" w:space="0" w:color="auto"/>
      </w:divBdr>
    </w:div>
    <w:div w:id="38090087">
      <w:bodyDiv w:val="1"/>
      <w:marLeft w:val="0"/>
      <w:marRight w:val="0"/>
      <w:marTop w:val="0"/>
      <w:marBottom w:val="0"/>
      <w:divBdr>
        <w:top w:val="none" w:sz="0" w:space="0" w:color="auto"/>
        <w:left w:val="none" w:sz="0" w:space="0" w:color="auto"/>
        <w:bottom w:val="none" w:sz="0" w:space="0" w:color="auto"/>
        <w:right w:val="none" w:sz="0" w:space="0" w:color="auto"/>
      </w:divBdr>
    </w:div>
    <w:div w:id="688216203">
      <w:bodyDiv w:val="1"/>
      <w:marLeft w:val="0"/>
      <w:marRight w:val="0"/>
      <w:marTop w:val="0"/>
      <w:marBottom w:val="0"/>
      <w:divBdr>
        <w:top w:val="none" w:sz="0" w:space="0" w:color="auto"/>
        <w:left w:val="none" w:sz="0" w:space="0" w:color="auto"/>
        <w:bottom w:val="none" w:sz="0" w:space="0" w:color="auto"/>
        <w:right w:val="none" w:sz="0" w:space="0" w:color="auto"/>
      </w:divBdr>
    </w:div>
    <w:div w:id="1111166433">
      <w:bodyDiv w:val="1"/>
      <w:marLeft w:val="0"/>
      <w:marRight w:val="0"/>
      <w:marTop w:val="0"/>
      <w:marBottom w:val="0"/>
      <w:divBdr>
        <w:top w:val="none" w:sz="0" w:space="0" w:color="auto"/>
        <w:left w:val="none" w:sz="0" w:space="0" w:color="auto"/>
        <w:bottom w:val="none" w:sz="0" w:space="0" w:color="auto"/>
        <w:right w:val="none" w:sz="0" w:space="0" w:color="auto"/>
      </w:divBdr>
    </w:div>
    <w:div w:id="1139885229">
      <w:bodyDiv w:val="1"/>
      <w:marLeft w:val="0"/>
      <w:marRight w:val="0"/>
      <w:marTop w:val="0"/>
      <w:marBottom w:val="0"/>
      <w:divBdr>
        <w:top w:val="none" w:sz="0" w:space="0" w:color="auto"/>
        <w:left w:val="none" w:sz="0" w:space="0" w:color="auto"/>
        <w:bottom w:val="none" w:sz="0" w:space="0" w:color="auto"/>
        <w:right w:val="none" w:sz="0" w:space="0" w:color="auto"/>
      </w:divBdr>
    </w:div>
    <w:div w:id="1165516272">
      <w:bodyDiv w:val="1"/>
      <w:marLeft w:val="0"/>
      <w:marRight w:val="0"/>
      <w:marTop w:val="0"/>
      <w:marBottom w:val="0"/>
      <w:divBdr>
        <w:top w:val="none" w:sz="0" w:space="0" w:color="auto"/>
        <w:left w:val="none" w:sz="0" w:space="0" w:color="auto"/>
        <w:bottom w:val="none" w:sz="0" w:space="0" w:color="auto"/>
        <w:right w:val="none" w:sz="0" w:space="0" w:color="auto"/>
      </w:divBdr>
    </w:div>
    <w:div w:id="1328557057">
      <w:bodyDiv w:val="1"/>
      <w:marLeft w:val="0"/>
      <w:marRight w:val="0"/>
      <w:marTop w:val="0"/>
      <w:marBottom w:val="0"/>
      <w:divBdr>
        <w:top w:val="none" w:sz="0" w:space="0" w:color="auto"/>
        <w:left w:val="none" w:sz="0" w:space="0" w:color="auto"/>
        <w:bottom w:val="none" w:sz="0" w:space="0" w:color="auto"/>
        <w:right w:val="none" w:sz="0" w:space="0" w:color="auto"/>
      </w:divBdr>
    </w:div>
    <w:div w:id="1353995234">
      <w:bodyDiv w:val="1"/>
      <w:marLeft w:val="0"/>
      <w:marRight w:val="0"/>
      <w:marTop w:val="0"/>
      <w:marBottom w:val="0"/>
      <w:divBdr>
        <w:top w:val="none" w:sz="0" w:space="0" w:color="auto"/>
        <w:left w:val="none" w:sz="0" w:space="0" w:color="auto"/>
        <w:bottom w:val="none" w:sz="0" w:space="0" w:color="auto"/>
        <w:right w:val="none" w:sz="0" w:space="0" w:color="auto"/>
      </w:divBdr>
    </w:div>
    <w:div w:id="1472794732">
      <w:bodyDiv w:val="1"/>
      <w:marLeft w:val="0"/>
      <w:marRight w:val="0"/>
      <w:marTop w:val="0"/>
      <w:marBottom w:val="0"/>
      <w:divBdr>
        <w:top w:val="none" w:sz="0" w:space="0" w:color="auto"/>
        <w:left w:val="none" w:sz="0" w:space="0" w:color="auto"/>
        <w:bottom w:val="none" w:sz="0" w:space="0" w:color="auto"/>
        <w:right w:val="none" w:sz="0" w:space="0" w:color="auto"/>
      </w:divBdr>
    </w:div>
    <w:div w:id="1850948445">
      <w:bodyDiv w:val="1"/>
      <w:marLeft w:val="0"/>
      <w:marRight w:val="0"/>
      <w:marTop w:val="0"/>
      <w:marBottom w:val="0"/>
      <w:divBdr>
        <w:top w:val="none" w:sz="0" w:space="0" w:color="auto"/>
        <w:left w:val="none" w:sz="0" w:space="0" w:color="auto"/>
        <w:bottom w:val="none" w:sz="0" w:space="0" w:color="auto"/>
        <w:right w:val="none" w:sz="0" w:space="0" w:color="auto"/>
      </w:divBdr>
    </w:div>
    <w:div w:id="1891578513">
      <w:bodyDiv w:val="1"/>
      <w:marLeft w:val="0"/>
      <w:marRight w:val="0"/>
      <w:marTop w:val="0"/>
      <w:marBottom w:val="0"/>
      <w:divBdr>
        <w:top w:val="none" w:sz="0" w:space="0" w:color="auto"/>
        <w:left w:val="none" w:sz="0" w:space="0" w:color="auto"/>
        <w:bottom w:val="none" w:sz="0" w:space="0" w:color="auto"/>
        <w:right w:val="none" w:sz="0" w:space="0" w:color="auto"/>
      </w:divBdr>
    </w:div>
    <w:div w:id="19539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12/2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ezbierky/pravne-predpisy/SK/ZZ/2012/25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C7A4-34C6-424A-B8E7-46B20426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1562</Words>
  <Characters>8907</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Drotar Peter</dc:creator>
  <cp:keywords/>
  <dc:description/>
  <cp:lastModifiedBy>Svedlarova Gabriela</cp:lastModifiedBy>
  <cp:revision>28</cp:revision>
  <dcterms:created xsi:type="dcterms:W3CDTF">2026-07-29T06:47:00Z</dcterms:created>
  <dcterms:modified xsi:type="dcterms:W3CDTF">2026-08-12T10:11:00Z</dcterms:modified>
</cp:coreProperties>
</file>