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68" w:rsidRPr="00A47B1F" w:rsidRDefault="00183E68" w:rsidP="00183E68">
      <w:pPr>
        <w:jc w:val="center"/>
        <w:rPr>
          <w:b/>
          <w:lang w:eastAsia="cs-CZ"/>
        </w:rPr>
      </w:pPr>
      <w:r w:rsidRPr="00A47B1F">
        <w:rPr>
          <w:b/>
          <w:lang w:eastAsia="cs-CZ"/>
        </w:rPr>
        <w:t>Predkladacia správa</w:t>
      </w:r>
    </w:p>
    <w:p w:rsidR="00183E68" w:rsidRPr="00A47B1F" w:rsidRDefault="00183E68" w:rsidP="00183E68">
      <w:pPr>
        <w:ind w:firstLine="708"/>
        <w:jc w:val="both"/>
      </w:pPr>
    </w:p>
    <w:p w:rsidR="00183E68" w:rsidRPr="00A47B1F" w:rsidRDefault="00183E68" w:rsidP="00183E68">
      <w:pPr>
        <w:ind w:firstLine="708"/>
        <w:jc w:val="both"/>
      </w:pPr>
      <w:r w:rsidRPr="00A47B1F">
        <w:t xml:space="preserve">Operácia EUFOR ALTHEA je súčasťou komplexného prístupu EÚ k bezpečnostnej, politickej a sociálno-ekonomickej stabilizácii Bosny a Hercegoviny a zapadá do celkovej mozaiky stabilizačných cieľov EÚ v regióne západného Balkánu. Mier, stabilita, </w:t>
      </w:r>
      <w:r w:rsidR="009D5EB3">
        <w:t>rozvoj a prosperita celého</w:t>
      </w:r>
      <w:r w:rsidRPr="00A47B1F">
        <w:t xml:space="preserve"> regiónu patria medzi priority zahraničnej politiky</w:t>
      </w:r>
      <w:r w:rsidR="00CC2759">
        <w:t xml:space="preserve"> Slovenskej republiky</w:t>
      </w:r>
      <w:r w:rsidRPr="00A47B1F">
        <w:t xml:space="preserve"> z dôvodu zaistenia stability a bezpečnosti strednej Európy, geografickej blízkosti, hospodárskej a ekonomickej spolupráce, slovenskej menšiny žijúcej v regióne, a rozvoja partnerstiev v kontexte procesov rozširovania EÚ a NATO.</w:t>
      </w:r>
    </w:p>
    <w:p w:rsidR="00183E68" w:rsidRPr="00A47B1F" w:rsidRDefault="00183E68" w:rsidP="00183E68">
      <w:pPr>
        <w:spacing w:after="60"/>
        <w:ind w:firstLine="708"/>
        <w:jc w:val="both"/>
      </w:pPr>
      <w:r w:rsidRPr="00A47B1F">
        <w:t xml:space="preserve">Slovenská republika považuje zachovanie exekutívnej časti operácie EUFOR ALTHEA za veľmi dôležité z hľadiska procesu transformácie medzinárodnej prítomnosti z Úradu vysokého predstaviteľa (OHR) na posilnenú prítomnosť EÚ (posilnenie úradu a kompetencií </w:t>
      </w:r>
      <w:r w:rsidR="00CC2759">
        <w:t xml:space="preserve">osobitného predstaviteľa EÚ - </w:t>
      </w:r>
      <w:r w:rsidRPr="00A47B1F">
        <w:t>EUSR) v Bosne a Hercegovine a z hľadiska odstrašenia prípadného vypuknutia násilia a vzniku nepokojov.</w:t>
      </w:r>
    </w:p>
    <w:p w:rsidR="00183E68" w:rsidRDefault="00183E68" w:rsidP="00183E68">
      <w:pPr>
        <w:ind w:firstLine="708"/>
        <w:jc w:val="both"/>
      </w:pPr>
      <w:r w:rsidRPr="00A47B1F">
        <w:t xml:space="preserve">V nadväznosti na Závery Rady EÚ z 10. októbra 2011 bol spustený proces rekonfigurácie operačnej zostavy nasadených síl v operácii EUFOR ALTHEA. </w:t>
      </w:r>
      <w:r w:rsidR="00AD6EF6" w:rsidRPr="00A47B1F">
        <w:t>D</w:t>
      </w:r>
      <w:r w:rsidR="00AD6EF6">
        <w:t>ošlo</w:t>
      </w:r>
      <w:r w:rsidR="00AD6EF6" w:rsidRPr="00A47B1F">
        <w:t xml:space="preserve"> </w:t>
      </w:r>
      <w:r w:rsidRPr="00A47B1F">
        <w:t>k zníženiu počtu síl lokalizovaných priamo v Bosne a Hercegovine z približne 1300 na maximálne 600, vrátane veliteľských štruktúr operácie v Sarajeve, čo je kompenzované poskytnutím okamžitých záloh, ktoré sú dislokované na území vysielajúceho štátu a v prípade zhoršenia bezpečnostnej situácie v Bosne a Hercegovine môžu byť nasadené do priestoru operácie. Rekonfigurácia operácie  nasta</w:t>
      </w:r>
      <w:r>
        <w:t xml:space="preserve">la </w:t>
      </w:r>
      <w:r w:rsidRPr="00A47B1F">
        <w:t xml:space="preserve">k 1. septembru 2012. </w:t>
      </w:r>
    </w:p>
    <w:p w:rsidR="008E0A12" w:rsidRPr="00A47B1F" w:rsidRDefault="00024E87" w:rsidP="006E34B1">
      <w:pPr>
        <w:ind w:firstLine="708"/>
        <w:jc w:val="both"/>
      </w:pPr>
      <w:r>
        <w:t>Slovenská republika deklarovala</w:t>
      </w:r>
      <w:r w:rsidR="005B0F5F">
        <w:t xml:space="preserve"> pohotovosť príspevku do okamžitých záloh pre EUFOR ALTHEA v rokoch</w:t>
      </w:r>
      <w:r w:rsidR="006E34B1">
        <w:t xml:space="preserve"> 2013</w:t>
      </w:r>
      <w:r>
        <w:t xml:space="preserve"> </w:t>
      </w:r>
      <w:r w:rsidR="005B0F5F">
        <w:t xml:space="preserve">ako aj 2014 </w:t>
      </w:r>
      <w:r>
        <w:t>na základe súhlasu vlády SR</w:t>
      </w:r>
      <w:r w:rsidR="005B0F5F">
        <w:t xml:space="preserve">. </w:t>
      </w:r>
      <w:r w:rsidR="00CC2759">
        <w:t>Vývoj bezpečnostnej situácie</w:t>
      </w:r>
      <w:r w:rsidR="00FA1275">
        <w:t xml:space="preserve"> v Bo</w:t>
      </w:r>
      <w:r w:rsidR="009D5EB3">
        <w:t>sne a Hercegovine si nevyžiadal</w:t>
      </w:r>
      <w:r w:rsidR="00FA1275">
        <w:t xml:space="preserve"> nasadenie ok</w:t>
      </w:r>
      <w:r w:rsidR="00CC2759">
        <w:t xml:space="preserve">amžitých záloh pre EUFOR ALTHEA </w:t>
      </w:r>
      <w:r w:rsidR="005B0F5F">
        <w:t>ani v jednom z </w:t>
      </w:r>
      <w:r w:rsidR="00CC2759">
        <w:t>uveden</w:t>
      </w:r>
      <w:r w:rsidR="005B0F5F">
        <w:t>ých rokov</w:t>
      </w:r>
      <w:r w:rsidR="00CC2759">
        <w:t>.</w:t>
      </w:r>
    </w:p>
    <w:p w:rsidR="004A49EB" w:rsidRDefault="00434CD2" w:rsidP="00434CD2">
      <w:pPr>
        <w:tabs>
          <w:tab w:val="left" w:pos="0"/>
        </w:tabs>
        <w:jc w:val="both"/>
      </w:pPr>
      <w:r>
        <w:tab/>
      </w:r>
      <w:r w:rsidR="00183E68" w:rsidRPr="00A47B1F">
        <w:t xml:space="preserve">V predloženom materiáli sa navrhuje vláde Slovenskej republiky schváliť </w:t>
      </w:r>
      <w:r w:rsidR="00FA1275">
        <w:t xml:space="preserve">opätovné </w:t>
      </w:r>
      <w:r w:rsidR="003208AD">
        <w:t>vyčlenenie príspevku O</w:t>
      </w:r>
      <w:r w:rsidR="00183E68" w:rsidRPr="00A47B1F">
        <w:t xml:space="preserve">zbrojených síl Slovenskej republiky („ďalej len „OS SR“) do okamžitých záloh pre operáciu EUFOR ALTHEA a to vo forme mechanizovanej roty v počte do 125 profesionálnych vojakov na dobu pohotovosti od 1. </w:t>
      </w:r>
      <w:r w:rsidR="005B0F5F">
        <w:t>februára</w:t>
      </w:r>
      <w:r w:rsidR="00CD406E" w:rsidRPr="00A47B1F">
        <w:t xml:space="preserve"> </w:t>
      </w:r>
      <w:r w:rsidR="005B0F5F">
        <w:t>2015</w:t>
      </w:r>
      <w:r w:rsidR="00183E68" w:rsidRPr="00A47B1F">
        <w:t xml:space="preserve"> do 31. decembra </w:t>
      </w:r>
      <w:r w:rsidR="005B0F5F">
        <w:t>2015</w:t>
      </w:r>
      <w:r>
        <w:t>, pričom f</w:t>
      </w:r>
      <w:r w:rsidR="001359B0" w:rsidRPr="00E24F1C">
        <w:t xml:space="preserve">inančné prostriedky </w:t>
      </w:r>
      <w:r w:rsidRPr="00A47B1F">
        <w:t>na pokrytie</w:t>
      </w:r>
      <w:r>
        <w:t xml:space="preserve"> </w:t>
      </w:r>
      <w:r w:rsidRPr="00A47B1F">
        <w:t>nákladov na</w:t>
      </w:r>
      <w:r w:rsidR="009F1576">
        <w:t xml:space="preserve"> jedno</w:t>
      </w:r>
      <w:r>
        <w:t xml:space="preserve"> </w:t>
      </w:r>
      <w:r w:rsidRPr="00A47B1F">
        <w:t>prípadné</w:t>
      </w:r>
      <w:r>
        <w:t xml:space="preserve"> </w:t>
      </w:r>
      <w:r w:rsidR="00436555">
        <w:t>vyslanie, pôsobenie a stiahnutie</w:t>
      </w:r>
      <w:r w:rsidR="0081394B">
        <w:t xml:space="preserve"> príspevku vyčlení </w:t>
      </w:r>
      <w:r>
        <w:t>Ministerstvo obrany SR</w:t>
      </w:r>
      <w:r w:rsidR="004A49EB">
        <w:t>.</w:t>
      </w:r>
    </w:p>
    <w:p w:rsidR="00183E68" w:rsidRPr="00A47B1F" w:rsidRDefault="00183E68" w:rsidP="00183E68">
      <w:pPr>
        <w:ind w:firstLine="708"/>
        <w:jc w:val="both"/>
      </w:pPr>
      <w:r w:rsidRPr="00A47B1F">
        <w:t xml:space="preserve">Vyčlenenie </w:t>
      </w:r>
      <w:r>
        <w:t>predmetného</w:t>
      </w:r>
      <w:r w:rsidRPr="00A47B1F">
        <w:t xml:space="preserve"> príspevku OS SR si nevyžiada zmenu </w:t>
      </w:r>
      <w:r w:rsidR="00CC2759">
        <w:t>(</w:t>
      </w:r>
      <w:r w:rsidRPr="00A47B1F">
        <w:t>súčasne</w:t>
      </w:r>
      <w:r w:rsidR="00CC2759">
        <w:t>)</w:t>
      </w:r>
      <w:r w:rsidRPr="00A47B1F">
        <w:t xml:space="preserve"> platných</w:t>
      </w:r>
      <w:r w:rsidRPr="00A47B1F">
        <w:rPr>
          <w:b/>
        </w:rPr>
        <w:t xml:space="preserve"> </w:t>
      </w:r>
      <w:r w:rsidRPr="00A47B1F">
        <w:t>uznesení Národnej rady Slovenskej republiky (č. 1358 z 1. decembra 2004 a č.</w:t>
      </w:r>
      <w:r w:rsidR="00CC2759">
        <w:t xml:space="preserve"> </w:t>
      </w:r>
      <w:r w:rsidRPr="00A47B1F">
        <w:t>194 zo 7. decembra 2010) pre pôsobenie príslušníkov OS SR v operácii EUFOR ALTHEA. Samotné nasadenie tohto príspevku bude zabezpečené ad hoc vyslovením súhlasu vlády Slovenskej republiky a Národnej rady Slovenskej republiky. Takéto riešenie je v súlade s právnym poriadkom Slovenskej republiky a bolo prijaté aj v minulosti, napríklad počas doby poho</w:t>
      </w:r>
      <w:r w:rsidR="00182D7B">
        <w:t xml:space="preserve">tovosti bojových skupín EÚ a tiež pri deklarovaní príspevku </w:t>
      </w:r>
      <w:r w:rsidR="005B0F5F">
        <w:t>do okamžitých záloh v roku 2013 a 2014.</w:t>
      </w:r>
      <w:r w:rsidR="00182D7B">
        <w:t xml:space="preserve"> </w:t>
      </w:r>
    </w:p>
    <w:p w:rsidR="00183E68" w:rsidRDefault="00183E68" w:rsidP="00183E68">
      <w:pPr>
        <w:pStyle w:val="Oznaitext"/>
        <w:widowControl w:val="0"/>
        <w:tabs>
          <w:tab w:val="left" w:pos="372"/>
        </w:tabs>
        <w:spacing w:after="60"/>
        <w:ind w:left="0" w:right="74" w:firstLine="252"/>
      </w:pPr>
      <w:r w:rsidRPr="00A47B1F">
        <w:tab/>
      </w:r>
      <w:r w:rsidRPr="00A47B1F">
        <w:tab/>
      </w:r>
      <w:r w:rsidR="00FA1275">
        <w:t>Opätovné z</w:t>
      </w:r>
      <w:r w:rsidRPr="00A47B1F">
        <w:t>apojenie OS SR do okamžitých záloh pre operáciu EUFOR ALTHE</w:t>
      </w:r>
      <w:r w:rsidR="009D5EB3">
        <w:t>A by bol nielen v súlade s</w:t>
      </w:r>
      <w:r w:rsidRPr="00A47B1F">
        <w:t xml:space="preserve"> doterajším presadzovaním zachovania exekutívneho charakteru operácie</w:t>
      </w:r>
      <w:r w:rsidR="009D5EB3">
        <w:t xml:space="preserve">, ale aj s súlade so </w:t>
      </w:r>
      <w:r w:rsidRPr="00A47B1F">
        <w:t>zahraničnou politikou Slovenskej repub</w:t>
      </w:r>
      <w:r w:rsidR="009D5EB3">
        <w:t>liky, v rámci ktorej je deklarované</w:t>
      </w:r>
      <w:r w:rsidRPr="00A47B1F">
        <w:t xml:space="preserve"> úsilie o aktívne pôsobenie na západnom Balkáne a s tým spojené adekvátne zastúpenie v operáciách medzinárodných organizácií v tomto regióne. </w:t>
      </w:r>
    </w:p>
    <w:p w:rsidR="004A49EB" w:rsidRPr="00C70B6A" w:rsidRDefault="004A49EB" w:rsidP="004A49EB">
      <w:pPr>
        <w:ind w:firstLine="708"/>
        <w:jc w:val="both"/>
        <w:rPr>
          <w:lang w:eastAsia="cs-CZ"/>
        </w:rPr>
      </w:pPr>
      <w:r w:rsidRPr="006B4B0F">
        <w:t>Predkladaný materiál</w:t>
      </w:r>
      <w:r w:rsidR="00B4107D">
        <w:t xml:space="preserve"> nebol predmetom medzirezortného pripomienkového konania nakoľko</w:t>
      </w:r>
      <w:bookmarkStart w:id="0" w:name="_GoBack"/>
      <w:bookmarkEnd w:id="0"/>
      <w:r w:rsidRPr="006B4B0F">
        <w:t xml:space="preserve"> </w:t>
      </w:r>
      <w:r w:rsidR="00B4107D">
        <w:t>má informatívny charakter.</w:t>
      </w:r>
    </w:p>
    <w:p w:rsidR="009D62A6" w:rsidRDefault="009D62A6" w:rsidP="00017ED5">
      <w:pPr>
        <w:ind w:firstLine="708"/>
        <w:jc w:val="both"/>
      </w:pPr>
    </w:p>
    <w:sectPr w:rsidR="009D62A6" w:rsidSect="000D1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183E68"/>
    <w:rsid w:val="00017ED5"/>
    <w:rsid w:val="00024E87"/>
    <w:rsid w:val="00062DFF"/>
    <w:rsid w:val="0009382E"/>
    <w:rsid w:val="000B1C20"/>
    <w:rsid w:val="000D1FB5"/>
    <w:rsid w:val="000D598E"/>
    <w:rsid w:val="001042F0"/>
    <w:rsid w:val="001359B0"/>
    <w:rsid w:val="00182D7B"/>
    <w:rsid w:val="00183E68"/>
    <w:rsid w:val="00234629"/>
    <w:rsid w:val="00236122"/>
    <w:rsid w:val="00253E78"/>
    <w:rsid w:val="002C1314"/>
    <w:rsid w:val="003208AD"/>
    <w:rsid w:val="00343C40"/>
    <w:rsid w:val="00431928"/>
    <w:rsid w:val="00434CD2"/>
    <w:rsid w:val="00436555"/>
    <w:rsid w:val="004618E6"/>
    <w:rsid w:val="004A49EB"/>
    <w:rsid w:val="00500A14"/>
    <w:rsid w:val="00500C4C"/>
    <w:rsid w:val="0053250E"/>
    <w:rsid w:val="005B0F5F"/>
    <w:rsid w:val="005B224C"/>
    <w:rsid w:val="005B5E37"/>
    <w:rsid w:val="006E3116"/>
    <w:rsid w:val="006E34B1"/>
    <w:rsid w:val="0081394B"/>
    <w:rsid w:val="00845BE9"/>
    <w:rsid w:val="00864E45"/>
    <w:rsid w:val="008A7B3F"/>
    <w:rsid w:val="008B52F3"/>
    <w:rsid w:val="008D5068"/>
    <w:rsid w:val="008E0A12"/>
    <w:rsid w:val="00961BF2"/>
    <w:rsid w:val="009D5EB3"/>
    <w:rsid w:val="009D62A6"/>
    <w:rsid w:val="009F1576"/>
    <w:rsid w:val="00A161C0"/>
    <w:rsid w:val="00AD59F3"/>
    <w:rsid w:val="00AD6EF6"/>
    <w:rsid w:val="00B4107D"/>
    <w:rsid w:val="00B62F95"/>
    <w:rsid w:val="00B63796"/>
    <w:rsid w:val="00B773BB"/>
    <w:rsid w:val="00CC2759"/>
    <w:rsid w:val="00CD406E"/>
    <w:rsid w:val="00D722E8"/>
    <w:rsid w:val="00D73466"/>
    <w:rsid w:val="00DB36F6"/>
    <w:rsid w:val="00DC29E1"/>
    <w:rsid w:val="00DE31AD"/>
    <w:rsid w:val="00DE4C40"/>
    <w:rsid w:val="00E24F1C"/>
    <w:rsid w:val="00E4544C"/>
    <w:rsid w:val="00E76D6D"/>
    <w:rsid w:val="00FA1275"/>
    <w:rsid w:val="00FA7542"/>
    <w:rsid w:val="00FD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83E68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183E68"/>
    <w:pPr>
      <w:tabs>
        <w:tab w:val="num" w:pos="720"/>
      </w:tabs>
      <w:jc w:val="both"/>
    </w:pPr>
  </w:style>
  <w:style w:type="character" w:customStyle="1" w:styleId="Zkladntext2Char">
    <w:name w:val="Základný text 2 Char"/>
    <w:basedOn w:val="Predvolenpsmoodseku"/>
    <w:link w:val="Zkladntext2"/>
    <w:semiHidden/>
    <w:locked/>
    <w:rsid w:val="00183E68"/>
    <w:rPr>
      <w:sz w:val="24"/>
      <w:szCs w:val="24"/>
      <w:lang w:val="sk-SK" w:eastAsia="sk-SK" w:bidi="ar-SA"/>
    </w:rPr>
  </w:style>
  <w:style w:type="paragraph" w:styleId="Normlnywebov">
    <w:name w:val="Normal (Web)"/>
    <w:basedOn w:val="Normlny"/>
    <w:rsid w:val="00183E68"/>
    <w:pPr>
      <w:spacing w:after="100" w:afterAutospacing="1"/>
    </w:pPr>
  </w:style>
  <w:style w:type="paragraph" w:styleId="Oznaitext">
    <w:name w:val="Block Text"/>
    <w:basedOn w:val="Normlny"/>
    <w:rsid w:val="00183E68"/>
    <w:pPr>
      <w:ind w:left="567" w:right="72" w:hanging="425"/>
      <w:jc w:val="both"/>
    </w:pPr>
    <w:rPr>
      <w:szCs w:val="20"/>
      <w:lang w:eastAsia="cs-CZ"/>
    </w:rPr>
  </w:style>
  <w:style w:type="character" w:styleId="Odkaznakomentr">
    <w:name w:val="annotation reference"/>
    <w:basedOn w:val="Predvolenpsmoodseku"/>
    <w:semiHidden/>
    <w:rsid w:val="005B5E37"/>
    <w:rPr>
      <w:sz w:val="16"/>
      <w:szCs w:val="16"/>
    </w:rPr>
  </w:style>
  <w:style w:type="paragraph" w:styleId="Textkomentra">
    <w:name w:val="annotation text"/>
    <w:basedOn w:val="Normlny"/>
    <w:semiHidden/>
    <w:rsid w:val="005B5E37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5B5E37"/>
    <w:rPr>
      <w:b/>
      <w:bCs/>
    </w:rPr>
  </w:style>
  <w:style w:type="paragraph" w:styleId="Textbubliny">
    <w:name w:val="Balloon Text"/>
    <w:basedOn w:val="Normlny"/>
    <w:semiHidden/>
    <w:rsid w:val="005B5E37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434CD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WKX3UHSAJ2R6-2-401136</_dlc_DocId>
    <_dlc_DocIdUrl xmlns="e60a29af-d413-48d4-bd90-fe9d2a897e4b">
      <Url>https://ovdmasv601/sites/DMS/_layouts/15/DocIdRedir.aspx?ID=WKX3UHSAJ2R6-2-401136</Url>
      <Description>WKX3UHSAJ2R6-2-401136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AD48AFE-2F1E-40F2-9053-F72BD9F16FF0}"/>
</file>

<file path=customXml/itemProps2.xml><?xml version="1.0" encoding="utf-8"?>
<ds:datastoreItem xmlns:ds="http://schemas.openxmlformats.org/officeDocument/2006/customXml" ds:itemID="{C7A81A4F-9743-4E22-8C3F-EB6CFACE1586}"/>
</file>

<file path=customXml/itemProps3.xml><?xml version="1.0" encoding="utf-8"?>
<ds:datastoreItem xmlns:ds="http://schemas.openxmlformats.org/officeDocument/2006/customXml" ds:itemID="{131A15EF-B17B-4916-BFBA-F710B185ACD1}"/>
</file>

<file path=customXml/itemProps4.xml><?xml version="1.0" encoding="utf-8"?>
<ds:datastoreItem xmlns:ds="http://schemas.openxmlformats.org/officeDocument/2006/customXml" ds:itemID="{F369BED0-E7AE-403E-8A0A-127C0DBB21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MOSR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subject/>
  <dc:creator>orfanusovael</dc:creator>
  <cp:keywords/>
  <dc:description/>
  <cp:lastModifiedBy>sevcovicovav</cp:lastModifiedBy>
  <cp:revision>2</cp:revision>
  <cp:lastPrinted>2013-02-18T06:48:00Z</cp:lastPrinted>
  <dcterms:created xsi:type="dcterms:W3CDTF">2015-01-22T08:04:00Z</dcterms:created>
  <dcterms:modified xsi:type="dcterms:W3CDTF">2015-01-22T08:04:00Z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8d56f449-334d-4352-bb14-7db81fde6db2</vt:lpwstr>
  </property>
</Properties>
</file>